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1E777">
      <w:pPr>
        <w:rPr>
          <w:rFonts w:ascii="宋体"/>
          <w:b/>
          <w:bCs/>
          <w:color w:val="000000"/>
          <w:sz w:val="52"/>
        </w:rPr>
      </w:pPr>
    </w:p>
    <w:p w14:paraId="5F035091">
      <w:pPr>
        <w:ind w:firstLine="198" w:firstLineChars="41"/>
        <w:jc w:val="center"/>
        <w:rPr>
          <w:rFonts w:hint="eastAsia" w:ascii="宋体" w:hAnsi="宋体"/>
          <w:b/>
          <w:bCs/>
          <w:color w:val="000000"/>
          <w:sz w:val="48"/>
          <w:szCs w:val="48"/>
        </w:rPr>
      </w:pPr>
    </w:p>
    <w:p w14:paraId="17B711EB">
      <w:pPr>
        <w:snapToGrid w:val="0"/>
        <w:jc w:val="center"/>
        <w:rPr>
          <w:rFonts w:ascii="宋体"/>
          <w:b/>
          <w:color w:val="000000"/>
          <w:sz w:val="72"/>
          <w:szCs w:val="72"/>
        </w:rPr>
      </w:pPr>
    </w:p>
    <w:p w14:paraId="0773D215">
      <w:pPr>
        <w:snapToGrid w:val="0"/>
        <w:jc w:val="center"/>
        <w:rPr>
          <w:rFonts w:ascii="宋体"/>
          <w:b/>
          <w:color w:val="000000"/>
          <w:sz w:val="72"/>
          <w:szCs w:val="72"/>
        </w:rPr>
      </w:pPr>
    </w:p>
    <w:p w14:paraId="0CE8940E">
      <w:pPr>
        <w:snapToGrid w:val="0"/>
        <w:jc w:val="center"/>
        <w:rPr>
          <w:rFonts w:ascii="宋体" w:cs="方正小标宋简体"/>
          <w:b/>
          <w:color w:val="000000"/>
          <w:sz w:val="44"/>
          <w:szCs w:val="44"/>
        </w:rPr>
      </w:pPr>
      <w:r>
        <w:rPr>
          <w:rFonts w:hint="eastAsia" w:ascii="宋体" w:hAnsi="宋体"/>
          <w:b/>
          <w:color w:val="000000"/>
          <w:sz w:val="72"/>
          <w:szCs w:val="72"/>
        </w:rPr>
        <w:t>招 标 文 件</w:t>
      </w:r>
    </w:p>
    <w:p w14:paraId="3B8ACD91">
      <w:pPr>
        <w:jc w:val="center"/>
        <w:rPr>
          <w:rFonts w:ascii="宋体"/>
          <w:b/>
          <w:color w:val="000000"/>
          <w:sz w:val="32"/>
          <w:szCs w:val="32"/>
        </w:rPr>
      </w:pPr>
    </w:p>
    <w:p w14:paraId="71B36ABC">
      <w:pPr>
        <w:jc w:val="center"/>
        <w:rPr>
          <w:rFonts w:ascii="宋体"/>
          <w:b/>
          <w:color w:val="000000"/>
          <w:sz w:val="32"/>
          <w:szCs w:val="32"/>
        </w:rPr>
      </w:pPr>
      <w:r>
        <w:rPr>
          <w:rFonts w:hint="eastAsia" w:ascii="宋体"/>
          <w:b/>
          <w:color w:val="000000"/>
          <w:sz w:val="32"/>
          <w:szCs w:val="32"/>
        </w:rPr>
        <w:t>（全流程电子化采购）</w:t>
      </w:r>
    </w:p>
    <w:p w14:paraId="38D6E3B6">
      <w:pPr>
        <w:rPr>
          <w:rFonts w:ascii="宋体"/>
          <w:b/>
          <w:color w:val="000000"/>
          <w:sz w:val="32"/>
          <w:szCs w:val="32"/>
        </w:rPr>
      </w:pPr>
    </w:p>
    <w:p w14:paraId="46333A34">
      <w:pPr>
        <w:rPr>
          <w:rFonts w:ascii="宋体"/>
          <w:b/>
          <w:color w:val="000000"/>
          <w:sz w:val="32"/>
          <w:szCs w:val="32"/>
        </w:rPr>
      </w:pPr>
    </w:p>
    <w:p w14:paraId="0D3A8FA5">
      <w:pPr>
        <w:spacing w:line="360" w:lineRule="auto"/>
        <w:ind w:left="2883" w:leftChars="608" w:hanging="1606" w:hangingChars="500"/>
        <w:rPr>
          <w:rFonts w:hint="eastAsia" w:ascii="宋体" w:hAnsi="宋体"/>
          <w:b/>
          <w:color w:val="000000"/>
          <w:sz w:val="32"/>
          <w:szCs w:val="32"/>
        </w:rPr>
      </w:pPr>
    </w:p>
    <w:p w14:paraId="3A7386DC">
      <w:pPr>
        <w:spacing w:line="360" w:lineRule="auto"/>
        <w:ind w:left="2883" w:leftChars="608" w:hanging="1606" w:hangingChars="500"/>
        <w:rPr>
          <w:rFonts w:hint="eastAsia" w:ascii="宋体" w:eastAsia="宋体"/>
          <w:b/>
          <w:color w:val="000000"/>
          <w:sz w:val="32"/>
          <w:szCs w:val="32"/>
          <w:lang w:eastAsia="zh-CN"/>
        </w:rPr>
      </w:pPr>
      <w:r>
        <w:rPr>
          <w:rFonts w:hint="eastAsia" w:ascii="宋体" w:hAnsi="宋体"/>
          <w:b/>
          <w:color w:val="000000"/>
          <w:sz w:val="32"/>
          <w:szCs w:val="32"/>
        </w:rPr>
        <w:t>项目名称：</w:t>
      </w:r>
      <w:r>
        <w:rPr>
          <w:rFonts w:hint="eastAsia" w:ascii="宋体" w:hAnsi="宋体"/>
          <w:b/>
          <w:color w:val="000000"/>
          <w:sz w:val="32"/>
          <w:szCs w:val="32"/>
          <w:lang w:eastAsia="zh-CN"/>
        </w:rPr>
        <w:t>广西艺术学院漓江画派研究中心、新闻实践中心设备项目</w:t>
      </w:r>
    </w:p>
    <w:p w14:paraId="40C71D12">
      <w:pPr>
        <w:spacing w:line="360" w:lineRule="auto"/>
        <w:ind w:firstLine="1285" w:firstLineChars="400"/>
        <w:rPr>
          <w:rFonts w:hint="eastAsia" w:ascii="宋体" w:eastAsia="宋体"/>
          <w:b/>
          <w:color w:val="000000"/>
          <w:sz w:val="32"/>
          <w:szCs w:val="32"/>
          <w:lang w:eastAsia="zh-CN"/>
        </w:rPr>
      </w:pPr>
      <w:r>
        <w:rPr>
          <w:rFonts w:hint="eastAsia" w:ascii="宋体" w:hAnsi="宋体"/>
          <w:b/>
          <w:color w:val="000000"/>
          <w:sz w:val="32"/>
          <w:szCs w:val="32"/>
        </w:rPr>
        <w:t>项目编号：</w:t>
      </w:r>
      <w:r>
        <w:rPr>
          <w:rFonts w:hint="eastAsia" w:ascii="宋体" w:hAnsi="宋体"/>
          <w:b/>
          <w:color w:val="000000"/>
          <w:sz w:val="32"/>
          <w:szCs w:val="32"/>
          <w:lang w:eastAsia="zh-CN"/>
        </w:rPr>
        <w:t>GXZC2025-G1-002793-GXZX</w:t>
      </w:r>
    </w:p>
    <w:p w14:paraId="163D1A77">
      <w:pPr>
        <w:spacing w:line="360" w:lineRule="auto"/>
        <w:ind w:firstLine="1430" w:firstLineChars="445"/>
        <w:rPr>
          <w:rFonts w:ascii="宋体"/>
          <w:b/>
          <w:color w:val="000000"/>
          <w:sz w:val="32"/>
          <w:szCs w:val="32"/>
        </w:rPr>
      </w:pPr>
    </w:p>
    <w:p w14:paraId="1FDEEADA">
      <w:pPr>
        <w:spacing w:line="360" w:lineRule="auto"/>
        <w:ind w:firstLine="1285" w:firstLineChars="400"/>
        <w:rPr>
          <w:rFonts w:ascii="宋体"/>
          <w:b/>
          <w:color w:val="000000"/>
          <w:sz w:val="32"/>
          <w:szCs w:val="32"/>
        </w:rPr>
      </w:pPr>
      <w:r>
        <w:rPr>
          <w:rFonts w:hint="eastAsia" w:ascii="宋体" w:hAnsi="宋体"/>
          <w:b/>
          <w:color w:val="000000"/>
          <w:sz w:val="32"/>
          <w:szCs w:val="32"/>
        </w:rPr>
        <w:t>采购人：广西艺术学院</w:t>
      </w:r>
    </w:p>
    <w:p w14:paraId="31B1EA23">
      <w:pPr>
        <w:spacing w:line="360" w:lineRule="auto"/>
        <w:ind w:firstLine="1285" w:firstLineChars="400"/>
        <w:rPr>
          <w:rFonts w:ascii="宋体"/>
          <w:b/>
          <w:color w:val="000000"/>
          <w:sz w:val="32"/>
          <w:szCs w:val="32"/>
        </w:rPr>
      </w:pPr>
      <w:r>
        <w:rPr>
          <w:rFonts w:hint="eastAsia" w:ascii="宋体" w:hAnsi="宋体"/>
          <w:b/>
          <w:color w:val="000000"/>
          <w:sz w:val="32"/>
          <w:szCs w:val="32"/>
        </w:rPr>
        <w:t>采购代理机构：广西中信恒泰工程顾问有限公司</w:t>
      </w:r>
    </w:p>
    <w:p w14:paraId="2DB7B1C7">
      <w:pPr>
        <w:pStyle w:val="25"/>
        <w:snapToGrid w:val="0"/>
        <w:spacing w:line="360" w:lineRule="auto"/>
        <w:ind w:firstLine="1125" w:firstLineChars="393"/>
        <w:rPr>
          <w:rFonts w:hint="eastAsia" w:ascii="仿宋_GB2312" w:hAnsi="宋体" w:eastAsia="仿宋_GB2312"/>
          <w:b/>
          <w:bCs/>
          <w:w w:val="95"/>
          <w:sz w:val="30"/>
          <w:szCs w:val="30"/>
        </w:rPr>
      </w:pPr>
    </w:p>
    <w:p w14:paraId="6470D305">
      <w:pPr>
        <w:pStyle w:val="25"/>
        <w:snapToGrid w:val="0"/>
        <w:spacing w:line="360" w:lineRule="auto"/>
        <w:ind w:firstLine="944" w:firstLineChars="294"/>
        <w:jc w:val="center"/>
        <w:rPr>
          <w:rFonts w:hint="eastAsia" w:ascii="仿宋_GB2312" w:hAnsi="宋体" w:eastAsia="仿宋_GB2312"/>
          <w:b/>
          <w:bCs/>
          <w:w w:val="95"/>
          <w:sz w:val="30"/>
          <w:szCs w:val="30"/>
        </w:rPr>
      </w:pPr>
      <w:r>
        <w:rPr>
          <w:rFonts w:hint="eastAsia" w:hAnsi="宋体"/>
          <w:b/>
          <w:color w:val="000000"/>
          <w:sz w:val="32"/>
          <w:szCs w:val="32"/>
        </w:rPr>
        <w:t>2025年</w:t>
      </w:r>
      <w:r>
        <w:rPr>
          <w:rFonts w:hint="eastAsia" w:hAnsi="宋体"/>
          <w:b/>
          <w:color w:val="000000"/>
          <w:sz w:val="32"/>
          <w:szCs w:val="32"/>
          <w:lang w:val="en-US" w:eastAsia="zh-CN"/>
        </w:rPr>
        <w:t>09</w:t>
      </w:r>
      <w:r>
        <w:rPr>
          <w:rFonts w:hint="eastAsia" w:hAnsi="宋体"/>
          <w:b/>
          <w:color w:val="000000"/>
          <w:sz w:val="32"/>
          <w:szCs w:val="32"/>
        </w:rPr>
        <w:t>月</w:t>
      </w:r>
      <w:r>
        <w:rPr>
          <w:rFonts w:hint="eastAsia" w:hAnsi="宋体"/>
          <w:b/>
          <w:color w:val="000000"/>
          <w:sz w:val="32"/>
          <w:szCs w:val="32"/>
          <w:lang w:val="en-US" w:eastAsia="zh-CN"/>
        </w:rPr>
        <w:t>22</w:t>
      </w:r>
      <w:r>
        <w:rPr>
          <w:rFonts w:hint="eastAsia" w:hAnsi="宋体"/>
          <w:b/>
          <w:color w:val="000000"/>
          <w:sz w:val="32"/>
          <w:szCs w:val="32"/>
        </w:rPr>
        <w:t>日</w:t>
      </w:r>
    </w:p>
    <w:p w14:paraId="7797EA54">
      <w:pPr>
        <w:pStyle w:val="16"/>
        <w:ind w:firstLine="803"/>
        <w:jc w:val="center"/>
        <w:rPr>
          <w:rFonts w:hint="eastAsia" w:ascii="仿宋_GB2312" w:hAnsi="宋体" w:eastAsia="仿宋_GB2312"/>
        </w:rPr>
        <w:sectPr>
          <w:footerReference r:id="rId5" w:type="first"/>
          <w:headerReference r:id="rId3" w:type="default"/>
          <w:footerReference r:id="rId4" w:type="even"/>
          <w:pgSz w:w="11906" w:h="16838"/>
          <w:pgMar w:top="1134" w:right="1588" w:bottom="1134" w:left="1588" w:header="851" w:footer="992" w:gutter="0"/>
          <w:cols w:space="720" w:num="1"/>
          <w:titlePg/>
          <w:docGrid w:linePitch="312" w:charSpace="0"/>
        </w:sectPr>
      </w:pPr>
    </w:p>
    <w:p w14:paraId="7FD11214">
      <w:pPr>
        <w:pStyle w:val="16"/>
        <w:ind w:firstLine="803"/>
        <w:jc w:val="center"/>
        <w:rPr>
          <w:rFonts w:hint="eastAsia" w:ascii="仿宋_GB2312" w:hAnsi="宋体" w:eastAsia="仿宋_GB2312"/>
        </w:rPr>
      </w:pPr>
    </w:p>
    <w:p w14:paraId="6718FB69">
      <w:pPr>
        <w:spacing w:line="360" w:lineRule="auto"/>
        <w:jc w:val="center"/>
        <w:rPr>
          <w:rFonts w:hint="eastAsia" w:ascii="宋体" w:hAnsi="宋体"/>
          <w:b/>
          <w:sz w:val="44"/>
          <w:szCs w:val="44"/>
        </w:rPr>
      </w:pPr>
      <w:r>
        <w:rPr>
          <w:rFonts w:hint="eastAsia" w:ascii="宋体" w:hAnsi="宋体"/>
          <w:b/>
          <w:sz w:val="44"/>
          <w:szCs w:val="44"/>
        </w:rPr>
        <w:t>目  录</w:t>
      </w:r>
    </w:p>
    <w:p w14:paraId="10AE387A">
      <w:pPr>
        <w:pStyle w:val="33"/>
        <w:spacing w:line="480" w:lineRule="auto"/>
        <w:rPr>
          <w:rFonts w:ascii="Calibri" w:hAnsi="Calibri"/>
          <w:b w:val="0"/>
          <w:bCs w:val="0"/>
          <w:caps w:val="0"/>
          <w:sz w:val="21"/>
          <w:szCs w:val="22"/>
        </w:rPr>
      </w:pPr>
      <w:r>
        <w:rPr>
          <w:rFonts w:ascii="仿宋_GB2312" w:eastAsia="仿宋_GB2312"/>
          <w:b w:val="0"/>
        </w:rPr>
        <w:fldChar w:fldCharType="begin"/>
      </w:r>
      <w:r>
        <w:rPr>
          <w:rFonts w:ascii="仿宋_GB2312" w:eastAsia="仿宋_GB2312"/>
          <w:b w:val="0"/>
        </w:rPr>
        <w:instrText xml:space="preserve"> </w:instrText>
      </w:r>
      <w:r>
        <w:rPr>
          <w:rFonts w:hint="eastAsia" w:ascii="仿宋_GB2312" w:eastAsia="仿宋_GB2312"/>
          <w:b w:val="0"/>
        </w:rPr>
        <w:instrText xml:space="preserve">TOC \o "1-2" \h \z \u</w:instrText>
      </w:r>
      <w:r>
        <w:rPr>
          <w:rFonts w:ascii="仿宋_GB2312" w:eastAsia="仿宋_GB2312"/>
          <w:b w:val="0"/>
        </w:rPr>
        <w:instrText xml:space="preserve"> </w:instrText>
      </w:r>
      <w:r>
        <w:rPr>
          <w:rFonts w:ascii="仿宋_GB2312" w:eastAsia="仿宋_GB2312"/>
          <w:b w:val="0"/>
        </w:rPr>
        <w:fldChar w:fldCharType="separate"/>
      </w:r>
      <w:r>
        <w:fldChar w:fldCharType="begin"/>
      </w:r>
      <w:r>
        <w:instrText xml:space="preserve"> HYPERLINK \l "_Toc74320800" </w:instrText>
      </w:r>
      <w:r>
        <w:fldChar w:fldCharType="separate"/>
      </w:r>
      <w:r>
        <w:rPr>
          <w:rStyle w:val="55"/>
          <w:rFonts w:hint="eastAsia"/>
          <w:color w:val="auto"/>
        </w:rPr>
        <w:t>第一章</w:t>
      </w:r>
      <w:r>
        <w:rPr>
          <w:rStyle w:val="55"/>
          <w:color w:val="auto"/>
        </w:rPr>
        <w:t xml:space="preserve"> </w:t>
      </w:r>
      <w:r>
        <w:rPr>
          <w:rStyle w:val="55"/>
          <w:rFonts w:hint="eastAsia"/>
          <w:color w:val="auto"/>
        </w:rPr>
        <w:t xml:space="preserve"> 招标公告</w:t>
      </w:r>
      <w:r>
        <w:tab/>
      </w:r>
      <w:r>
        <w:fldChar w:fldCharType="begin"/>
      </w:r>
      <w:r>
        <w:instrText xml:space="preserve"> PAGEREF _Toc74320800 \h </w:instrText>
      </w:r>
      <w:r>
        <w:fldChar w:fldCharType="separate"/>
      </w:r>
      <w:r>
        <w:t>2</w:t>
      </w:r>
      <w:r>
        <w:fldChar w:fldCharType="end"/>
      </w:r>
      <w:r>
        <w:fldChar w:fldCharType="end"/>
      </w:r>
    </w:p>
    <w:p w14:paraId="251DF5F1">
      <w:pPr>
        <w:pStyle w:val="33"/>
        <w:spacing w:line="480" w:lineRule="auto"/>
        <w:ind w:firstLine="241"/>
        <w:rPr>
          <w:rFonts w:ascii="Calibri" w:hAnsi="Calibri"/>
          <w:b w:val="0"/>
          <w:bCs w:val="0"/>
          <w:caps w:val="0"/>
          <w:sz w:val="21"/>
          <w:szCs w:val="22"/>
        </w:rPr>
      </w:pPr>
      <w:r>
        <w:fldChar w:fldCharType="begin"/>
      </w:r>
      <w:r>
        <w:instrText xml:space="preserve"> HYPERLINK \l "_Toc74320801" </w:instrText>
      </w:r>
      <w:r>
        <w:fldChar w:fldCharType="separate"/>
      </w:r>
      <w:r>
        <w:rPr>
          <w:rStyle w:val="55"/>
          <w:rFonts w:hint="eastAsia"/>
          <w:color w:val="auto"/>
        </w:rPr>
        <w:t>第二章</w:t>
      </w:r>
      <w:r>
        <w:rPr>
          <w:rStyle w:val="55"/>
          <w:color w:val="auto"/>
        </w:rPr>
        <w:t xml:space="preserve">  </w:t>
      </w:r>
      <w:r>
        <w:rPr>
          <w:rStyle w:val="55"/>
          <w:rFonts w:hint="eastAsia"/>
          <w:color w:val="auto"/>
        </w:rPr>
        <w:t>采购需</w:t>
      </w:r>
      <w:bookmarkStart w:id="0" w:name="_Hlt192246285"/>
      <w:bookmarkStart w:id="1" w:name="_Hlt192246286"/>
      <w:r>
        <w:rPr>
          <w:rStyle w:val="55"/>
          <w:rFonts w:hint="eastAsia"/>
          <w:color w:val="auto"/>
        </w:rPr>
        <w:t>求</w:t>
      </w:r>
      <w:bookmarkEnd w:id="0"/>
      <w:bookmarkEnd w:id="1"/>
      <w:bookmarkStart w:id="151" w:name="_GoBack"/>
      <w:bookmarkEnd w:id="151"/>
      <w:r>
        <w:tab/>
      </w:r>
      <w:r>
        <w:fldChar w:fldCharType="begin"/>
      </w:r>
      <w:r>
        <w:instrText xml:space="preserve"> PAGEREF _Toc74320801 \h </w:instrText>
      </w:r>
      <w:r>
        <w:fldChar w:fldCharType="separate"/>
      </w:r>
      <w:r>
        <w:t>6</w:t>
      </w:r>
      <w:r>
        <w:fldChar w:fldCharType="end"/>
      </w:r>
      <w:r>
        <w:fldChar w:fldCharType="end"/>
      </w:r>
    </w:p>
    <w:p w14:paraId="5D8E69F7">
      <w:pPr>
        <w:pStyle w:val="33"/>
        <w:spacing w:line="480" w:lineRule="auto"/>
        <w:ind w:firstLine="241"/>
        <w:rPr>
          <w:rFonts w:ascii="Calibri" w:hAnsi="Calibri"/>
          <w:b w:val="0"/>
          <w:bCs w:val="0"/>
          <w:caps w:val="0"/>
          <w:sz w:val="21"/>
          <w:szCs w:val="22"/>
        </w:rPr>
      </w:pPr>
      <w:r>
        <w:fldChar w:fldCharType="begin"/>
      </w:r>
      <w:r>
        <w:instrText xml:space="preserve"> HYPERLINK \l "_Toc74320802" </w:instrText>
      </w:r>
      <w:r>
        <w:fldChar w:fldCharType="separate"/>
      </w:r>
      <w:r>
        <w:rPr>
          <w:rStyle w:val="55"/>
          <w:rFonts w:hint="eastAsia"/>
          <w:color w:val="auto"/>
        </w:rPr>
        <w:t>第三章</w:t>
      </w:r>
      <w:r>
        <w:rPr>
          <w:rStyle w:val="55"/>
          <w:color w:val="auto"/>
        </w:rPr>
        <w:t xml:space="preserve">  </w:t>
      </w:r>
      <w:r>
        <w:rPr>
          <w:rStyle w:val="55"/>
          <w:rFonts w:hint="eastAsia"/>
          <w:color w:val="auto"/>
        </w:rPr>
        <w:t>投标人须</w:t>
      </w:r>
      <w:bookmarkStart w:id="2" w:name="_Hlt79572745"/>
      <w:bookmarkStart w:id="3" w:name="_Hlt79572744"/>
      <w:r>
        <w:rPr>
          <w:rStyle w:val="55"/>
          <w:rFonts w:hint="eastAsia"/>
          <w:color w:val="auto"/>
        </w:rPr>
        <w:t>知</w:t>
      </w:r>
      <w:bookmarkEnd w:id="2"/>
      <w:bookmarkEnd w:id="3"/>
      <w:r>
        <w:tab/>
      </w:r>
      <w:r>
        <w:fldChar w:fldCharType="begin"/>
      </w:r>
      <w:r>
        <w:instrText xml:space="preserve"> PAGEREF _Toc74320802 \h </w:instrText>
      </w:r>
      <w:r>
        <w:fldChar w:fldCharType="separate"/>
      </w:r>
      <w:r>
        <w:t>76</w:t>
      </w:r>
      <w:r>
        <w:fldChar w:fldCharType="end"/>
      </w:r>
      <w:r>
        <w:fldChar w:fldCharType="end"/>
      </w:r>
    </w:p>
    <w:p w14:paraId="2CFD909E">
      <w:pPr>
        <w:pStyle w:val="33"/>
        <w:spacing w:line="480" w:lineRule="auto"/>
        <w:ind w:firstLine="241"/>
        <w:rPr>
          <w:rFonts w:ascii="Calibri" w:hAnsi="Calibri"/>
          <w:b w:val="0"/>
          <w:bCs w:val="0"/>
          <w:caps w:val="0"/>
          <w:sz w:val="21"/>
          <w:szCs w:val="22"/>
        </w:rPr>
      </w:pPr>
      <w:r>
        <w:fldChar w:fldCharType="begin"/>
      </w:r>
      <w:r>
        <w:instrText xml:space="preserve"> HYPERLINK \l "_Toc74320803" </w:instrText>
      </w:r>
      <w:r>
        <w:fldChar w:fldCharType="separate"/>
      </w:r>
      <w:r>
        <w:rPr>
          <w:rStyle w:val="55"/>
          <w:rFonts w:hint="eastAsia"/>
          <w:color w:val="auto"/>
        </w:rPr>
        <w:t>第四章</w:t>
      </w:r>
      <w:r>
        <w:rPr>
          <w:rStyle w:val="55"/>
          <w:color w:val="auto"/>
        </w:rPr>
        <w:t xml:space="preserve">  </w:t>
      </w:r>
      <w:r>
        <w:rPr>
          <w:rStyle w:val="55"/>
          <w:rFonts w:hint="eastAsia"/>
          <w:color w:val="auto"/>
        </w:rPr>
        <w:t>评标方</w:t>
      </w:r>
      <w:bookmarkStart w:id="4" w:name="_Hlt82186273"/>
      <w:bookmarkStart w:id="5" w:name="_Hlt82186274"/>
      <w:r>
        <w:rPr>
          <w:rStyle w:val="55"/>
          <w:rFonts w:hint="eastAsia"/>
          <w:color w:val="auto"/>
        </w:rPr>
        <w:t>法</w:t>
      </w:r>
      <w:bookmarkEnd w:id="4"/>
      <w:bookmarkEnd w:id="5"/>
      <w:r>
        <w:rPr>
          <w:rStyle w:val="55"/>
          <w:rFonts w:hint="eastAsia"/>
          <w:color w:val="auto"/>
        </w:rPr>
        <w:t>及评标标准</w:t>
      </w:r>
      <w:r>
        <w:tab/>
      </w:r>
      <w:r>
        <w:fldChar w:fldCharType="begin"/>
      </w:r>
      <w:r>
        <w:instrText xml:space="preserve"> PAGEREF _Toc74320803 \h </w:instrText>
      </w:r>
      <w:r>
        <w:fldChar w:fldCharType="separate"/>
      </w:r>
      <w:r>
        <w:t>97</w:t>
      </w:r>
      <w:r>
        <w:fldChar w:fldCharType="end"/>
      </w:r>
      <w:r>
        <w:fldChar w:fldCharType="end"/>
      </w:r>
    </w:p>
    <w:p w14:paraId="7B6F8CF7">
      <w:pPr>
        <w:pStyle w:val="33"/>
        <w:spacing w:line="480" w:lineRule="auto"/>
        <w:ind w:firstLine="241"/>
        <w:rPr>
          <w:rFonts w:ascii="Calibri" w:hAnsi="Calibri"/>
          <w:b w:val="0"/>
          <w:bCs w:val="0"/>
          <w:caps w:val="0"/>
          <w:sz w:val="21"/>
          <w:szCs w:val="22"/>
        </w:rPr>
      </w:pPr>
      <w:r>
        <w:fldChar w:fldCharType="begin"/>
      </w:r>
      <w:r>
        <w:instrText xml:space="preserve"> HYPERLINK \l "_Toc74320804" </w:instrText>
      </w:r>
      <w:r>
        <w:fldChar w:fldCharType="separate"/>
      </w:r>
      <w:r>
        <w:rPr>
          <w:rStyle w:val="55"/>
          <w:rFonts w:hint="eastAsia"/>
          <w:color w:val="auto"/>
        </w:rPr>
        <w:t>第五章</w:t>
      </w:r>
      <w:r>
        <w:rPr>
          <w:rStyle w:val="55"/>
          <w:color w:val="auto"/>
        </w:rPr>
        <w:t xml:space="preserve">  </w:t>
      </w:r>
      <w:r>
        <w:rPr>
          <w:rStyle w:val="55"/>
          <w:rFonts w:hint="eastAsia"/>
          <w:color w:val="auto"/>
        </w:rPr>
        <w:t>拟签订的合同文本</w:t>
      </w:r>
      <w:r>
        <w:tab/>
      </w:r>
      <w:r>
        <w:fldChar w:fldCharType="begin"/>
      </w:r>
      <w:r>
        <w:instrText xml:space="preserve"> PAGEREF _Toc74320804 \h </w:instrText>
      </w:r>
      <w:r>
        <w:fldChar w:fldCharType="separate"/>
      </w:r>
      <w:r>
        <w:t>110</w:t>
      </w:r>
      <w:r>
        <w:fldChar w:fldCharType="end"/>
      </w:r>
      <w:r>
        <w:fldChar w:fldCharType="end"/>
      </w:r>
    </w:p>
    <w:p w14:paraId="054DB8C3">
      <w:pPr>
        <w:pStyle w:val="33"/>
        <w:spacing w:line="480" w:lineRule="auto"/>
        <w:ind w:firstLine="241"/>
        <w:rPr>
          <w:rFonts w:ascii="Calibri" w:hAnsi="Calibri"/>
          <w:b w:val="0"/>
          <w:bCs w:val="0"/>
          <w:caps w:val="0"/>
          <w:sz w:val="21"/>
          <w:szCs w:val="22"/>
        </w:rPr>
      </w:pPr>
      <w:r>
        <w:fldChar w:fldCharType="begin"/>
      </w:r>
      <w:r>
        <w:instrText xml:space="preserve"> HYPERLINK \l "_Toc74320805" </w:instrText>
      </w:r>
      <w:r>
        <w:fldChar w:fldCharType="separate"/>
      </w:r>
      <w:r>
        <w:rPr>
          <w:rStyle w:val="55"/>
          <w:rFonts w:hint="eastAsia"/>
          <w:color w:val="auto"/>
        </w:rPr>
        <w:t>第六章　投标文件格式</w:t>
      </w:r>
      <w:r>
        <w:tab/>
      </w:r>
      <w:r>
        <w:fldChar w:fldCharType="begin"/>
      </w:r>
      <w:r>
        <w:instrText xml:space="preserve"> PAGEREF _Toc74320805 \h </w:instrText>
      </w:r>
      <w:r>
        <w:fldChar w:fldCharType="separate"/>
      </w:r>
      <w:r>
        <w:t>117</w:t>
      </w:r>
      <w:r>
        <w:fldChar w:fldCharType="end"/>
      </w:r>
      <w:r>
        <w:fldChar w:fldCharType="end"/>
      </w:r>
    </w:p>
    <w:p w14:paraId="09F97DE9">
      <w:pPr>
        <w:spacing w:before="120" w:beforeLines="50" w:line="480" w:lineRule="auto"/>
        <w:rPr>
          <w:rFonts w:hint="eastAsia" w:ascii="仿宋_GB2312" w:hAnsi="宋体" w:eastAsia="仿宋_GB2312"/>
          <w:sz w:val="24"/>
        </w:rPr>
      </w:pPr>
      <w:r>
        <w:rPr>
          <w:rFonts w:ascii="仿宋_GB2312" w:hAnsi="宋体" w:eastAsia="仿宋_GB2312"/>
          <w:b/>
          <w:sz w:val="24"/>
        </w:rPr>
        <w:fldChar w:fldCharType="end"/>
      </w:r>
    </w:p>
    <w:p w14:paraId="32891D49">
      <w:pPr>
        <w:spacing w:before="120" w:beforeLines="50" w:line="480" w:lineRule="exact"/>
        <w:rPr>
          <w:rFonts w:hint="eastAsia" w:ascii="仿宋_GB2312" w:hAnsi="宋体" w:eastAsia="仿宋_GB2312"/>
          <w:sz w:val="30"/>
        </w:rPr>
      </w:pPr>
    </w:p>
    <w:p w14:paraId="10221E58"/>
    <w:p w14:paraId="02BA2DDA">
      <w:pPr>
        <w:spacing w:before="120" w:beforeLines="50" w:line="480" w:lineRule="exact"/>
        <w:rPr>
          <w:rFonts w:hint="eastAsia" w:ascii="仿宋_GB2312" w:hAnsi="宋体" w:eastAsia="仿宋_GB2312"/>
          <w:sz w:val="30"/>
        </w:rPr>
      </w:pPr>
    </w:p>
    <w:p w14:paraId="0F18DE90">
      <w:pPr>
        <w:spacing w:before="120" w:beforeLines="50" w:line="480" w:lineRule="exact"/>
        <w:rPr>
          <w:rFonts w:hint="eastAsia" w:ascii="仿宋_GB2312" w:hAnsi="宋体" w:eastAsia="仿宋_GB2312"/>
          <w:sz w:val="30"/>
        </w:rPr>
      </w:pPr>
    </w:p>
    <w:p w14:paraId="0CFE1DFE">
      <w:pPr>
        <w:pStyle w:val="16"/>
        <w:rPr>
          <w:rFonts w:hint="eastAsia" w:ascii="宋体" w:hAnsi="宋体" w:cs="宋体"/>
          <w:b/>
          <w:bCs/>
        </w:rPr>
      </w:pPr>
      <w:bookmarkStart w:id="6" w:name="_Toc254970489"/>
      <w:bookmarkStart w:id="7" w:name="_Toc254970630"/>
    </w:p>
    <w:p w14:paraId="1DC05FDF">
      <w:pPr>
        <w:pStyle w:val="3"/>
        <w:keepNext w:val="0"/>
        <w:keepLines w:val="0"/>
        <w:tabs>
          <w:tab w:val="left" w:pos="0"/>
          <w:tab w:val="left" w:pos="3165"/>
          <w:tab w:val="center" w:pos="4153"/>
        </w:tabs>
        <w:autoSpaceDE w:val="0"/>
        <w:autoSpaceDN w:val="0"/>
        <w:adjustRightInd w:val="0"/>
        <w:spacing w:before="0" w:after="0" w:line="360" w:lineRule="auto"/>
        <w:jc w:val="center"/>
      </w:pPr>
      <w:r>
        <w:rPr>
          <w:rFonts w:ascii="宋体" w:hAnsi="宋体" w:cs="宋体"/>
          <w:b w:val="0"/>
          <w:bCs w:val="0"/>
        </w:rPr>
        <w:br w:type="page"/>
      </w:r>
      <w:bookmarkStart w:id="8" w:name="_Toc74320800"/>
      <w:r>
        <w:rPr>
          <w:rFonts w:hint="eastAsia"/>
        </w:rPr>
        <w:t>第一章</w:t>
      </w:r>
      <w:bookmarkEnd w:id="6"/>
      <w:bookmarkEnd w:id="7"/>
      <w:bookmarkStart w:id="9" w:name="_Toc35393789"/>
      <w:bookmarkStart w:id="10" w:name="_Toc28359001"/>
      <w:r>
        <w:rPr>
          <w:rFonts w:hint="eastAsia"/>
        </w:rPr>
        <w:t xml:space="preserve"> 招标公告</w:t>
      </w:r>
      <w:bookmarkEnd w:id="8"/>
      <w:bookmarkEnd w:id="9"/>
      <w:bookmarkEnd w:id="10"/>
    </w:p>
    <w:p w14:paraId="4A1F7A6C">
      <w:pPr>
        <w:spacing w:line="360" w:lineRule="auto"/>
        <w:rPr>
          <w:rFonts w:hint="eastAsia" w:ascii="宋体" w:hAnsi="宋体"/>
          <w:szCs w:val="21"/>
        </w:rPr>
      </w:pPr>
    </w:p>
    <w:p w14:paraId="08231B61">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rPr>
        <w:t>项目概况</w:t>
      </w:r>
    </w:p>
    <w:p w14:paraId="65F08382">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u w:val="single"/>
          <w:lang w:eastAsia="zh-CN"/>
        </w:rPr>
        <w:t>广西艺术学院漓江画派研究中心、新闻实践中心设备项目</w:t>
      </w:r>
      <w:r>
        <w:rPr>
          <w:rFonts w:hint="eastAsia" w:ascii="宋体" w:hAnsi="宋体"/>
          <w:szCs w:val="21"/>
        </w:rPr>
        <w:t>招标项目的潜在投标人应在</w:t>
      </w:r>
      <w:r>
        <w:rPr>
          <w:rFonts w:hint="eastAsia" w:ascii="宋体" w:hAnsi="宋体"/>
          <w:szCs w:val="21"/>
          <w:u w:val="single"/>
        </w:rPr>
        <w:t>广西政府采购云平台（</w:t>
      </w:r>
      <w:r>
        <w:rPr>
          <w:rFonts w:hint="eastAsia" w:ascii="宋体" w:hAnsi="宋体"/>
          <w:bCs/>
          <w:szCs w:val="21"/>
          <w:u w:val="single"/>
        </w:rPr>
        <w:t>https://www.gcy.zfcg.gxzf.gov.cn/</w:t>
      </w:r>
      <w:r>
        <w:rPr>
          <w:rFonts w:hint="eastAsia" w:ascii="宋体" w:hAnsi="宋体"/>
          <w:szCs w:val="21"/>
          <w:u w:val="single"/>
        </w:rPr>
        <w:t>）</w:t>
      </w:r>
      <w:r>
        <w:rPr>
          <w:rFonts w:hint="eastAsia" w:ascii="宋体" w:hAnsi="宋体"/>
          <w:szCs w:val="21"/>
        </w:rPr>
        <w:t>获取（下载）招标文件，并于</w:t>
      </w:r>
      <w:r>
        <w:rPr>
          <w:rFonts w:hint="eastAsia" w:ascii="宋体" w:hAnsi="宋体"/>
          <w:szCs w:val="21"/>
          <w:u w:val="single"/>
        </w:rPr>
        <w:t>2025</w:t>
      </w:r>
      <w:r>
        <w:rPr>
          <w:rFonts w:hint="eastAsia" w:ascii="宋体" w:hAnsi="宋体"/>
          <w:bCs/>
          <w:szCs w:val="21"/>
          <w:u w:val="single"/>
        </w:rPr>
        <w:t>年</w:t>
      </w:r>
      <w:r>
        <w:rPr>
          <w:rFonts w:hint="eastAsia" w:ascii="宋体" w:hAnsi="宋体"/>
          <w:bCs/>
          <w:szCs w:val="21"/>
          <w:u w:val="single"/>
          <w:lang w:val="en-US" w:eastAsia="zh-CN"/>
        </w:rPr>
        <w:t>10月14日</w:t>
      </w:r>
      <w:r>
        <w:rPr>
          <w:rFonts w:hint="eastAsia" w:ascii="宋体" w:hAnsi="宋体"/>
          <w:bCs/>
          <w:szCs w:val="21"/>
          <w:u w:val="single"/>
        </w:rPr>
        <w:t>9时30分（</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4B03C5D4">
      <w:pPr>
        <w:spacing w:line="360" w:lineRule="auto"/>
        <w:rPr>
          <w:rFonts w:hint="eastAsia" w:ascii="宋体" w:hAnsi="宋体"/>
          <w:szCs w:val="21"/>
        </w:rPr>
      </w:pPr>
    </w:p>
    <w:p w14:paraId="4F134F06">
      <w:pPr>
        <w:spacing w:line="360" w:lineRule="auto"/>
        <w:rPr>
          <w:rFonts w:hint="eastAsia" w:ascii="黑体" w:hAnsi="黑体" w:eastAsia="黑体"/>
          <w:b/>
          <w:bCs/>
          <w:sz w:val="24"/>
        </w:rPr>
      </w:pPr>
      <w:bookmarkStart w:id="11" w:name="_Toc35393790"/>
      <w:bookmarkStart w:id="12" w:name="_Toc28359002"/>
      <w:bookmarkStart w:id="13" w:name="_Toc28359079"/>
      <w:bookmarkStart w:id="14" w:name="_Toc35393621"/>
      <w:bookmarkStart w:id="15" w:name="_Hlk24379207"/>
      <w:bookmarkStart w:id="16" w:name="_Hlk51746371"/>
      <w:bookmarkStart w:id="17" w:name="_Toc28359004"/>
      <w:bookmarkStart w:id="18" w:name="_Toc28359081"/>
      <w:r>
        <w:rPr>
          <w:rFonts w:hint="eastAsia" w:ascii="黑体" w:hAnsi="黑体" w:eastAsia="黑体"/>
          <w:b/>
          <w:bCs/>
          <w:sz w:val="24"/>
        </w:rPr>
        <w:t>一、项目基本情况</w:t>
      </w:r>
      <w:bookmarkEnd w:id="11"/>
      <w:bookmarkEnd w:id="12"/>
      <w:bookmarkEnd w:id="13"/>
      <w:bookmarkEnd w:id="14"/>
    </w:p>
    <w:p w14:paraId="0375A4F5">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项目编号：</w:t>
      </w:r>
      <w:r>
        <w:rPr>
          <w:rFonts w:hint="eastAsia" w:ascii="宋体" w:hAnsi="宋体" w:cs="宋体"/>
          <w:szCs w:val="21"/>
          <w:lang w:eastAsia="zh-CN"/>
        </w:rPr>
        <w:t>GXZC2025-G1-002793-GXZX</w:t>
      </w:r>
    </w:p>
    <w:p w14:paraId="50CD4965">
      <w:pPr>
        <w:spacing w:line="360" w:lineRule="auto"/>
        <w:ind w:firstLine="420" w:firstLineChars="200"/>
        <w:rPr>
          <w:rFonts w:hint="eastAsia" w:ascii="宋体" w:hAnsi="宋体" w:eastAsia="宋体" w:cs="宋体"/>
          <w:bCs/>
          <w:color w:val="000000"/>
          <w:szCs w:val="21"/>
          <w:lang w:eastAsia="zh-CN"/>
        </w:rPr>
      </w:pPr>
      <w:r>
        <w:rPr>
          <w:rFonts w:hint="eastAsia" w:ascii="宋体" w:hAnsi="宋体" w:eastAsia="宋体" w:cs="宋体"/>
          <w:szCs w:val="21"/>
        </w:rPr>
        <w:t>项目名称：</w:t>
      </w:r>
      <w:bookmarkEnd w:id="15"/>
      <w:r>
        <w:rPr>
          <w:rFonts w:hint="eastAsia" w:ascii="宋体" w:hAnsi="宋体" w:cs="宋体"/>
          <w:szCs w:val="21"/>
          <w:lang w:eastAsia="zh-CN"/>
        </w:rPr>
        <w:t>广西艺术学院漓江画派研究中心、新闻实践中心设备项目</w:t>
      </w:r>
    </w:p>
    <w:p w14:paraId="79F25C06">
      <w:pPr>
        <w:spacing w:line="360" w:lineRule="auto"/>
        <w:ind w:firstLine="420" w:firstLineChars="200"/>
        <w:rPr>
          <w:rFonts w:hint="eastAsia" w:ascii="宋体" w:hAnsi="宋体" w:eastAsia="宋体" w:cs="宋体"/>
          <w:szCs w:val="21"/>
          <w:u w:val="single"/>
        </w:rPr>
      </w:pPr>
      <w:r>
        <w:rPr>
          <w:rFonts w:hint="eastAsia" w:ascii="宋体" w:hAnsi="宋体" w:eastAsia="宋体" w:cs="宋体"/>
        </w:rPr>
        <w:t>预算总金额（元）</w:t>
      </w:r>
      <w:r>
        <w:rPr>
          <w:rFonts w:hint="eastAsia" w:ascii="宋体" w:hAnsi="宋体" w:eastAsia="宋体" w:cs="宋体"/>
          <w:szCs w:val="21"/>
        </w:rPr>
        <w:t>：</w:t>
      </w:r>
      <w:r>
        <w:rPr>
          <w:rFonts w:hint="eastAsia" w:ascii="宋体" w:hAnsi="宋体" w:eastAsia="宋体" w:cs="宋体"/>
        </w:rPr>
        <w:t>3308101</w:t>
      </w:r>
    </w:p>
    <w:p w14:paraId="43C4C513">
      <w:pPr>
        <w:spacing w:line="360" w:lineRule="auto"/>
        <w:ind w:firstLine="420" w:firstLineChars="200"/>
        <w:rPr>
          <w:rFonts w:hint="eastAsia" w:ascii="宋体" w:hAnsi="宋体"/>
          <w:szCs w:val="21"/>
        </w:rPr>
      </w:pPr>
      <w:r>
        <w:rPr>
          <w:rFonts w:hint="eastAsia" w:ascii="宋体" w:hAnsi="宋体"/>
          <w:szCs w:val="21"/>
        </w:rPr>
        <w:t>采购需求：</w:t>
      </w:r>
    </w:p>
    <w:p w14:paraId="19CCC9A1">
      <w:pPr>
        <w:spacing w:line="360" w:lineRule="auto"/>
        <w:ind w:firstLine="420" w:firstLineChars="200"/>
        <w:rPr>
          <w:rFonts w:hint="eastAsia" w:ascii="宋体" w:hAnsi="宋体"/>
          <w:szCs w:val="21"/>
        </w:rPr>
      </w:pPr>
    </w:p>
    <w:p w14:paraId="4586FDCE">
      <w:pPr>
        <w:spacing w:line="360" w:lineRule="auto"/>
        <w:ind w:firstLine="420" w:firstLineChars="200"/>
        <w:rPr>
          <w:rFonts w:hint="eastAsia" w:ascii="宋体" w:hAnsi="宋体"/>
          <w:szCs w:val="21"/>
        </w:rPr>
      </w:pPr>
      <w:r>
        <w:rPr>
          <w:rFonts w:hint="eastAsia" w:ascii="宋体" w:hAnsi="宋体"/>
          <w:szCs w:val="21"/>
        </w:rPr>
        <w:t>标项一</w:t>
      </w:r>
    </w:p>
    <w:p w14:paraId="6342A9E5">
      <w:pPr>
        <w:spacing w:line="360" w:lineRule="auto"/>
        <w:ind w:firstLine="420" w:firstLineChars="200"/>
        <w:rPr>
          <w:rFonts w:hint="eastAsia" w:ascii="宋体" w:hAnsi="宋体"/>
          <w:szCs w:val="21"/>
        </w:rPr>
      </w:pPr>
      <w:r>
        <w:rPr>
          <w:rFonts w:hint="eastAsia" w:ascii="宋体" w:hAnsi="宋体"/>
          <w:szCs w:val="21"/>
        </w:rPr>
        <w:t>标项名称：漓江画派研究中心设备项目（灯光）</w:t>
      </w:r>
    </w:p>
    <w:p w14:paraId="333E5EC1">
      <w:pPr>
        <w:spacing w:line="360" w:lineRule="auto"/>
        <w:ind w:firstLine="420" w:firstLineChars="200"/>
        <w:rPr>
          <w:rFonts w:hint="eastAsia" w:ascii="宋体" w:hAnsi="宋体"/>
          <w:szCs w:val="21"/>
        </w:rPr>
      </w:pPr>
      <w:r>
        <w:rPr>
          <w:rFonts w:hint="eastAsia" w:ascii="宋体" w:hAnsi="宋体"/>
          <w:szCs w:val="21"/>
        </w:rPr>
        <w:t>数量：1批</w:t>
      </w:r>
    </w:p>
    <w:p w14:paraId="351D6CC5">
      <w:pPr>
        <w:spacing w:line="360" w:lineRule="auto"/>
        <w:ind w:firstLine="420" w:firstLineChars="200"/>
        <w:rPr>
          <w:rFonts w:hint="eastAsia" w:ascii="宋体" w:hAnsi="宋体"/>
          <w:szCs w:val="21"/>
        </w:rPr>
      </w:pPr>
      <w:r>
        <w:rPr>
          <w:rFonts w:hint="eastAsia" w:ascii="宋体" w:hAnsi="宋体"/>
          <w:szCs w:val="21"/>
        </w:rPr>
        <w:t>预算金额（元）：1134640</w:t>
      </w:r>
    </w:p>
    <w:p w14:paraId="3BC2E4AD">
      <w:pPr>
        <w:spacing w:line="360" w:lineRule="auto"/>
        <w:ind w:firstLine="420" w:firstLineChars="200"/>
        <w:rPr>
          <w:rFonts w:hint="eastAsia" w:ascii="宋体" w:hAnsi="宋体"/>
          <w:szCs w:val="21"/>
        </w:rPr>
      </w:pPr>
      <w:r>
        <w:rPr>
          <w:rFonts w:hint="eastAsia" w:ascii="宋体" w:hAnsi="宋体"/>
          <w:szCs w:val="21"/>
        </w:rPr>
        <w:t>简要规格描述或项目基本概况介绍、用途：漓江画派研究中心设备</w:t>
      </w:r>
      <w:r>
        <w:rPr>
          <w:rFonts w:hint="eastAsia" w:ascii="宋体" w:hAnsi="宋体"/>
          <w:szCs w:val="21"/>
          <w:lang w:val="en-US" w:eastAsia="zh-CN"/>
        </w:rPr>
        <w:t>1批</w:t>
      </w:r>
      <w:r>
        <w:rPr>
          <w:rFonts w:hint="eastAsia" w:ascii="宋体" w:hAnsi="宋体"/>
          <w:szCs w:val="21"/>
        </w:rPr>
        <w:t>，具体内容和数量以招标文件第二章采购需求为准。</w:t>
      </w:r>
    </w:p>
    <w:p w14:paraId="3B4CBE6A">
      <w:pPr>
        <w:spacing w:line="360" w:lineRule="auto"/>
        <w:ind w:firstLine="420" w:firstLineChars="200"/>
        <w:rPr>
          <w:rFonts w:hint="eastAsia" w:ascii="宋体" w:hAnsi="宋体"/>
          <w:szCs w:val="21"/>
        </w:rPr>
      </w:pPr>
      <w:r>
        <w:rPr>
          <w:rFonts w:hint="eastAsia" w:ascii="宋体" w:hAnsi="宋体"/>
          <w:szCs w:val="21"/>
        </w:rPr>
        <w:t>最高限价（如有）：1134640</w:t>
      </w:r>
    </w:p>
    <w:p w14:paraId="1D95A313">
      <w:pPr>
        <w:spacing w:line="360" w:lineRule="auto"/>
        <w:ind w:firstLine="420" w:firstLineChars="200"/>
        <w:rPr>
          <w:rFonts w:hint="eastAsia" w:ascii="宋体" w:hAnsi="宋体"/>
          <w:szCs w:val="21"/>
        </w:rPr>
      </w:pPr>
      <w:r>
        <w:rPr>
          <w:rFonts w:hint="eastAsia" w:ascii="宋体" w:hAnsi="宋体"/>
          <w:szCs w:val="21"/>
        </w:rPr>
        <w:t>合同履约期限：</w:t>
      </w:r>
      <w:r>
        <w:rPr>
          <w:rFonts w:hint="eastAsia" w:ascii="宋体" w:hAnsi="宋体"/>
          <w:kern w:val="0"/>
          <w:szCs w:val="21"/>
        </w:rPr>
        <w:t>自合同签订之日起30天内全部货物交货验收并安装调试完毕</w:t>
      </w:r>
      <w:r>
        <w:rPr>
          <w:rFonts w:hint="eastAsia" w:ascii="宋体" w:hAnsi="宋体"/>
          <w:szCs w:val="21"/>
        </w:rPr>
        <w:t>。</w:t>
      </w:r>
    </w:p>
    <w:p w14:paraId="466EA471">
      <w:pPr>
        <w:spacing w:line="360" w:lineRule="auto"/>
        <w:ind w:firstLine="420" w:firstLineChars="200"/>
        <w:rPr>
          <w:rFonts w:hint="eastAsia" w:ascii="宋体" w:hAnsi="宋体"/>
          <w:szCs w:val="21"/>
        </w:rPr>
      </w:pPr>
      <w:r>
        <w:rPr>
          <w:rFonts w:hint="eastAsia" w:ascii="宋体" w:hAnsi="宋体"/>
          <w:szCs w:val="21"/>
        </w:rPr>
        <w:t>本标项（否）接受联合体投标。</w:t>
      </w:r>
    </w:p>
    <w:p w14:paraId="53BDAAA0">
      <w:pPr>
        <w:spacing w:line="360" w:lineRule="auto"/>
        <w:ind w:firstLine="420" w:firstLineChars="200"/>
        <w:rPr>
          <w:rFonts w:hint="eastAsia" w:ascii="宋体" w:hAnsi="宋体"/>
          <w:szCs w:val="21"/>
        </w:rPr>
      </w:pPr>
      <w:r>
        <w:rPr>
          <w:rFonts w:hint="eastAsia" w:ascii="宋体" w:hAnsi="宋体"/>
          <w:szCs w:val="21"/>
        </w:rPr>
        <w:t>备注：无</w:t>
      </w:r>
    </w:p>
    <w:p w14:paraId="350A9BBD">
      <w:pPr>
        <w:spacing w:line="360" w:lineRule="auto"/>
        <w:ind w:firstLine="420" w:firstLineChars="200"/>
        <w:rPr>
          <w:rFonts w:hint="eastAsia" w:ascii="宋体" w:hAnsi="宋体"/>
          <w:szCs w:val="21"/>
        </w:rPr>
      </w:pPr>
    </w:p>
    <w:p w14:paraId="5B0FBFD2">
      <w:pPr>
        <w:spacing w:line="360" w:lineRule="auto"/>
        <w:ind w:firstLine="420" w:firstLineChars="200"/>
        <w:rPr>
          <w:rFonts w:hint="eastAsia" w:ascii="宋体" w:hAnsi="宋体"/>
          <w:szCs w:val="21"/>
        </w:rPr>
      </w:pPr>
      <w:r>
        <w:rPr>
          <w:rFonts w:hint="eastAsia" w:ascii="宋体" w:hAnsi="宋体"/>
          <w:szCs w:val="21"/>
        </w:rPr>
        <w:t>标项二</w:t>
      </w:r>
    </w:p>
    <w:p w14:paraId="5F1BABDC">
      <w:pPr>
        <w:spacing w:line="360" w:lineRule="auto"/>
        <w:ind w:firstLine="420" w:firstLineChars="200"/>
        <w:rPr>
          <w:rFonts w:hint="eastAsia" w:ascii="宋体" w:hAnsi="宋体"/>
          <w:szCs w:val="21"/>
        </w:rPr>
      </w:pPr>
      <w:r>
        <w:rPr>
          <w:rFonts w:hint="eastAsia" w:ascii="宋体" w:hAnsi="宋体"/>
          <w:szCs w:val="21"/>
        </w:rPr>
        <w:t>标项名称：漓江画派研究中心设备项目（综合设备）</w:t>
      </w:r>
    </w:p>
    <w:p w14:paraId="25726543">
      <w:pPr>
        <w:spacing w:line="360" w:lineRule="auto"/>
        <w:ind w:firstLine="420" w:firstLineChars="200"/>
        <w:rPr>
          <w:rFonts w:hint="eastAsia" w:ascii="宋体" w:hAnsi="宋体"/>
          <w:szCs w:val="21"/>
        </w:rPr>
      </w:pPr>
      <w:r>
        <w:rPr>
          <w:rFonts w:hint="eastAsia" w:ascii="宋体" w:hAnsi="宋体"/>
          <w:szCs w:val="21"/>
        </w:rPr>
        <w:t>数量：1批</w:t>
      </w:r>
    </w:p>
    <w:p w14:paraId="7CAE7B8C">
      <w:pPr>
        <w:spacing w:line="360" w:lineRule="auto"/>
        <w:ind w:firstLine="420" w:firstLineChars="200"/>
        <w:rPr>
          <w:rFonts w:hint="eastAsia" w:ascii="宋体" w:hAnsi="宋体"/>
          <w:szCs w:val="21"/>
        </w:rPr>
      </w:pPr>
      <w:r>
        <w:rPr>
          <w:rFonts w:hint="eastAsia" w:ascii="宋体" w:hAnsi="宋体"/>
          <w:szCs w:val="21"/>
        </w:rPr>
        <w:t>预算金额（元）：1034325</w:t>
      </w:r>
    </w:p>
    <w:p w14:paraId="5230B157">
      <w:pPr>
        <w:spacing w:line="360" w:lineRule="auto"/>
        <w:ind w:firstLine="420" w:firstLineChars="200"/>
        <w:rPr>
          <w:rFonts w:hint="eastAsia" w:ascii="宋体" w:hAnsi="宋体"/>
          <w:szCs w:val="21"/>
        </w:rPr>
      </w:pPr>
      <w:r>
        <w:rPr>
          <w:rFonts w:hint="eastAsia" w:ascii="宋体" w:hAnsi="宋体"/>
          <w:szCs w:val="21"/>
        </w:rPr>
        <w:t>简要规格描述或项目基本概况介绍、用途：漓江画派研究中心设备</w:t>
      </w:r>
      <w:r>
        <w:rPr>
          <w:rFonts w:hint="eastAsia" w:ascii="宋体" w:hAnsi="宋体"/>
          <w:szCs w:val="21"/>
          <w:lang w:val="en-US" w:eastAsia="zh-CN"/>
        </w:rPr>
        <w:t>1批</w:t>
      </w:r>
      <w:r>
        <w:rPr>
          <w:rFonts w:hint="eastAsia" w:ascii="宋体" w:hAnsi="宋体"/>
          <w:szCs w:val="21"/>
        </w:rPr>
        <w:t>，具体内容和数量以招标文件第二章采购需求为准。</w:t>
      </w:r>
    </w:p>
    <w:p w14:paraId="76003337">
      <w:pPr>
        <w:spacing w:line="360" w:lineRule="auto"/>
        <w:ind w:firstLine="420" w:firstLineChars="200"/>
        <w:rPr>
          <w:rFonts w:hint="eastAsia" w:ascii="宋体" w:hAnsi="宋体"/>
          <w:szCs w:val="21"/>
        </w:rPr>
      </w:pPr>
      <w:r>
        <w:rPr>
          <w:rFonts w:hint="eastAsia" w:ascii="宋体" w:hAnsi="宋体"/>
          <w:szCs w:val="21"/>
        </w:rPr>
        <w:t>最高限价（如有）：1034325</w:t>
      </w:r>
    </w:p>
    <w:p w14:paraId="5E5B4B61">
      <w:pPr>
        <w:spacing w:line="360" w:lineRule="auto"/>
        <w:ind w:firstLine="420" w:firstLineChars="200"/>
        <w:rPr>
          <w:rFonts w:hint="eastAsia" w:ascii="宋体" w:hAnsi="宋体"/>
          <w:szCs w:val="21"/>
        </w:rPr>
      </w:pPr>
      <w:r>
        <w:rPr>
          <w:rFonts w:hint="eastAsia" w:ascii="宋体" w:hAnsi="宋体"/>
          <w:szCs w:val="21"/>
        </w:rPr>
        <w:t>合同履约期限：</w:t>
      </w:r>
      <w:r>
        <w:rPr>
          <w:rFonts w:hint="eastAsia" w:ascii="宋体" w:hAnsi="宋体"/>
          <w:kern w:val="0"/>
          <w:szCs w:val="21"/>
        </w:rPr>
        <w:t>自合同签订之日起30天内全部货物交货验收并安装调试完毕</w:t>
      </w:r>
      <w:r>
        <w:rPr>
          <w:rFonts w:hint="eastAsia" w:ascii="宋体" w:hAnsi="宋体"/>
          <w:szCs w:val="21"/>
        </w:rPr>
        <w:t>。</w:t>
      </w:r>
    </w:p>
    <w:p w14:paraId="2B1F3320">
      <w:pPr>
        <w:spacing w:line="360" w:lineRule="auto"/>
        <w:ind w:firstLine="420" w:firstLineChars="200"/>
        <w:rPr>
          <w:rFonts w:hint="eastAsia" w:ascii="宋体" w:hAnsi="宋体"/>
          <w:szCs w:val="21"/>
        </w:rPr>
      </w:pPr>
      <w:r>
        <w:rPr>
          <w:rFonts w:hint="eastAsia" w:ascii="宋体" w:hAnsi="宋体"/>
          <w:szCs w:val="21"/>
        </w:rPr>
        <w:t>本标项（否）接受联合体投标。</w:t>
      </w:r>
    </w:p>
    <w:p w14:paraId="48956232">
      <w:pPr>
        <w:spacing w:line="360" w:lineRule="auto"/>
        <w:ind w:firstLine="420" w:firstLineChars="200"/>
        <w:rPr>
          <w:rFonts w:hint="eastAsia" w:ascii="宋体" w:hAnsi="宋体"/>
          <w:szCs w:val="21"/>
        </w:rPr>
      </w:pPr>
      <w:r>
        <w:rPr>
          <w:rFonts w:hint="eastAsia" w:ascii="宋体" w:hAnsi="宋体"/>
          <w:szCs w:val="21"/>
        </w:rPr>
        <w:t>备注：无</w:t>
      </w:r>
    </w:p>
    <w:p w14:paraId="38BBFF46">
      <w:pPr>
        <w:pStyle w:val="2"/>
        <w:ind w:left="1470" w:right="1470"/>
        <w:rPr>
          <w:rFonts w:hint="eastAsia" w:ascii="宋体" w:hAnsi="宋体"/>
          <w:szCs w:val="21"/>
        </w:rPr>
      </w:pPr>
    </w:p>
    <w:p w14:paraId="3EE9BDEF">
      <w:pPr>
        <w:spacing w:line="360" w:lineRule="auto"/>
        <w:ind w:firstLine="420" w:firstLineChars="200"/>
        <w:rPr>
          <w:rFonts w:hint="eastAsia" w:ascii="宋体" w:hAnsi="宋体"/>
          <w:szCs w:val="21"/>
        </w:rPr>
      </w:pPr>
      <w:r>
        <w:rPr>
          <w:rFonts w:hint="eastAsia" w:ascii="宋体" w:hAnsi="宋体"/>
          <w:szCs w:val="21"/>
        </w:rPr>
        <w:t>标项三</w:t>
      </w:r>
    </w:p>
    <w:p w14:paraId="67D0CFF6">
      <w:pPr>
        <w:spacing w:line="360" w:lineRule="auto"/>
        <w:ind w:firstLine="420" w:firstLineChars="200"/>
        <w:rPr>
          <w:rFonts w:hint="eastAsia" w:ascii="宋体" w:hAnsi="宋体"/>
          <w:szCs w:val="21"/>
        </w:rPr>
      </w:pPr>
      <w:r>
        <w:rPr>
          <w:rFonts w:hint="eastAsia" w:ascii="宋体" w:hAnsi="宋体"/>
          <w:szCs w:val="21"/>
        </w:rPr>
        <w:t>标项名称：新闻实践中心设备项目</w:t>
      </w:r>
    </w:p>
    <w:p w14:paraId="4AD49C64">
      <w:pPr>
        <w:spacing w:line="360" w:lineRule="auto"/>
        <w:ind w:firstLine="420" w:firstLineChars="200"/>
        <w:rPr>
          <w:rFonts w:hint="eastAsia" w:ascii="宋体" w:hAnsi="宋体"/>
          <w:szCs w:val="21"/>
        </w:rPr>
      </w:pPr>
      <w:r>
        <w:rPr>
          <w:rFonts w:hint="eastAsia" w:ascii="宋体" w:hAnsi="宋体"/>
          <w:szCs w:val="21"/>
        </w:rPr>
        <w:t>数量：1批</w:t>
      </w:r>
    </w:p>
    <w:p w14:paraId="2597DDDC">
      <w:pPr>
        <w:spacing w:line="360" w:lineRule="auto"/>
        <w:ind w:firstLine="420" w:firstLineChars="200"/>
        <w:rPr>
          <w:rFonts w:hint="eastAsia" w:ascii="宋体" w:hAnsi="宋体"/>
          <w:szCs w:val="21"/>
        </w:rPr>
      </w:pPr>
      <w:r>
        <w:rPr>
          <w:rFonts w:hint="eastAsia" w:ascii="宋体" w:hAnsi="宋体"/>
          <w:szCs w:val="21"/>
        </w:rPr>
        <w:t>预算金额（元）：1139136</w:t>
      </w:r>
    </w:p>
    <w:p w14:paraId="0C1B9F1A">
      <w:pPr>
        <w:spacing w:line="360" w:lineRule="auto"/>
        <w:ind w:firstLine="420" w:firstLineChars="200"/>
        <w:rPr>
          <w:rFonts w:hint="eastAsia" w:ascii="宋体" w:hAnsi="宋体"/>
          <w:szCs w:val="21"/>
        </w:rPr>
      </w:pPr>
      <w:r>
        <w:rPr>
          <w:rFonts w:hint="eastAsia" w:ascii="宋体" w:hAnsi="宋体"/>
          <w:szCs w:val="21"/>
        </w:rPr>
        <w:t>简要规格描述或项目基本概况介绍、用途：新闻实践中心设备项目1项，具体内容和数量以招标文件第二章采购需求为准。</w:t>
      </w:r>
    </w:p>
    <w:p w14:paraId="48364A63">
      <w:pPr>
        <w:spacing w:line="360" w:lineRule="auto"/>
        <w:ind w:firstLine="420" w:firstLineChars="200"/>
        <w:rPr>
          <w:rFonts w:hint="eastAsia" w:ascii="宋体" w:hAnsi="宋体"/>
          <w:szCs w:val="21"/>
        </w:rPr>
      </w:pPr>
      <w:r>
        <w:rPr>
          <w:rFonts w:hint="eastAsia" w:ascii="宋体" w:hAnsi="宋体"/>
          <w:szCs w:val="21"/>
        </w:rPr>
        <w:t>最高限价（如有）：1139136</w:t>
      </w:r>
    </w:p>
    <w:p w14:paraId="6D26B954">
      <w:pPr>
        <w:spacing w:line="360" w:lineRule="auto"/>
        <w:ind w:firstLine="420" w:firstLineChars="200"/>
        <w:rPr>
          <w:rFonts w:hint="eastAsia" w:ascii="宋体" w:hAnsi="宋体"/>
          <w:szCs w:val="21"/>
        </w:rPr>
      </w:pPr>
      <w:r>
        <w:rPr>
          <w:rFonts w:hint="eastAsia" w:ascii="宋体" w:hAnsi="宋体"/>
          <w:szCs w:val="21"/>
        </w:rPr>
        <w:t>合同履约期限：自合同签订之日起30天内全部货物交货验收并安装调试完毕。</w:t>
      </w:r>
    </w:p>
    <w:p w14:paraId="54987BB4">
      <w:pPr>
        <w:spacing w:line="360" w:lineRule="auto"/>
        <w:ind w:firstLine="420" w:firstLineChars="200"/>
        <w:rPr>
          <w:rFonts w:hint="eastAsia" w:ascii="宋体" w:hAnsi="宋体"/>
          <w:szCs w:val="21"/>
        </w:rPr>
      </w:pPr>
      <w:r>
        <w:rPr>
          <w:rFonts w:hint="eastAsia" w:ascii="宋体" w:hAnsi="宋体"/>
          <w:szCs w:val="21"/>
        </w:rPr>
        <w:t>本标项（否）接受联合体投标。</w:t>
      </w:r>
    </w:p>
    <w:p w14:paraId="480ED65A">
      <w:pPr>
        <w:spacing w:line="360" w:lineRule="auto"/>
        <w:ind w:firstLine="420" w:firstLineChars="200"/>
        <w:rPr>
          <w:rFonts w:hint="eastAsia" w:ascii="宋体" w:hAnsi="宋体"/>
          <w:szCs w:val="21"/>
        </w:rPr>
      </w:pPr>
      <w:r>
        <w:rPr>
          <w:rFonts w:hint="eastAsia" w:ascii="宋体" w:hAnsi="宋体"/>
          <w:szCs w:val="21"/>
        </w:rPr>
        <w:t>备注：无</w:t>
      </w:r>
    </w:p>
    <w:p w14:paraId="320DEEEE">
      <w:pPr>
        <w:spacing w:line="360" w:lineRule="auto"/>
        <w:rPr>
          <w:rFonts w:hint="eastAsia" w:ascii="黑体" w:hAnsi="黑体" w:eastAsia="黑体"/>
          <w:b/>
          <w:bCs/>
          <w:sz w:val="24"/>
        </w:rPr>
      </w:pPr>
      <w:r>
        <w:rPr>
          <w:rFonts w:hint="eastAsia" w:ascii="黑体" w:hAnsi="黑体" w:eastAsia="黑体"/>
          <w:b/>
          <w:bCs/>
          <w:sz w:val="24"/>
        </w:rPr>
        <w:t>二、申请人的资格要求：</w:t>
      </w:r>
    </w:p>
    <w:p w14:paraId="6169A8A7">
      <w:pPr>
        <w:spacing w:line="360" w:lineRule="auto"/>
        <w:ind w:firstLine="420" w:firstLineChars="200"/>
        <w:rPr>
          <w:rFonts w:hint="eastAsia" w:ascii="宋体" w:hAnsi="宋体"/>
          <w:szCs w:val="21"/>
        </w:rPr>
      </w:pPr>
      <w:r>
        <w:rPr>
          <w:rFonts w:hint="eastAsia" w:ascii="宋体" w:hAnsi="宋体"/>
          <w:szCs w:val="21"/>
        </w:rPr>
        <w:t>1.满足《中华人民共和国政府采购法》第二十二条规定；</w:t>
      </w:r>
    </w:p>
    <w:p w14:paraId="3AADF2BA">
      <w:pPr>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.落实政府采购政策需满足的资格要求：无</w:t>
      </w:r>
    </w:p>
    <w:p w14:paraId="69A0E187">
      <w:pPr>
        <w:spacing w:line="360" w:lineRule="auto"/>
        <w:ind w:firstLine="420" w:firstLineChars="200"/>
        <w:rPr>
          <w:rFonts w:hint="eastAsia" w:ascii="宋体" w:hAnsi="宋体"/>
          <w:b/>
          <w:bCs/>
          <w:szCs w:val="21"/>
        </w:rPr>
      </w:pPr>
      <w:r>
        <w:rPr>
          <w:rFonts w:hint="eastAsia" w:ascii="宋体" w:hAnsi="宋体"/>
          <w:szCs w:val="21"/>
        </w:rPr>
        <w:t>3.本项目的特定资格要求：无</w:t>
      </w:r>
      <w:r>
        <w:rPr>
          <w:rFonts w:hint="eastAsia" w:ascii="宋体" w:hAnsi="宋体"/>
          <w:b w:val="0"/>
          <w:bCs w:val="0"/>
          <w:szCs w:val="21"/>
        </w:rPr>
        <w:t>；</w:t>
      </w:r>
    </w:p>
    <w:bookmarkEnd w:id="16"/>
    <w:p w14:paraId="1DCD568A">
      <w:pPr>
        <w:spacing w:line="360" w:lineRule="auto"/>
        <w:rPr>
          <w:rFonts w:hint="eastAsia" w:ascii="黑体" w:hAnsi="黑体" w:eastAsia="黑体"/>
          <w:b/>
          <w:bCs/>
          <w:sz w:val="24"/>
        </w:rPr>
      </w:pPr>
      <w:bookmarkStart w:id="19" w:name="_Toc35393792"/>
      <w:bookmarkStart w:id="20" w:name="_Toc35393623"/>
      <w:r>
        <w:rPr>
          <w:rFonts w:hint="eastAsia" w:ascii="黑体" w:hAnsi="黑体" w:eastAsia="黑体"/>
          <w:b/>
          <w:bCs/>
          <w:sz w:val="24"/>
        </w:rPr>
        <w:t>三、获取招标文件</w:t>
      </w:r>
      <w:bookmarkEnd w:id="17"/>
      <w:bookmarkEnd w:id="18"/>
      <w:bookmarkEnd w:id="19"/>
      <w:bookmarkEnd w:id="20"/>
    </w:p>
    <w:p w14:paraId="2A618790">
      <w:pPr>
        <w:spacing w:line="360" w:lineRule="auto"/>
        <w:ind w:firstLine="540"/>
        <w:rPr>
          <w:rFonts w:hint="eastAsia" w:ascii="宋体" w:hAnsi="宋体" w:cs="宋体"/>
          <w:bCs/>
          <w:kern w:val="0"/>
          <w:szCs w:val="21"/>
        </w:rPr>
      </w:pPr>
      <w:r>
        <w:rPr>
          <w:rFonts w:hint="eastAsia" w:ascii="宋体" w:hAnsi="宋体" w:cs="宋体"/>
          <w:bCs/>
          <w:kern w:val="0"/>
          <w:szCs w:val="21"/>
        </w:rPr>
        <w:t>时间：</w:t>
      </w:r>
      <w:r>
        <w:rPr>
          <w:rFonts w:hint="eastAsia" w:ascii="宋体" w:hAnsi="宋体" w:cs="宋体"/>
          <w:bCs/>
          <w:kern w:val="0"/>
          <w:szCs w:val="21"/>
          <w:u w:val="single"/>
        </w:rPr>
        <w:t>2025年</w:t>
      </w:r>
      <w:r>
        <w:rPr>
          <w:rFonts w:hint="eastAsia" w:ascii="宋体" w:hAnsi="宋体" w:cs="宋体"/>
          <w:bCs/>
          <w:kern w:val="0"/>
          <w:szCs w:val="21"/>
          <w:u w:val="single"/>
          <w:lang w:val="en-US" w:eastAsia="zh-CN"/>
        </w:rPr>
        <w:t>09</w:t>
      </w:r>
      <w:r>
        <w:rPr>
          <w:rFonts w:hint="eastAsia" w:ascii="宋体" w:hAnsi="宋体" w:cs="宋体"/>
          <w:bCs/>
          <w:kern w:val="0"/>
          <w:szCs w:val="21"/>
          <w:u w:val="single"/>
        </w:rPr>
        <w:t>月</w:t>
      </w:r>
      <w:r>
        <w:rPr>
          <w:rFonts w:hint="eastAsia" w:ascii="宋体" w:hAnsi="宋体" w:cs="宋体"/>
          <w:bCs/>
          <w:kern w:val="0"/>
          <w:szCs w:val="21"/>
          <w:u w:val="single"/>
          <w:lang w:val="en-US" w:eastAsia="zh-CN"/>
        </w:rPr>
        <w:t>22</w:t>
      </w:r>
      <w:r>
        <w:rPr>
          <w:rFonts w:hint="eastAsia" w:ascii="宋体" w:hAnsi="宋体" w:cs="宋体"/>
          <w:bCs/>
          <w:kern w:val="0"/>
          <w:szCs w:val="21"/>
          <w:u w:val="single"/>
        </w:rPr>
        <w:t>日</w:t>
      </w:r>
      <w:r>
        <w:rPr>
          <w:rFonts w:hint="eastAsia" w:ascii="宋体" w:hAnsi="宋体" w:cs="宋体"/>
          <w:bCs/>
          <w:kern w:val="0"/>
          <w:szCs w:val="21"/>
        </w:rPr>
        <w:t>至</w:t>
      </w:r>
      <w:r>
        <w:rPr>
          <w:rFonts w:hint="eastAsia" w:ascii="宋体" w:hAnsi="宋体" w:cs="宋体"/>
          <w:bCs/>
          <w:kern w:val="0"/>
          <w:szCs w:val="21"/>
          <w:u w:val="single"/>
        </w:rPr>
        <w:t>2025年</w:t>
      </w:r>
      <w:r>
        <w:rPr>
          <w:rFonts w:hint="eastAsia" w:ascii="宋体" w:hAnsi="宋体" w:cs="宋体"/>
          <w:bCs/>
          <w:kern w:val="0"/>
          <w:szCs w:val="21"/>
          <w:u w:val="single"/>
          <w:lang w:val="en-US" w:eastAsia="zh-CN"/>
        </w:rPr>
        <w:t>09</w:t>
      </w:r>
      <w:r>
        <w:rPr>
          <w:rFonts w:hint="eastAsia" w:ascii="宋体" w:hAnsi="宋体" w:cs="宋体"/>
          <w:bCs/>
          <w:kern w:val="0"/>
          <w:szCs w:val="21"/>
          <w:u w:val="single"/>
        </w:rPr>
        <w:t>月</w:t>
      </w:r>
      <w:r>
        <w:rPr>
          <w:rFonts w:hint="eastAsia" w:ascii="宋体" w:hAnsi="宋体" w:cs="宋体"/>
          <w:bCs/>
          <w:kern w:val="0"/>
          <w:szCs w:val="21"/>
          <w:u w:val="single"/>
          <w:lang w:val="en-US" w:eastAsia="zh-CN"/>
        </w:rPr>
        <w:t>28</w:t>
      </w:r>
      <w:r>
        <w:rPr>
          <w:rFonts w:hint="eastAsia" w:ascii="宋体" w:hAnsi="宋体" w:cs="宋体"/>
          <w:bCs/>
          <w:kern w:val="0"/>
          <w:szCs w:val="21"/>
          <w:u w:val="single"/>
        </w:rPr>
        <w:t>日，</w:t>
      </w:r>
      <w:r>
        <w:rPr>
          <w:rFonts w:hint="eastAsia" w:ascii="宋体" w:hAnsi="宋体" w:cs="宋体"/>
          <w:bCs/>
          <w:kern w:val="0"/>
          <w:szCs w:val="21"/>
        </w:rPr>
        <w:t>每天上午</w:t>
      </w:r>
      <w:r>
        <w:rPr>
          <w:rFonts w:hint="eastAsia" w:ascii="宋体" w:hAnsi="宋体" w:cs="宋体"/>
          <w:bCs/>
          <w:kern w:val="0"/>
          <w:szCs w:val="21"/>
          <w:u w:val="single"/>
        </w:rPr>
        <w:t>0:00至12:00</w:t>
      </w:r>
      <w:r>
        <w:rPr>
          <w:rFonts w:hint="eastAsia" w:ascii="宋体" w:hAnsi="宋体" w:cs="宋体"/>
          <w:bCs/>
          <w:kern w:val="0"/>
          <w:szCs w:val="21"/>
        </w:rPr>
        <w:t>，</w:t>
      </w:r>
      <w:r>
        <w:rPr>
          <w:rFonts w:hint="eastAsia" w:ascii="宋体" w:hAnsi="宋体" w:cs="宋体"/>
          <w:bCs/>
          <w:kern w:val="0"/>
          <w:szCs w:val="21"/>
          <w:u w:val="single"/>
        </w:rPr>
        <w:t>下午12:00至23:59</w:t>
      </w:r>
      <w:r>
        <w:rPr>
          <w:rFonts w:hint="eastAsia" w:ascii="宋体" w:hAnsi="宋体" w:cs="宋体"/>
          <w:bCs/>
          <w:kern w:val="0"/>
          <w:szCs w:val="21"/>
        </w:rPr>
        <w:t>（北京时间，法定节假日除外）</w:t>
      </w:r>
    </w:p>
    <w:p w14:paraId="0DE71393">
      <w:pPr>
        <w:spacing w:line="360" w:lineRule="auto"/>
        <w:ind w:firstLine="540"/>
        <w:rPr>
          <w:rFonts w:hint="eastAsia" w:ascii="宋体" w:hAnsi="宋体" w:cs="宋体"/>
          <w:bCs/>
          <w:kern w:val="0"/>
          <w:szCs w:val="21"/>
        </w:rPr>
      </w:pPr>
      <w:r>
        <w:rPr>
          <w:rFonts w:hint="eastAsia" w:ascii="宋体" w:hAnsi="宋体" w:cs="宋体"/>
          <w:bCs/>
          <w:kern w:val="0"/>
          <w:szCs w:val="21"/>
        </w:rPr>
        <w:t>地点：</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p>
    <w:p w14:paraId="68BAD4FA">
      <w:pPr>
        <w:spacing w:line="360" w:lineRule="auto"/>
        <w:ind w:firstLine="540"/>
        <w:rPr>
          <w:rFonts w:hint="eastAsia" w:ascii="宋体" w:hAnsi="宋体" w:cs="宋体"/>
          <w:bCs/>
          <w:kern w:val="0"/>
          <w:szCs w:val="21"/>
        </w:rPr>
      </w:pPr>
      <w:r>
        <w:rPr>
          <w:rFonts w:hint="eastAsia" w:ascii="宋体" w:hAnsi="宋体" w:cs="宋体"/>
          <w:bCs/>
          <w:kern w:val="0"/>
          <w:szCs w:val="21"/>
        </w:rPr>
        <w:t>方式：网上下载。本项目不提供纸质文件，潜在供应商需在</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r>
        <w:rPr>
          <w:rFonts w:hint="eastAsia" w:ascii="宋体" w:hAnsi="宋体" w:cs="宋体"/>
          <w:bCs/>
          <w:kern w:val="0"/>
          <w:szCs w:val="21"/>
        </w:rPr>
        <w:t>-进入“项目采购”应用，在获取采购文件菜单中选择项目，获取招标文件。</w:t>
      </w:r>
      <w:r>
        <w:rPr>
          <w:rFonts w:hint="eastAsia" w:ascii="宋体" w:hAnsi="宋体"/>
          <w:szCs w:val="21"/>
        </w:rPr>
        <w:t>电子投标文件制作需要基于广西政府采购云平台获取的招标文件编制，</w:t>
      </w:r>
      <w:r>
        <w:rPr>
          <w:rFonts w:hint="eastAsia" w:ascii="宋体" w:hAnsi="宋体" w:cs="宋体"/>
          <w:bCs/>
          <w:kern w:val="0"/>
          <w:szCs w:val="21"/>
        </w:rPr>
        <w:t>通过其他方式获取招标文件的，将有可能导致供应商无法在</w:t>
      </w:r>
      <w:r>
        <w:rPr>
          <w:rFonts w:hint="eastAsia" w:ascii="宋体" w:hAnsi="宋体"/>
          <w:szCs w:val="21"/>
        </w:rPr>
        <w:t>广西政府采购云平台</w:t>
      </w:r>
      <w:r>
        <w:rPr>
          <w:rFonts w:hint="eastAsia" w:ascii="宋体" w:hAnsi="宋体" w:cs="宋体"/>
          <w:bCs/>
          <w:kern w:val="0"/>
          <w:szCs w:val="21"/>
        </w:rPr>
        <w:t>编制及上传投标文件。</w:t>
      </w:r>
    </w:p>
    <w:p w14:paraId="5F43657B">
      <w:pPr>
        <w:spacing w:line="360" w:lineRule="auto"/>
        <w:ind w:firstLine="540"/>
        <w:rPr>
          <w:rFonts w:hint="eastAsia" w:ascii="宋体" w:hAnsi="宋体" w:cs="宋体"/>
          <w:szCs w:val="21"/>
        </w:rPr>
      </w:pPr>
      <w:r>
        <w:rPr>
          <w:rFonts w:hint="eastAsia" w:ascii="宋体" w:hAnsi="宋体" w:cs="宋体"/>
          <w:bCs/>
          <w:kern w:val="0"/>
          <w:szCs w:val="21"/>
        </w:rPr>
        <w:t>售价：</w:t>
      </w:r>
      <w:r>
        <w:rPr>
          <w:rFonts w:hint="eastAsia" w:ascii="宋体" w:hAnsi="宋体" w:cs="宋体"/>
          <w:iCs/>
          <w:szCs w:val="21"/>
          <w:u w:val="single"/>
        </w:rPr>
        <w:t>0</w:t>
      </w:r>
      <w:r>
        <w:rPr>
          <w:rFonts w:hint="eastAsia" w:ascii="宋体" w:hAnsi="宋体" w:cs="宋体"/>
          <w:szCs w:val="21"/>
        </w:rPr>
        <w:t>元</w:t>
      </w:r>
    </w:p>
    <w:p w14:paraId="707C0343">
      <w:pPr>
        <w:spacing w:line="360" w:lineRule="auto"/>
        <w:rPr>
          <w:rFonts w:hint="eastAsia" w:ascii="黑体" w:hAnsi="黑体" w:eastAsia="黑体"/>
          <w:b/>
          <w:bCs/>
          <w:sz w:val="24"/>
        </w:rPr>
      </w:pPr>
      <w:bookmarkStart w:id="21" w:name="_Toc28359005"/>
      <w:bookmarkStart w:id="22" w:name="_Toc28359082"/>
      <w:bookmarkStart w:id="23" w:name="_Toc35393624"/>
      <w:bookmarkStart w:id="24" w:name="_Toc35393793"/>
      <w:r>
        <w:rPr>
          <w:rFonts w:hint="eastAsia" w:ascii="黑体" w:hAnsi="黑体" w:eastAsia="黑体"/>
          <w:b/>
          <w:bCs/>
          <w:sz w:val="24"/>
        </w:rPr>
        <w:t>四、提交投标文件</w:t>
      </w:r>
      <w:bookmarkEnd w:id="21"/>
      <w:bookmarkEnd w:id="22"/>
      <w:r>
        <w:rPr>
          <w:rFonts w:hint="eastAsia" w:ascii="黑体" w:hAnsi="黑体" w:eastAsia="黑体"/>
          <w:b/>
          <w:bCs/>
          <w:sz w:val="24"/>
        </w:rPr>
        <w:t>截止时间、开标时间和地点</w:t>
      </w:r>
      <w:bookmarkEnd w:id="23"/>
      <w:bookmarkEnd w:id="24"/>
    </w:p>
    <w:p w14:paraId="5E9C65E0">
      <w:pPr>
        <w:spacing w:line="360" w:lineRule="auto"/>
        <w:ind w:firstLine="420" w:firstLineChars="200"/>
        <w:rPr>
          <w:rFonts w:hint="eastAsia" w:ascii="宋体" w:hAnsi="宋体"/>
          <w:bCs/>
          <w:szCs w:val="21"/>
        </w:rPr>
      </w:pPr>
      <w:bookmarkStart w:id="25" w:name="_Toc35393625"/>
      <w:bookmarkStart w:id="26" w:name="_Toc28359007"/>
      <w:bookmarkStart w:id="27" w:name="_Toc28359084"/>
      <w:bookmarkStart w:id="28" w:name="_Toc35393794"/>
      <w:r>
        <w:rPr>
          <w:rFonts w:hint="eastAsia" w:ascii="宋体" w:hAnsi="宋体"/>
          <w:bCs/>
          <w:szCs w:val="21"/>
        </w:rPr>
        <w:t>提交投标文件截止时间：</w:t>
      </w:r>
      <w:r>
        <w:rPr>
          <w:rFonts w:hint="eastAsia" w:ascii="宋体" w:hAnsi="宋体"/>
          <w:bCs/>
          <w:szCs w:val="21"/>
          <w:u w:val="single"/>
        </w:rPr>
        <w:t>2025年</w:t>
      </w:r>
      <w:r>
        <w:rPr>
          <w:rFonts w:hint="eastAsia" w:ascii="宋体" w:hAnsi="宋体"/>
          <w:bCs/>
          <w:szCs w:val="21"/>
          <w:u w:val="single"/>
          <w:lang w:val="en-US" w:eastAsia="zh-CN"/>
        </w:rPr>
        <w:t>10月14日</w:t>
      </w:r>
      <w:r>
        <w:rPr>
          <w:rFonts w:hint="eastAsia" w:ascii="宋体" w:hAnsi="宋体"/>
          <w:bCs/>
          <w:szCs w:val="21"/>
          <w:u w:val="single"/>
        </w:rPr>
        <w:t>9时30分</w:t>
      </w:r>
      <w:r>
        <w:rPr>
          <w:rFonts w:hint="eastAsia" w:ascii="宋体" w:hAnsi="宋体"/>
          <w:bCs/>
          <w:szCs w:val="21"/>
        </w:rPr>
        <w:t>（北京时间）</w:t>
      </w:r>
    </w:p>
    <w:p w14:paraId="5E19CFC3">
      <w:pPr>
        <w:spacing w:line="360" w:lineRule="auto"/>
        <w:ind w:firstLine="420" w:firstLineChars="200"/>
        <w:rPr>
          <w:rFonts w:hint="eastAsia" w:ascii="宋体" w:hAnsi="宋体"/>
          <w:bCs/>
          <w:szCs w:val="21"/>
        </w:rPr>
      </w:pPr>
      <w:r>
        <w:rPr>
          <w:rFonts w:hint="eastAsia" w:ascii="宋体" w:hAnsi="宋体"/>
          <w:bCs/>
          <w:szCs w:val="21"/>
        </w:rPr>
        <w:t>投标地点（网址）：</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p>
    <w:p w14:paraId="32B7D4A6">
      <w:pPr>
        <w:spacing w:line="360" w:lineRule="auto"/>
        <w:ind w:firstLine="420" w:firstLineChars="200"/>
        <w:rPr>
          <w:rFonts w:hint="eastAsia" w:ascii="宋体" w:hAnsi="宋体"/>
          <w:bCs/>
          <w:szCs w:val="21"/>
        </w:rPr>
      </w:pPr>
      <w:r>
        <w:rPr>
          <w:rFonts w:hint="eastAsia" w:ascii="宋体" w:hAnsi="宋体"/>
          <w:bCs/>
          <w:szCs w:val="21"/>
        </w:rPr>
        <w:t>开标时间：</w:t>
      </w:r>
      <w:r>
        <w:rPr>
          <w:rFonts w:hint="eastAsia" w:ascii="宋体" w:hAnsi="宋体"/>
          <w:bCs/>
          <w:szCs w:val="21"/>
          <w:u w:val="single"/>
        </w:rPr>
        <w:t>2025年</w:t>
      </w:r>
      <w:r>
        <w:rPr>
          <w:rFonts w:hint="eastAsia" w:ascii="宋体" w:hAnsi="宋体"/>
          <w:bCs/>
          <w:szCs w:val="21"/>
          <w:u w:val="single"/>
          <w:lang w:val="en-US" w:eastAsia="zh-CN"/>
        </w:rPr>
        <w:t>10月14日</w:t>
      </w:r>
      <w:r>
        <w:rPr>
          <w:rFonts w:hint="eastAsia" w:ascii="宋体" w:hAnsi="宋体"/>
          <w:bCs/>
          <w:szCs w:val="21"/>
          <w:u w:val="single"/>
        </w:rPr>
        <w:t>9时30分</w:t>
      </w:r>
      <w:r>
        <w:rPr>
          <w:rFonts w:hint="eastAsia" w:ascii="宋体" w:hAnsi="宋体"/>
          <w:bCs/>
          <w:szCs w:val="21"/>
        </w:rPr>
        <w:t>（北京时间）</w:t>
      </w:r>
    </w:p>
    <w:p w14:paraId="41D45DED">
      <w:pPr>
        <w:spacing w:line="360" w:lineRule="auto"/>
        <w:ind w:firstLine="420" w:firstLineChars="200"/>
        <w:rPr>
          <w:rFonts w:hint="eastAsia" w:ascii="宋体" w:hAnsi="宋体"/>
          <w:bCs/>
          <w:szCs w:val="21"/>
        </w:rPr>
      </w:pPr>
      <w:r>
        <w:rPr>
          <w:rFonts w:hint="eastAsia" w:ascii="宋体" w:hAnsi="宋体"/>
          <w:bCs/>
          <w:szCs w:val="21"/>
        </w:rPr>
        <w:t>开标地点：</w:t>
      </w:r>
      <w:r>
        <w:rPr>
          <w:rFonts w:hint="eastAsia" w:ascii="宋体" w:hAnsi="宋体"/>
          <w:szCs w:val="21"/>
        </w:rPr>
        <w:t>广西政府采购云平台电子开标大厅</w:t>
      </w:r>
    </w:p>
    <w:p w14:paraId="54EFEFC5">
      <w:pPr>
        <w:spacing w:line="360" w:lineRule="auto"/>
        <w:rPr>
          <w:rFonts w:hint="eastAsia" w:ascii="黑体" w:hAnsi="黑体" w:eastAsia="黑体"/>
          <w:b/>
          <w:bCs/>
          <w:sz w:val="24"/>
        </w:rPr>
      </w:pPr>
      <w:r>
        <w:rPr>
          <w:rFonts w:hint="eastAsia" w:ascii="黑体" w:hAnsi="黑体" w:eastAsia="黑体"/>
          <w:b/>
          <w:bCs/>
          <w:sz w:val="24"/>
        </w:rPr>
        <w:t>五、公告期限</w:t>
      </w:r>
      <w:bookmarkEnd w:id="25"/>
      <w:bookmarkEnd w:id="26"/>
      <w:bookmarkEnd w:id="27"/>
      <w:bookmarkEnd w:id="28"/>
    </w:p>
    <w:p w14:paraId="2CF7B2B6">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41F1918B">
      <w:pPr>
        <w:spacing w:line="360" w:lineRule="auto"/>
        <w:rPr>
          <w:rFonts w:hint="eastAsia" w:ascii="黑体" w:hAnsi="黑体" w:eastAsia="黑体"/>
          <w:b/>
          <w:bCs/>
          <w:sz w:val="24"/>
        </w:rPr>
      </w:pPr>
      <w:bookmarkStart w:id="29" w:name="_Toc35393626"/>
      <w:bookmarkStart w:id="30" w:name="_Toc35393795"/>
      <w:r>
        <w:rPr>
          <w:rFonts w:hint="eastAsia" w:ascii="黑体" w:hAnsi="黑体" w:eastAsia="黑体"/>
          <w:b/>
          <w:bCs/>
          <w:sz w:val="24"/>
        </w:rPr>
        <w:t>六、其他补充事宜</w:t>
      </w:r>
      <w:bookmarkEnd w:id="29"/>
      <w:bookmarkEnd w:id="30"/>
    </w:p>
    <w:p w14:paraId="34518D04">
      <w:pPr>
        <w:spacing w:line="360" w:lineRule="auto"/>
        <w:ind w:firstLine="420" w:firstLineChars="200"/>
        <w:rPr>
          <w:rFonts w:hint="eastAsia" w:ascii="宋体" w:hAnsi="宋体" w:cs="宋体"/>
          <w:kern w:val="0"/>
          <w:szCs w:val="21"/>
        </w:rPr>
      </w:pPr>
      <w:bookmarkStart w:id="31" w:name="_Hlk37429585"/>
      <w:bookmarkStart w:id="32" w:name="_Hlk37429595"/>
      <w:r>
        <w:rPr>
          <w:rFonts w:hint="eastAsia" w:ascii="宋体" w:hAnsi="宋体" w:cs="宋体"/>
          <w:kern w:val="0"/>
          <w:szCs w:val="21"/>
        </w:rPr>
        <w:t>1.网上查询地址</w:t>
      </w:r>
    </w:p>
    <w:bookmarkEnd w:id="31"/>
    <w:p w14:paraId="0499FDEE">
      <w:pPr>
        <w:spacing w:line="360" w:lineRule="auto"/>
        <w:ind w:firstLine="420" w:firstLineChars="200"/>
        <w:rPr>
          <w:rFonts w:hint="eastAsia" w:ascii="宋体" w:hAnsi="宋体"/>
          <w:szCs w:val="21"/>
        </w:rPr>
      </w:pPr>
      <w:r>
        <w:rPr>
          <w:rFonts w:hint="eastAsia" w:ascii="宋体" w:hAnsi="宋体"/>
        </w:rPr>
        <w:t>中国政府采购网（</w:t>
      </w:r>
      <w:r>
        <w:rPr>
          <w:rFonts w:ascii="宋体" w:hAnsi="宋体"/>
          <w:szCs w:val="21"/>
        </w:rPr>
        <w:t>http：</w:t>
      </w:r>
      <w:r>
        <w:rPr>
          <w:rFonts w:hint="eastAsia" w:ascii="宋体" w:hAnsi="宋体"/>
          <w:szCs w:val="21"/>
        </w:rPr>
        <w:t>//</w:t>
      </w:r>
      <w:r>
        <w:fldChar w:fldCharType="begin"/>
      </w:r>
      <w:r>
        <w:instrText xml:space="preserve"> HYPERLINK "http://www.ccgp.gov.cn（中国政府采购网）、zfcg.gxzf.gov.cn（广西壮族自治区政府采购网）" </w:instrText>
      </w:r>
      <w:r>
        <w:fldChar w:fldCharType="separate"/>
      </w:r>
      <w:r>
        <w:rPr>
          <w:rFonts w:hint="eastAsia" w:ascii="宋体" w:hAnsi="宋体"/>
        </w:rPr>
        <w:t>www.ccgp.gov.cn）、广西壮族自治区政府采购网（</w:t>
      </w:r>
      <w:r>
        <w:rPr>
          <w:rFonts w:ascii="宋体" w:hAnsi="宋体"/>
          <w:szCs w:val="21"/>
        </w:rPr>
        <w:t>http：</w:t>
      </w:r>
      <w:r>
        <w:rPr>
          <w:rFonts w:hint="eastAsia" w:ascii="宋体" w:hAnsi="宋体"/>
          <w:szCs w:val="21"/>
        </w:rPr>
        <w:t>//</w:t>
      </w:r>
      <w:r>
        <w:rPr>
          <w:rFonts w:hint="eastAsia" w:ascii="宋体" w:hAnsi="宋体"/>
        </w:rPr>
        <w:t>zfcg.gxzf.gov.cn）</w:t>
      </w:r>
      <w:r>
        <w:rPr>
          <w:rFonts w:hint="eastAsia" w:ascii="宋体" w:hAnsi="宋体"/>
        </w:rPr>
        <w:fldChar w:fldCharType="end"/>
      </w:r>
      <w:r>
        <w:rPr>
          <w:rFonts w:hint="eastAsia" w:ascii="宋体" w:hAnsi="宋体"/>
          <w:szCs w:val="21"/>
        </w:rPr>
        <w:t>、广西壮族自治区公共资源交易中心（http://gxggzy.gxzf.gov.cn/index.shtml）</w:t>
      </w:r>
    </w:p>
    <w:bookmarkEnd w:id="32"/>
    <w:p w14:paraId="68C3F498">
      <w:pPr>
        <w:spacing w:line="360" w:lineRule="auto"/>
        <w:ind w:firstLine="424" w:firstLineChars="202"/>
        <w:rPr>
          <w:rFonts w:hint="eastAsia" w:ascii="宋体" w:hAnsi="宋体"/>
          <w:szCs w:val="21"/>
        </w:rPr>
      </w:pPr>
      <w:bookmarkStart w:id="33" w:name="_Hlk37429674"/>
      <w:r>
        <w:rPr>
          <w:rFonts w:hint="eastAsia" w:ascii="宋体" w:hAnsi="宋体"/>
          <w:szCs w:val="21"/>
        </w:rPr>
        <w:t>2.采购意向公开链接：http://www.ccgp-guangxi.gov.cn/site/detail?parentId=66485&amp;articleId=mql04Hp4IWlSR7mPJUO8+Q==</w:t>
      </w:r>
    </w:p>
    <w:p w14:paraId="45A517DF">
      <w:pPr>
        <w:spacing w:line="360" w:lineRule="auto"/>
        <w:ind w:firstLine="424" w:firstLineChars="202"/>
        <w:rPr>
          <w:rFonts w:hint="eastAsia" w:ascii="宋体" w:hAnsi="宋体" w:cs="宋体"/>
          <w:kern w:val="0"/>
          <w:szCs w:val="21"/>
        </w:rPr>
      </w:pPr>
      <w:r>
        <w:rPr>
          <w:rFonts w:hint="eastAsia" w:ascii="宋体" w:hAnsi="宋体"/>
          <w:szCs w:val="21"/>
        </w:rPr>
        <w:t>3</w:t>
      </w:r>
      <w:r>
        <w:rPr>
          <w:rFonts w:ascii="宋体" w:hAnsi="宋体"/>
          <w:szCs w:val="21"/>
        </w:rPr>
        <w:t>.</w:t>
      </w:r>
      <w:r>
        <w:rPr>
          <w:rFonts w:hint="eastAsia" w:ascii="宋体" w:hAnsi="宋体" w:cs="宋体"/>
          <w:kern w:val="0"/>
          <w:szCs w:val="21"/>
        </w:rPr>
        <w:t>本项目需要落实的政府采购政策</w:t>
      </w:r>
    </w:p>
    <w:p w14:paraId="0EE064F2">
      <w:pPr>
        <w:spacing w:line="360" w:lineRule="auto"/>
        <w:ind w:firstLine="424" w:firstLineChars="202"/>
        <w:rPr>
          <w:rFonts w:hint="eastAsia" w:ascii="宋体" w:hAnsi="宋体" w:cs="宋体"/>
          <w:kern w:val="0"/>
          <w:szCs w:val="21"/>
        </w:rPr>
      </w:pPr>
      <w:r>
        <w:rPr>
          <w:rFonts w:hint="eastAsia" w:ascii="宋体" w:hAnsi="宋体" w:cs="宋体"/>
          <w:kern w:val="0"/>
          <w:szCs w:val="21"/>
        </w:rPr>
        <w:t>（1）政府采购促进中小企业发展。</w:t>
      </w:r>
    </w:p>
    <w:p w14:paraId="7B4A4564">
      <w:pPr>
        <w:spacing w:line="360" w:lineRule="auto"/>
        <w:ind w:firstLine="424" w:firstLineChars="202"/>
        <w:rPr>
          <w:rFonts w:hint="eastAsia" w:ascii="宋体" w:hAnsi="宋体" w:cs="宋体"/>
          <w:kern w:val="0"/>
          <w:szCs w:val="21"/>
        </w:rPr>
      </w:pPr>
      <w:r>
        <w:rPr>
          <w:rFonts w:hint="eastAsia" w:ascii="宋体" w:hAnsi="宋体" w:cs="宋体"/>
          <w:kern w:val="0"/>
          <w:szCs w:val="21"/>
        </w:rPr>
        <w:t>（2）政府采购支持采用本国产品的政策。</w:t>
      </w:r>
    </w:p>
    <w:p w14:paraId="60161F11">
      <w:pPr>
        <w:spacing w:line="360" w:lineRule="auto"/>
        <w:ind w:firstLine="424" w:firstLineChars="202"/>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7EB786FB">
      <w:pPr>
        <w:spacing w:line="360" w:lineRule="auto"/>
        <w:ind w:firstLine="424" w:firstLineChars="202"/>
        <w:rPr>
          <w:rFonts w:hint="eastAsia" w:ascii="宋体" w:hAnsi="宋体" w:cs="宋体"/>
          <w:kern w:val="0"/>
          <w:szCs w:val="21"/>
        </w:rPr>
      </w:pPr>
      <w:r>
        <w:rPr>
          <w:rFonts w:hint="eastAsia" w:ascii="宋体" w:hAnsi="宋体" w:cs="宋体"/>
          <w:kern w:val="0"/>
          <w:szCs w:val="21"/>
        </w:rPr>
        <w:t>（4）政府采购促进残疾人就业政策。</w:t>
      </w:r>
    </w:p>
    <w:p w14:paraId="0A5E620D">
      <w:pPr>
        <w:spacing w:line="360" w:lineRule="auto"/>
        <w:ind w:firstLine="424" w:firstLineChars="202"/>
        <w:rPr>
          <w:rFonts w:hint="eastAsia" w:ascii="宋体" w:hAnsi="宋体" w:cs="宋体"/>
          <w:kern w:val="0"/>
          <w:szCs w:val="21"/>
        </w:rPr>
      </w:pPr>
      <w:r>
        <w:rPr>
          <w:rFonts w:hint="eastAsia" w:ascii="宋体" w:hAnsi="宋体" w:cs="宋体"/>
          <w:kern w:val="0"/>
          <w:szCs w:val="21"/>
        </w:rPr>
        <w:t>（5）政府采购支持监狱企业发展。</w:t>
      </w:r>
    </w:p>
    <w:p w14:paraId="3081397C">
      <w:pPr>
        <w:widowControl/>
        <w:spacing w:line="360" w:lineRule="auto"/>
        <w:ind w:firstLine="420" w:firstLineChars="200"/>
        <w:jc w:val="left"/>
        <w:rPr>
          <w:rFonts w:hint="eastAsia" w:ascii="宋体" w:hAnsi="宋体"/>
          <w:szCs w:val="21"/>
        </w:rPr>
      </w:pPr>
      <w:r>
        <w:rPr>
          <w:rFonts w:hint="eastAsia" w:ascii="宋体" w:hAnsi="宋体" w:cs="宋体"/>
          <w:kern w:val="0"/>
          <w:szCs w:val="21"/>
        </w:rPr>
        <w:t>4.</w:t>
      </w:r>
      <w:bookmarkEnd w:id="33"/>
      <w:bookmarkStart w:id="34" w:name="_Toc35393796"/>
      <w:bookmarkStart w:id="35" w:name="_Toc35393627"/>
      <w:bookmarkStart w:id="36" w:name="_Toc28359008"/>
      <w:bookmarkStart w:id="37" w:name="_Toc28359085"/>
      <w:r>
        <w:rPr>
          <w:rFonts w:hint="eastAsia" w:ascii="宋体" w:hAnsi="宋体" w:cs="宋体"/>
          <w:kern w:val="0"/>
          <w:szCs w:val="21"/>
        </w:rPr>
        <w:t>投标人</w:t>
      </w:r>
      <w:r>
        <w:rPr>
          <w:rFonts w:hint="eastAsia" w:ascii="宋体" w:hAnsi="宋体"/>
          <w:szCs w:val="21"/>
        </w:rPr>
        <w:t>投标注意事项</w:t>
      </w:r>
    </w:p>
    <w:p w14:paraId="5B0F1FF3">
      <w:pPr>
        <w:widowControl/>
        <w:wordWrap w:val="0"/>
        <w:spacing w:line="360" w:lineRule="auto"/>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w:t>
      </w:r>
      <w:r>
        <w:rPr>
          <w:rFonts w:hint="eastAsia" w:ascii="宋体" w:hAnsi="宋体"/>
          <w:bCs/>
          <w:szCs w:val="21"/>
        </w:rPr>
        <w:t>https://www.gcy.zfcg.gxzf.gov.cn/</w:t>
      </w:r>
      <w:r>
        <w:rPr>
          <w:rFonts w:hint="eastAsia" w:ascii="宋体" w:hAnsi="宋体"/>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rPr>
        <w:t>后缀名为“</w:t>
      </w:r>
      <w:r>
        <w:t>jmbs</w:t>
      </w:r>
      <w:r>
        <w:rPr>
          <w:rFonts w:hint="eastAsia"/>
        </w:rPr>
        <w:t>”的文件</w:t>
      </w:r>
      <w:r>
        <w:rPr>
          <w:rFonts w:hint="eastAsia" w:ascii="宋体" w:hAnsi="宋体"/>
          <w:szCs w:val="21"/>
        </w:rPr>
        <w:t>），</w:t>
      </w:r>
      <w:r>
        <w:rPr>
          <w:rFonts w:hint="eastAsia" w:ascii="宋体" w:hAnsi="宋体"/>
          <w:b/>
          <w:szCs w:val="21"/>
        </w:rPr>
        <w:t>投标人在广西政府采购云平台提交电子投标文件时，请填写参加远程开标活动经办人联系方式。</w:t>
      </w:r>
      <w:r>
        <w:rPr>
          <w:rFonts w:hint="eastAsia" w:ascii="宋体" w:hAnsi="宋体"/>
          <w:szCs w:val="21"/>
        </w:rPr>
        <w:t>投标人登录广西政府采购云平台，依次进入“服务中心-项目采购-操作流程-电子招投标-</w:t>
      </w:r>
      <w:r>
        <w:rPr>
          <w:rFonts w:hint="eastAsia"/>
        </w:rPr>
        <w:t>政府采购项目电子交易管理操作指南</w:t>
      </w:r>
      <w:r>
        <w:t>-</w:t>
      </w:r>
      <w:r>
        <w:rPr>
          <w:rFonts w:hint="eastAsia"/>
        </w:rPr>
        <w:t>供应商</w:t>
      </w:r>
      <w:r>
        <w:rPr>
          <w:rFonts w:hint="eastAsia" w:ascii="宋体" w:hAnsi="宋体"/>
          <w:szCs w:val="21"/>
        </w:rPr>
        <w:t>”查看电子投标具体操作流程。</w:t>
      </w:r>
    </w:p>
    <w:p w14:paraId="0FC0A227">
      <w:pPr>
        <w:widowControl/>
        <w:spacing w:line="360" w:lineRule="auto"/>
        <w:ind w:firstLine="420" w:firstLineChars="200"/>
        <w:jc w:val="left"/>
        <w:rPr>
          <w:rFonts w:hint="eastAsia" w:ascii="宋体" w:hAnsi="宋体"/>
          <w:szCs w:val="21"/>
        </w:rPr>
      </w:pPr>
      <w:r>
        <w:rPr>
          <w:rFonts w:hint="eastAsia" w:ascii="宋体" w:hAnsi="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61762737">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（3）CA证书在线解密：投标人投标时，需凭制作投标文件时用来加密的有效数字证书（CA认证）登录</w:t>
      </w:r>
      <w:r>
        <w:rPr>
          <w:rFonts w:hint="eastAsia" w:ascii="宋体" w:hAnsi="宋体"/>
          <w:szCs w:val="21"/>
        </w:rPr>
        <w:t>广西政府采购云平台</w:t>
      </w:r>
      <w:r>
        <w:rPr>
          <w:rFonts w:hint="eastAsia" w:ascii="宋体" w:hAnsi="宋体" w:cs="宋体"/>
          <w:kern w:val="0"/>
          <w:szCs w:val="21"/>
        </w:rPr>
        <w:t>电子开标大厅现场按规定时间对加密的投标文件进行解密，否则后果自负。</w:t>
      </w:r>
    </w:p>
    <w:p w14:paraId="7551BCE7">
      <w:pPr>
        <w:spacing w:line="360" w:lineRule="auto"/>
        <w:ind w:firstLine="424" w:firstLineChars="202"/>
        <w:rPr>
          <w:rFonts w:hint="eastAsia" w:ascii="宋体" w:hAnsi="宋体" w:cs="宋体"/>
          <w:kern w:val="0"/>
          <w:szCs w:val="21"/>
        </w:rPr>
      </w:pPr>
      <w:r>
        <w:rPr>
          <w:rFonts w:hint="eastAsia" w:ascii="宋体" w:hAnsi="宋体"/>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szCs w:val="21"/>
        </w:rPr>
        <w:t>广西政府采购云平台</w:t>
      </w:r>
      <w:r>
        <w:rPr>
          <w:rFonts w:hint="eastAsia" w:ascii="宋体" w:hAnsi="宋体"/>
          <w:bCs/>
          <w:szCs w:val="21"/>
        </w:rPr>
        <w:t>将予以拒收。</w:t>
      </w:r>
    </w:p>
    <w:p w14:paraId="504BFBFB">
      <w:pPr>
        <w:spacing w:line="360" w:lineRule="auto"/>
        <w:ind w:firstLine="482" w:firstLineChars="200"/>
        <w:rPr>
          <w:rFonts w:hint="eastAsia"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34"/>
      <w:bookmarkEnd w:id="35"/>
      <w:bookmarkEnd w:id="36"/>
      <w:bookmarkEnd w:id="37"/>
    </w:p>
    <w:p w14:paraId="7C1C6C2E">
      <w:pPr>
        <w:spacing w:line="360" w:lineRule="auto"/>
        <w:ind w:firstLine="567" w:firstLineChars="270"/>
        <w:rPr>
          <w:rFonts w:hint="eastAsia" w:ascii="宋体" w:hAnsi="宋体"/>
          <w:szCs w:val="21"/>
          <w:lang w:val="en-US" w:eastAsia="zh-CN"/>
        </w:rPr>
      </w:pPr>
      <w:r>
        <w:rPr>
          <w:rFonts w:hint="eastAsia" w:ascii="宋体" w:hAnsi="宋体"/>
          <w:szCs w:val="21"/>
          <w:lang w:val="en-US" w:eastAsia="zh-CN"/>
        </w:rPr>
        <w:t>1.采购人信息</w:t>
      </w:r>
    </w:p>
    <w:p w14:paraId="3CFDBE12">
      <w:pPr>
        <w:spacing w:line="360" w:lineRule="auto"/>
        <w:ind w:firstLine="567" w:firstLineChars="270"/>
        <w:rPr>
          <w:rFonts w:hint="eastAsia" w:ascii="宋体" w:hAnsi="宋体"/>
          <w:szCs w:val="21"/>
          <w:lang w:val="en-US" w:eastAsia="zh-CN"/>
        </w:rPr>
      </w:pPr>
      <w:bookmarkStart w:id="38" w:name="_Toc28359009"/>
      <w:bookmarkStart w:id="39" w:name="_Toc28359086"/>
      <w:r>
        <w:rPr>
          <w:rFonts w:hint="eastAsia" w:ascii="宋体" w:hAnsi="宋体"/>
          <w:szCs w:val="21"/>
          <w:lang w:val="en-US" w:eastAsia="zh-CN"/>
        </w:rPr>
        <w:t>名  称：广西艺术学院</w:t>
      </w:r>
    </w:p>
    <w:p w14:paraId="558C52E1">
      <w:pPr>
        <w:spacing w:line="360" w:lineRule="auto"/>
        <w:ind w:firstLine="567" w:firstLineChars="270"/>
        <w:rPr>
          <w:rFonts w:hint="eastAsia" w:ascii="宋体" w:hAnsi="宋体"/>
          <w:szCs w:val="21"/>
          <w:lang w:val="en-US" w:eastAsia="zh-CN"/>
        </w:rPr>
      </w:pPr>
      <w:r>
        <w:rPr>
          <w:rFonts w:hint="eastAsia" w:ascii="宋体" w:hAnsi="宋体"/>
          <w:szCs w:val="21"/>
          <w:lang w:val="en-US" w:eastAsia="zh-CN"/>
        </w:rPr>
        <w:t>地  址：南宁市青秀区教育路7号</w:t>
      </w:r>
    </w:p>
    <w:p w14:paraId="5AF3C1FC">
      <w:pPr>
        <w:spacing w:line="360" w:lineRule="auto"/>
        <w:ind w:firstLine="567" w:firstLineChars="270"/>
        <w:rPr>
          <w:rFonts w:hint="eastAsia" w:ascii="宋体" w:hAnsi="宋体"/>
          <w:szCs w:val="21"/>
          <w:lang w:val="en-US" w:eastAsia="zh-CN"/>
        </w:rPr>
      </w:pPr>
      <w:r>
        <w:rPr>
          <w:rFonts w:hint="eastAsia" w:ascii="宋体" w:hAnsi="宋体"/>
          <w:szCs w:val="21"/>
          <w:lang w:val="en-US" w:eastAsia="zh-CN"/>
        </w:rPr>
        <w:t xml:space="preserve">联系方式：高静、杨朝标、朱桂英、李建波，0771-5327987 </w:t>
      </w:r>
    </w:p>
    <w:p w14:paraId="7BF7201A">
      <w:pPr>
        <w:spacing w:line="360" w:lineRule="auto"/>
        <w:ind w:firstLine="567" w:firstLineChars="270"/>
        <w:rPr>
          <w:rFonts w:hint="eastAsia" w:ascii="宋体" w:hAnsi="宋体"/>
          <w:szCs w:val="21"/>
          <w:lang w:val="en-US" w:eastAsia="zh-CN"/>
        </w:rPr>
      </w:pPr>
      <w:r>
        <w:rPr>
          <w:rFonts w:hint="eastAsia" w:ascii="宋体" w:hAnsi="宋体"/>
          <w:szCs w:val="21"/>
          <w:lang w:val="en-US" w:eastAsia="zh-CN"/>
        </w:rPr>
        <w:t>2.采购代理机构信息</w:t>
      </w:r>
      <w:bookmarkEnd w:id="38"/>
      <w:bookmarkEnd w:id="39"/>
    </w:p>
    <w:p w14:paraId="71869D18">
      <w:pPr>
        <w:spacing w:line="360" w:lineRule="auto"/>
        <w:ind w:firstLine="567" w:firstLineChars="270"/>
        <w:rPr>
          <w:rFonts w:hint="eastAsia" w:ascii="宋体" w:hAnsi="宋体"/>
          <w:szCs w:val="21"/>
          <w:lang w:val="en-US" w:eastAsia="zh-CN"/>
        </w:rPr>
      </w:pPr>
      <w:r>
        <w:rPr>
          <w:rFonts w:hint="eastAsia" w:ascii="宋体" w:hAnsi="宋体"/>
          <w:szCs w:val="21"/>
          <w:lang w:val="en-US" w:eastAsia="zh-CN"/>
        </w:rPr>
        <w:t>名  称：广西中信恒泰工程顾问有限公司</w:t>
      </w:r>
    </w:p>
    <w:p w14:paraId="52614F28">
      <w:pPr>
        <w:spacing w:line="360" w:lineRule="auto"/>
        <w:ind w:firstLine="567" w:firstLineChars="270"/>
        <w:rPr>
          <w:rFonts w:hint="eastAsia" w:ascii="宋体" w:hAnsi="宋体"/>
          <w:szCs w:val="21"/>
          <w:lang w:val="en-US" w:eastAsia="zh-CN"/>
        </w:rPr>
      </w:pPr>
      <w:r>
        <w:rPr>
          <w:rFonts w:hint="eastAsia" w:ascii="宋体" w:hAnsi="宋体"/>
          <w:szCs w:val="21"/>
          <w:lang w:val="en-US" w:eastAsia="zh-CN"/>
        </w:rPr>
        <w:t>地　址：广西南宁市青秀区云景路69号南宁轨道大厦B楼8层</w:t>
      </w:r>
    </w:p>
    <w:p w14:paraId="08F29D0F">
      <w:pPr>
        <w:spacing w:line="360" w:lineRule="auto"/>
        <w:ind w:firstLine="567" w:firstLineChars="270"/>
        <w:rPr>
          <w:rFonts w:hint="eastAsia" w:ascii="宋体" w:hAnsi="宋体"/>
          <w:szCs w:val="21"/>
          <w:lang w:val="en-US" w:eastAsia="zh-CN"/>
        </w:rPr>
      </w:pPr>
      <w:r>
        <w:rPr>
          <w:rFonts w:hint="eastAsia" w:ascii="宋体" w:hAnsi="宋体"/>
          <w:szCs w:val="21"/>
          <w:lang w:val="en-US" w:eastAsia="zh-CN"/>
        </w:rPr>
        <w:t>联系方式：0771-5771602</w:t>
      </w:r>
    </w:p>
    <w:p w14:paraId="70A09980">
      <w:pPr>
        <w:spacing w:line="360" w:lineRule="auto"/>
        <w:ind w:firstLine="567" w:firstLineChars="270"/>
        <w:rPr>
          <w:rFonts w:hint="eastAsia" w:ascii="宋体" w:hAnsi="宋体"/>
          <w:szCs w:val="21"/>
          <w:lang w:val="en-US" w:eastAsia="zh-CN"/>
        </w:rPr>
      </w:pPr>
      <w:r>
        <w:rPr>
          <w:rFonts w:hint="eastAsia" w:ascii="宋体" w:hAnsi="宋体"/>
          <w:szCs w:val="21"/>
          <w:lang w:val="en-US" w:eastAsia="zh-CN"/>
        </w:rPr>
        <w:t>3.项目联系方式</w:t>
      </w:r>
    </w:p>
    <w:p w14:paraId="4992D404">
      <w:pPr>
        <w:spacing w:line="360" w:lineRule="auto"/>
        <w:ind w:firstLine="567" w:firstLineChars="270"/>
        <w:rPr>
          <w:rFonts w:hint="eastAsia" w:ascii="宋体" w:hAnsi="宋体"/>
          <w:szCs w:val="21"/>
          <w:lang w:val="en-US" w:eastAsia="zh-CN"/>
        </w:rPr>
      </w:pPr>
      <w:r>
        <w:rPr>
          <w:rFonts w:hint="eastAsia" w:ascii="宋体" w:hAnsi="宋体"/>
          <w:szCs w:val="21"/>
          <w:lang w:val="en-US" w:eastAsia="zh-CN"/>
        </w:rPr>
        <w:t xml:space="preserve">项目联系人：宋庆平 </w:t>
      </w:r>
    </w:p>
    <w:p w14:paraId="3D201A9A">
      <w:pPr>
        <w:spacing w:line="360" w:lineRule="auto"/>
        <w:ind w:firstLine="567" w:firstLineChars="270"/>
        <w:rPr>
          <w:rFonts w:hint="eastAsia" w:ascii="宋体" w:hAnsi="宋体"/>
          <w:szCs w:val="21"/>
        </w:rPr>
      </w:pPr>
      <w:r>
        <w:rPr>
          <w:rFonts w:hint="eastAsia" w:ascii="宋体" w:hAnsi="宋体"/>
          <w:szCs w:val="21"/>
          <w:lang w:val="en-US" w:eastAsia="zh-CN"/>
        </w:rPr>
        <w:t>电　话：0771-5771602</w:t>
      </w:r>
    </w:p>
    <w:p w14:paraId="644B1CF5">
      <w:pPr>
        <w:pStyle w:val="2"/>
        <w:ind w:left="1470" w:right="1470"/>
      </w:pPr>
    </w:p>
    <w:p w14:paraId="5DEF185B">
      <w:pPr>
        <w:pStyle w:val="3"/>
        <w:spacing w:before="0" w:after="0" w:line="480" w:lineRule="auto"/>
        <w:jc w:val="center"/>
      </w:pPr>
      <w:bookmarkStart w:id="40" w:name="_Toc74320801"/>
      <w:r>
        <w:rPr>
          <w:rFonts w:hint="eastAsia"/>
        </w:rPr>
        <w:br w:type="page"/>
      </w:r>
      <w:r>
        <w:rPr>
          <w:rFonts w:hint="eastAsia"/>
        </w:rPr>
        <w:t>第二章  采购需求</w:t>
      </w:r>
      <w:bookmarkEnd w:id="40"/>
    </w:p>
    <w:p w14:paraId="1B97D12E">
      <w:pPr>
        <w:spacing w:line="360" w:lineRule="auto"/>
        <w:jc w:val="left"/>
        <w:rPr>
          <w:rFonts w:hint="eastAsia" w:ascii="宋体" w:hAnsi="宋体" w:cs="宋体"/>
          <w:szCs w:val="21"/>
        </w:rPr>
      </w:pPr>
      <w:bookmarkStart w:id="41" w:name="_Toc254970631"/>
      <w:bookmarkStart w:id="42" w:name="_Toc254970490"/>
      <w:r>
        <w:rPr>
          <w:rFonts w:hint="eastAsia" w:ascii="宋体" w:hAnsi="宋体" w:cs="宋体"/>
          <w:szCs w:val="21"/>
        </w:rPr>
        <w:t>说明：</w:t>
      </w:r>
    </w:p>
    <w:p w14:paraId="334B2509">
      <w:pPr>
        <w:spacing w:line="360" w:lineRule="auto"/>
        <w:ind w:firstLine="420" w:firstLineChars="200"/>
        <w:jc w:val="left"/>
        <w:rPr>
          <w:rFonts w:hint="eastAsia" w:ascii="宋体" w:hAnsi="宋体" w:cs="宋体"/>
          <w:szCs w:val="21"/>
        </w:rPr>
      </w:pPr>
      <w:r>
        <w:rPr>
          <w:rFonts w:hint="eastAsia" w:ascii="宋体" w:hAnsi="宋体" w:cs="宋体"/>
        </w:rPr>
        <w:t>1. 为落实政府采购政策需满足的要求</w:t>
      </w:r>
    </w:p>
    <w:p w14:paraId="7923F01E">
      <w:pPr>
        <w:spacing w:line="360" w:lineRule="auto"/>
        <w:ind w:firstLine="420" w:firstLineChars="200"/>
        <w:jc w:val="left"/>
        <w:rPr>
          <w:rFonts w:hint="eastAsia" w:ascii="宋体" w:hAnsi="宋体" w:cs="宋体"/>
          <w:szCs w:val="21"/>
        </w:rPr>
      </w:pPr>
      <w:r>
        <w:rPr>
          <w:rFonts w:hint="eastAsia" w:ascii="宋体" w:hAnsi="宋体" w:cs="宋体"/>
          <w:szCs w:val="21"/>
        </w:rPr>
        <w:t>（1）本招标文件所称中小企业</w:t>
      </w:r>
      <w:r>
        <w:rPr>
          <w:rFonts w:hint="eastAsia" w:ascii="宋体" w:hAnsi="宋体" w:cs="宋体"/>
        </w:rPr>
        <w:t>必须符合《政府采购促进中小企业发展管理办法》（财库</w:t>
      </w:r>
      <w:r>
        <w:rPr>
          <w:rFonts w:hint="eastAsia" w:ascii="宋体" w:hAnsi="宋体" w:cs="宋体"/>
          <w:szCs w:val="21"/>
        </w:rPr>
        <w:t>〔2020〕46号）的规定。</w:t>
      </w:r>
    </w:p>
    <w:p w14:paraId="509E732A">
      <w:pPr>
        <w:spacing w:line="360" w:lineRule="auto"/>
        <w:ind w:firstLine="424" w:firstLineChars="202"/>
        <w:jc w:val="left"/>
        <w:rPr>
          <w:rFonts w:hint="eastAsia"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szCs w:val="21"/>
        </w:rPr>
        <w:t>否则按无效投标处理</w:t>
      </w:r>
      <w:r>
        <w:rPr>
          <w:rFonts w:hint="eastAsia" w:ascii="宋体" w:hAnsi="宋体" w:cs="宋体"/>
          <w:szCs w:val="21"/>
        </w:rPr>
        <w:t>。如本项目包含的货物属于品目清单内非标注“★”的产品时，应优先采购，具体详见“第四章 评标方法及评标标准”。</w:t>
      </w:r>
    </w:p>
    <w:p w14:paraId="7D6AD062">
      <w:pPr>
        <w:wordWrap w:val="0"/>
        <w:spacing w:line="360" w:lineRule="auto"/>
        <w:ind w:firstLine="424" w:firstLineChars="202"/>
        <w:jc w:val="left"/>
        <w:rPr>
          <w:rFonts w:hint="eastAsia" w:ascii="宋体" w:hAnsi="宋体" w:cs="宋体"/>
          <w:szCs w:val="21"/>
        </w:rPr>
      </w:pPr>
      <w:r>
        <w:rPr>
          <w:rFonts w:hint="eastAsia" w:ascii="宋体" w:hAnsi="宋体" w:cs="宋体"/>
          <w:szCs w:val="21"/>
        </w:rPr>
        <w:t>（3）</w:t>
      </w:r>
      <w:r>
        <w:rPr>
          <w:rFonts w:hint="eastAsia" w:ascii="宋体" w:hAnsi="宋体" w:cs="宋体"/>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央网络安全和信息化委员会办公室（http://www.cac.gov.cn/index.htm）最新发布的《网络关键设备和网络安全专用产品安全认证和安全检测结果》截图证明材料，</w:t>
      </w:r>
      <w:r>
        <w:rPr>
          <w:rFonts w:hint="eastAsia" w:ascii="宋体" w:hAnsi="宋体" w:cs="宋体"/>
          <w:b/>
        </w:rPr>
        <w:t>不在《网络关键设备和网络安全专用产品安全认证和安全检测结果》中或不在有效期内或未提供有效的《计算机信息系统安全专用产品销售许可证》的，按无效投标处理</w:t>
      </w:r>
      <w:r>
        <w:rPr>
          <w:rFonts w:hint="eastAsia" w:ascii="宋体" w:hAnsi="宋体" w:cs="宋体"/>
        </w:rPr>
        <w:t>。如属于《网络关键设备和网络安全专用产品目录》中“二、网络安全专用产品”内“产品类别”中的所描述的产品，但不属于所列“产品描述”情形的，应提供相应的说明及证明材料。</w:t>
      </w:r>
    </w:p>
    <w:p w14:paraId="7340318E">
      <w:pPr>
        <w:spacing w:line="360" w:lineRule="auto"/>
        <w:ind w:firstLine="424" w:firstLineChars="202"/>
        <w:jc w:val="left"/>
        <w:rPr>
          <w:rFonts w:hint="eastAsia" w:ascii="宋体" w:hAnsi="宋体" w:cs="宋体"/>
          <w:szCs w:val="21"/>
        </w:rPr>
      </w:pPr>
      <w:r>
        <w:rPr>
          <w:rFonts w:hint="eastAsia" w:ascii="宋体" w:hAnsi="宋体" w:cs="宋体"/>
          <w:szCs w:val="21"/>
        </w:rPr>
        <w:t>2.“实质性要求”是指招标文件中已经指明不满足则投标无效的条款，或者不能负偏离的条款，或者采购需求中带“▲”的条款，本一览表“</w:t>
      </w:r>
      <w:r>
        <w:rPr>
          <w:rFonts w:hint="eastAsia" w:cs="宋体"/>
          <w:szCs w:val="21"/>
        </w:rPr>
        <w:t>技术要求</w:t>
      </w:r>
      <w:r>
        <w:rPr>
          <w:rFonts w:hint="eastAsia" w:ascii="宋体" w:hAnsi="宋体" w:cs="宋体"/>
          <w:szCs w:val="21"/>
        </w:rPr>
        <w:t>”及“</w:t>
      </w:r>
      <w:r>
        <w:rPr>
          <w:rFonts w:hint="eastAsia" w:ascii="宋体" w:hAnsi="宋体" w:cs="宋体"/>
          <w:b/>
          <w:szCs w:val="21"/>
        </w:rPr>
        <w:t>商务要求</w:t>
      </w:r>
      <w:r>
        <w:rPr>
          <w:rFonts w:hint="eastAsia" w:ascii="宋体" w:hAnsi="宋体" w:cs="宋体"/>
          <w:szCs w:val="21"/>
        </w:rPr>
        <w:t>”中标明“▲”号的参数为必须响应的实质性要求。</w:t>
      </w:r>
    </w:p>
    <w:p w14:paraId="631E6333">
      <w:pPr>
        <w:spacing w:line="360" w:lineRule="auto"/>
        <w:ind w:firstLine="424" w:firstLineChars="202"/>
        <w:jc w:val="left"/>
        <w:rPr>
          <w:rFonts w:hint="eastAsia" w:ascii="宋体" w:hAnsi="宋体" w:cs="宋体"/>
          <w:szCs w:val="21"/>
        </w:rPr>
      </w:pPr>
      <w:r>
        <w:rPr>
          <w:rFonts w:hint="eastAsia" w:ascii="宋体" w:hAnsi="宋体" w:cs="宋体"/>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31D3CB5A">
      <w:pPr>
        <w:spacing w:line="360" w:lineRule="auto"/>
        <w:ind w:firstLine="424" w:firstLineChars="202"/>
        <w:jc w:val="left"/>
        <w:rPr>
          <w:rFonts w:hint="eastAsia" w:ascii="宋体" w:hAnsi="宋体" w:cs="宋体"/>
        </w:rPr>
      </w:pPr>
      <w:r>
        <w:rPr>
          <w:rFonts w:hint="eastAsia" w:ascii="宋体" w:hAnsi="宋体" w:cs="宋体"/>
          <w:szCs w:val="21"/>
        </w:rPr>
        <w:t>4.</w:t>
      </w:r>
      <w:bookmarkStart w:id="43" w:name="_Hlk65055179"/>
      <w:r>
        <w:rPr>
          <w:rFonts w:hint="eastAsia" w:ascii="宋体" w:hAnsi="宋体" w:cs="宋体"/>
          <w:szCs w:val="21"/>
        </w:rPr>
        <w:t xml:space="preserve"> 投标人应根据自身实际情况如实响应招标文件，</w:t>
      </w:r>
      <w:r>
        <w:rPr>
          <w:rFonts w:hint="eastAsia" w:ascii="宋体" w:hAnsi="宋体" w:cs="宋体"/>
          <w:sz w:val="22"/>
          <w:szCs w:val="22"/>
        </w:rPr>
        <w:t>对招标文件提出的要求和条件作出明确响应</w:t>
      </w:r>
      <w:r>
        <w:rPr>
          <w:rFonts w:hint="eastAsia" w:ascii="宋体" w:hAnsi="宋体" w:cs="宋体"/>
          <w:szCs w:val="21"/>
        </w:rPr>
        <w:t>，</w:t>
      </w:r>
      <w:r>
        <w:rPr>
          <w:rFonts w:hint="eastAsia" w:ascii="宋体" w:hAnsi="宋体" w:cs="宋体"/>
          <w:b/>
          <w:bCs/>
          <w:szCs w:val="21"/>
        </w:rPr>
        <w:t>否则将作无效响应处理</w:t>
      </w:r>
      <w:r>
        <w:rPr>
          <w:rFonts w:hint="eastAsia" w:ascii="宋体" w:hAnsi="宋体" w:cs="宋体"/>
          <w:szCs w:val="21"/>
        </w:rPr>
        <w:t>。</w:t>
      </w:r>
      <w:r>
        <w:rPr>
          <w:rFonts w:hint="eastAsia" w:ascii="宋体" w:hAnsi="宋体" w:cs="宋体"/>
        </w:rPr>
        <w:t>对于重要技术条款或技术参数应当在投标文件中提供技术支持资料，技术支持资料以招标文件中规定的形式为准，</w:t>
      </w:r>
      <w:r>
        <w:rPr>
          <w:rFonts w:hint="eastAsia" w:ascii="宋体" w:hAnsi="宋体" w:cs="宋体"/>
          <w:b/>
          <w:bCs/>
        </w:rPr>
        <w:t>否则将视为无效技术支持资料</w:t>
      </w:r>
      <w:r>
        <w:rPr>
          <w:rFonts w:hint="eastAsia" w:ascii="宋体" w:hAnsi="宋体" w:cs="宋体"/>
        </w:rPr>
        <w:t>。</w:t>
      </w:r>
    </w:p>
    <w:p w14:paraId="6211200E">
      <w:pPr>
        <w:spacing w:line="360" w:lineRule="auto"/>
        <w:ind w:firstLine="424" w:firstLineChars="202"/>
        <w:jc w:val="left"/>
        <w:rPr>
          <w:rFonts w:hint="eastAsia" w:ascii="宋体" w:hAnsi="宋体" w:cs="宋体"/>
        </w:rPr>
      </w:pPr>
      <w:r>
        <w:rPr>
          <w:rFonts w:hint="eastAsia" w:ascii="宋体" w:hAnsi="宋体" w:cs="宋体"/>
          <w:szCs w:val="21"/>
        </w:rPr>
        <w:t>5.</w:t>
      </w:r>
      <w:r>
        <w:rPr>
          <w:rFonts w:hint="eastAsia" w:ascii="宋体" w:hAnsi="宋体" w:cs="宋体"/>
        </w:rPr>
        <w:t>投标人必须自行为其投标产品侵犯他人的知识产权或者专利成果的行为承担相应法律责任。</w:t>
      </w:r>
    </w:p>
    <w:p w14:paraId="5820F116">
      <w:pPr>
        <w:spacing w:line="360" w:lineRule="auto"/>
        <w:ind w:firstLine="424" w:firstLineChars="202"/>
        <w:jc w:val="left"/>
      </w:pPr>
      <w:r>
        <w:rPr>
          <w:rFonts w:hint="eastAsia" w:ascii="宋体" w:hAnsi="宋体" w:cs="宋体"/>
        </w:rPr>
        <w:t>6.本项目标的所属行业：工业。</w:t>
      </w:r>
    </w:p>
    <w:bookmarkEnd w:id="43"/>
    <w:p w14:paraId="38A11C0F">
      <w:pPr>
        <w:pStyle w:val="47"/>
        <w:ind w:firstLine="422"/>
        <w:outlineLvl w:val="1"/>
        <w:rPr>
          <w:rFonts w:hint="eastAsia" w:ascii="宋体" w:hAnsi="宋体"/>
          <w:b/>
          <w:szCs w:val="21"/>
          <w:highlight w:val="yellow"/>
        </w:rPr>
      </w:pPr>
      <w:r>
        <w:rPr>
          <w:rFonts w:hint="eastAsia" w:ascii="宋体" w:hAnsi="宋体"/>
          <w:b/>
          <w:szCs w:val="21"/>
        </w:rPr>
        <w:br w:type="page"/>
      </w:r>
      <w:r>
        <w:rPr>
          <w:rFonts w:hint="eastAsia" w:ascii="宋体" w:hAnsi="宋体"/>
          <w:b/>
          <w:szCs w:val="21"/>
        </w:rPr>
        <w:t>分标</w:t>
      </w:r>
      <w:r>
        <w:rPr>
          <w:rFonts w:hint="eastAsia" w:ascii="宋体" w:hAnsi="宋体" w:cs="Arial"/>
          <w:b/>
          <w:szCs w:val="21"/>
          <w:u w:val="single"/>
        </w:rPr>
        <w:t>1</w:t>
      </w:r>
    </w:p>
    <w:tbl>
      <w:tblPr>
        <w:tblStyle w:val="48"/>
        <w:tblW w:w="98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50"/>
        <w:gridCol w:w="851"/>
        <w:gridCol w:w="708"/>
        <w:gridCol w:w="6928"/>
      </w:tblGrid>
      <w:tr w14:paraId="7F99B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vAlign w:val="center"/>
          </w:tcPr>
          <w:p w14:paraId="321C6FD1">
            <w:pPr>
              <w:pStyle w:val="46"/>
              <w:ind w:left="0" w:firstLine="0" w:firstLineChars="0"/>
              <w:jc w:val="left"/>
              <w:rPr>
                <w:rFonts w:hint="eastAsia"/>
                <w:b/>
                <w:szCs w:val="21"/>
              </w:rPr>
            </w:pPr>
            <w:r>
              <w:rPr>
                <w:rFonts w:hint="eastAsia"/>
                <w:b/>
                <w:szCs w:val="21"/>
              </w:rPr>
              <w:t>本分标的核心产品为下表的第3项产品“LED单灯调光轨道灯”。</w:t>
            </w:r>
          </w:p>
        </w:tc>
      </w:tr>
      <w:tr w14:paraId="4BC58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CD1E003">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序号</w:t>
            </w:r>
          </w:p>
        </w:tc>
        <w:tc>
          <w:tcPr>
            <w:tcW w:w="850" w:type="dxa"/>
            <w:vAlign w:val="center"/>
          </w:tcPr>
          <w:p w14:paraId="479AE7BA">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标的的名称</w:t>
            </w:r>
          </w:p>
        </w:tc>
        <w:tc>
          <w:tcPr>
            <w:tcW w:w="851" w:type="dxa"/>
            <w:vAlign w:val="center"/>
          </w:tcPr>
          <w:p w14:paraId="59DC9047">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数量</w:t>
            </w:r>
          </w:p>
        </w:tc>
        <w:tc>
          <w:tcPr>
            <w:tcW w:w="708" w:type="dxa"/>
            <w:vAlign w:val="center"/>
          </w:tcPr>
          <w:p w14:paraId="68B08FBC">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单位</w:t>
            </w:r>
          </w:p>
        </w:tc>
        <w:tc>
          <w:tcPr>
            <w:tcW w:w="6928" w:type="dxa"/>
            <w:vAlign w:val="center"/>
          </w:tcPr>
          <w:p w14:paraId="220B0EA5">
            <w:pPr>
              <w:pStyle w:val="46"/>
              <w:spacing w:line="360" w:lineRule="auto"/>
              <w:ind w:left="0" w:firstLine="0" w:firstLineChars="0"/>
              <w:jc w:val="center"/>
              <w:rPr>
                <w:rFonts w:hint="eastAsia" w:cs="宋体"/>
                <w:sz w:val="21"/>
                <w:szCs w:val="21"/>
              </w:rPr>
            </w:pPr>
            <w:r>
              <w:rPr>
                <w:rFonts w:hint="eastAsia" w:cs="宋体"/>
                <w:sz w:val="21"/>
                <w:szCs w:val="21"/>
              </w:rPr>
              <w:t>技术要求</w:t>
            </w:r>
          </w:p>
        </w:tc>
      </w:tr>
      <w:tr w14:paraId="4963A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C3CD81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w:t>
            </w:r>
          </w:p>
        </w:tc>
        <w:tc>
          <w:tcPr>
            <w:tcW w:w="850" w:type="dxa"/>
            <w:vAlign w:val="center"/>
          </w:tcPr>
          <w:p w14:paraId="6CFEC877">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LED单灯调光切光灯</w:t>
            </w:r>
          </w:p>
        </w:tc>
        <w:tc>
          <w:tcPr>
            <w:tcW w:w="851" w:type="dxa"/>
            <w:vAlign w:val="center"/>
          </w:tcPr>
          <w:p w14:paraId="16893A7E">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50</w:t>
            </w:r>
          </w:p>
        </w:tc>
        <w:tc>
          <w:tcPr>
            <w:tcW w:w="708" w:type="dxa"/>
            <w:vAlign w:val="center"/>
          </w:tcPr>
          <w:p w14:paraId="1783993E">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盏</w:t>
            </w:r>
          </w:p>
        </w:tc>
        <w:tc>
          <w:tcPr>
            <w:tcW w:w="6928" w:type="dxa"/>
            <w:vAlign w:val="center"/>
          </w:tcPr>
          <w:p w14:paraId="1AC4A42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1.散热结构：灯体冷锻铝材质，表面喷漆/氧化处理；</w:t>
            </w:r>
          </w:p>
          <w:p w14:paraId="0E55948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2.光源类型：LED； </w:t>
            </w:r>
          </w:p>
          <w:p w14:paraId="1FA9998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3.功率：30W；</w:t>
            </w:r>
          </w:p>
          <w:p w14:paraId="6529AAD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4.光通量：≥1150lm。 </w:t>
            </w:r>
          </w:p>
          <w:p w14:paraId="630062D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5.色温：2700K/3000K/3500K/4000K； </w:t>
            </w:r>
          </w:p>
          <w:p w14:paraId="44BECE4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▲6.光束角：24°-40°； </w:t>
            </w:r>
          </w:p>
          <w:p w14:paraId="343AE26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7.控制方式：单灯调光； </w:t>
            </w:r>
          </w:p>
          <w:p w14:paraId="6EC50C5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8.调光范围：0—100%无极无频闪调光； </w:t>
            </w:r>
          </w:p>
          <w:p w14:paraId="79B6D29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9.配光：可通过滤色镜片来实现光色同灯具自由替换，可通过投影片来实现投影效果同灯具自由替换。 </w:t>
            </w:r>
          </w:p>
          <w:p w14:paraId="5970A54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▲10.色容差：SDCM＜2；显色性：Ra≥97； </w:t>
            </w:r>
          </w:p>
          <w:p w14:paraId="00395E7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▲11.使用寿命不少于 50Khr；保修年限：3 年，</w:t>
            </w:r>
          </w:p>
          <w:p w14:paraId="69B4BD7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12.专业灯具应根据国家及行业相关标准和规范进行设计制造，并采用成熟的先进技术，做到结构合理、散热好、噪声低、安装和维护保养方便。专业灯具的外观材质（外壳）需为高导热压冷锻合金外壳，表面喷漆/氧化处理，确保颜色持久、耐磨性强。 </w:t>
            </w:r>
          </w:p>
          <w:p w14:paraId="48E1B61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13.专业轨道灯具应满足水平可调节角度最小为 360°（或以上），垂直方向可调角度最小 270°（或以上），灯体旋转角度锁定性良好，具备防松阻尼结构，可实现多次转向之后仍可保持灯体的稳定性；</w:t>
            </w:r>
          </w:p>
          <w:p w14:paraId="449A4E9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14.根据陈列展品及环境对照明的要求选择专业灯具设备。灯体材料及设计应利于散热，手动调节灵活，拆装方便，操作便捷，性能稳定。 </w:t>
            </w:r>
          </w:p>
          <w:p w14:paraId="79A6773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15.功能扩展性：为满足博物馆馆展品的多样性及灵活性，针对展品的不同尺寸，灯具应具备可装配不同光学配件的功能，可实现变更光学即可实现更广角度，或者更窄角度，满足不同陈列照明要求。同一系列灯具既要保持外形一致，又可通过选择光学配件（仅接受反射器或透镜两种方式）形成不同光色、投影图案等配光效果，以适应不同艺术作品的照明要求。 </w:t>
            </w:r>
          </w:p>
          <w:p w14:paraId="66BE868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16.所有灯具需具备在工作过程中无频闪现象，可以进行高清摄像。 </w:t>
            </w:r>
          </w:p>
          <w:p w14:paraId="66FFE39D">
            <w:pPr>
              <w:widowControl/>
              <w:spacing w:line="360" w:lineRule="auto"/>
              <w:jc w:val="left"/>
              <w:textAlignment w:val="center"/>
              <w:rPr>
                <w:rFonts w:hint="eastAsia" w:ascii="宋体" w:hAnsi="宋体" w:cs="宋体"/>
              </w:rPr>
            </w:pPr>
            <w:r>
              <w:rPr>
                <w:rFonts w:hint="eastAsia" w:ascii="宋体" w:hAnsi="宋体" w:cs="宋体"/>
                <w:color w:val="000000"/>
                <w:kern w:val="0"/>
                <w:szCs w:val="21"/>
                <w:lang w:bidi="ar"/>
              </w:rPr>
              <w:t>17.所有灯具具备高品质的出光质量：光斑均匀，褪晕柔和；无中心光斑过曝现象；光斑周边无色散；无二次光斑。</w:t>
            </w:r>
          </w:p>
        </w:tc>
      </w:tr>
      <w:tr w14:paraId="04241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447C98D">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2</w:t>
            </w:r>
          </w:p>
        </w:tc>
        <w:tc>
          <w:tcPr>
            <w:tcW w:w="850" w:type="dxa"/>
            <w:vAlign w:val="center"/>
          </w:tcPr>
          <w:p w14:paraId="7B66F635">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LED变焦调光轨道灯</w:t>
            </w:r>
          </w:p>
        </w:tc>
        <w:tc>
          <w:tcPr>
            <w:tcW w:w="851" w:type="dxa"/>
            <w:vAlign w:val="center"/>
          </w:tcPr>
          <w:p w14:paraId="4AA93928">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110 </w:t>
            </w:r>
          </w:p>
        </w:tc>
        <w:tc>
          <w:tcPr>
            <w:tcW w:w="708" w:type="dxa"/>
            <w:vAlign w:val="center"/>
          </w:tcPr>
          <w:p w14:paraId="53C9684B">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盏</w:t>
            </w:r>
          </w:p>
        </w:tc>
        <w:tc>
          <w:tcPr>
            <w:tcW w:w="6928" w:type="dxa"/>
            <w:vAlign w:val="center"/>
          </w:tcPr>
          <w:p w14:paraId="3766208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1.散热结构：灯体冷锻铝材质，表面喷粉/氧化处理；</w:t>
            </w:r>
          </w:p>
          <w:p w14:paraId="57F51A4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2.光源类型：LED； </w:t>
            </w:r>
          </w:p>
          <w:p w14:paraId="7660EED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3.功率：10W； </w:t>
            </w:r>
          </w:p>
          <w:p w14:paraId="29902E4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4.光通量：≥661lm。 </w:t>
            </w:r>
          </w:p>
          <w:p w14:paraId="296B392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5.色温：2700K-6500K； </w:t>
            </w:r>
          </w:p>
          <w:p w14:paraId="42D24FB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▲6.光束角：10°-50°变焦； </w:t>
            </w:r>
          </w:p>
          <w:p w14:paraId="44945E9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7.控制方式：蓝牙调光调色； </w:t>
            </w:r>
          </w:p>
          <w:p w14:paraId="2969052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8.调光范围：0—100%无极无频闪调光； </w:t>
            </w:r>
          </w:p>
          <w:p w14:paraId="059889D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▲9.色容差：SDCM＜2；显色性：Ra≥95； </w:t>
            </w:r>
          </w:p>
          <w:p w14:paraId="555D8A5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▲10.使用寿命不少于 50Khr；保修年限：5 年，</w:t>
            </w:r>
          </w:p>
          <w:p w14:paraId="253A4CE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11.专业灯具应根据国家及行业相关标准和规范进行设计制造，并采用成熟的先进技术，做到结构合理、散热好、噪声低、安装和维护保养方便。专业灯具的外观材质（外壳）需为高导热压冷锻合金外壳，表面喷粉/氧化处理，确保颜色持久、耐磨性强。 </w:t>
            </w:r>
          </w:p>
          <w:p w14:paraId="30C29DE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12.专业轨道灯具应满足水平可调节角度最小为360°（或以上），垂直可调角度最小270°（或以上），灯体旋转角度锁定性良好，具备防松阻尼结构，可实现多次转向之后仍可保持灯体的稳定性；</w:t>
            </w:r>
          </w:p>
          <w:p w14:paraId="5BCB108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13.根据陈列展品及环境对照明的要求选择专业灯具设备。灯体材料及设计应利于散热，手动调节灵活，拆装方便，操作便捷，性能稳定。  </w:t>
            </w:r>
          </w:p>
          <w:p w14:paraId="49071C2A">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14.所有灯具需具备在工作过程中无频闪现象，可以进行高清摄像。 </w:t>
            </w:r>
          </w:p>
          <w:p w14:paraId="07582CF7">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15.所有灯具具备高品质的出光质量：光斑均匀，褪晕柔和；无中心光斑过曝现象；光斑周边无色散；无二次光斑，可满足不同的防眩要求，蜂窝网防眩/格栅防眩/四叶片遮光防眩。</w:t>
            </w:r>
          </w:p>
        </w:tc>
      </w:tr>
      <w:tr w14:paraId="09AC0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B8CABAF">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3</w:t>
            </w:r>
          </w:p>
        </w:tc>
        <w:tc>
          <w:tcPr>
            <w:tcW w:w="850" w:type="dxa"/>
            <w:vAlign w:val="center"/>
          </w:tcPr>
          <w:p w14:paraId="0F7631DC">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LED单灯调光轨道灯</w:t>
            </w:r>
          </w:p>
        </w:tc>
        <w:tc>
          <w:tcPr>
            <w:tcW w:w="851" w:type="dxa"/>
            <w:vAlign w:val="center"/>
          </w:tcPr>
          <w:p w14:paraId="28E7E606">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40 </w:t>
            </w:r>
          </w:p>
        </w:tc>
        <w:tc>
          <w:tcPr>
            <w:tcW w:w="708" w:type="dxa"/>
            <w:vAlign w:val="center"/>
          </w:tcPr>
          <w:p w14:paraId="00DEB2E1">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盏</w:t>
            </w:r>
          </w:p>
        </w:tc>
        <w:tc>
          <w:tcPr>
            <w:tcW w:w="6928" w:type="dxa"/>
            <w:vAlign w:val="center"/>
          </w:tcPr>
          <w:p w14:paraId="77DF5424">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1.散热结构：灯体冷锻铝材质，表面喷漆/氧化处理；</w:t>
            </w:r>
          </w:p>
          <w:p w14:paraId="1A79A5B8">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2.光源类型：LED； </w:t>
            </w:r>
          </w:p>
          <w:p w14:paraId="4447B898">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3.功率：27W； </w:t>
            </w:r>
          </w:p>
          <w:p w14:paraId="5D1DDDCA">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4.光通量：≥1300lm。 </w:t>
            </w:r>
          </w:p>
          <w:p w14:paraId="7B4FC635">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▲5.色温：3000K，3500K，4000K.； </w:t>
            </w:r>
          </w:p>
          <w:p w14:paraId="24018204">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▲6.光束角：10°，15°，20°，27°，40°，50°，70°，20°x60°，洗墙八种光型均可自由替换； </w:t>
            </w:r>
          </w:p>
          <w:p w14:paraId="77CD696E">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7.控制方式：单灯调光；可通过替换控制模块来实现蓝牙调光，实现单灯调光，集控群组调光； </w:t>
            </w:r>
          </w:p>
          <w:p w14:paraId="0DF631C6">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8.调光范围：0—100%无极无频闪调光； </w:t>
            </w:r>
          </w:p>
          <w:p w14:paraId="36086CF4">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9.配光：可通过二次配光镜片来实现窄、中、宽、横向拉伸、竖向拉伸、洗墙光型同灯具自由替换。 </w:t>
            </w:r>
          </w:p>
          <w:p w14:paraId="2B957EA4">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▲10.色容差：SDCM＜2；显色性：Ra≥97； </w:t>
            </w:r>
          </w:p>
          <w:p w14:paraId="1D69155D">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▲11.使用寿命不少于 50Khr；保修年限：3 年，</w:t>
            </w:r>
          </w:p>
          <w:p w14:paraId="3F292FDC">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12.专业灯具应根据国家及行业相关标准和规范进行设计制造，并采用成熟的先进技术，做到结构合理、散热好、噪声低、安装和维护保养方便。专业灯具的外观材质（外壳）需为高导冷锻铝合金外壳，表面喷漆/氧化处理，确保颜色持久、耐磨性强。 </w:t>
            </w:r>
          </w:p>
          <w:p w14:paraId="612C43AF">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13.专业轨道灯具应满足水平可调节角度最小为 360°（或以上），垂直可调角度最小 90°（或以上）， 灯体旋转角度锁定性良好；</w:t>
            </w:r>
          </w:p>
          <w:p w14:paraId="08950D68">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14.根据陈列展品及环境对照明的要求选择专业灯具设备。灯体材料及设计应利于散热，手动调节灵活，拆装方便，操作便捷，性能稳定。 </w:t>
            </w:r>
          </w:p>
          <w:p w14:paraId="5CA78DD0">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15.功能扩展性：为满足博物馆馆展品的多样性及灵活性，针对展品的不同尺寸，灯具应具备可装配不同光学配件的功能，满足不同陈列照明要求。同一系列灯具既要保持外形一致，又可通过选择光学配件（仅接受反射器或透镜两种方式）形成洗墙、椭圆拉伸等配光效果，以适应不同艺术作品的照明要求。 </w:t>
            </w:r>
          </w:p>
          <w:p w14:paraId="56F1AE35">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16.所有灯具需具备在工作过程中无频闪现象，可以进行高清摄像。 </w:t>
            </w:r>
          </w:p>
          <w:p w14:paraId="510F63D7">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17.所有灯具具备高品质的出光质量：光斑均匀，褪晕柔和；无中心光斑过曝现象；光斑周边无色散；无二次光斑，可满足不同的防眩要求，蜂窝网防眩/格栅防眩/四叶片遮光防眩。</w:t>
            </w:r>
          </w:p>
        </w:tc>
      </w:tr>
      <w:tr w14:paraId="0EDEC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6BF4E1A">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4</w:t>
            </w:r>
          </w:p>
        </w:tc>
        <w:tc>
          <w:tcPr>
            <w:tcW w:w="850" w:type="dxa"/>
            <w:vAlign w:val="center"/>
          </w:tcPr>
          <w:p w14:paraId="62841F71">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四线三相式轨道</w:t>
            </w:r>
          </w:p>
        </w:tc>
        <w:tc>
          <w:tcPr>
            <w:tcW w:w="851" w:type="dxa"/>
            <w:vAlign w:val="center"/>
          </w:tcPr>
          <w:p w14:paraId="125FDB94">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120 </w:t>
            </w:r>
          </w:p>
        </w:tc>
        <w:tc>
          <w:tcPr>
            <w:tcW w:w="708" w:type="dxa"/>
            <w:vAlign w:val="center"/>
          </w:tcPr>
          <w:p w14:paraId="77282550">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6928" w:type="dxa"/>
            <w:vAlign w:val="center"/>
          </w:tcPr>
          <w:p w14:paraId="7A104A41">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1.名称：四线三回路轨道(方形)不含头尾；</w:t>
            </w:r>
          </w:p>
          <w:p w14:paraId="141D615E">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2.轨道长度：L=2m；</w:t>
            </w:r>
          </w:p>
          <w:p w14:paraId="3B4EF6C1">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3.铝外壳厚度：1.9mm；</w:t>
            </w:r>
          </w:p>
          <w:p w14:paraId="13B5F4E1">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4.铜线截面积：3.5mm²；</w:t>
            </w:r>
          </w:p>
        </w:tc>
      </w:tr>
      <w:tr w14:paraId="0EB0B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A23B26F">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5</w:t>
            </w:r>
          </w:p>
        </w:tc>
        <w:tc>
          <w:tcPr>
            <w:tcW w:w="850" w:type="dxa"/>
            <w:vAlign w:val="center"/>
          </w:tcPr>
          <w:p w14:paraId="331C74BC">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四线三相式轨道</w:t>
            </w:r>
          </w:p>
        </w:tc>
        <w:tc>
          <w:tcPr>
            <w:tcW w:w="851" w:type="dxa"/>
            <w:vAlign w:val="center"/>
          </w:tcPr>
          <w:p w14:paraId="249F3887">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40 </w:t>
            </w:r>
          </w:p>
        </w:tc>
        <w:tc>
          <w:tcPr>
            <w:tcW w:w="708" w:type="dxa"/>
            <w:vAlign w:val="center"/>
          </w:tcPr>
          <w:p w14:paraId="6E00C70B">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6928" w:type="dxa"/>
            <w:vAlign w:val="center"/>
          </w:tcPr>
          <w:p w14:paraId="6FB0FFA0">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1.名称：四线三回路轨道(方形)不含头尾；</w:t>
            </w:r>
          </w:p>
          <w:p w14:paraId="19A771BC">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2.轨道长度：L=1m；    </w:t>
            </w:r>
          </w:p>
          <w:p w14:paraId="3A08B039">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3.铝外壳厚度：1.9mm；</w:t>
            </w:r>
          </w:p>
          <w:p w14:paraId="4845D3A1">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4.铜线截面积：3.5mm²；</w:t>
            </w:r>
          </w:p>
        </w:tc>
      </w:tr>
      <w:tr w14:paraId="0AE03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0591BE5">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6</w:t>
            </w:r>
          </w:p>
        </w:tc>
        <w:tc>
          <w:tcPr>
            <w:tcW w:w="850" w:type="dxa"/>
            <w:vAlign w:val="center"/>
          </w:tcPr>
          <w:p w14:paraId="4926EF04">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四线三相式轨道</w:t>
            </w:r>
          </w:p>
        </w:tc>
        <w:tc>
          <w:tcPr>
            <w:tcW w:w="851" w:type="dxa"/>
            <w:vAlign w:val="center"/>
          </w:tcPr>
          <w:p w14:paraId="1CBCC4F4">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40 </w:t>
            </w:r>
          </w:p>
        </w:tc>
        <w:tc>
          <w:tcPr>
            <w:tcW w:w="708" w:type="dxa"/>
            <w:vAlign w:val="center"/>
          </w:tcPr>
          <w:p w14:paraId="680D49B5">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6928" w:type="dxa"/>
            <w:vAlign w:val="center"/>
          </w:tcPr>
          <w:p w14:paraId="58686677">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1.名称：四线三回路轨道(弧形)；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2.轨道长度：L=1m；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3.铝外壳厚度：1.9mm；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4.铜线截面积：3.5mm²；</w:t>
            </w:r>
          </w:p>
        </w:tc>
      </w:tr>
      <w:tr w14:paraId="66827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BC79421">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7</w:t>
            </w:r>
          </w:p>
        </w:tc>
        <w:tc>
          <w:tcPr>
            <w:tcW w:w="850" w:type="dxa"/>
            <w:vAlign w:val="center"/>
          </w:tcPr>
          <w:p w14:paraId="3B5081E9">
            <w:pPr>
              <w:widowControl/>
              <w:spacing w:line="360" w:lineRule="auto"/>
              <w:jc w:val="left"/>
              <w:textAlignment w:val="center"/>
              <w:rPr>
                <w:rFonts w:hint="eastAsia" w:ascii="宋体" w:hAnsi="宋体" w:cs="宋体"/>
                <w:szCs w:val="21"/>
              </w:rPr>
            </w:pPr>
            <w:r>
              <w:rPr>
                <w:rFonts w:hint="eastAsia" w:ascii="宋体" w:hAnsi="宋体" w:cs="宋体"/>
                <w:color w:val="000000"/>
                <w:kern w:val="0"/>
                <w:szCs w:val="21"/>
                <w:lang w:bidi="ar"/>
              </w:rPr>
              <w:t>接电头</w:t>
            </w:r>
          </w:p>
        </w:tc>
        <w:tc>
          <w:tcPr>
            <w:tcW w:w="851" w:type="dxa"/>
            <w:vAlign w:val="center"/>
          </w:tcPr>
          <w:p w14:paraId="077751E5">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50 </w:t>
            </w:r>
          </w:p>
        </w:tc>
        <w:tc>
          <w:tcPr>
            <w:tcW w:w="708" w:type="dxa"/>
            <w:vAlign w:val="center"/>
          </w:tcPr>
          <w:p w14:paraId="4FA1A37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根</w:t>
            </w:r>
          </w:p>
        </w:tc>
        <w:tc>
          <w:tcPr>
            <w:tcW w:w="6928" w:type="dxa"/>
            <w:vAlign w:val="center"/>
          </w:tcPr>
          <w:p w14:paraId="4C814A77">
            <w:pPr>
              <w:widowControl/>
              <w:numPr>
                <w:ilvl w:val="0"/>
                <w:numId w:val="0"/>
              </w:numPr>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w:t>
            </w:r>
            <w:r>
              <w:rPr>
                <w:rFonts w:hint="eastAsia" w:ascii="宋体" w:hAnsi="宋体" w:cs="宋体"/>
                <w:color w:val="000000"/>
                <w:kern w:val="0"/>
                <w:szCs w:val="21"/>
                <w:lang w:bidi="ar"/>
              </w:rPr>
              <w:t>名称：三回路轨道电源头（左和右）；</w:t>
            </w:r>
          </w:p>
          <w:p w14:paraId="6863D178">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2.外型尺寸：85X32x42(注塑型）；                                                                         3.电压等级：220V/25Hz交流电，通过HFC防护盒及硒片实现过电压防护；</w:t>
            </w:r>
          </w:p>
        </w:tc>
      </w:tr>
      <w:tr w14:paraId="3650A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275FAC6">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8</w:t>
            </w:r>
          </w:p>
        </w:tc>
        <w:tc>
          <w:tcPr>
            <w:tcW w:w="850" w:type="dxa"/>
            <w:vAlign w:val="center"/>
          </w:tcPr>
          <w:p w14:paraId="5380AF3C">
            <w:pPr>
              <w:widowControl/>
              <w:spacing w:line="360" w:lineRule="auto"/>
              <w:jc w:val="left"/>
              <w:textAlignment w:val="center"/>
              <w:rPr>
                <w:rFonts w:hint="eastAsia" w:ascii="宋体" w:hAnsi="宋体" w:cs="宋体"/>
                <w:szCs w:val="21"/>
              </w:rPr>
            </w:pPr>
            <w:r>
              <w:rPr>
                <w:rFonts w:hint="eastAsia" w:ascii="宋体" w:hAnsi="宋体" w:cs="宋体"/>
                <w:color w:val="000000"/>
                <w:kern w:val="0"/>
                <w:szCs w:val="21"/>
                <w:lang w:bidi="ar"/>
              </w:rPr>
              <w:t>尾电头</w:t>
            </w:r>
          </w:p>
        </w:tc>
        <w:tc>
          <w:tcPr>
            <w:tcW w:w="851" w:type="dxa"/>
            <w:vAlign w:val="center"/>
          </w:tcPr>
          <w:p w14:paraId="63444D39">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50 </w:t>
            </w:r>
          </w:p>
        </w:tc>
        <w:tc>
          <w:tcPr>
            <w:tcW w:w="708" w:type="dxa"/>
            <w:vAlign w:val="center"/>
          </w:tcPr>
          <w:p w14:paraId="01C65A3C">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根</w:t>
            </w:r>
          </w:p>
        </w:tc>
        <w:tc>
          <w:tcPr>
            <w:tcW w:w="6928" w:type="dxa"/>
            <w:vAlign w:val="center"/>
          </w:tcPr>
          <w:p w14:paraId="33399C07">
            <w:pPr>
              <w:widowControl/>
              <w:numPr>
                <w:ilvl w:val="0"/>
                <w:numId w:val="3"/>
              </w:numPr>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名称：三回路轨道尾盖；</w:t>
            </w:r>
          </w:p>
          <w:p w14:paraId="0F4B392E">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 xml:space="preserve">2.轨道长度：L=0.5m；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3.铝外壳厚度：1.9mm；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4.铜线截面积：3.5mm²；</w:t>
            </w:r>
          </w:p>
        </w:tc>
      </w:tr>
      <w:tr w14:paraId="3BDE7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0B7E33C">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9</w:t>
            </w:r>
          </w:p>
        </w:tc>
        <w:tc>
          <w:tcPr>
            <w:tcW w:w="850" w:type="dxa"/>
            <w:vAlign w:val="center"/>
          </w:tcPr>
          <w:p w14:paraId="3645D9AE">
            <w:pPr>
              <w:widowControl/>
              <w:spacing w:line="360" w:lineRule="auto"/>
              <w:jc w:val="left"/>
              <w:textAlignment w:val="center"/>
              <w:rPr>
                <w:rFonts w:hint="eastAsia" w:ascii="宋体" w:hAnsi="宋体" w:cs="宋体"/>
                <w:szCs w:val="21"/>
              </w:rPr>
            </w:pPr>
            <w:r>
              <w:rPr>
                <w:rFonts w:hint="eastAsia" w:ascii="宋体" w:hAnsi="宋体" w:cs="宋体"/>
                <w:color w:val="000000"/>
                <w:kern w:val="0"/>
                <w:szCs w:val="21"/>
                <w:lang w:bidi="ar"/>
              </w:rPr>
              <w:t>I型接头</w:t>
            </w:r>
          </w:p>
        </w:tc>
        <w:tc>
          <w:tcPr>
            <w:tcW w:w="851" w:type="dxa"/>
            <w:vAlign w:val="center"/>
          </w:tcPr>
          <w:p w14:paraId="09FEF05B">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100 </w:t>
            </w:r>
          </w:p>
        </w:tc>
        <w:tc>
          <w:tcPr>
            <w:tcW w:w="708" w:type="dxa"/>
            <w:vAlign w:val="center"/>
          </w:tcPr>
          <w:p w14:paraId="379FF575">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6928" w:type="dxa"/>
            <w:vAlign w:val="center"/>
          </w:tcPr>
          <w:p w14:paraId="293B0F37">
            <w:pPr>
              <w:widowControl/>
              <w:numPr>
                <w:ilvl w:val="0"/>
                <w:numId w:val="4"/>
              </w:numPr>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名称：三回路轨道I型接头；</w:t>
            </w:r>
          </w:p>
          <w:p w14:paraId="6144C0B5">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 xml:space="preserve">2.轨道长度：L=0.3m；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3.铝外壳厚度：1.9mm；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4.铜线截面积：3.5mm²；</w:t>
            </w:r>
          </w:p>
        </w:tc>
      </w:tr>
      <w:tr w14:paraId="75587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BAFD336">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10</w:t>
            </w:r>
          </w:p>
        </w:tc>
        <w:tc>
          <w:tcPr>
            <w:tcW w:w="850" w:type="dxa"/>
            <w:vAlign w:val="center"/>
          </w:tcPr>
          <w:p w14:paraId="352F5A02">
            <w:pPr>
              <w:widowControl/>
              <w:spacing w:line="360" w:lineRule="auto"/>
              <w:jc w:val="left"/>
              <w:textAlignment w:val="center"/>
              <w:rPr>
                <w:rFonts w:hint="eastAsia" w:ascii="宋体" w:hAnsi="宋体" w:cs="宋体"/>
                <w:szCs w:val="21"/>
              </w:rPr>
            </w:pPr>
            <w:r>
              <w:rPr>
                <w:rFonts w:hint="eastAsia" w:ascii="宋体" w:hAnsi="宋体" w:cs="宋体"/>
                <w:color w:val="000000"/>
                <w:kern w:val="0"/>
                <w:szCs w:val="21"/>
                <w:lang w:bidi="ar"/>
              </w:rPr>
              <w:t>L型接头</w:t>
            </w:r>
          </w:p>
        </w:tc>
        <w:tc>
          <w:tcPr>
            <w:tcW w:w="851" w:type="dxa"/>
            <w:vAlign w:val="center"/>
          </w:tcPr>
          <w:p w14:paraId="28F981AB">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20 </w:t>
            </w:r>
          </w:p>
        </w:tc>
        <w:tc>
          <w:tcPr>
            <w:tcW w:w="708" w:type="dxa"/>
            <w:vAlign w:val="center"/>
          </w:tcPr>
          <w:p w14:paraId="41A3A9F4">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6928" w:type="dxa"/>
            <w:vAlign w:val="center"/>
          </w:tcPr>
          <w:p w14:paraId="6648220A">
            <w:pPr>
              <w:widowControl/>
              <w:numPr>
                <w:ilvl w:val="0"/>
                <w:numId w:val="5"/>
              </w:numPr>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名称：三回路轨道L型接头；</w:t>
            </w:r>
          </w:p>
          <w:p w14:paraId="5F430F2E">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 xml:space="preserve">2.轨道长度：L=0.3m；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3.铝外壳厚度：1.9mm；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4.铜线截面积：3.5mm²；</w:t>
            </w:r>
          </w:p>
        </w:tc>
      </w:tr>
      <w:tr w14:paraId="462A7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F42E6D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11</w:t>
            </w:r>
          </w:p>
        </w:tc>
        <w:tc>
          <w:tcPr>
            <w:tcW w:w="850" w:type="dxa"/>
            <w:vAlign w:val="center"/>
          </w:tcPr>
          <w:p w14:paraId="3E20216B">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展柜磁吸轨道                射灯</w:t>
            </w:r>
          </w:p>
        </w:tc>
        <w:tc>
          <w:tcPr>
            <w:tcW w:w="851" w:type="dxa"/>
            <w:vAlign w:val="center"/>
          </w:tcPr>
          <w:p w14:paraId="22DDA16C">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30 </w:t>
            </w:r>
          </w:p>
        </w:tc>
        <w:tc>
          <w:tcPr>
            <w:tcW w:w="708" w:type="dxa"/>
            <w:vAlign w:val="center"/>
          </w:tcPr>
          <w:p w14:paraId="1A150711">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6928" w:type="dxa"/>
            <w:vAlign w:val="center"/>
          </w:tcPr>
          <w:p w14:paraId="59D75E0E">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1.名称：8mm 单头MINI磁吸轨道射灯；</w:t>
            </w:r>
          </w:p>
          <w:p w14:paraId="7583CBA0">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2.光源：LED 2W DC12V；</w:t>
            </w:r>
          </w:p>
          <w:p w14:paraId="310F2CE9">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3.显指：Ra＞90；</w:t>
            </w:r>
          </w:p>
          <w:p w14:paraId="19C1715E">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4.色温：3000K/3500K/4000K/6000K；</w:t>
            </w:r>
          </w:p>
          <w:p w14:paraId="00AD0DB0">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5.光束角：10°/15°/20°/25°/38°/60°；</w:t>
            </w:r>
          </w:p>
          <w:p w14:paraId="65EC52FC">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6.颜色：黑色其他颜色定制；</w:t>
            </w:r>
          </w:p>
          <w:p w14:paraId="57FF7988">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7.尺寸：约35.1mm*18mm；</w:t>
            </w:r>
          </w:p>
          <w:p w14:paraId="6D800AB8">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highlight w:val="none"/>
                <w:lang w:bidi="ar"/>
              </w:rPr>
              <w:t>8.控制方式：群组调光；</w:t>
            </w:r>
          </w:p>
        </w:tc>
      </w:tr>
      <w:tr w14:paraId="0688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B98C82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12</w:t>
            </w:r>
          </w:p>
        </w:tc>
        <w:tc>
          <w:tcPr>
            <w:tcW w:w="850" w:type="dxa"/>
            <w:vAlign w:val="center"/>
          </w:tcPr>
          <w:p w14:paraId="3DDD32BE">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展柜磁吸轨道                格栅灯条</w:t>
            </w:r>
          </w:p>
        </w:tc>
        <w:tc>
          <w:tcPr>
            <w:tcW w:w="851" w:type="dxa"/>
            <w:vAlign w:val="center"/>
          </w:tcPr>
          <w:p w14:paraId="4962E051">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50 </w:t>
            </w:r>
          </w:p>
        </w:tc>
        <w:tc>
          <w:tcPr>
            <w:tcW w:w="708" w:type="dxa"/>
            <w:vAlign w:val="center"/>
          </w:tcPr>
          <w:p w14:paraId="2D3885A4">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6928" w:type="dxa"/>
            <w:vAlign w:val="center"/>
          </w:tcPr>
          <w:p w14:paraId="24549BE5">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1.名称：8mm MINI磁吸轨道格栅灯条；</w:t>
            </w:r>
          </w:p>
          <w:p w14:paraId="03D8A455">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2.光源：LED 4W DC12V；</w:t>
            </w:r>
          </w:p>
          <w:p w14:paraId="1316A619">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3.显指：Ra＞90；</w:t>
            </w:r>
          </w:p>
          <w:p w14:paraId="572BABD8">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4.色温：3000K/3500K/4000K/6000K；</w:t>
            </w:r>
          </w:p>
          <w:p w14:paraId="470AFA2D">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5.光東角：50°；</w:t>
            </w:r>
          </w:p>
          <w:p w14:paraId="50159D49">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6.颜色：黑色 其他颜色定制；</w:t>
            </w:r>
          </w:p>
          <w:p w14:paraId="5CE65619">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7.尺寸：约300mm*10.5mm*14mm；</w:t>
            </w:r>
          </w:p>
          <w:p w14:paraId="004158AC">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highlight w:val="none"/>
                <w:lang w:bidi="ar"/>
              </w:rPr>
              <w:t>8.控制方式：群组调光；</w:t>
            </w:r>
          </w:p>
        </w:tc>
      </w:tr>
      <w:tr w14:paraId="01538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484E0E6">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13</w:t>
            </w:r>
          </w:p>
        </w:tc>
        <w:tc>
          <w:tcPr>
            <w:tcW w:w="850" w:type="dxa"/>
            <w:vAlign w:val="center"/>
          </w:tcPr>
          <w:p w14:paraId="647CB70F">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展柜磁吸圆形轨道</w:t>
            </w:r>
          </w:p>
        </w:tc>
        <w:tc>
          <w:tcPr>
            <w:tcW w:w="851" w:type="dxa"/>
            <w:vAlign w:val="center"/>
          </w:tcPr>
          <w:p w14:paraId="79AC72B3">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100 </w:t>
            </w:r>
          </w:p>
        </w:tc>
        <w:tc>
          <w:tcPr>
            <w:tcW w:w="708" w:type="dxa"/>
            <w:vAlign w:val="center"/>
          </w:tcPr>
          <w:p w14:paraId="78894071">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根</w:t>
            </w:r>
          </w:p>
        </w:tc>
        <w:tc>
          <w:tcPr>
            <w:tcW w:w="6928" w:type="dxa"/>
            <w:vAlign w:val="center"/>
          </w:tcPr>
          <w:p w14:paraId="0FBC235E">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1.名称：8mm MINI磁吸圆形轨道；</w:t>
            </w:r>
          </w:p>
          <w:p w14:paraId="0751A745">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2.长度：100CM；</w:t>
            </w:r>
          </w:p>
          <w:p w14:paraId="51F213BE">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3.材质：氧化铝+镀锌铁板；</w:t>
            </w:r>
          </w:p>
          <w:p w14:paraId="20EF677E">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4.电路：镀铜（抗氧化）；</w:t>
            </w:r>
          </w:p>
          <w:p w14:paraId="0CE44978">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5.配件：不锈钢卡扣、螺丝、端盖；</w:t>
            </w:r>
          </w:p>
        </w:tc>
      </w:tr>
      <w:tr w14:paraId="5BF53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9A310B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14</w:t>
            </w:r>
          </w:p>
        </w:tc>
        <w:tc>
          <w:tcPr>
            <w:tcW w:w="850" w:type="dxa"/>
            <w:vAlign w:val="center"/>
          </w:tcPr>
          <w:p w14:paraId="59175130">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展柜磁吸有边</w:t>
            </w:r>
          </w:p>
          <w:p w14:paraId="4B77B995">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暗装轨道</w:t>
            </w:r>
          </w:p>
        </w:tc>
        <w:tc>
          <w:tcPr>
            <w:tcW w:w="851" w:type="dxa"/>
            <w:vAlign w:val="center"/>
          </w:tcPr>
          <w:p w14:paraId="695C4DB3">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30 </w:t>
            </w:r>
          </w:p>
        </w:tc>
        <w:tc>
          <w:tcPr>
            <w:tcW w:w="708" w:type="dxa"/>
            <w:vAlign w:val="center"/>
          </w:tcPr>
          <w:p w14:paraId="55E80F09">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盏</w:t>
            </w:r>
          </w:p>
        </w:tc>
        <w:tc>
          <w:tcPr>
            <w:tcW w:w="6928" w:type="dxa"/>
            <w:vAlign w:val="center"/>
          </w:tcPr>
          <w:p w14:paraId="5DF6B80F">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1.名称：8mm MINI磁吸有边暗装轨道；</w:t>
            </w:r>
          </w:p>
          <w:p w14:paraId="7A567955">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2.长度：100CM；</w:t>
            </w:r>
          </w:p>
          <w:p w14:paraId="3CA7D539">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3.材质：氧化铝+镀锌铁板；</w:t>
            </w:r>
          </w:p>
          <w:p w14:paraId="205C566C">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4.电路：镀铜（抗氧化）；</w:t>
            </w:r>
          </w:p>
          <w:p w14:paraId="5FA2F53C">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5.配件：不锈钢卡扣、螺丝、端盖；</w:t>
            </w:r>
          </w:p>
        </w:tc>
      </w:tr>
      <w:tr w14:paraId="4C318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98F5AD6">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15</w:t>
            </w:r>
          </w:p>
        </w:tc>
        <w:tc>
          <w:tcPr>
            <w:tcW w:w="850" w:type="dxa"/>
            <w:vAlign w:val="center"/>
          </w:tcPr>
          <w:p w14:paraId="52B74DE9">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磁吸轨道进电模块</w:t>
            </w:r>
          </w:p>
        </w:tc>
        <w:tc>
          <w:tcPr>
            <w:tcW w:w="851" w:type="dxa"/>
            <w:vAlign w:val="center"/>
          </w:tcPr>
          <w:p w14:paraId="5FB06B3E">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25</w:t>
            </w:r>
          </w:p>
        </w:tc>
        <w:tc>
          <w:tcPr>
            <w:tcW w:w="708" w:type="dxa"/>
            <w:vAlign w:val="center"/>
          </w:tcPr>
          <w:p w14:paraId="46DA381E">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6928" w:type="dxa"/>
            <w:vAlign w:val="center"/>
          </w:tcPr>
          <w:p w14:paraId="3D7B4ADE">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1.名称：8mm MINI磁吸轨道进电模块；</w:t>
            </w:r>
          </w:p>
          <w:p w14:paraId="1CA1F583">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2.电流：MAX 3A；</w:t>
            </w:r>
          </w:p>
        </w:tc>
      </w:tr>
      <w:tr w14:paraId="1ABE3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C2E36C6">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16</w:t>
            </w:r>
          </w:p>
        </w:tc>
        <w:tc>
          <w:tcPr>
            <w:tcW w:w="850" w:type="dxa"/>
            <w:vAlign w:val="center"/>
          </w:tcPr>
          <w:p w14:paraId="6181A0C5">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磁吸轨道导电连接器</w:t>
            </w:r>
          </w:p>
        </w:tc>
        <w:tc>
          <w:tcPr>
            <w:tcW w:w="851" w:type="dxa"/>
            <w:vAlign w:val="center"/>
          </w:tcPr>
          <w:p w14:paraId="40E0E67B">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50</w:t>
            </w:r>
          </w:p>
        </w:tc>
        <w:tc>
          <w:tcPr>
            <w:tcW w:w="708" w:type="dxa"/>
            <w:vAlign w:val="center"/>
          </w:tcPr>
          <w:p w14:paraId="69853F9E">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vAlign w:val="center"/>
          </w:tcPr>
          <w:p w14:paraId="6AB29F12">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1.名称：8mm MINI磁吸轨道导电连接器；</w:t>
            </w:r>
          </w:p>
          <w:p w14:paraId="0BB0143F">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2.电流：MAX 3A；</w:t>
            </w:r>
          </w:p>
        </w:tc>
      </w:tr>
      <w:tr w14:paraId="47995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777F24B">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17</w:t>
            </w:r>
          </w:p>
        </w:tc>
        <w:tc>
          <w:tcPr>
            <w:tcW w:w="850" w:type="dxa"/>
            <w:vAlign w:val="center"/>
          </w:tcPr>
          <w:p w14:paraId="1700975A">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明装射灯</w:t>
            </w:r>
          </w:p>
        </w:tc>
        <w:tc>
          <w:tcPr>
            <w:tcW w:w="851" w:type="dxa"/>
            <w:vAlign w:val="center"/>
          </w:tcPr>
          <w:p w14:paraId="31590895">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125</w:t>
            </w:r>
          </w:p>
        </w:tc>
        <w:tc>
          <w:tcPr>
            <w:tcW w:w="708" w:type="dxa"/>
            <w:vAlign w:val="center"/>
          </w:tcPr>
          <w:p w14:paraId="290C1BB0">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盏</w:t>
            </w:r>
          </w:p>
        </w:tc>
        <w:tc>
          <w:tcPr>
            <w:tcW w:w="6928" w:type="dxa"/>
            <w:vAlign w:val="center"/>
          </w:tcPr>
          <w:p w14:paraId="2CD034A3">
            <w:pPr>
              <w:widowControl/>
              <w:spacing w:line="360" w:lineRule="auto"/>
              <w:jc w:val="both"/>
              <w:textAlignment w:val="center"/>
              <w:rPr>
                <w:rStyle w:val="124"/>
                <w:rFonts w:hint="default"/>
                <w:sz w:val="21"/>
                <w:szCs w:val="21"/>
                <w:lang w:bidi="ar"/>
              </w:rPr>
            </w:pPr>
            <w:r>
              <w:rPr>
                <w:rStyle w:val="124"/>
                <w:rFonts w:hint="default"/>
                <w:sz w:val="21"/>
                <w:szCs w:val="21"/>
                <w:lang w:bidi="ar"/>
              </w:rPr>
              <w:t>1.名称：LED明装筒灯（黑色）；</w:t>
            </w:r>
          </w:p>
          <w:p w14:paraId="479CEAA9">
            <w:pPr>
              <w:widowControl/>
              <w:spacing w:line="360" w:lineRule="auto"/>
              <w:jc w:val="both"/>
              <w:textAlignment w:val="center"/>
              <w:rPr>
                <w:rStyle w:val="124"/>
                <w:rFonts w:hint="default"/>
                <w:sz w:val="21"/>
                <w:szCs w:val="21"/>
                <w:lang w:bidi="ar"/>
              </w:rPr>
            </w:pPr>
            <w:r>
              <w:rPr>
                <w:rStyle w:val="124"/>
                <w:rFonts w:hint="default"/>
                <w:sz w:val="21"/>
                <w:szCs w:val="21"/>
                <w:lang w:bidi="ar"/>
              </w:rPr>
              <w:t>2.光源：LED 13W；</w:t>
            </w:r>
          </w:p>
          <w:p w14:paraId="7E09F67A">
            <w:pPr>
              <w:widowControl/>
              <w:spacing w:line="360" w:lineRule="auto"/>
              <w:jc w:val="both"/>
              <w:textAlignment w:val="center"/>
              <w:rPr>
                <w:rStyle w:val="124"/>
                <w:rFonts w:hint="default"/>
                <w:sz w:val="21"/>
                <w:szCs w:val="21"/>
                <w:lang w:bidi="ar"/>
              </w:rPr>
            </w:pPr>
            <w:r>
              <w:rPr>
                <w:rStyle w:val="124"/>
                <w:rFonts w:hint="default"/>
                <w:sz w:val="21"/>
                <w:szCs w:val="21"/>
                <w:lang w:bidi="ar"/>
              </w:rPr>
              <w:t>3.色温：3000K/4000K；</w:t>
            </w:r>
          </w:p>
          <w:p w14:paraId="71D97904">
            <w:pPr>
              <w:widowControl/>
              <w:spacing w:line="360" w:lineRule="auto"/>
              <w:jc w:val="both"/>
              <w:textAlignment w:val="center"/>
              <w:rPr>
                <w:rStyle w:val="124"/>
                <w:rFonts w:hint="default"/>
                <w:sz w:val="21"/>
                <w:szCs w:val="21"/>
                <w:lang w:bidi="ar"/>
              </w:rPr>
            </w:pPr>
            <w:r>
              <w:rPr>
                <w:rStyle w:val="124"/>
                <w:rFonts w:hint="default"/>
                <w:sz w:val="21"/>
                <w:szCs w:val="21"/>
                <w:lang w:bidi="ar"/>
              </w:rPr>
              <w:t>4.光束角：50°；</w:t>
            </w:r>
          </w:p>
          <w:p w14:paraId="66FA3555">
            <w:pPr>
              <w:widowControl/>
              <w:spacing w:line="360" w:lineRule="auto"/>
              <w:jc w:val="both"/>
              <w:textAlignment w:val="center"/>
              <w:rPr>
                <w:rStyle w:val="124"/>
                <w:rFonts w:hint="default"/>
                <w:sz w:val="21"/>
                <w:szCs w:val="21"/>
                <w:lang w:bidi="ar"/>
              </w:rPr>
            </w:pPr>
            <w:r>
              <w:rPr>
                <w:rStyle w:val="124"/>
                <w:rFonts w:hint="default"/>
                <w:sz w:val="21"/>
                <w:szCs w:val="21"/>
                <w:lang w:bidi="ar"/>
              </w:rPr>
              <w:t>5.安装方式：固定式/格栅(吸顶)；</w:t>
            </w:r>
          </w:p>
          <w:p w14:paraId="7F62B493">
            <w:pPr>
              <w:widowControl/>
              <w:spacing w:line="360" w:lineRule="auto"/>
              <w:jc w:val="both"/>
              <w:textAlignment w:val="center"/>
              <w:rPr>
                <w:rStyle w:val="123"/>
                <w:rFonts w:hint="default"/>
                <w:color w:val="auto"/>
                <w:sz w:val="21"/>
                <w:szCs w:val="21"/>
              </w:rPr>
            </w:pPr>
            <w:r>
              <w:rPr>
                <w:rStyle w:val="124"/>
                <w:rFonts w:hint="default"/>
                <w:sz w:val="21"/>
                <w:szCs w:val="21"/>
                <w:lang w:bidi="ar"/>
              </w:rPr>
              <w:t>6.材质：铝+PC；</w:t>
            </w:r>
          </w:p>
        </w:tc>
      </w:tr>
      <w:tr w14:paraId="273F4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D2C46D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18</w:t>
            </w:r>
          </w:p>
        </w:tc>
        <w:tc>
          <w:tcPr>
            <w:tcW w:w="850" w:type="dxa"/>
            <w:vAlign w:val="center"/>
          </w:tcPr>
          <w:p w14:paraId="0ED46AE7">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低压线性灯带</w:t>
            </w:r>
          </w:p>
        </w:tc>
        <w:tc>
          <w:tcPr>
            <w:tcW w:w="851" w:type="dxa"/>
            <w:vAlign w:val="center"/>
          </w:tcPr>
          <w:p w14:paraId="08785DA4">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100 </w:t>
            </w:r>
          </w:p>
        </w:tc>
        <w:tc>
          <w:tcPr>
            <w:tcW w:w="708" w:type="dxa"/>
            <w:vAlign w:val="center"/>
          </w:tcPr>
          <w:p w14:paraId="68DD0163">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米</w:t>
            </w:r>
          </w:p>
        </w:tc>
        <w:tc>
          <w:tcPr>
            <w:tcW w:w="6928" w:type="dxa"/>
            <w:vAlign w:val="center"/>
          </w:tcPr>
          <w:p w14:paraId="1D8A09B1">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1.名称：LED 24V灯带；</w:t>
            </w:r>
          </w:p>
          <w:p w14:paraId="2404BA17">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2.尺寸：W5H1.2mm 10m/卷；</w:t>
            </w:r>
          </w:p>
          <w:p w14:paraId="6743C00A">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3.光源：LED 4.5-12W/m；</w:t>
            </w:r>
          </w:p>
          <w:p w14:paraId="4B68B561">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4.色温：3000K/4000K；</w:t>
            </w:r>
          </w:p>
          <w:p w14:paraId="5732DD2F">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5.光束角：泛光；</w:t>
            </w:r>
          </w:p>
          <w:p w14:paraId="7085AD12">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6.安装方式：固定式；</w:t>
            </w:r>
          </w:p>
          <w:p w14:paraId="0B0467E5">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7.材质：裸板；</w:t>
            </w:r>
          </w:p>
        </w:tc>
      </w:tr>
      <w:tr w14:paraId="264EC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C20CD5A">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19</w:t>
            </w:r>
          </w:p>
        </w:tc>
        <w:tc>
          <w:tcPr>
            <w:tcW w:w="850" w:type="dxa"/>
            <w:vAlign w:val="center"/>
          </w:tcPr>
          <w:p w14:paraId="71481F2A">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软膜天花</w:t>
            </w:r>
          </w:p>
        </w:tc>
        <w:tc>
          <w:tcPr>
            <w:tcW w:w="851" w:type="dxa"/>
            <w:vAlign w:val="center"/>
          </w:tcPr>
          <w:p w14:paraId="015BDF5E">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2 </w:t>
            </w:r>
          </w:p>
        </w:tc>
        <w:tc>
          <w:tcPr>
            <w:tcW w:w="708" w:type="dxa"/>
            <w:vAlign w:val="center"/>
          </w:tcPr>
          <w:p w14:paraId="1E01A39B">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vAlign w:val="center"/>
          </w:tcPr>
          <w:p w14:paraId="65853DCD">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1.名称：LED 软膜天花；</w:t>
            </w:r>
          </w:p>
          <w:p w14:paraId="493CB363">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2.尺寸：φ3200*150mm；</w:t>
            </w:r>
          </w:p>
          <w:p w14:paraId="41C7256A">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3.光束角：正面出光；</w:t>
            </w:r>
          </w:p>
          <w:p w14:paraId="3ECE88C3">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4.色温：3000K/4000K；</w:t>
            </w:r>
          </w:p>
          <w:p w14:paraId="78B181C4">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5.安装方式：嵌入式安装；</w:t>
            </w:r>
          </w:p>
          <w:p w14:paraId="0BC7C8BF">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6.材质：铝材 120W/㎡；</w:t>
            </w:r>
          </w:p>
          <w:p w14:paraId="3E9AE85E">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7.控制方式：DALI；</w:t>
            </w:r>
          </w:p>
        </w:tc>
      </w:tr>
      <w:tr w14:paraId="2B203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5794AC1">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20</w:t>
            </w:r>
          </w:p>
        </w:tc>
        <w:tc>
          <w:tcPr>
            <w:tcW w:w="850" w:type="dxa"/>
            <w:vAlign w:val="center"/>
          </w:tcPr>
          <w:p w14:paraId="154D287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软膜天花</w:t>
            </w:r>
          </w:p>
        </w:tc>
        <w:tc>
          <w:tcPr>
            <w:tcW w:w="851" w:type="dxa"/>
            <w:vAlign w:val="center"/>
          </w:tcPr>
          <w:p w14:paraId="08DBD6B7">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27 </w:t>
            </w:r>
          </w:p>
        </w:tc>
        <w:tc>
          <w:tcPr>
            <w:tcW w:w="708" w:type="dxa"/>
            <w:vAlign w:val="center"/>
          </w:tcPr>
          <w:p w14:paraId="6C61B734">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米</w:t>
            </w:r>
          </w:p>
        </w:tc>
        <w:tc>
          <w:tcPr>
            <w:tcW w:w="6928" w:type="dxa"/>
            <w:vAlign w:val="center"/>
          </w:tcPr>
          <w:p w14:paraId="48658F9D">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1.名称：LED 软膜天花；</w:t>
            </w:r>
          </w:p>
          <w:p w14:paraId="2D02FE43">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2.尺寸：600*150mm；</w:t>
            </w:r>
          </w:p>
          <w:p w14:paraId="6C3076FD">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3.光束角：正面出光；</w:t>
            </w:r>
          </w:p>
          <w:p w14:paraId="5DECA27E">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4.色温：3000K/4000K；</w:t>
            </w:r>
          </w:p>
          <w:p w14:paraId="78994638">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5.安装方式：嵌入式安装；</w:t>
            </w:r>
          </w:p>
          <w:p w14:paraId="7332547E">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6.材质：铝材 120W/㎡；</w:t>
            </w:r>
          </w:p>
          <w:p w14:paraId="4B7DFC88">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7.控制方式：DALI；</w:t>
            </w:r>
          </w:p>
        </w:tc>
      </w:tr>
      <w:tr w14:paraId="5D224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42EA46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21</w:t>
            </w:r>
          </w:p>
        </w:tc>
        <w:tc>
          <w:tcPr>
            <w:tcW w:w="850" w:type="dxa"/>
            <w:vAlign w:val="center"/>
          </w:tcPr>
          <w:p w14:paraId="1D625AD5">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定制型材</w:t>
            </w:r>
          </w:p>
        </w:tc>
        <w:tc>
          <w:tcPr>
            <w:tcW w:w="851" w:type="dxa"/>
            <w:vAlign w:val="center"/>
          </w:tcPr>
          <w:p w14:paraId="161DCB2C">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38 </w:t>
            </w:r>
          </w:p>
        </w:tc>
        <w:tc>
          <w:tcPr>
            <w:tcW w:w="708" w:type="dxa"/>
            <w:vAlign w:val="center"/>
          </w:tcPr>
          <w:p w14:paraId="6ABD490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米</w:t>
            </w:r>
          </w:p>
        </w:tc>
        <w:tc>
          <w:tcPr>
            <w:tcW w:w="6928" w:type="dxa"/>
            <w:vAlign w:val="center"/>
          </w:tcPr>
          <w:p w14:paraId="4D9509DE">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1.定制铝型材；</w:t>
            </w:r>
          </w:p>
          <w:p w14:paraId="1D767227">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2.尺寸：20*13mm 带边 ；</w:t>
            </w:r>
          </w:p>
          <w:p w14:paraId="36B14422">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3.光束角：正面出光；</w:t>
            </w:r>
          </w:p>
          <w:p w14:paraId="343CAEFE">
            <w:pPr>
              <w:widowControl/>
              <w:spacing w:line="360" w:lineRule="auto"/>
              <w:jc w:val="both"/>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4.安装方式：预埋安装；</w:t>
            </w:r>
          </w:p>
          <w:p w14:paraId="6806EDAB">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lang w:bidi="ar"/>
              </w:rPr>
              <w:t>5.材质：铝；</w:t>
            </w:r>
          </w:p>
        </w:tc>
      </w:tr>
      <w:tr w14:paraId="0DE4C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654E956">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22</w:t>
            </w:r>
          </w:p>
        </w:tc>
        <w:tc>
          <w:tcPr>
            <w:tcW w:w="850" w:type="dxa"/>
            <w:vAlign w:val="center"/>
          </w:tcPr>
          <w:p w14:paraId="67FFEAE8">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恒压</w:t>
            </w:r>
          </w:p>
          <w:p w14:paraId="0B647874">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调光调色寻址设备</w:t>
            </w:r>
          </w:p>
        </w:tc>
        <w:tc>
          <w:tcPr>
            <w:tcW w:w="851" w:type="dxa"/>
            <w:vAlign w:val="center"/>
          </w:tcPr>
          <w:p w14:paraId="28B38ECC">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18 </w:t>
            </w:r>
          </w:p>
        </w:tc>
        <w:tc>
          <w:tcPr>
            <w:tcW w:w="708" w:type="dxa"/>
            <w:vAlign w:val="center"/>
          </w:tcPr>
          <w:p w14:paraId="7180CDAD">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6928" w:type="dxa"/>
            <w:vAlign w:val="center"/>
          </w:tcPr>
          <w:p w14:paraId="6C0A725C">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1.输出电压：DC24V；</w:t>
            </w:r>
          </w:p>
          <w:p w14:paraId="1A0964AC">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2.输出功率: Max.80W Max.3.3A；</w:t>
            </w:r>
          </w:p>
          <w:p w14:paraId="7AC102B5">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3.调光范围：0.1-100% PWM 恒压输出；</w:t>
            </w:r>
          </w:p>
          <w:p w14:paraId="5DD264B3">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4.内置 KEEY-BUS（DALI2 兼容）接口；</w:t>
            </w:r>
          </w:p>
          <w:p w14:paraId="7494210E">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highlight w:val="none"/>
                <w:lang w:bidi="ar"/>
              </w:rPr>
              <w:t>5.外观尺寸：约233.5*54.5*29mm φ62mm；</w:t>
            </w:r>
          </w:p>
        </w:tc>
      </w:tr>
      <w:tr w14:paraId="51A4A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332CBFA">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23</w:t>
            </w:r>
          </w:p>
        </w:tc>
        <w:tc>
          <w:tcPr>
            <w:tcW w:w="850" w:type="dxa"/>
            <w:vAlign w:val="center"/>
          </w:tcPr>
          <w:p w14:paraId="4A0D280C">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恒压</w:t>
            </w:r>
          </w:p>
          <w:p w14:paraId="277CC67F">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调光调色寻址设备</w:t>
            </w:r>
          </w:p>
        </w:tc>
        <w:tc>
          <w:tcPr>
            <w:tcW w:w="851" w:type="dxa"/>
            <w:vAlign w:val="center"/>
          </w:tcPr>
          <w:p w14:paraId="550D5785">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 xml:space="preserve">26 </w:t>
            </w:r>
          </w:p>
        </w:tc>
        <w:tc>
          <w:tcPr>
            <w:tcW w:w="708" w:type="dxa"/>
            <w:vAlign w:val="center"/>
          </w:tcPr>
          <w:p w14:paraId="7D9A03A0">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6928" w:type="dxa"/>
            <w:vAlign w:val="center"/>
          </w:tcPr>
          <w:p w14:paraId="3A461E14">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1.输出电压：DC24V；</w:t>
            </w:r>
          </w:p>
          <w:p w14:paraId="098BCB91">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2.输出功率: Max.150W Max.6.25A；</w:t>
            </w:r>
          </w:p>
          <w:p w14:paraId="661804EC">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3.调光范围：0.1-100% PWM 恒压输出；</w:t>
            </w:r>
          </w:p>
          <w:p w14:paraId="4C4C58BA">
            <w:pPr>
              <w:widowControl/>
              <w:spacing w:line="360" w:lineRule="auto"/>
              <w:jc w:val="both"/>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4.内置 KEEY-BUS（DALI2 兼容）接口；</w:t>
            </w:r>
          </w:p>
          <w:p w14:paraId="4AF5CAF5">
            <w:pPr>
              <w:widowControl/>
              <w:spacing w:line="360" w:lineRule="auto"/>
              <w:jc w:val="both"/>
              <w:textAlignment w:val="center"/>
              <w:rPr>
                <w:rStyle w:val="123"/>
                <w:rFonts w:hint="default"/>
                <w:color w:val="auto"/>
                <w:sz w:val="21"/>
                <w:szCs w:val="21"/>
              </w:rPr>
            </w:pPr>
            <w:r>
              <w:rPr>
                <w:rFonts w:hint="eastAsia" w:ascii="宋体" w:hAnsi="宋体" w:cs="宋体"/>
                <w:color w:val="000000"/>
                <w:kern w:val="0"/>
                <w:szCs w:val="21"/>
                <w:highlight w:val="none"/>
                <w:lang w:bidi="ar"/>
              </w:rPr>
              <w:t>5.外观尺寸：约268*59*35mm φ68mm；</w:t>
            </w:r>
          </w:p>
        </w:tc>
      </w:tr>
      <w:tr w14:paraId="090A595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tcPr>
          <w:p w14:paraId="6476DE62">
            <w:pPr>
              <w:spacing w:line="400" w:lineRule="exact"/>
              <w:rPr>
                <w:rFonts w:hint="eastAsia" w:ascii="宋体" w:hAnsi="宋体" w:cs="宋体"/>
                <w:szCs w:val="21"/>
              </w:rPr>
            </w:pPr>
            <w:r>
              <w:rPr>
                <w:rFonts w:hint="eastAsia" w:ascii="宋体" w:hAnsi="宋体" w:cs="宋体"/>
                <w:szCs w:val="21"/>
              </w:rPr>
              <w:t>▲</w:t>
            </w:r>
            <w:r>
              <w:rPr>
                <w:rFonts w:hint="eastAsia" w:ascii="宋体" w:hAnsi="宋体" w:cs="宋体"/>
                <w:b/>
                <w:szCs w:val="21"/>
              </w:rPr>
              <w:t>一、商务要求</w:t>
            </w:r>
          </w:p>
        </w:tc>
      </w:tr>
      <w:tr w14:paraId="216344D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33F856F7">
            <w:pPr>
              <w:spacing w:line="360" w:lineRule="auto"/>
              <w:jc w:val="center"/>
              <w:rPr>
                <w:rFonts w:hint="eastAsia" w:ascii="宋体" w:hAnsi="宋体" w:cs="宋体"/>
                <w:szCs w:val="21"/>
              </w:rPr>
            </w:pPr>
            <w:r>
              <w:rPr>
                <w:rFonts w:hint="eastAsia" w:ascii="宋体" w:hAnsi="宋体" w:cs="宋体"/>
                <w:kern w:val="0"/>
                <w:szCs w:val="21"/>
              </w:rPr>
              <w:t>合同签订期</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2F643085">
            <w:pPr>
              <w:spacing w:line="360" w:lineRule="auto"/>
              <w:jc w:val="left"/>
              <w:rPr>
                <w:rFonts w:hint="eastAsia" w:ascii="宋体" w:hAnsi="宋体" w:cs="宋体"/>
                <w:kern w:val="0"/>
                <w:szCs w:val="21"/>
              </w:rPr>
            </w:pPr>
            <w:r>
              <w:rPr>
                <w:rFonts w:hint="eastAsia" w:ascii="宋体" w:hAnsi="宋体"/>
                <w:szCs w:val="21"/>
              </w:rPr>
              <w:t>自中标通知书发出之日起25 日内</w:t>
            </w:r>
          </w:p>
        </w:tc>
      </w:tr>
      <w:tr w14:paraId="00E7141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4023926A">
            <w:pPr>
              <w:spacing w:line="400" w:lineRule="exact"/>
              <w:jc w:val="center"/>
              <w:rPr>
                <w:rFonts w:hint="eastAsia" w:ascii="宋体" w:hAnsi="宋体" w:cs="宋体"/>
                <w:szCs w:val="21"/>
              </w:rPr>
            </w:pPr>
            <w:r>
              <w:rPr>
                <w:rFonts w:ascii="宋体" w:hAnsi="宋体"/>
                <w:kern w:val="0"/>
                <w:szCs w:val="21"/>
              </w:rPr>
              <w:t>交货期</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6298A91F">
            <w:pPr>
              <w:spacing w:line="400" w:lineRule="exact"/>
              <w:rPr>
                <w:rFonts w:hint="eastAsia" w:ascii="宋体" w:hAnsi="宋体" w:cs="宋体"/>
                <w:szCs w:val="21"/>
              </w:rPr>
            </w:pPr>
            <w:r>
              <w:rPr>
                <w:rFonts w:hint="eastAsia" w:ascii="宋体" w:hAnsi="宋体"/>
                <w:kern w:val="0"/>
                <w:szCs w:val="21"/>
              </w:rPr>
              <w:t>自合同签订之日起30天内全部货物交货验收并安装调试完毕。</w:t>
            </w:r>
          </w:p>
        </w:tc>
      </w:tr>
      <w:tr w14:paraId="6A6E794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4F66C338">
            <w:pPr>
              <w:spacing w:line="400" w:lineRule="exact"/>
              <w:jc w:val="center"/>
              <w:rPr>
                <w:rFonts w:hint="eastAsia" w:ascii="宋体" w:hAnsi="宋体" w:cs="宋体"/>
                <w:szCs w:val="21"/>
              </w:rPr>
            </w:pPr>
            <w:r>
              <w:rPr>
                <w:rFonts w:hint="eastAsia" w:ascii="宋体" w:hAnsi="宋体"/>
                <w:szCs w:val="21"/>
              </w:rPr>
              <w:t>交付设备生产日期</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64DC731E">
            <w:pPr>
              <w:spacing w:line="400" w:lineRule="exact"/>
              <w:rPr>
                <w:rFonts w:hint="eastAsia" w:ascii="宋体" w:hAnsi="宋体" w:cs="宋体"/>
                <w:szCs w:val="21"/>
              </w:rPr>
            </w:pPr>
            <w:r>
              <w:rPr>
                <w:rFonts w:hint="eastAsia" w:ascii="宋体" w:hAnsi="宋体"/>
                <w:szCs w:val="21"/>
              </w:rPr>
              <w:t>应当为交付时间前1年内生产。</w:t>
            </w:r>
          </w:p>
        </w:tc>
      </w:tr>
      <w:tr w14:paraId="0667786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786B273A">
            <w:pPr>
              <w:spacing w:line="400" w:lineRule="exact"/>
              <w:jc w:val="center"/>
              <w:rPr>
                <w:rFonts w:hint="eastAsia" w:ascii="宋体" w:hAnsi="宋体" w:cs="宋体"/>
                <w:szCs w:val="21"/>
              </w:rPr>
            </w:pPr>
            <w:r>
              <w:rPr>
                <w:rFonts w:ascii="宋体" w:hAnsi="宋体"/>
                <w:kern w:val="0"/>
                <w:szCs w:val="21"/>
              </w:rPr>
              <w:t>交货地点</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4D9CA2DA">
            <w:pPr>
              <w:spacing w:line="400" w:lineRule="exact"/>
              <w:rPr>
                <w:rFonts w:hint="eastAsia" w:ascii="宋体" w:hAnsi="宋体" w:cs="宋体"/>
                <w:szCs w:val="21"/>
              </w:rPr>
            </w:pPr>
            <w:r>
              <w:rPr>
                <w:rFonts w:hint="eastAsia" w:ascii="宋体" w:hAnsi="宋体"/>
                <w:szCs w:val="21"/>
              </w:rPr>
              <w:t>广西艺术学院指定地点</w:t>
            </w:r>
          </w:p>
        </w:tc>
      </w:tr>
      <w:tr w14:paraId="795C86D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3316A36D">
            <w:pPr>
              <w:spacing w:line="400" w:lineRule="exact"/>
              <w:jc w:val="center"/>
              <w:rPr>
                <w:rFonts w:hint="eastAsia" w:ascii="宋体" w:hAnsi="宋体" w:cs="宋体"/>
                <w:szCs w:val="21"/>
              </w:rPr>
            </w:pPr>
            <w:r>
              <w:rPr>
                <w:rFonts w:ascii="宋体" w:hAnsi="宋体"/>
                <w:kern w:val="0"/>
                <w:szCs w:val="21"/>
              </w:rPr>
              <w:t>交货方式</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7407694A">
            <w:pPr>
              <w:spacing w:line="400" w:lineRule="exact"/>
              <w:rPr>
                <w:rFonts w:hint="eastAsia" w:ascii="宋体" w:hAnsi="宋体" w:cs="宋体"/>
                <w:szCs w:val="21"/>
              </w:rPr>
            </w:pPr>
            <w:r>
              <w:rPr>
                <w:rFonts w:ascii="宋体" w:hAnsi="宋体"/>
                <w:kern w:val="0"/>
                <w:szCs w:val="21"/>
              </w:rPr>
              <w:t>现场交货</w:t>
            </w:r>
          </w:p>
        </w:tc>
      </w:tr>
      <w:tr w14:paraId="3B0398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3DAA760C">
            <w:pPr>
              <w:spacing w:line="400" w:lineRule="exact"/>
              <w:jc w:val="center"/>
              <w:rPr>
                <w:rFonts w:hint="eastAsia" w:ascii="宋体" w:hAnsi="宋体" w:cs="宋体"/>
                <w:szCs w:val="21"/>
              </w:rPr>
            </w:pPr>
            <w:r>
              <w:rPr>
                <w:rFonts w:ascii="宋体" w:hAnsi="宋体"/>
                <w:kern w:val="0"/>
                <w:szCs w:val="21"/>
              </w:rPr>
              <w:t>售后服务要求</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2D82FCD0">
            <w:pPr>
              <w:spacing w:line="400" w:lineRule="exact"/>
              <w:rPr>
                <w:rFonts w:hint="eastAsia" w:ascii="宋体" w:hAnsi="宋体"/>
                <w:szCs w:val="21"/>
              </w:rPr>
            </w:pPr>
            <w:r>
              <w:rPr>
                <w:rFonts w:hint="eastAsia" w:ascii="宋体" w:hAnsi="宋体"/>
                <w:szCs w:val="21"/>
              </w:rPr>
              <w:t>1.质保期：除采购项目需求的“技术要求”中另有约定外，其余产品按国家有关产品“三包”规定执行“三包”，质保期最短不得少于2年。若产品生产厂家质保期超过此年限的，合同履行过程中按厂家质保执行；若中标供应商质保期承诺优于产品生产厂家质保年限的，以中标供应商承诺执行。质保期内负责上门服务、维修、更换配件，不得收取任何费用。（自双方验收合格之日起计）。</w:t>
            </w:r>
          </w:p>
          <w:p w14:paraId="478BB208">
            <w:pPr>
              <w:spacing w:line="400" w:lineRule="exact"/>
              <w:rPr>
                <w:rFonts w:hint="eastAsia" w:ascii="宋体" w:hAnsi="宋体"/>
                <w:szCs w:val="21"/>
              </w:rPr>
            </w:pPr>
            <w:r>
              <w:rPr>
                <w:rFonts w:hint="eastAsia" w:ascii="宋体" w:hAnsi="宋体"/>
                <w:szCs w:val="21"/>
              </w:rPr>
              <w:t>2.负责送货到采购人指定地点，协助采购人进行安装场地设计，负责安装、调试，安装应符合国家行业相关标准、规范及规定。</w:t>
            </w:r>
          </w:p>
          <w:p w14:paraId="0F702535">
            <w:pPr>
              <w:spacing w:line="400" w:lineRule="exact"/>
              <w:rPr>
                <w:rFonts w:hint="eastAsia" w:ascii="宋体" w:hAnsi="宋体"/>
                <w:szCs w:val="21"/>
              </w:rPr>
            </w:pPr>
            <w:r>
              <w:rPr>
                <w:rFonts w:hint="eastAsia" w:ascii="宋体" w:hAnsi="宋体"/>
                <w:szCs w:val="21"/>
              </w:rPr>
              <w:t>3.质保期内为采购人提供完善的设备、操作培训和维修技术人员的培训，确保采购人有关人员能独立操作使用设备；培训人数由采购人确定。</w:t>
            </w:r>
          </w:p>
          <w:p w14:paraId="30D94C5C">
            <w:pPr>
              <w:spacing w:line="400" w:lineRule="exact"/>
              <w:rPr>
                <w:rFonts w:hint="eastAsia" w:ascii="宋体" w:hAnsi="宋体"/>
                <w:szCs w:val="21"/>
              </w:rPr>
            </w:pPr>
            <w:r>
              <w:rPr>
                <w:rFonts w:hint="eastAsia" w:ascii="宋体" w:hAnsi="宋体"/>
                <w:szCs w:val="21"/>
              </w:rPr>
              <w:t>4.设备安装调试期间采购人及中标人双方必须安排人员到场，采购人只负责协调及监督工作，中标人应当安排足够人员到场负责进行装卸、调试。清理装机产生的木箱等工作；</w:t>
            </w:r>
          </w:p>
          <w:p w14:paraId="0F384268">
            <w:pPr>
              <w:spacing w:line="400" w:lineRule="exact"/>
              <w:rPr>
                <w:rFonts w:hint="eastAsia" w:ascii="宋体" w:hAnsi="宋体"/>
                <w:szCs w:val="21"/>
              </w:rPr>
            </w:pPr>
            <w:r>
              <w:rPr>
                <w:rFonts w:hint="eastAsia" w:ascii="宋体" w:hAnsi="宋体"/>
                <w:szCs w:val="21"/>
              </w:rPr>
              <w:t>5.故障响应时间：设备在使用过程中发生质量问题，中标人技术人员在接到采购人通知后12小时响应，24小时内到达采购人现场解决处理。</w:t>
            </w:r>
          </w:p>
          <w:p w14:paraId="52085351">
            <w:pPr>
              <w:spacing w:line="400" w:lineRule="exact"/>
              <w:rPr>
                <w:rFonts w:hint="eastAsia" w:ascii="宋体" w:hAnsi="宋体"/>
                <w:szCs w:val="21"/>
              </w:rPr>
            </w:pPr>
            <w:r>
              <w:rPr>
                <w:rFonts w:hint="eastAsia" w:ascii="宋体" w:hAnsi="宋体"/>
                <w:szCs w:val="21"/>
              </w:rPr>
              <w:t>6.每半年至少进行一次定期回访以及对设备保养。</w:t>
            </w:r>
          </w:p>
          <w:p w14:paraId="687D4CE4">
            <w:pPr>
              <w:spacing w:line="400" w:lineRule="exact"/>
              <w:rPr>
                <w:rFonts w:hint="eastAsia" w:ascii="宋体" w:hAnsi="宋体" w:cs="宋体"/>
                <w:szCs w:val="21"/>
              </w:rPr>
            </w:pPr>
            <w:r>
              <w:rPr>
                <w:rFonts w:hint="eastAsia" w:ascii="宋体" w:hAnsi="宋体"/>
                <w:szCs w:val="21"/>
              </w:rPr>
              <w:t>7.投标人应保证提供的是全新未经使用的合格产品。</w:t>
            </w:r>
          </w:p>
        </w:tc>
      </w:tr>
      <w:tr w14:paraId="2C4AA28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1C6647F6">
            <w:pPr>
              <w:spacing w:line="360" w:lineRule="auto"/>
              <w:jc w:val="center"/>
              <w:rPr>
                <w:rFonts w:hint="eastAsia" w:ascii="宋体" w:hAnsi="宋体" w:cs="宋体"/>
                <w:szCs w:val="21"/>
              </w:rPr>
            </w:pPr>
            <w:r>
              <w:rPr>
                <w:rFonts w:hint="eastAsia" w:ascii="宋体" w:hAnsi="宋体" w:cs="宋体"/>
                <w:szCs w:val="21"/>
              </w:rPr>
              <w:t>付款条件</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5AD3FB76">
            <w:pPr>
              <w:adjustRightInd w:val="0"/>
              <w:snapToGrid w:val="0"/>
              <w:spacing w:line="360" w:lineRule="auto"/>
              <w:rPr>
                <w:rFonts w:hint="eastAsia" w:ascii="宋体" w:hAnsi="宋体" w:cs="宋体"/>
                <w:szCs w:val="21"/>
              </w:rPr>
            </w:pPr>
            <w:r>
              <w:rPr>
                <w:rFonts w:hint="eastAsia" w:ascii="宋体" w:hAnsi="宋体" w:cs="宋体"/>
                <w:szCs w:val="21"/>
              </w:rPr>
              <w:t>1.预付款：签订合同之日起10个工作日内，中标人开具合同总价款的 30%的等额价值保函(保函有效期应在</w:t>
            </w:r>
            <w:r>
              <w:rPr>
                <w:rFonts w:hint="eastAsia" w:ascii="宋体" w:hAnsi="宋体" w:cs="宋体"/>
                <w:szCs w:val="21"/>
                <w:lang w:eastAsia="zh-CN"/>
              </w:rPr>
              <w:t>2025年12月31日后</w:t>
            </w:r>
            <w:r>
              <w:rPr>
                <w:rFonts w:hint="eastAsia" w:ascii="宋体" w:hAnsi="宋体" w:cs="宋体"/>
                <w:szCs w:val="21"/>
              </w:rPr>
              <w:t>)给采购人后，采购人支付合同总价款的30%作为预付款。</w:t>
            </w:r>
          </w:p>
          <w:p w14:paraId="2D429F67">
            <w:pPr>
              <w:adjustRightInd w:val="0"/>
              <w:snapToGrid w:val="0"/>
              <w:spacing w:line="360" w:lineRule="auto"/>
              <w:rPr>
                <w:rFonts w:hint="eastAsia" w:ascii="宋体" w:hAnsi="宋体" w:cs="宋体"/>
                <w:szCs w:val="21"/>
              </w:rPr>
            </w:pPr>
            <w:r>
              <w:rPr>
                <w:rFonts w:hint="eastAsia" w:ascii="宋体" w:hAnsi="宋体" w:cs="宋体"/>
                <w:szCs w:val="21"/>
              </w:rPr>
              <w:t>2.进度款：全部设备到货后，经采购人确认后在十个工作日内向中标人付款方式支付合同价款的50%；所有货物安装调试完成、试运行正常且验收合格，并经采购人确认后，在十个工作日内向中标人支付合同价款的20%。</w:t>
            </w:r>
          </w:p>
          <w:p w14:paraId="7EA29D27">
            <w:pPr>
              <w:adjustRightInd w:val="0"/>
              <w:snapToGrid w:val="0"/>
              <w:spacing w:line="360" w:lineRule="auto"/>
              <w:rPr>
                <w:rFonts w:hint="eastAsia" w:ascii="宋体" w:hAnsi="宋体" w:cs="宋体"/>
                <w:szCs w:val="21"/>
              </w:rPr>
            </w:pPr>
            <w:r>
              <w:rPr>
                <w:rFonts w:hint="eastAsia" w:ascii="宋体" w:hAnsi="宋体" w:cs="宋体"/>
                <w:szCs w:val="21"/>
              </w:rPr>
              <w:t>3.以上各项付款以采购人预算资金实际到位情况为准。</w:t>
            </w:r>
          </w:p>
          <w:p w14:paraId="15B1A13A">
            <w:pPr>
              <w:adjustRightInd w:val="0"/>
              <w:snapToGrid w:val="0"/>
              <w:spacing w:line="360" w:lineRule="auto"/>
              <w:rPr>
                <w:rFonts w:hint="eastAsia" w:ascii="宋体" w:hAnsi="宋体" w:cs="宋体"/>
                <w:szCs w:val="21"/>
              </w:rPr>
            </w:pPr>
            <w:r>
              <w:rPr>
                <w:rFonts w:hint="eastAsia" w:ascii="宋体" w:hAnsi="宋体" w:cs="宋体"/>
                <w:szCs w:val="21"/>
              </w:rPr>
              <w:t>4.以上各项付款所需凭证将在签订合同时做具体规定。</w:t>
            </w:r>
          </w:p>
        </w:tc>
      </w:tr>
      <w:tr w14:paraId="5061576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4BBA748F">
            <w:pPr>
              <w:spacing w:line="400" w:lineRule="exact"/>
              <w:jc w:val="center"/>
              <w:rPr>
                <w:rFonts w:hint="eastAsia" w:ascii="宋体" w:hAnsi="宋体" w:cs="宋体"/>
                <w:szCs w:val="21"/>
              </w:rPr>
            </w:pPr>
            <w:r>
              <w:rPr>
                <w:rFonts w:hint="eastAsia" w:ascii="宋体" w:hAnsi="宋体"/>
                <w:kern w:val="0"/>
                <w:szCs w:val="21"/>
              </w:rPr>
              <w:t>投标报价</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2FB78105">
            <w:pPr>
              <w:spacing w:line="400" w:lineRule="exact"/>
              <w:rPr>
                <w:rFonts w:hint="eastAsia" w:ascii="宋体" w:hAnsi="宋体"/>
                <w:szCs w:val="21"/>
              </w:rPr>
            </w:pPr>
            <w:r>
              <w:rPr>
                <w:rFonts w:hint="eastAsia" w:ascii="宋体" w:hAnsi="宋体"/>
                <w:szCs w:val="21"/>
              </w:rPr>
              <w:t>投标总报价为现场交货价，包括：</w:t>
            </w:r>
          </w:p>
          <w:p w14:paraId="4F83CF87">
            <w:pPr>
              <w:spacing w:line="400" w:lineRule="exact"/>
              <w:rPr>
                <w:rFonts w:hint="eastAsia" w:ascii="宋体" w:hAnsi="宋体"/>
                <w:szCs w:val="21"/>
              </w:rPr>
            </w:pPr>
            <w:r>
              <w:rPr>
                <w:rFonts w:hint="eastAsia" w:ascii="宋体" w:hAnsi="宋体"/>
                <w:szCs w:val="21"/>
              </w:rPr>
              <w:t>（1）货物的价格；</w:t>
            </w:r>
          </w:p>
          <w:p w14:paraId="6F985804">
            <w:pPr>
              <w:spacing w:line="400" w:lineRule="exact"/>
              <w:rPr>
                <w:rFonts w:hint="eastAsia" w:ascii="宋体" w:hAnsi="宋体"/>
                <w:szCs w:val="21"/>
              </w:rPr>
            </w:pPr>
            <w:r>
              <w:rPr>
                <w:rFonts w:hint="eastAsia" w:ascii="宋体" w:hAnsi="宋体"/>
                <w:szCs w:val="21"/>
              </w:rPr>
              <w:t>（2）货物的标准附件、备品备件、专用工具的价格；</w:t>
            </w:r>
          </w:p>
          <w:p w14:paraId="552FD1FA">
            <w:pPr>
              <w:spacing w:line="400" w:lineRule="exact"/>
              <w:rPr>
                <w:rFonts w:hint="eastAsia" w:ascii="宋体" w:hAnsi="宋体"/>
                <w:szCs w:val="21"/>
              </w:rPr>
            </w:pPr>
            <w:r>
              <w:rPr>
                <w:rFonts w:hint="eastAsia" w:ascii="宋体" w:hAnsi="宋体"/>
                <w:szCs w:val="21"/>
              </w:rPr>
              <w:t>（3）运输、调试、培训、技术支持、售后服务等费用；</w:t>
            </w:r>
          </w:p>
          <w:p w14:paraId="6332070B">
            <w:pPr>
              <w:spacing w:line="400" w:lineRule="exact"/>
              <w:rPr>
                <w:rFonts w:hint="eastAsia" w:ascii="宋体" w:hAnsi="宋体"/>
                <w:szCs w:val="21"/>
              </w:rPr>
            </w:pPr>
            <w:r>
              <w:rPr>
                <w:rFonts w:hint="eastAsia" w:ascii="宋体" w:hAnsi="宋体"/>
                <w:szCs w:val="21"/>
              </w:rPr>
              <w:t>（4）安装费用；</w:t>
            </w:r>
          </w:p>
          <w:p w14:paraId="0AC01DC7">
            <w:pPr>
              <w:spacing w:line="400" w:lineRule="exact"/>
              <w:rPr>
                <w:rFonts w:hint="eastAsia" w:ascii="宋体" w:hAnsi="宋体"/>
                <w:szCs w:val="21"/>
              </w:rPr>
            </w:pPr>
            <w:r>
              <w:rPr>
                <w:rFonts w:hint="eastAsia" w:ascii="宋体" w:hAnsi="宋体"/>
                <w:szCs w:val="21"/>
              </w:rPr>
              <w:t>（5）招标代理服务费、必要的保险费用和各项税费。</w:t>
            </w:r>
          </w:p>
        </w:tc>
      </w:tr>
      <w:tr w14:paraId="7D3DDAA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5C3C19EA">
            <w:pPr>
              <w:spacing w:line="400" w:lineRule="exact"/>
              <w:jc w:val="center"/>
              <w:rPr>
                <w:rFonts w:hint="eastAsia" w:ascii="宋体" w:hAnsi="宋体"/>
                <w:kern w:val="0"/>
                <w:szCs w:val="21"/>
              </w:rPr>
            </w:pPr>
            <w:r>
              <w:rPr>
                <w:rFonts w:ascii="宋体" w:hAnsi="宋体"/>
                <w:kern w:val="0"/>
                <w:szCs w:val="21"/>
              </w:rPr>
              <w:t>履约保证金</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6E06B997">
            <w:pPr>
              <w:spacing w:line="400" w:lineRule="exact"/>
              <w:rPr>
                <w:rFonts w:hint="eastAsia" w:ascii="宋体" w:hAnsi="宋体"/>
                <w:szCs w:val="21"/>
              </w:rPr>
            </w:pPr>
            <w:r>
              <w:rPr>
                <w:rFonts w:hint="eastAsia" w:ascii="宋体" w:hAnsi="宋体"/>
                <w:szCs w:val="21"/>
              </w:rPr>
              <w:t>为使中标人保证货物和服务质量，中标人在签订合同前向采购人交纳合同总金额5%（中小企业2%）的履约保证金。</w:t>
            </w:r>
          </w:p>
          <w:p w14:paraId="19D92E18">
            <w:pPr>
              <w:spacing w:line="400" w:lineRule="exact"/>
              <w:rPr>
                <w:rFonts w:hint="eastAsia" w:ascii="宋体" w:hAnsi="宋体"/>
                <w:szCs w:val="21"/>
              </w:rPr>
            </w:pPr>
            <w:r>
              <w:rPr>
                <w:rFonts w:hint="eastAsia" w:ascii="宋体" w:hAnsi="宋体"/>
                <w:szCs w:val="21"/>
              </w:rPr>
              <w:t>中标人按合同要求完全履约，项目验收合格后，待中标人履行完质保义务且无违约情况下后由采购人无息退还。合同履行期间，中标人存在违约的，采购人有权从履约保证金中先行抵扣，不足部分由中标人另行支付，采购人直接从履约保证金中扣除的，中标人应于接到采购人补足履约保证金通知之日起3个工作日内补足。</w:t>
            </w:r>
          </w:p>
          <w:p w14:paraId="24EF1309">
            <w:pPr>
              <w:spacing w:line="400" w:lineRule="exact"/>
              <w:rPr>
                <w:rFonts w:hint="eastAsia" w:ascii="宋体" w:hAnsi="宋体"/>
                <w:szCs w:val="21"/>
              </w:rPr>
            </w:pPr>
            <w:r>
              <w:rPr>
                <w:rFonts w:hint="eastAsia" w:ascii="宋体" w:hAnsi="宋体"/>
                <w:szCs w:val="21"/>
              </w:rPr>
              <w:t>注：符合《 广西壮族自治区财政厅关于规范政府采购货物和服务项目保证金管理的通知》桂财规〔2022〕8号文件要求的，按照相关要求执行。</w:t>
            </w:r>
          </w:p>
          <w:p w14:paraId="023050B4">
            <w:pPr>
              <w:spacing w:line="400" w:lineRule="exact"/>
              <w:rPr>
                <w:rFonts w:hint="eastAsia" w:ascii="宋体" w:hAnsi="宋体"/>
                <w:szCs w:val="21"/>
              </w:rPr>
            </w:pPr>
            <w:r>
              <w:rPr>
                <w:rFonts w:hint="eastAsia" w:ascii="宋体" w:hAnsi="宋体"/>
                <w:szCs w:val="21"/>
              </w:rPr>
              <w:t>履约保证金提交方式：银行转账、支票、汇票等非现金方式。</w:t>
            </w:r>
          </w:p>
          <w:p w14:paraId="69739FBF">
            <w:pPr>
              <w:spacing w:line="400" w:lineRule="exact"/>
              <w:rPr>
                <w:rFonts w:hint="eastAsia" w:ascii="宋体" w:hAnsi="宋体"/>
                <w:szCs w:val="21"/>
              </w:rPr>
            </w:pPr>
            <w:r>
              <w:rPr>
                <w:rFonts w:hint="eastAsia" w:ascii="宋体" w:hAnsi="宋体"/>
                <w:szCs w:val="21"/>
              </w:rPr>
              <w:t>履约保证金指定账户：</w:t>
            </w:r>
          </w:p>
          <w:p w14:paraId="38950C45">
            <w:pPr>
              <w:spacing w:line="400" w:lineRule="exact"/>
              <w:rPr>
                <w:rFonts w:hint="eastAsia" w:ascii="宋体" w:hAnsi="宋体"/>
                <w:szCs w:val="21"/>
              </w:rPr>
            </w:pPr>
            <w:r>
              <w:rPr>
                <w:rFonts w:hint="eastAsia" w:ascii="宋体" w:hAnsi="宋体"/>
                <w:szCs w:val="21"/>
              </w:rPr>
              <w:t xml:space="preserve">开户名称：广西艺术学院    </w:t>
            </w:r>
          </w:p>
          <w:p w14:paraId="3E830DFC">
            <w:pPr>
              <w:spacing w:line="400" w:lineRule="exact"/>
              <w:rPr>
                <w:rFonts w:hint="eastAsia" w:ascii="宋体" w:hAnsi="宋体"/>
                <w:szCs w:val="21"/>
              </w:rPr>
            </w:pPr>
            <w:r>
              <w:rPr>
                <w:rFonts w:hint="eastAsia" w:ascii="宋体" w:hAnsi="宋体"/>
                <w:szCs w:val="21"/>
              </w:rPr>
              <w:t xml:space="preserve">开户银行：建行南宁市桃源支行    </w:t>
            </w:r>
          </w:p>
          <w:p w14:paraId="61DA89B8">
            <w:pPr>
              <w:spacing w:line="400" w:lineRule="exact"/>
              <w:rPr>
                <w:rFonts w:hint="eastAsia" w:ascii="宋体" w:hAnsi="宋体"/>
                <w:szCs w:val="21"/>
              </w:rPr>
            </w:pPr>
            <w:r>
              <w:rPr>
                <w:rFonts w:hint="eastAsia" w:ascii="宋体" w:hAnsi="宋体"/>
                <w:szCs w:val="21"/>
              </w:rPr>
              <w:t xml:space="preserve">银行账号：45001604559050500909     </w:t>
            </w:r>
          </w:p>
          <w:p w14:paraId="36AEF0B9">
            <w:pPr>
              <w:spacing w:line="360" w:lineRule="auto"/>
              <w:rPr>
                <w:rFonts w:hint="eastAsia" w:ascii="宋体" w:hAnsi="宋体" w:cs="宋体"/>
                <w:szCs w:val="21"/>
              </w:rPr>
            </w:pPr>
            <w:r>
              <w:rPr>
                <w:rFonts w:hint="eastAsia" w:ascii="宋体" w:hAnsi="宋体" w:cs="宋体"/>
                <w:szCs w:val="21"/>
              </w:rPr>
              <w:t>备注：</w:t>
            </w:r>
          </w:p>
          <w:p w14:paraId="0F188489">
            <w:pPr>
              <w:spacing w:line="360" w:lineRule="auto"/>
              <w:rPr>
                <w:rFonts w:hint="eastAsia" w:ascii="宋体" w:hAnsi="宋体" w:cs="宋体"/>
                <w:szCs w:val="21"/>
              </w:rPr>
            </w:pPr>
            <w:r>
              <w:rPr>
                <w:rFonts w:hint="eastAsia" w:ascii="宋体" w:hAnsi="宋体" w:cs="宋体"/>
                <w:szCs w:val="21"/>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504771FD">
            <w:pPr>
              <w:spacing w:line="360" w:lineRule="auto"/>
              <w:rPr>
                <w:rFonts w:hint="eastAsia" w:ascii="宋体" w:hAnsi="宋体" w:cs="宋体"/>
                <w:szCs w:val="21"/>
              </w:rPr>
            </w:pPr>
            <w:r>
              <w:rPr>
                <w:rFonts w:hint="eastAsia" w:ascii="宋体" w:hAnsi="宋体" w:cs="宋体"/>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6177348">
            <w:pPr>
              <w:spacing w:line="360" w:lineRule="auto"/>
              <w:rPr>
                <w:rFonts w:hint="eastAsia" w:ascii="宋体" w:hAnsi="宋体"/>
                <w:szCs w:val="21"/>
              </w:rPr>
            </w:pPr>
            <w:r>
              <w:rPr>
                <w:rFonts w:hint="eastAsia" w:ascii="宋体" w:hAnsi="宋体" w:cs="宋体"/>
                <w:szCs w:val="21"/>
              </w:rPr>
              <w:t>3.采用金融、担保机构出具的保函的，必须为无条件保函，否则不予签订合同。</w:t>
            </w:r>
          </w:p>
        </w:tc>
      </w:tr>
      <w:tr w14:paraId="76945D8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48066F46">
            <w:pPr>
              <w:spacing w:line="360" w:lineRule="auto"/>
              <w:jc w:val="center"/>
              <w:rPr>
                <w:rFonts w:hint="eastAsia" w:ascii="宋体" w:hAnsi="宋体" w:cs="宋体"/>
                <w:szCs w:val="21"/>
              </w:rPr>
            </w:pPr>
            <w:r>
              <w:rPr>
                <w:rFonts w:hint="eastAsia" w:ascii="宋体" w:hAnsi="宋体" w:cs="宋体"/>
                <w:szCs w:val="21"/>
              </w:rPr>
              <w:t>知识产权</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50413D01">
            <w:pPr>
              <w:spacing w:line="360" w:lineRule="auto"/>
              <w:rPr>
                <w:rFonts w:hint="eastAsia" w:ascii="宋体" w:hAnsi="宋体" w:cs="宋体"/>
                <w:szCs w:val="21"/>
              </w:rPr>
            </w:pPr>
            <w:r>
              <w:rPr>
                <w:rFonts w:hint="eastAsia" w:ascii="宋体" w:hAnsi="宋体" w:cs="宋体"/>
                <w:szCs w:val="21"/>
              </w:rPr>
              <w:t>供应商应对投标承诺内容及服务成果所涉及的专利、著作权等知识产权承担责任，并负责保护用户的利益不受任何损害。一切由于文字、商标、技术和软件专利授权引起的法律裁决、诉讼和赔偿费用均由供应商负责。所使用的设备、材料须符合国家有关标准要求。</w:t>
            </w:r>
          </w:p>
        </w:tc>
      </w:tr>
      <w:tr w14:paraId="0F7D2F1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7718A444">
            <w:pPr>
              <w:spacing w:line="400" w:lineRule="exact"/>
              <w:rPr>
                <w:rFonts w:hint="eastAsia" w:ascii="宋体" w:hAnsi="宋体" w:cs="宋体"/>
                <w:b/>
                <w:bCs/>
                <w:szCs w:val="21"/>
              </w:rPr>
            </w:pPr>
            <w:r>
              <w:rPr>
                <w:rFonts w:hint="eastAsia" w:ascii="宋体" w:hAnsi="宋体" w:cs="宋体"/>
                <w:b/>
                <w:bCs/>
                <w:szCs w:val="21"/>
              </w:rPr>
              <w:t>二、与实现项目目标相关的其他要求</w:t>
            </w:r>
          </w:p>
        </w:tc>
      </w:tr>
      <w:tr w14:paraId="149C1D1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1A0DF355">
            <w:pPr>
              <w:spacing w:line="400" w:lineRule="exact"/>
              <w:rPr>
                <w:rFonts w:hint="eastAsia" w:ascii="宋体" w:hAnsi="宋体" w:cs="宋体"/>
                <w:b/>
                <w:szCs w:val="21"/>
              </w:rPr>
            </w:pPr>
            <w:r>
              <w:rPr>
                <w:rFonts w:hint="eastAsia" w:ascii="宋体" w:hAnsi="宋体" w:cs="宋体"/>
                <w:b/>
                <w:szCs w:val="21"/>
              </w:rPr>
              <w:t>（一）供应商的履约能力要求</w:t>
            </w:r>
          </w:p>
        </w:tc>
      </w:tr>
      <w:tr w14:paraId="4CB8D1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21588D58">
            <w:pPr>
              <w:spacing w:line="400" w:lineRule="exact"/>
              <w:rPr>
                <w:rFonts w:hint="eastAsia" w:ascii="宋体" w:hAnsi="宋体" w:cs="宋体"/>
                <w:b/>
                <w:szCs w:val="21"/>
              </w:rPr>
            </w:pPr>
            <w:r>
              <w:rPr>
                <w:rFonts w:ascii="宋体" w:hAnsi="宋体"/>
                <w:bCs/>
                <w:szCs w:val="21"/>
              </w:rPr>
              <w:t>质量管理、企业信用要求</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49635800">
            <w:pPr>
              <w:spacing w:line="400" w:lineRule="exact"/>
              <w:rPr>
                <w:rFonts w:hint="eastAsia" w:ascii="宋体" w:hAnsi="宋体" w:cs="宋体"/>
                <w:szCs w:val="21"/>
              </w:rPr>
            </w:pPr>
            <w:r>
              <w:rPr>
                <w:rFonts w:ascii="宋体" w:hAnsi="宋体"/>
                <w:bCs/>
                <w:szCs w:val="21"/>
              </w:rPr>
              <w:t>见本招标文件“评标办法及评分标准”。</w:t>
            </w:r>
          </w:p>
        </w:tc>
      </w:tr>
      <w:tr w14:paraId="1B4CED5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3AE43ECE">
            <w:pPr>
              <w:spacing w:line="400" w:lineRule="exact"/>
              <w:rPr>
                <w:rFonts w:hint="eastAsia" w:ascii="宋体" w:hAnsi="宋体" w:cs="宋体"/>
                <w:b/>
                <w:szCs w:val="21"/>
              </w:rPr>
            </w:pPr>
            <w:r>
              <w:rPr>
                <w:rFonts w:ascii="宋体" w:hAnsi="宋体"/>
                <w:bCs/>
                <w:szCs w:val="21"/>
              </w:rPr>
              <w:t>能力或业绩要求</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34A77E20">
            <w:pPr>
              <w:spacing w:line="400" w:lineRule="exact"/>
              <w:rPr>
                <w:rFonts w:hint="eastAsia" w:ascii="宋体" w:hAnsi="宋体" w:cs="宋体"/>
                <w:szCs w:val="21"/>
              </w:rPr>
            </w:pPr>
            <w:r>
              <w:rPr>
                <w:rFonts w:ascii="宋体" w:hAnsi="宋体"/>
                <w:bCs/>
                <w:szCs w:val="21"/>
              </w:rPr>
              <w:t>见本招标文件“评标办法及评分标准”。</w:t>
            </w:r>
          </w:p>
        </w:tc>
      </w:tr>
      <w:tr w14:paraId="5E176E4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6CDA8B1C">
            <w:pPr>
              <w:spacing w:line="400" w:lineRule="exact"/>
              <w:rPr>
                <w:rFonts w:hint="eastAsia" w:ascii="宋体" w:hAnsi="宋体"/>
                <w:bCs/>
                <w:szCs w:val="21"/>
              </w:rPr>
            </w:pPr>
            <w:r>
              <w:rPr>
                <w:rFonts w:hint="eastAsia" w:ascii="宋体" w:hAnsi="宋体"/>
                <w:b/>
                <w:szCs w:val="21"/>
              </w:rPr>
              <w:t>（二）政策性加分条件</w:t>
            </w:r>
          </w:p>
        </w:tc>
      </w:tr>
      <w:tr w14:paraId="187B111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292E6026">
            <w:pPr>
              <w:spacing w:line="400" w:lineRule="exact"/>
              <w:rPr>
                <w:rFonts w:hint="eastAsia" w:ascii="宋体" w:hAnsi="宋体"/>
                <w:bCs/>
                <w:szCs w:val="21"/>
              </w:rPr>
            </w:pPr>
            <w:r>
              <w:rPr>
                <w:rFonts w:ascii="宋体" w:hAnsi="宋体"/>
                <w:bCs/>
                <w:szCs w:val="21"/>
              </w:rPr>
              <w:t>符合节能环保等国家政策要求。</w:t>
            </w:r>
          </w:p>
        </w:tc>
      </w:tr>
      <w:tr w14:paraId="66C1DDD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7C512E5D">
            <w:pPr>
              <w:tabs>
                <w:tab w:val="left" w:pos="180"/>
                <w:tab w:val="left" w:pos="1620"/>
              </w:tabs>
              <w:spacing w:line="400" w:lineRule="exact"/>
              <w:rPr>
                <w:rFonts w:hint="eastAsia" w:ascii="宋体" w:hAnsi="宋体" w:cs="宋体"/>
                <w:szCs w:val="21"/>
              </w:rPr>
            </w:pPr>
            <w:r>
              <w:rPr>
                <w:rFonts w:hint="eastAsia" w:ascii="宋体" w:hAnsi="宋体" w:cs="宋体"/>
                <w:b/>
                <w:szCs w:val="21"/>
              </w:rPr>
              <w:t>（三）验收标准</w:t>
            </w:r>
          </w:p>
        </w:tc>
      </w:tr>
      <w:tr w14:paraId="3C1388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3B8F21F5">
            <w:pPr>
              <w:tabs>
                <w:tab w:val="left" w:pos="180"/>
                <w:tab w:val="left" w:pos="1620"/>
              </w:tabs>
              <w:spacing w:line="360" w:lineRule="auto"/>
              <w:rPr>
                <w:rFonts w:hint="eastAsia" w:ascii="宋体" w:hAnsi="宋体" w:cs="宋体"/>
                <w:bCs/>
                <w:szCs w:val="21"/>
              </w:rPr>
            </w:pPr>
            <w:r>
              <w:rPr>
                <w:rFonts w:hint="eastAsia" w:ascii="宋体" w:hAnsi="宋体" w:cs="宋体"/>
                <w:bCs/>
                <w:szCs w:val="21"/>
              </w:rPr>
              <w:t xml:space="preserve">1.中标人向采购人提供的货物必须是未使用过的原装产品。 </w:t>
            </w:r>
          </w:p>
          <w:p w14:paraId="3E53764F">
            <w:pPr>
              <w:tabs>
                <w:tab w:val="left" w:pos="180"/>
                <w:tab w:val="left" w:pos="1620"/>
              </w:tabs>
              <w:spacing w:line="360" w:lineRule="auto"/>
              <w:rPr>
                <w:rFonts w:hint="eastAsia" w:ascii="宋体" w:hAnsi="宋体" w:cs="宋体"/>
                <w:bCs/>
                <w:szCs w:val="21"/>
              </w:rPr>
            </w:pPr>
            <w:r>
              <w:rPr>
                <w:rFonts w:hint="eastAsia" w:ascii="宋体" w:hAnsi="宋体" w:cs="宋体"/>
                <w:bCs/>
                <w:szCs w:val="21"/>
              </w:rPr>
              <w:t>2.验收过程中所产生的一切费用均由中标人承担，报价时应考虑相关费用。</w:t>
            </w:r>
          </w:p>
          <w:p w14:paraId="11481DA7">
            <w:pPr>
              <w:tabs>
                <w:tab w:val="left" w:pos="180"/>
                <w:tab w:val="left" w:pos="1620"/>
              </w:tabs>
              <w:spacing w:line="360" w:lineRule="auto"/>
              <w:rPr>
                <w:rFonts w:hint="eastAsia" w:ascii="宋体" w:hAnsi="宋体" w:cs="宋体"/>
                <w:bCs/>
                <w:szCs w:val="21"/>
              </w:rPr>
            </w:pPr>
            <w:r>
              <w:rPr>
                <w:rFonts w:hint="eastAsia" w:ascii="宋体" w:hAnsi="宋体" w:cs="宋体"/>
                <w:bCs/>
                <w:szCs w:val="21"/>
              </w:rPr>
              <w:t>3.中标人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25FE4D92">
            <w:pPr>
              <w:tabs>
                <w:tab w:val="left" w:pos="180"/>
                <w:tab w:val="left" w:pos="1620"/>
              </w:tabs>
              <w:spacing w:line="360" w:lineRule="auto"/>
              <w:rPr>
                <w:rFonts w:hint="eastAsia" w:ascii="宋体" w:hAnsi="宋体" w:cs="宋体"/>
                <w:bCs/>
                <w:szCs w:val="21"/>
              </w:rPr>
            </w:pPr>
            <w:r>
              <w:rPr>
                <w:rFonts w:hint="eastAsia" w:ascii="宋体" w:hAnsi="宋体" w:cs="宋体"/>
                <w:bCs/>
                <w:szCs w:val="21"/>
              </w:rPr>
              <w:t>4.本采购文件的相关要求。</w:t>
            </w:r>
          </w:p>
          <w:p w14:paraId="77B2FE35">
            <w:pPr>
              <w:tabs>
                <w:tab w:val="left" w:pos="180"/>
                <w:tab w:val="left" w:pos="1620"/>
              </w:tabs>
              <w:spacing w:line="360" w:lineRule="auto"/>
              <w:rPr>
                <w:rFonts w:hint="eastAsia" w:ascii="宋体" w:hAnsi="宋体" w:cs="宋体"/>
                <w:bCs/>
                <w:szCs w:val="21"/>
              </w:rPr>
            </w:pPr>
            <w:r>
              <w:rPr>
                <w:rFonts w:hint="eastAsia" w:ascii="宋体" w:hAnsi="宋体" w:cs="宋体"/>
                <w:bCs/>
                <w:szCs w:val="21"/>
              </w:rPr>
              <w:t>5.国家相关标准、行业标准、地方标准或者其他标准、规范。</w:t>
            </w:r>
          </w:p>
        </w:tc>
      </w:tr>
      <w:tr w14:paraId="6EF9653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23CEE579">
            <w:pPr>
              <w:spacing w:line="400" w:lineRule="exact"/>
              <w:rPr>
                <w:rFonts w:hint="eastAsia" w:ascii="宋体" w:hAnsi="宋体" w:cs="宋体"/>
                <w:b/>
                <w:szCs w:val="21"/>
              </w:rPr>
            </w:pPr>
            <w:r>
              <w:rPr>
                <w:rFonts w:hint="eastAsia" w:ascii="宋体" w:hAnsi="宋体" w:cs="宋体"/>
                <w:b/>
                <w:szCs w:val="21"/>
              </w:rPr>
              <w:t>（四）进口产品说明</w:t>
            </w:r>
          </w:p>
        </w:tc>
      </w:tr>
      <w:tr w14:paraId="13EA788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1C49A494">
            <w:pPr>
              <w:spacing w:line="360" w:lineRule="auto"/>
              <w:rPr>
                <w:rFonts w:hint="eastAsia" w:ascii="宋体" w:hAnsi="宋体" w:cs="宋体"/>
                <w:szCs w:val="21"/>
              </w:rPr>
            </w:pPr>
            <w:r>
              <w:rPr>
                <w:rFonts w:hint="eastAsia" w:ascii="宋体" w:hAnsi="宋体" w:cs="宋体"/>
                <w:szCs w:val="21"/>
              </w:rPr>
              <w:t>进口产品说明</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73DC302D">
            <w:pPr>
              <w:tabs>
                <w:tab w:val="left" w:pos="180"/>
                <w:tab w:val="left" w:pos="1620"/>
              </w:tabs>
              <w:spacing w:line="360" w:lineRule="auto"/>
              <w:rPr>
                <w:rFonts w:hint="eastAsia" w:ascii="宋体" w:hAnsi="宋体" w:cs="宋体"/>
                <w:bCs/>
                <w:szCs w:val="21"/>
              </w:rPr>
            </w:pPr>
            <w:r>
              <w:rPr>
                <w:rFonts w:hint="eastAsia" w:ascii="宋体" w:hAnsi="宋体" w:cs="宋体"/>
                <w:bCs/>
                <w:szCs w:val="21"/>
              </w:rPr>
              <w:t>□本表的第</w:t>
            </w:r>
            <w:r>
              <w:rPr>
                <w:rFonts w:hint="eastAsia" w:ascii="宋体" w:hAnsi="宋体" w:cs="宋体"/>
                <w:bCs/>
                <w:szCs w:val="21"/>
                <w:u w:val="single"/>
              </w:rPr>
              <w:t xml:space="preserve">  </w:t>
            </w:r>
            <w:r>
              <w:rPr>
                <w:rFonts w:hint="eastAsia" w:ascii="宋体" w:hAnsi="宋体" w:cs="宋体"/>
                <w:bCs/>
                <w:szCs w:val="2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宋体" w:hAnsi="宋体" w:cs="宋体"/>
                <w:b/>
                <w:szCs w:val="21"/>
              </w:rPr>
              <w:t>否则作无效标处理</w:t>
            </w:r>
            <w:r>
              <w:rPr>
                <w:rFonts w:hint="eastAsia" w:ascii="宋体" w:hAnsi="宋体" w:cs="宋体"/>
                <w:bCs/>
                <w:szCs w:val="21"/>
              </w:rPr>
              <w:t>。</w:t>
            </w:r>
          </w:p>
          <w:p w14:paraId="0A68B573">
            <w:pPr>
              <w:tabs>
                <w:tab w:val="left" w:pos="180"/>
                <w:tab w:val="left" w:pos="1620"/>
              </w:tabs>
              <w:spacing w:line="360" w:lineRule="auto"/>
              <w:rPr>
                <w:rFonts w:hint="eastAsia" w:ascii="宋体" w:hAnsi="宋体" w:cs="宋体"/>
                <w:szCs w:val="21"/>
              </w:rPr>
            </w:pPr>
            <w:r>
              <w:rPr>
                <w:rFonts w:hint="eastAsia" w:ascii="宋体" w:hAnsi="宋体" w:cs="宋体"/>
                <w:bCs/>
                <w:szCs w:val="21"/>
              </w:rPr>
              <w:t>☑本分标货物不接受进口产品（即通过中国海关报关验放进入中国境内且产自关境外的产品）参与投标，</w:t>
            </w:r>
            <w:r>
              <w:rPr>
                <w:rFonts w:hint="eastAsia" w:ascii="宋体" w:hAnsi="宋体" w:cs="宋体"/>
                <w:b/>
                <w:szCs w:val="21"/>
              </w:rPr>
              <w:t>如有进口产品参与投标的作无效标处理</w:t>
            </w:r>
            <w:r>
              <w:rPr>
                <w:rFonts w:hint="eastAsia" w:ascii="宋体" w:hAnsi="宋体" w:cs="宋体"/>
                <w:bCs/>
                <w:szCs w:val="21"/>
              </w:rPr>
              <w:t>。</w:t>
            </w:r>
          </w:p>
        </w:tc>
      </w:tr>
      <w:tr w14:paraId="78F3B94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30EA2D76">
            <w:pPr>
              <w:spacing w:line="400" w:lineRule="exact"/>
              <w:rPr>
                <w:rFonts w:hint="eastAsia" w:ascii="宋体" w:hAnsi="宋体" w:cs="宋体"/>
                <w:b/>
                <w:szCs w:val="21"/>
              </w:rPr>
            </w:pPr>
            <w:r>
              <w:rPr>
                <w:rFonts w:hint="eastAsia" w:ascii="宋体" w:hAnsi="宋体" w:cs="宋体"/>
                <w:b/>
                <w:szCs w:val="21"/>
              </w:rPr>
              <w:t>（五）其他要求</w:t>
            </w:r>
          </w:p>
        </w:tc>
      </w:tr>
      <w:tr w14:paraId="73FFBD4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6991674E">
            <w:pPr>
              <w:pStyle w:val="18"/>
              <w:spacing w:line="360" w:lineRule="auto"/>
              <w:rPr>
                <w:rFonts w:hint="eastAsia" w:ascii="宋体" w:hAnsi="宋体" w:cs="宋体"/>
                <w:sz w:val="21"/>
                <w:szCs w:val="21"/>
              </w:rPr>
            </w:pPr>
            <w:r>
              <w:rPr>
                <w:rFonts w:hint="eastAsia" w:ascii="宋体" w:hAnsi="宋体" w:cs="宋体"/>
                <w:sz w:val="21"/>
                <w:szCs w:val="21"/>
              </w:rPr>
              <w:t>投标人根据自身情况提供安装调试方案、其他方案、信誉业绩等。</w:t>
            </w:r>
          </w:p>
        </w:tc>
      </w:tr>
    </w:tbl>
    <w:p w14:paraId="3C7DE8E2">
      <w:pPr>
        <w:pStyle w:val="47"/>
        <w:ind w:firstLine="422"/>
        <w:rPr>
          <w:rFonts w:hint="eastAsia" w:ascii="宋体" w:hAnsi="宋体"/>
          <w:b/>
          <w:szCs w:val="21"/>
          <w:highlight w:val="yellow"/>
        </w:rPr>
      </w:pPr>
    </w:p>
    <w:bookmarkEnd w:id="41"/>
    <w:bookmarkEnd w:id="42"/>
    <w:p w14:paraId="7CDB07AE">
      <w:pPr>
        <w:snapToGrid w:val="0"/>
        <w:jc w:val="center"/>
        <w:rPr>
          <w:rFonts w:hint="eastAsia" w:ascii="宋体" w:hAnsi="宋体"/>
          <w:sz w:val="30"/>
          <w:szCs w:val="30"/>
        </w:rPr>
      </w:pPr>
    </w:p>
    <w:p w14:paraId="385987FF">
      <w:pPr>
        <w:pStyle w:val="47"/>
        <w:ind w:firstLine="422"/>
        <w:outlineLvl w:val="1"/>
        <w:rPr>
          <w:rFonts w:hint="eastAsia" w:ascii="宋体" w:hAnsi="宋体"/>
          <w:b/>
          <w:szCs w:val="21"/>
          <w:highlight w:val="yellow"/>
        </w:rPr>
      </w:pPr>
      <w:r>
        <w:rPr>
          <w:rFonts w:hint="eastAsia" w:ascii="宋体" w:hAnsi="宋体"/>
          <w:b/>
          <w:szCs w:val="21"/>
        </w:rPr>
        <w:br w:type="page"/>
      </w:r>
      <w:r>
        <w:rPr>
          <w:rFonts w:hint="eastAsia" w:ascii="宋体" w:hAnsi="宋体"/>
          <w:b/>
          <w:szCs w:val="21"/>
        </w:rPr>
        <w:t>分标</w:t>
      </w:r>
      <w:r>
        <w:rPr>
          <w:rFonts w:hint="eastAsia" w:ascii="宋体" w:hAnsi="宋体" w:cs="Arial"/>
          <w:b/>
          <w:szCs w:val="21"/>
          <w:u w:val="single"/>
        </w:rPr>
        <w:t>2</w:t>
      </w:r>
    </w:p>
    <w:tbl>
      <w:tblPr>
        <w:tblStyle w:val="48"/>
        <w:tblW w:w="98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50"/>
        <w:gridCol w:w="851"/>
        <w:gridCol w:w="708"/>
        <w:gridCol w:w="5093"/>
        <w:gridCol w:w="915"/>
        <w:gridCol w:w="920"/>
      </w:tblGrid>
      <w:tr w14:paraId="638FC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vAlign w:val="center"/>
          </w:tcPr>
          <w:p w14:paraId="65BCBC66">
            <w:pPr>
              <w:pStyle w:val="46"/>
              <w:ind w:left="0" w:firstLine="0" w:firstLineChars="0"/>
              <w:jc w:val="left"/>
              <w:rPr>
                <w:rFonts w:hint="eastAsia"/>
                <w:b/>
                <w:szCs w:val="21"/>
              </w:rPr>
            </w:pPr>
            <w:r>
              <w:rPr>
                <w:rFonts w:hint="eastAsia"/>
                <w:b/>
                <w:szCs w:val="21"/>
              </w:rPr>
              <w:t>本分标的核心产品为下表“</w:t>
            </w:r>
            <w:r>
              <w:rPr>
                <w:rFonts w:hint="eastAsia" w:cs="宋体"/>
                <w:b/>
                <w:bCs/>
                <w:color w:val="000000"/>
                <w:szCs w:val="21"/>
                <w:lang w:bidi="ar"/>
              </w:rPr>
              <w:t>一、广播系统</w:t>
            </w:r>
            <w:r>
              <w:rPr>
                <w:rFonts w:hint="eastAsia"/>
                <w:b/>
                <w:szCs w:val="21"/>
              </w:rPr>
              <w:t>”的第3项产品“音频处理器”。</w:t>
            </w:r>
          </w:p>
        </w:tc>
      </w:tr>
      <w:tr w14:paraId="4806B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AFC1611">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序号</w:t>
            </w:r>
          </w:p>
        </w:tc>
        <w:tc>
          <w:tcPr>
            <w:tcW w:w="850" w:type="dxa"/>
            <w:vAlign w:val="center"/>
          </w:tcPr>
          <w:p w14:paraId="3AEBF23C">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标的的名称</w:t>
            </w:r>
          </w:p>
        </w:tc>
        <w:tc>
          <w:tcPr>
            <w:tcW w:w="851" w:type="dxa"/>
            <w:vAlign w:val="center"/>
          </w:tcPr>
          <w:p w14:paraId="55EC60C9">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数量</w:t>
            </w:r>
          </w:p>
        </w:tc>
        <w:tc>
          <w:tcPr>
            <w:tcW w:w="708" w:type="dxa"/>
            <w:vAlign w:val="center"/>
          </w:tcPr>
          <w:p w14:paraId="0BA75041">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单位</w:t>
            </w:r>
          </w:p>
        </w:tc>
        <w:tc>
          <w:tcPr>
            <w:tcW w:w="5093" w:type="dxa"/>
            <w:vAlign w:val="center"/>
          </w:tcPr>
          <w:p w14:paraId="179DE154">
            <w:pPr>
              <w:pStyle w:val="46"/>
              <w:spacing w:line="360" w:lineRule="auto"/>
              <w:ind w:left="0" w:firstLine="0" w:firstLineChars="0"/>
              <w:jc w:val="center"/>
              <w:rPr>
                <w:rFonts w:hint="eastAsia" w:cs="宋体"/>
                <w:sz w:val="21"/>
                <w:szCs w:val="21"/>
              </w:rPr>
            </w:pPr>
            <w:r>
              <w:rPr>
                <w:rFonts w:hint="eastAsia" w:cs="宋体"/>
                <w:sz w:val="21"/>
                <w:szCs w:val="21"/>
              </w:rPr>
              <w:t>技术要求</w:t>
            </w:r>
          </w:p>
        </w:tc>
        <w:tc>
          <w:tcPr>
            <w:tcW w:w="915" w:type="dxa"/>
            <w:vAlign w:val="center"/>
          </w:tcPr>
          <w:p w14:paraId="7504AC0C">
            <w:pPr>
              <w:pStyle w:val="46"/>
              <w:spacing w:line="360" w:lineRule="auto"/>
              <w:ind w:left="0" w:firstLine="0" w:firstLineChars="0"/>
              <w:jc w:val="center"/>
              <w:rPr>
                <w:rFonts w:hint="eastAsia" w:cs="宋体"/>
                <w:sz w:val="21"/>
                <w:szCs w:val="21"/>
              </w:rPr>
            </w:pPr>
            <w:r>
              <w:rPr>
                <w:rFonts w:hint="eastAsia" w:cs="宋体"/>
                <w:sz w:val="21"/>
                <w:szCs w:val="21"/>
              </w:rPr>
              <w:t>单价预算（元）</w:t>
            </w:r>
          </w:p>
        </w:tc>
        <w:tc>
          <w:tcPr>
            <w:tcW w:w="920" w:type="dxa"/>
            <w:vAlign w:val="center"/>
          </w:tcPr>
          <w:p w14:paraId="15C0C0E1">
            <w:pPr>
              <w:pStyle w:val="46"/>
              <w:spacing w:line="360" w:lineRule="auto"/>
              <w:ind w:left="0" w:firstLine="0" w:firstLineChars="0"/>
              <w:jc w:val="center"/>
              <w:rPr>
                <w:rFonts w:hint="eastAsia" w:cs="宋体"/>
                <w:sz w:val="21"/>
                <w:szCs w:val="21"/>
              </w:rPr>
            </w:pPr>
            <w:r>
              <w:rPr>
                <w:rFonts w:hint="eastAsia" w:cs="宋体"/>
                <w:sz w:val="21"/>
                <w:szCs w:val="21"/>
              </w:rPr>
              <w:t>分项预算（元）</w:t>
            </w:r>
          </w:p>
        </w:tc>
      </w:tr>
      <w:tr w14:paraId="5949F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vAlign w:val="center"/>
          </w:tcPr>
          <w:p w14:paraId="1550DCB0">
            <w:pPr>
              <w:widowControl/>
              <w:spacing w:line="360" w:lineRule="auto"/>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一、广播系统</w:t>
            </w:r>
          </w:p>
        </w:tc>
      </w:tr>
      <w:tr w14:paraId="548F7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vAlign w:val="center"/>
          </w:tcPr>
          <w:p w14:paraId="44065518">
            <w:pPr>
              <w:widowControl/>
              <w:spacing w:line="360" w:lineRule="auto"/>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（一）机房服务器</w:t>
            </w:r>
          </w:p>
        </w:tc>
      </w:tr>
      <w:tr w14:paraId="5F2A8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E36DDB7">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850" w:type="dxa"/>
            <w:vAlign w:val="center"/>
          </w:tcPr>
          <w:p w14:paraId="32E239FC">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控制台</w:t>
            </w:r>
          </w:p>
        </w:tc>
        <w:tc>
          <w:tcPr>
            <w:tcW w:w="851" w:type="dxa"/>
            <w:vAlign w:val="center"/>
          </w:tcPr>
          <w:p w14:paraId="72D185A7">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394D7C66">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台</w:t>
            </w:r>
          </w:p>
        </w:tc>
        <w:tc>
          <w:tcPr>
            <w:tcW w:w="6928" w:type="dxa"/>
            <w:gridSpan w:val="3"/>
            <w:vAlign w:val="center"/>
          </w:tcPr>
          <w:p w14:paraId="07445CB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1.标准19英寸机架设计，黑色氧化铝拉丝面板，专业的机械组装工艺。</w:t>
            </w:r>
          </w:p>
          <w:p w14:paraId="6F6D799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2.无线鼠标键盘设计，操作更便捷，支持1路高清HDMI高清视频输出。</w:t>
            </w:r>
          </w:p>
          <w:p w14:paraId="1A38FDC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3.工业级专用主板设计，第8代 Intel I5 CPU，四核八线程超低功耗的嵌入式工业级处理器，处理速度更快，运作性能更强，可以长时期不断电稳定工作。</w:t>
            </w:r>
          </w:p>
          <w:p w14:paraId="7B29176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4.内置大容量固态硬盘，具有抗震动、抗摔、读写速度快、功耗低等特点。</w:t>
            </w:r>
          </w:p>
          <w:p w14:paraId="55597AC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5.具有定时自动开关机维护功能，可根据现场情况设置定时开关机，既方便维护，又降低功耗，实现无人值守功能。</w:t>
            </w:r>
          </w:p>
          <w:p w14:paraId="1FBED88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6.支持ACPI电源管理模式，支持多种模式唤醒：支持上电开机，定时开机，远程开关机设备智能识别，支持网络唤醒和 PXE 无盘启动功能。</w:t>
            </w:r>
          </w:p>
          <w:p w14:paraId="31B38AD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7.运载服务器软件后构成系统管理控制中心，服务器软件采用后台系统服务运行，是企业级的标准服务器工作模式，开机系统即可自动运行，相比运行在界面前台的软件具有更高的稳定性和可靠性。</w:t>
            </w:r>
          </w:p>
          <w:p w14:paraId="79E70BB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8.支持服务器监控，可查看服务器CPU使用率、内存使用率、磁盘空间、网络传输逸率，可设置警告。</w:t>
            </w:r>
          </w:p>
          <w:p w14:paraId="3C9FE7D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9.具有ESD静电防护功能，采用主动式保护电路设计配置，可以强化主板每个接口的静电防护能力，并延长组件的使用寿命。</w:t>
            </w:r>
          </w:p>
          <w:p w14:paraId="418481A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10.主板：Intel NM10芯片组，X86架构；</w:t>
            </w:r>
          </w:p>
          <w:p w14:paraId="3A7D53B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11.标准接口：1xHDMI 、1xVGA、1xCOM、4xUSB(2个USB3.0，2个USB 2.0 )、1xLAN、1xMIC-IN、1xLINE-IN、1xLINE-OUT。</w:t>
            </w:r>
          </w:p>
          <w:p w14:paraId="7C226A8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12.硬盘：120G SSS-固态硬盘；</w:t>
            </w:r>
          </w:p>
          <w:p w14:paraId="37E9C3E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13.内存：DDR3 800MHZ 4G|(因产品不断升级，容量支持不断增加)；</w:t>
            </w:r>
          </w:p>
          <w:p w14:paraId="1E898BA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14.网卡：Realtek RTL8103EL，1000M；</w:t>
            </w:r>
          </w:p>
          <w:p w14:paraId="65FBAB2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15.CPU：8代 Intel I5-8265U 1.6GHz四核八线程处理器1.8GHz ；</w:t>
            </w:r>
          </w:p>
          <w:p w14:paraId="14C6953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16.输入电源：～220V 50Hz；</w:t>
            </w:r>
          </w:p>
          <w:p w14:paraId="1BD6BF0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17.软件操作平台：Windows10；</w:t>
            </w:r>
          </w:p>
          <w:p w14:paraId="4177496B">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18.工作环境温度：环境温度：5℃～40℃ 工作环境湿度：相对湿度：20%～80%相对湿度，无结露；</w:t>
            </w:r>
          </w:p>
        </w:tc>
      </w:tr>
      <w:tr w14:paraId="405CE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8F6C54D">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850" w:type="dxa"/>
            <w:vAlign w:val="center"/>
          </w:tcPr>
          <w:p w14:paraId="6897582D">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定位引擎</w:t>
            </w:r>
          </w:p>
        </w:tc>
        <w:tc>
          <w:tcPr>
            <w:tcW w:w="851" w:type="dxa"/>
            <w:vAlign w:val="center"/>
          </w:tcPr>
          <w:p w14:paraId="747EEEEE">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3F12FFA4">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台</w:t>
            </w:r>
          </w:p>
        </w:tc>
        <w:tc>
          <w:tcPr>
            <w:tcW w:w="6928" w:type="dxa"/>
            <w:gridSpan w:val="3"/>
            <w:vAlign w:val="center"/>
          </w:tcPr>
          <w:p w14:paraId="1CAD32D4">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1.采用标准19英寸机架设计，黑色氧化铝拉丝面板，专业的机械组装工艺。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2.采用17.3英寸LED液晶显示屏，内置1024x768分辨率液晶电容触摸屏，简单易用的触摸屏操控。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3.无线鼠标键盘设计，操作更便捷，支持1路高清HDMI高清视频输出。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4.工业级专用主板设计，不低于第8代 I5 CPU，四核八线程超低功耗的嵌入式工业级处理器，处理速度更快，运作性能更强，可以长时期不断电稳定工作。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5.内置大容量128G SSD固态硬盘，具有抗震动、抗摔、读写速度快、功耗低等特点。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6.支持双显卡，可外接最大FullHD显示设备。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▲7.话筒MIC1具有48V幻象电源，为麦克风供电，节能环保。（提供接口图佐证）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8.具有定时自动开关机维护功能，可根据现场情况设置定时开关机，实现无人值守功能。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9.工作环境温度：环境温度：5℃～40℃。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10.工作环境湿度：相对湿度：20%～80%相对湿度，无结露。</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▲11.标准接口：整机USB接口6个（前面板带2个USB接口，后面板带2个2.0 USB和2个3.0USB）；1xHDMI输出；1xVGA；DC12V/7A供电；1路千兆网络接口；1路耳机；1路话筒；2进2出音频矩阵。（提供接口图佐证）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12.系统音频信号信噪比：LINE：70dB；MIC：60dB。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13.系统音频信号失真度：1KHz＜0.5%。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14.系统音频信号标准输入电平：LINE：300mV； MIC：5mV。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15.系统音频信号标准输出电平：0dBV。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16.输入电源：～220V 50Hz。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17.软件操作平台：Windows10。</w:t>
            </w:r>
          </w:p>
        </w:tc>
      </w:tr>
      <w:tr w14:paraId="2F7DF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2173432">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3</w:t>
            </w:r>
          </w:p>
        </w:tc>
        <w:tc>
          <w:tcPr>
            <w:tcW w:w="850" w:type="dxa"/>
            <w:vAlign w:val="center"/>
          </w:tcPr>
          <w:p w14:paraId="4648CD14">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无线鼠标键盘</w:t>
            </w:r>
          </w:p>
        </w:tc>
        <w:tc>
          <w:tcPr>
            <w:tcW w:w="851" w:type="dxa"/>
            <w:vAlign w:val="center"/>
          </w:tcPr>
          <w:p w14:paraId="004D4A0D">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3D4BAD73">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2184C6E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1.无线键鼠套装；</w:t>
            </w:r>
          </w:p>
          <w:p w14:paraId="00EECDC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2.带无线≥2.4G接收器；</w:t>
            </w:r>
          </w:p>
          <w:p w14:paraId="2D3BA98D">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3.键盘供电：2节7号电池；鼠标供电：2节5号电池；</w:t>
            </w:r>
          </w:p>
        </w:tc>
      </w:tr>
      <w:tr w14:paraId="44A92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F72A7CA">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4</w:t>
            </w:r>
          </w:p>
        </w:tc>
        <w:tc>
          <w:tcPr>
            <w:tcW w:w="850" w:type="dxa"/>
            <w:vAlign w:val="center"/>
          </w:tcPr>
          <w:p w14:paraId="1FA2D40B">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智慧语音导览定位基站（一拖四+网络广播模块）</w:t>
            </w:r>
          </w:p>
        </w:tc>
        <w:tc>
          <w:tcPr>
            <w:tcW w:w="851" w:type="dxa"/>
            <w:vAlign w:val="center"/>
          </w:tcPr>
          <w:p w14:paraId="45F187E6">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70D6F946">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台</w:t>
            </w:r>
          </w:p>
        </w:tc>
        <w:tc>
          <w:tcPr>
            <w:tcW w:w="6928" w:type="dxa"/>
            <w:gridSpan w:val="3"/>
            <w:vAlign w:val="center"/>
          </w:tcPr>
          <w:p w14:paraId="7BE26C3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1.一体化设计：基于TCP/IP传输协议，集成精确定位与背景音乐功能于一体，实现智能化空间管理与音频播放的完美结合。</w:t>
            </w:r>
          </w:p>
          <w:p w14:paraId="5B1C300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2.状态指示：配备工作状态、网络连接和电源状态LED指示灯，设备运行情况一目了然。</w:t>
            </w:r>
          </w:p>
          <w:p w14:paraId="3039E8E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3.配对管理：无线话筒与定位标签采用一对一配对模式，配对关系可通过服务器软件灵活配置。</w:t>
            </w:r>
          </w:p>
          <w:p w14:paraId="74153F3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4.通道管理：在无线覆盖范围内，每台设备设置唯一的通道号，避免信号干扰。</w:t>
            </w:r>
          </w:p>
          <w:p w14:paraId="0F0466A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5.采样率：设备采样频率高达48K，使用24位AD/DA数模转换芯片，动态范围达到了≥115dB。</w:t>
            </w:r>
          </w:p>
          <w:p w14:paraId="3486441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6.信号处理：支持多路音频信号处理，信号优选算法，自动选择信号性能最好的进行处理。</w:t>
            </w:r>
          </w:p>
          <w:p w14:paraId="5C2005A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7.设备级联：支持同一场馆内可同时布置多台团队智慧讲解接收机。</w:t>
            </w:r>
          </w:p>
          <w:p w14:paraId="70CE376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8.信道隔离：自主的数字信道隔离技术，可以抵御各种无线干扰，保证系统稳定可靠连接，杜绝连接中的掉线重连现象，保障音频传输质量。</w:t>
            </w:r>
          </w:p>
          <w:p w14:paraId="221DAC7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9.信号全方位采集技术，保障信号稳定、不间断，声音清晰、流畅。</w:t>
            </w:r>
          </w:p>
          <w:p w14:paraId="4A4EB73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10.独特的信道设计技术，可根据需要在多个信道之间切换。</w:t>
            </w:r>
          </w:p>
          <w:p w14:paraId="347FD2C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11.支持独立的通道传输、低时延传输机制，保证音频信号及时准确传输。</w:t>
            </w:r>
          </w:p>
          <w:p w14:paraId="207463BA">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12.信号调节：通过服务器软件可调整无线发射功率，精准控制定位范围。 </w:t>
            </w:r>
          </w:p>
          <w:p w14:paraId="40FA394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13.精准无线定位功能：支持自定义定位标签感应距离（误差≤30cm），在设定范围内自动激活对应无线话筒。</w:t>
            </w:r>
          </w:p>
          <w:p w14:paraId="5009F32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14.双备份：具备主备服务器自动切换功能，当主服务器故障时无缝切换至备用服务器，保障系统不间断运行。 </w:t>
            </w:r>
          </w:p>
          <w:p w14:paraId="1BF8FE5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szCs w:val="21"/>
              </w:rPr>
              <w:t>▲</w:t>
            </w:r>
            <w:r>
              <w:rPr>
                <w:rFonts w:hint="eastAsia" w:ascii="宋体" w:hAnsi="宋体" w:cs="宋体"/>
                <w:color w:val="000000"/>
                <w:kern w:val="0"/>
                <w:szCs w:val="21"/>
                <w:lang w:bidi="ar"/>
              </w:rPr>
              <w:t>15.内置DSP：具有自动反馈抑制功能，可有效防止话筒啸叫。</w:t>
            </w:r>
          </w:p>
          <w:p w14:paraId="70EC84D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szCs w:val="21"/>
              </w:rPr>
              <w:t>▲</w:t>
            </w:r>
            <w:r>
              <w:rPr>
                <w:rFonts w:hint="eastAsia" w:ascii="宋体" w:hAnsi="宋体" w:cs="宋体"/>
                <w:color w:val="000000"/>
                <w:kern w:val="0"/>
                <w:szCs w:val="21"/>
                <w:lang w:bidi="ar"/>
              </w:rPr>
              <w:t>16.噪声抑制：通过高性能的浮点DSP芯片和AI人工智能算法深度学习人声特性，可以有效地处理人声以外的噪声。</w:t>
            </w:r>
          </w:p>
          <w:p w14:paraId="03624D1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szCs w:val="21"/>
              </w:rPr>
              <w:t>▲</w:t>
            </w:r>
            <w:r>
              <w:rPr>
                <w:rFonts w:hint="eastAsia" w:ascii="宋体" w:hAnsi="宋体" w:cs="宋体"/>
                <w:color w:val="000000"/>
                <w:kern w:val="0"/>
                <w:szCs w:val="21"/>
                <w:lang w:bidi="ar"/>
              </w:rPr>
              <w:t xml:space="preserve">17.解区域之间采用淡入淡出的不间断、无缝平滑切换方式。“人到声起，人走声息，声随人动、如影随形”。 </w:t>
            </w:r>
          </w:p>
          <w:p w14:paraId="55FAFAE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szCs w:val="21"/>
              </w:rPr>
              <w:t>▲</w:t>
            </w:r>
            <w:r>
              <w:rPr>
                <w:rFonts w:hint="eastAsia" w:ascii="宋体" w:hAnsi="宋体" w:cs="宋体"/>
                <w:color w:val="000000"/>
                <w:kern w:val="0"/>
                <w:szCs w:val="21"/>
                <w:lang w:bidi="ar"/>
              </w:rPr>
              <w:t>18.系统自恢复：内置看门狗功能，自动监测设备状态并在异常时重启，确保系统持续稳定运行。</w:t>
            </w:r>
          </w:p>
          <w:p w14:paraId="36BB772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szCs w:val="21"/>
              </w:rPr>
              <w:t>▲</w:t>
            </w:r>
            <w:r>
              <w:rPr>
                <w:rFonts w:hint="eastAsia" w:ascii="宋体" w:hAnsi="宋体" w:cs="宋体"/>
                <w:color w:val="000000"/>
                <w:kern w:val="0"/>
                <w:szCs w:val="21"/>
                <w:lang w:bidi="ar"/>
              </w:rPr>
              <w:t xml:space="preserve">19.紧急广播：脱机状态下仍可接收紧急寻呼，并自动将音量提升至80%确保信息传达。 </w:t>
            </w:r>
          </w:p>
          <w:p w14:paraId="6660AAD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20.多人讲解：最大允许四个无线话筒同时使用，可以实现多人导览讲解应用场景。   </w:t>
            </w:r>
          </w:p>
          <w:p w14:paraId="2680513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21.数字功放：内置2×20W D类数字功放，可直接驱动8Ω扬声器，提供清晰稳定的音频输出。</w:t>
            </w:r>
          </w:p>
          <w:p w14:paraId="30BB379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22.脱机播放：支持SD卡本地存储和定时播放功能，无需服务器支持即可实现定时音乐播放，确保系统可靠性。</w:t>
            </w:r>
          </w:p>
          <w:p w14:paraId="17A1E0E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23.网络接口：标准RJ45输入，传输速率：100Mbps，支持协议：TCP/IP，UDP，IGMP（组播）。</w:t>
            </w:r>
          </w:p>
          <w:p w14:paraId="70F8CC1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24.接口：Line IN*1、Line OUT*1、Speak out*2、短路输入*1。</w:t>
            </w:r>
          </w:p>
          <w:p w14:paraId="0DB8B29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25.保护电路：软启动、直流、短路、过热、过载、限幅多重智能检测保护系统。</w:t>
            </w:r>
          </w:p>
          <w:p w14:paraId="24F59773">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26.智慧语音导览定位基站应用于现代企业展厅，政务单位，博物馆，工厂产线等有导览需求场合的综合导览系统，时刻保障导览讲解正常进行，配合系统硬件的超低延时扩声与高保真声场覆盖，特别适用于面向领导及重要客户的高端智慧语音讲解场合。</w:t>
            </w:r>
          </w:p>
        </w:tc>
      </w:tr>
      <w:tr w14:paraId="5A2E9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vAlign w:val="center"/>
          </w:tcPr>
          <w:p w14:paraId="62503A1B">
            <w:pPr>
              <w:widowControl/>
              <w:spacing w:line="360" w:lineRule="auto"/>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（二）控制系统</w:t>
            </w:r>
          </w:p>
        </w:tc>
      </w:tr>
      <w:tr w14:paraId="57B49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EE8300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850" w:type="dxa"/>
            <w:vAlign w:val="center"/>
          </w:tcPr>
          <w:p w14:paraId="66BF7FB3">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智慧语音导览系统管理软件</w:t>
            </w:r>
          </w:p>
        </w:tc>
        <w:tc>
          <w:tcPr>
            <w:tcW w:w="851" w:type="dxa"/>
            <w:vAlign w:val="center"/>
          </w:tcPr>
          <w:p w14:paraId="43C15960">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7ECC19B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365F8895">
            <w:pPr>
              <w:widowControl/>
              <w:spacing w:line="360" w:lineRule="auto"/>
              <w:jc w:val="left"/>
              <w:textAlignment w:val="center"/>
              <w:rPr>
                <w:rStyle w:val="123"/>
                <w:rFonts w:hint="default"/>
                <w:color w:val="auto"/>
                <w:sz w:val="21"/>
                <w:szCs w:val="21"/>
              </w:rPr>
            </w:pPr>
            <w:r>
              <w:rPr>
                <w:rStyle w:val="123"/>
                <w:rFonts w:hint="default"/>
                <w:color w:val="auto"/>
                <w:sz w:val="21"/>
                <w:szCs w:val="21"/>
              </w:rPr>
              <w:t>1.网络传输：基于标准TCP/IP协议，以局域网或互联网为传输媒介，无距离限制，支持跨地域部署，确保音频信号高质量、超低延迟，无损传输，实现超高清语音导览讲解功能。</w:t>
            </w:r>
          </w:p>
          <w:p w14:paraId="483952C6">
            <w:pPr>
              <w:widowControl/>
              <w:spacing w:line="360" w:lineRule="auto"/>
              <w:jc w:val="left"/>
              <w:textAlignment w:val="center"/>
              <w:rPr>
                <w:rStyle w:val="123"/>
                <w:rFonts w:hint="default"/>
                <w:color w:val="auto"/>
                <w:sz w:val="21"/>
                <w:szCs w:val="21"/>
              </w:rPr>
            </w:pPr>
            <w:r>
              <w:rPr>
                <w:rStyle w:val="123"/>
                <w:rFonts w:hint="default"/>
                <w:color w:val="auto"/>
                <w:sz w:val="21"/>
                <w:szCs w:val="21"/>
              </w:rPr>
              <w:t>2.分区监控：提供全面的分区状态监测，包括播放内容、音量参数等，支持通过终端扩展音频输入接口。</w:t>
            </w:r>
          </w:p>
          <w:p w14:paraId="334331F8">
            <w:pPr>
              <w:widowControl/>
              <w:spacing w:line="360" w:lineRule="auto"/>
              <w:jc w:val="left"/>
              <w:textAlignment w:val="center"/>
              <w:rPr>
                <w:rStyle w:val="123"/>
                <w:rFonts w:hint="default"/>
                <w:color w:val="auto"/>
                <w:sz w:val="21"/>
                <w:szCs w:val="21"/>
              </w:rPr>
            </w:pPr>
            <w:r>
              <w:rPr>
                <w:rStyle w:val="123"/>
                <w:rFonts w:hint="default"/>
                <w:color w:val="auto"/>
                <w:sz w:val="21"/>
                <w:szCs w:val="21"/>
              </w:rPr>
              <w:t>3.插播功能：可以通过系统创建和编辑导览插播任务，讲解人员可通过管理客户端随时对各分区进行紧急通知、活动推荐、文化介绍等插播。</w:t>
            </w:r>
          </w:p>
          <w:p w14:paraId="47BC65FC">
            <w:pPr>
              <w:widowControl/>
              <w:spacing w:line="360" w:lineRule="auto"/>
              <w:jc w:val="left"/>
              <w:textAlignment w:val="center"/>
              <w:rPr>
                <w:rStyle w:val="123"/>
                <w:rFonts w:hint="default"/>
                <w:color w:val="auto"/>
                <w:sz w:val="21"/>
                <w:szCs w:val="21"/>
              </w:rPr>
            </w:pPr>
            <w:r>
              <w:rPr>
                <w:rStyle w:val="123"/>
                <w:rFonts w:hint="default"/>
                <w:color w:val="auto"/>
                <w:sz w:val="21"/>
                <w:szCs w:val="21"/>
              </w:rPr>
              <w:t>4.快速部署：充分利用现有网络基础设施进行系统架设，大幅减少布线工程，显著降低施工时间和投资成本，实现语音导览系统与其他网络系统的完美融合。</w:t>
            </w:r>
          </w:p>
          <w:p w14:paraId="420096C0">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 xml:space="preserve">5.导览管控：支持智慧语音导览分区管理，可设置每个分区的接收距离，控制每个分区讲解话筒发射距离。 </w:t>
            </w:r>
          </w:p>
          <w:p w14:paraId="10481490">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6.系统架构：采用BS（浏览器/服务器）和CS（客户端/服务器）混合架构，兼容Windows和Linux操作系统，用户可通过网页浏览器或专用客户端软件灵活访问。</w:t>
            </w:r>
          </w:p>
          <w:p w14:paraId="10179785">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7.状态监测：支持导览设备状态实时监控功能，可及时查看基站离线、播放、故障等状态，提供异常提醒功能。</w:t>
            </w:r>
          </w:p>
          <w:p w14:paraId="418B1151">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8.分控互动：支持多级分控管理，各终端节点可主动发起播放控制请求，实现双向互动通信。</w:t>
            </w:r>
          </w:p>
          <w:p w14:paraId="6B800D96">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9.播放控制：各分区支持独立音源播放控制，可手动选择播放内容或设置播放任务，具备完善的播放控制选项，支持TTS文本转语音功能，能实现后台人员临时播报通知。</w:t>
            </w:r>
          </w:p>
          <w:p w14:paraId="3DE71D2C">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10.智能定时：支持全功能定时定时播放方案设置，可设置多套定时播放方案，能指定方案的播放日期，循环模式，多套方案能同时启用。</w:t>
            </w:r>
          </w:p>
          <w:p w14:paraId="35805A07">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11.定位系统：集成地图服务，提供设备位置管理功能，采用高精度定位技术，实现≥10cm的定位精度，可以任意划分讲解区。</w:t>
            </w:r>
          </w:p>
          <w:p w14:paraId="61E81FB9">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12.管理功能：可以通过系统创建和编辑不同的分区，并在每个区域设置不同讲解任务，讲解人员可通过手动/感应自动或位置定位触发，播放相应分区的讲解内容。</w:t>
            </w:r>
          </w:p>
          <w:p w14:paraId="246FE0CB">
            <w:pPr>
              <w:widowControl/>
              <w:spacing w:line="360" w:lineRule="auto"/>
              <w:jc w:val="left"/>
              <w:textAlignment w:val="center"/>
              <w:rPr>
                <w:rStyle w:val="123"/>
                <w:rFonts w:hint="default"/>
                <w:color w:val="auto"/>
                <w:sz w:val="21"/>
                <w:szCs w:val="21"/>
              </w:rPr>
            </w:pPr>
            <w:r>
              <w:rPr>
                <w:rStyle w:val="123"/>
                <w:rFonts w:hint="default"/>
                <w:color w:val="auto"/>
                <w:sz w:val="21"/>
                <w:szCs w:val="21"/>
              </w:rPr>
              <w:t>13.智能触发：支持多种触发方式的音频播放控制，对接触发设备实现人体感应触发点播等功能。</w:t>
            </w:r>
          </w:p>
          <w:p w14:paraId="62B36CCD">
            <w:pPr>
              <w:widowControl/>
              <w:spacing w:line="360" w:lineRule="auto"/>
              <w:jc w:val="left"/>
              <w:textAlignment w:val="center"/>
              <w:rPr>
                <w:rStyle w:val="123"/>
                <w:rFonts w:hint="default"/>
                <w:color w:val="auto"/>
                <w:sz w:val="21"/>
                <w:szCs w:val="21"/>
              </w:rPr>
            </w:pPr>
            <w:r>
              <w:rPr>
                <w:rStyle w:val="123"/>
                <w:rFonts w:hint="default"/>
                <w:color w:val="auto"/>
                <w:sz w:val="21"/>
                <w:szCs w:val="21"/>
              </w:rPr>
              <w:t>14.分区管理：支持无限分区配置，分区和分组可自由组合调整，系统重组无需额外布线。</w:t>
            </w:r>
          </w:p>
          <w:p w14:paraId="4C5329FF">
            <w:pPr>
              <w:widowControl/>
              <w:spacing w:line="360" w:lineRule="auto"/>
              <w:jc w:val="left"/>
              <w:textAlignment w:val="center"/>
              <w:rPr>
                <w:rStyle w:val="123"/>
                <w:rFonts w:hint="default"/>
                <w:color w:val="auto"/>
                <w:sz w:val="21"/>
                <w:szCs w:val="21"/>
              </w:rPr>
            </w:pPr>
            <w:r>
              <w:rPr>
                <w:rStyle w:val="123"/>
                <w:rFonts w:hint="default"/>
                <w:color w:val="auto"/>
                <w:sz w:val="21"/>
                <w:szCs w:val="21"/>
              </w:rPr>
              <w:t>15.远程控制：通过授权认证，支持远程计算机对广播系统进行管理操作。</w:t>
            </w:r>
          </w:p>
          <w:p w14:paraId="1C3F71C8">
            <w:pPr>
              <w:widowControl/>
              <w:spacing w:line="360" w:lineRule="auto"/>
              <w:jc w:val="left"/>
              <w:textAlignment w:val="center"/>
              <w:rPr>
                <w:rStyle w:val="123"/>
                <w:rFonts w:hint="default"/>
                <w:color w:val="auto"/>
                <w:sz w:val="21"/>
                <w:szCs w:val="21"/>
              </w:rPr>
            </w:pPr>
            <w:r>
              <w:rPr>
                <w:rStyle w:val="123"/>
                <w:rFonts w:hint="default"/>
                <w:color w:val="auto"/>
                <w:sz w:val="21"/>
                <w:szCs w:val="21"/>
              </w:rPr>
              <w:t>16.消防联动：与消防报警系统深度集成，提供多种预设报警方案，报警状态直观显示。</w:t>
            </w:r>
          </w:p>
          <w:p w14:paraId="45403B79">
            <w:pPr>
              <w:widowControl/>
              <w:spacing w:line="360" w:lineRule="auto"/>
              <w:jc w:val="left"/>
              <w:textAlignment w:val="center"/>
              <w:rPr>
                <w:rStyle w:val="123"/>
                <w:rFonts w:hint="default"/>
                <w:color w:val="auto"/>
                <w:sz w:val="21"/>
                <w:szCs w:val="21"/>
              </w:rPr>
            </w:pPr>
            <w:r>
              <w:rPr>
                <w:rStyle w:val="123"/>
                <w:rFonts w:hint="default"/>
                <w:color w:val="auto"/>
                <w:sz w:val="21"/>
                <w:szCs w:val="21"/>
              </w:rPr>
              <w:t>17.视频监控：支持与主流安防摄像头联动，实现音视频一体化管理。</w:t>
            </w:r>
          </w:p>
          <w:p w14:paraId="06675D31">
            <w:pPr>
              <w:widowControl/>
              <w:spacing w:line="360" w:lineRule="auto"/>
              <w:jc w:val="left"/>
              <w:textAlignment w:val="center"/>
              <w:rPr>
                <w:rStyle w:val="123"/>
                <w:rFonts w:hint="default"/>
                <w:color w:val="auto"/>
                <w:sz w:val="21"/>
                <w:szCs w:val="21"/>
              </w:rPr>
            </w:pPr>
            <w:r>
              <w:rPr>
                <w:rStyle w:val="123"/>
                <w:rFonts w:hint="default"/>
                <w:color w:val="auto"/>
                <w:sz w:val="21"/>
                <w:szCs w:val="21"/>
              </w:rPr>
              <w:t>18.紧急广播：提供全区告警快捷功能，确保紧急情况下的快速响应。</w:t>
            </w:r>
          </w:p>
          <w:p w14:paraId="419597CC">
            <w:pPr>
              <w:widowControl/>
              <w:spacing w:line="360" w:lineRule="auto"/>
              <w:jc w:val="left"/>
              <w:textAlignment w:val="center"/>
              <w:rPr>
                <w:rStyle w:val="123"/>
                <w:rFonts w:hint="default"/>
                <w:color w:val="auto"/>
                <w:sz w:val="21"/>
                <w:szCs w:val="21"/>
              </w:rPr>
            </w:pPr>
            <w:r>
              <w:rPr>
                <w:rStyle w:val="123"/>
                <w:rFonts w:hint="default"/>
                <w:color w:val="auto"/>
                <w:sz w:val="21"/>
                <w:szCs w:val="21"/>
              </w:rPr>
              <w:t>19.权限管理：提供可自定义的优先级管理方案，确保重要广播内容能够优先播出。</w:t>
            </w:r>
          </w:p>
          <w:p w14:paraId="607DBB95">
            <w:pPr>
              <w:widowControl/>
              <w:spacing w:line="360" w:lineRule="auto"/>
              <w:jc w:val="left"/>
              <w:textAlignment w:val="center"/>
              <w:rPr>
                <w:rStyle w:val="123"/>
                <w:rFonts w:hint="default"/>
                <w:color w:val="auto"/>
                <w:sz w:val="21"/>
                <w:szCs w:val="21"/>
              </w:rPr>
            </w:pPr>
            <w:r>
              <w:rPr>
                <w:rStyle w:val="123"/>
                <w:rFonts w:hint="default"/>
                <w:color w:val="auto"/>
                <w:sz w:val="21"/>
                <w:szCs w:val="21"/>
              </w:rPr>
              <w:t>20.日志系统：详细记录系统操作和运行日志，支持历史查询。</w:t>
            </w:r>
          </w:p>
          <w:p w14:paraId="23334BFB">
            <w:pPr>
              <w:widowControl/>
              <w:spacing w:line="360" w:lineRule="auto"/>
              <w:jc w:val="left"/>
              <w:textAlignment w:val="center"/>
              <w:rPr>
                <w:rStyle w:val="123"/>
                <w:rFonts w:hint="default"/>
                <w:color w:val="auto"/>
                <w:sz w:val="21"/>
                <w:szCs w:val="21"/>
              </w:rPr>
            </w:pPr>
            <w:r>
              <w:rPr>
                <w:rStyle w:val="123"/>
                <w:rFonts w:hint="default"/>
                <w:color w:val="auto"/>
                <w:sz w:val="21"/>
                <w:szCs w:val="21"/>
              </w:rPr>
              <w:t>21.管理模式：支持服务器定时开关机，优化能耗管理。</w:t>
            </w:r>
          </w:p>
          <w:p w14:paraId="763DA26F">
            <w:pPr>
              <w:widowControl/>
              <w:spacing w:line="360" w:lineRule="auto"/>
              <w:jc w:val="left"/>
              <w:textAlignment w:val="center"/>
              <w:rPr>
                <w:rStyle w:val="123"/>
                <w:rFonts w:hint="default"/>
                <w:color w:val="auto"/>
                <w:sz w:val="21"/>
                <w:szCs w:val="21"/>
              </w:rPr>
            </w:pPr>
            <w:r>
              <w:rPr>
                <w:rStyle w:val="123"/>
                <w:rFonts w:hint="default"/>
                <w:color w:val="auto"/>
                <w:sz w:val="21"/>
                <w:szCs w:val="21"/>
              </w:rPr>
              <w:t>22.备份设计：采用冗余备份机制，确保系统持续稳定运行。</w:t>
            </w:r>
          </w:p>
          <w:p w14:paraId="60472767">
            <w:pPr>
              <w:widowControl/>
              <w:spacing w:line="360" w:lineRule="auto"/>
              <w:jc w:val="left"/>
              <w:textAlignment w:val="center"/>
              <w:rPr>
                <w:rStyle w:val="123"/>
                <w:rFonts w:hint="default"/>
                <w:color w:val="auto"/>
                <w:sz w:val="21"/>
                <w:szCs w:val="21"/>
              </w:rPr>
            </w:pPr>
            <w:r>
              <w:rPr>
                <w:rStyle w:val="123"/>
                <w:rFonts w:hint="default"/>
                <w:color w:val="auto"/>
                <w:sz w:val="21"/>
                <w:szCs w:val="21"/>
              </w:rPr>
              <w:t>23.多语言切换：提供多语言界面选择，适应不同地区使用需求。</w:t>
            </w:r>
          </w:p>
          <w:p w14:paraId="11D7B881">
            <w:pPr>
              <w:widowControl/>
              <w:spacing w:line="360" w:lineRule="auto"/>
              <w:jc w:val="left"/>
              <w:textAlignment w:val="center"/>
              <w:rPr>
                <w:rStyle w:val="123"/>
                <w:rFonts w:hint="default"/>
                <w:color w:val="auto"/>
                <w:sz w:val="21"/>
                <w:szCs w:val="21"/>
              </w:rPr>
            </w:pPr>
            <w:r>
              <w:rPr>
                <w:rStyle w:val="123"/>
                <w:rFonts w:hint="default"/>
                <w:color w:val="auto"/>
                <w:sz w:val="21"/>
                <w:szCs w:val="21"/>
              </w:rPr>
              <w:t>24.媒体库管理：支持WAV、MP3音频文件格式，可通过软件进行音乐上传、音乐转移、音乐删除等操作。</w:t>
            </w:r>
          </w:p>
          <w:p w14:paraId="2F42349A">
            <w:pPr>
              <w:widowControl/>
              <w:spacing w:line="360" w:lineRule="auto"/>
              <w:jc w:val="left"/>
              <w:textAlignment w:val="center"/>
              <w:rPr>
                <w:rStyle w:val="123"/>
                <w:rFonts w:hint="default"/>
                <w:color w:val="auto"/>
                <w:sz w:val="21"/>
                <w:szCs w:val="21"/>
              </w:rPr>
            </w:pPr>
            <w:r>
              <w:rPr>
                <w:rStyle w:val="123"/>
                <w:rFonts w:hint="default"/>
                <w:color w:val="auto"/>
                <w:sz w:val="21"/>
                <w:szCs w:val="21"/>
              </w:rPr>
              <w:t>25.双向对讲：支持系统内多个网络寻呼站之间的双向对讲通信，具备分级通话管理能力。</w:t>
            </w:r>
          </w:p>
          <w:p w14:paraId="416252AA">
            <w:pPr>
              <w:widowControl/>
              <w:spacing w:line="360" w:lineRule="auto"/>
              <w:jc w:val="left"/>
              <w:textAlignment w:val="center"/>
              <w:rPr>
                <w:rStyle w:val="123"/>
                <w:rFonts w:hint="default"/>
                <w:color w:val="auto"/>
                <w:sz w:val="21"/>
                <w:szCs w:val="21"/>
              </w:rPr>
            </w:pPr>
            <w:r>
              <w:rPr>
                <w:rStyle w:val="123"/>
                <w:rFonts w:hint="default"/>
                <w:color w:val="auto"/>
                <w:sz w:val="21"/>
                <w:szCs w:val="21"/>
              </w:rPr>
              <w:t>26.多媒体播放：实现音频与文字信息的同步输出展示。</w:t>
            </w:r>
          </w:p>
          <w:p w14:paraId="5A462387">
            <w:pPr>
              <w:widowControl/>
              <w:spacing w:line="360" w:lineRule="auto"/>
              <w:jc w:val="left"/>
              <w:textAlignment w:val="center"/>
              <w:rPr>
                <w:rStyle w:val="123"/>
                <w:rFonts w:hint="default"/>
                <w:color w:val="auto"/>
                <w:sz w:val="21"/>
                <w:szCs w:val="21"/>
              </w:rPr>
            </w:pPr>
            <w:r>
              <w:rPr>
                <w:rStyle w:val="123"/>
                <w:rFonts w:hint="default"/>
                <w:color w:val="auto"/>
                <w:sz w:val="21"/>
                <w:szCs w:val="21"/>
              </w:rPr>
              <w:t>27.寻呼广播：网络寻呼终端可快速选择目标分区进行广播寻呼，操作简单高效。</w:t>
            </w:r>
          </w:p>
          <w:p w14:paraId="53EF2039">
            <w:pPr>
              <w:widowControl/>
              <w:spacing w:line="360" w:lineRule="auto"/>
              <w:jc w:val="left"/>
              <w:textAlignment w:val="center"/>
              <w:rPr>
                <w:rStyle w:val="123"/>
                <w:rFonts w:hint="default"/>
                <w:color w:val="auto"/>
                <w:sz w:val="21"/>
                <w:szCs w:val="21"/>
              </w:rPr>
            </w:pPr>
            <w:r>
              <w:rPr>
                <w:rStyle w:val="123"/>
                <w:rFonts w:hint="default"/>
                <w:color w:val="auto"/>
                <w:sz w:val="21"/>
                <w:szCs w:val="21"/>
              </w:rPr>
              <w:t>28.移动讲解：支持移动讲解播放功能，定位系统配合声场位置控制算法，实现导览人员讲解音频跟随位置移动功能。</w:t>
            </w:r>
          </w:p>
          <w:p w14:paraId="349D2735">
            <w:pPr>
              <w:widowControl/>
              <w:spacing w:line="360" w:lineRule="auto"/>
              <w:jc w:val="left"/>
              <w:textAlignment w:val="center"/>
              <w:rPr>
                <w:rStyle w:val="123"/>
                <w:rFonts w:hint="default"/>
                <w:color w:val="auto"/>
                <w:sz w:val="21"/>
                <w:szCs w:val="21"/>
              </w:rPr>
            </w:pPr>
            <w:r>
              <w:rPr>
                <w:rStyle w:val="123"/>
                <w:rFonts w:hint="default"/>
                <w:color w:val="auto"/>
                <w:sz w:val="21"/>
                <w:szCs w:val="21"/>
              </w:rPr>
              <w:t>29.临时播放：支持临时播放各区域提前设置好的预录讲解任务，并可手动控制指定区域扩声。</w:t>
            </w:r>
          </w:p>
          <w:p w14:paraId="065DD31D">
            <w:pPr>
              <w:widowControl/>
              <w:spacing w:line="360" w:lineRule="auto"/>
              <w:jc w:val="left"/>
              <w:textAlignment w:val="center"/>
              <w:rPr>
                <w:rStyle w:val="123"/>
                <w:rFonts w:hint="default"/>
                <w:color w:val="auto"/>
                <w:sz w:val="21"/>
                <w:szCs w:val="21"/>
              </w:rPr>
            </w:pPr>
            <w:r>
              <w:rPr>
                <w:rStyle w:val="123"/>
                <w:rFonts w:hint="default"/>
                <w:color w:val="auto"/>
                <w:sz w:val="21"/>
                <w:szCs w:val="21"/>
              </w:rPr>
              <w:t>30.无缝切换：在不讲解时，可无缝切换播放服务器的定时广播、TTS文本转语音、媒体点播等音频播放功能。</w:t>
            </w:r>
          </w:p>
          <w:p w14:paraId="6860A1FD">
            <w:pPr>
              <w:widowControl/>
              <w:spacing w:line="360" w:lineRule="auto"/>
              <w:jc w:val="left"/>
              <w:textAlignment w:val="center"/>
              <w:rPr>
                <w:rStyle w:val="123"/>
                <w:rFonts w:hint="default"/>
                <w:color w:val="auto"/>
                <w:sz w:val="21"/>
                <w:szCs w:val="21"/>
              </w:rPr>
            </w:pPr>
            <w:r>
              <w:rPr>
                <w:rStyle w:val="123"/>
                <w:rFonts w:hint="default"/>
                <w:color w:val="auto"/>
                <w:sz w:val="21"/>
                <w:szCs w:val="21"/>
              </w:rPr>
              <w:t>31.专为现代企业展厅、政务机构、博物馆及工厂生产线等需要语音导览服务的场所设计的综合管理平台软件。该系统的硬件设备具备超低延迟的音频传输和高质量的声音覆盖性能，尤其适合为领导和重要客户提供高端智能语音导览服务的场景。</w:t>
            </w:r>
          </w:p>
        </w:tc>
      </w:tr>
      <w:tr w14:paraId="20579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53458EC">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850" w:type="dxa"/>
            <w:vAlign w:val="center"/>
          </w:tcPr>
          <w:p w14:paraId="1626734D">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音频生态平台安卓管控软件</w:t>
            </w:r>
          </w:p>
        </w:tc>
        <w:tc>
          <w:tcPr>
            <w:tcW w:w="851" w:type="dxa"/>
            <w:vAlign w:val="center"/>
          </w:tcPr>
          <w:p w14:paraId="2CAA8731">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31DD59E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38476BC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1.软件支持在Android 12.0及以上版本的手机运行。</w:t>
            </w:r>
          </w:p>
          <w:p w14:paraId="1A4979A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2.支持导览设备状态实时监控功能，可及时查看卡牌低电量，基站离线等故障状态。支持实时设备状态监控功能，可实时显示设备的在线离线、故障、IP冲突、播放任务及当前音量等运行状态。</w:t>
            </w:r>
          </w:p>
          <w:p w14:paraId="05CE979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3.支持导览分区讲解管理功能，讲解人员可通过选择指定分区，播放相应分区的讲解内容。</w:t>
            </w:r>
          </w:p>
          <w:p w14:paraId="641ADF7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4.支持任务会话管控，用户可查看有管理权限的正在进行的任务，并能对其进行控制。任务类型有点播任务、定时任务、对讲、采集、文稿读播、寻呼、报警等。</w:t>
            </w:r>
          </w:p>
          <w:p w14:paraId="23D6CEF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5.支持用户功能自定义布局：根据需求勾选展示APP功能模块，可对功能模块排序展示。</w:t>
            </w:r>
          </w:p>
          <w:p w14:paraId="30FE26DD">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6.支持双机双网冗余备份，软件可与主备机的两个网络同时通信，实现任意一个网络故障或者任意一个主机故障，都不影响软件控制。</w:t>
            </w:r>
          </w:p>
        </w:tc>
      </w:tr>
      <w:tr w14:paraId="1018C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7A78A9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3</w:t>
            </w:r>
          </w:p>
        </w:tc>
        <w:tc>
          <w:tcPr>
            <w:tcW w:w="850" w:type="dxa"/>
            <w:vAlign w:val="center"/>
          </w:tcPr>
          <w:p w14:paraId="31E81574">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音频生态平台iOS管控软件</w:t>
            </w:r>
          </w:p>
        </w:tc>
        <w:tc>
          <w:tcPr>
            <w:tcW w:w="851" w:type="dxa"/>
            <w:vAlign w:val="center"/>
          </w:tcPr>
          <w:p w14:paraId="3D7C9DFC">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43391E4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4EF02EE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1.软件支持在iOS 14.0及以上版本的手机运行。</w:t>
            </w:r>
          </w:p>
          <w:p w14:paraId="3131E79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2.支持导览设备状态实时监控功能，可及时查看卡牌低电量，基站离线等故障状态。支持实时设备状态监控功能，可实时显示设备的在线离线、故障、IP冲突、播放任务及当前音量等运行状态。</w:t>
            </w:r>
          </w:p>
          <w:p w14:paraId="6BBCD60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3.支持导览分区讲解管理功能，讲解人员可通过选择指定分区，播放相应分区的讲解内容。</w:t>
            </w:r>
          </w:p>
          <w:p w14:paraId="4B6739F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4.支持任务会话管控，用户可查看有管理权限的正在进行的任务，并能对其进行控制。任务类型有点播任务、定时任务、对讲、采集、文稿读播、寻呼、报警等。</w:t>
            </w:r>
          </w:p>
          <w:p w14:paraId="28DB1A1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5.支持用户功能自定义布局：根据需求勾选展示APP功能模块，可对功能模块排序展示。</w:t>
            </w:r>
          </w:p>
          <w:p w14:paraId="2BAB9C83">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6.支持双机双网冗余备份，软件可与主备机的两个网络同时通信，实现任意一个网络故障或者任意一个主机故障，都不影响软件控制。</w:t>
            </w:r>
          </w:p>
        </w:tc>
      </w:tr>
      <w:tr w14:paraId="515AB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F4D3402">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4</w:t>
            </w:r>
          </w:p>
        </w:tc>
        <w:tc>
          <w:tcPr>
            <w:tcW w:w="850" w:type="dxa"/>
            <w:vAlign w:val="center"/>
          </w:tcPr>
          <w:p w14:paraId="00B7736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音频生态平台安卓管控软件</w:t>
            </w:r>
          </w:p>
        </w:tc>
        <w:tc>
          <w:tcPr>
            <w:tcW w:w="851" w:type="dxa"/>
            <w:vAlign w:val="center"/>
          </w:tcPr>
          <w:p w14:paraId="5939F767">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6D18E5F6">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7189F36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1.软件支持在Android 12.0及以上的平板上运行。</w:t>
            </w:r>
          </w:p>
          <w:p w14:paraId="5C7CD63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2.支持任务会话管控，用户可查看有管理权限的正在进行的任务，并能对其进行控制。任务类型有点播任务、定时任务、对讲、采集、文稿读播、寻呼、报警等。</w:t>
            </w:r>
          </w:p>
          <w:p w14:paraId="164995A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支持控制播放的音频，设置播放顺序、调节曲目进度，切换上下首、开启停止和调节音量，可以查看播放列表，支持将播放列表的音频删除，支持查看任务执行终端的在线状态，控制任务，支持开启任务和停止任务。</w:t>
            </w:r>
          </w:p>
          <w:p w14:paraId="73BE060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4.支持用户功能自定义布局：根据需求勾选展示APP功能模块，可对功能模块排序展示。</w:t>
            </w:r>
          </w:p>
          <w:p w14:paraId="5B1DDAC8">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5.支持双机双网冗余备份，软件可与主备机的两个网络同时通信，实现任意一个网络故障或者任意一个主机故障，都不影响软件控制。</w:t>
            </w:r>
          </w:p>
        </w:tc>
      </w:tr>
      <w:tr w14:paraId="6BF75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868E2F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5</w:t>
            </w:r>
          </w:p>
        </w:tc>
        <w:tc>
          <w:tcPr>
            <w:tcW w:w="850" w:type="dxa"/>
            <w:vAlign w:val="center"/>
          </w:tcPr>
          <w:p w14:paraId="11BBE840">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音频生态平台iOS管控软件</w:t>
            </w:r>
          </w:p>
        </w:tc>
        <w:tc>
          <w:tcPr>
            <w:tcW w:w="851" w:type="dxa"/>
            <w:vAlign w:val="center"/>
          </w:tcPr>
          <w:p w14:paraId="4B26C781">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6320957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40CDF360">
            <w:pPr>
              <w:widowControl/>
              <w:spacing w:line="360" w:lineRule="auto"/>
              <w:jc w:val="left"/>
              <w:textAlignment w:val="center"/>
              <w:rPr>
                <w:rStyle w:val="123"/>
                <w:rFonts w:hint="default"/>
                <w:color w:val="auto"/>
                <w:sz w:val="21"/>
                <w:szCs w:val="21"/>
              </w:rPr>
            </w:pPr>
            <w:r>
              <w:rPr>
                <w:rStyle w:val="123"/>
                <w:rFonts w:hint="default"/>
                <w:color w:val="auto"/>
                <w:sz w:val="21"/>
                <w:szCs w:val="21"/>
              </w:rPr>
              <w:t>1.软件支持在iPad OS 15及以上的平板上运行。</w:t>
            </w:r>
          </w:p>
          <w:p w14:paraId="4683A45F">
            <w:pPr>
              <w:widowControl/>
              <w:spacing w:line="360" w:lineRule="auto"/>
              <w:jc w:val="left"/>
              <w:textAlignment w:val="center"/>
              <w:rPr>
                <w:rStyle w:val="123"/>
                <w:rFonts w:hint="default"/>
                <w:color w:val="auto"/>
                <w:sz w:val="21"/>
                <w:szCs w:val="21"/>
              </w:rPr>
            </w:pPr>
            <w:r>
              <w:rPr>
                <w:rStyle w:val="123"/>
                <w:rFonts w:hint="default"/>
                <w:color w:val="auto"/>
                <w:sz w:val="21"/>
                <w:szCs w:val="21"/>
              </w:rPr>
              <w:t>2.支持任务会话管控，用户可查看有管理权限的正在进行的任务，并能对其进行控制。任务类型有点播任务、定时任务、对讲、采集、文稿读播、寻呼、报警等。</w:t>
            </w:r>
          </w:p>
          <w:p w14:paraId="198CBB50">
            <w:pPr>
              <w:widowControl/>
              <w:spacing w:line="360" w:lineRule="auto"/>
              <w:jc w:val="left"/>
              <w:textAlignment w:val="center"/>
              <w:rPr>
                <w:rStyle w:val="123"/>
                <w:rFonts w:hint="default"/>
                <w:color w:val="auto"/>
                <w:sz w:val="21"/>
                <w:szCs w:val="21"/>
              </w:rPr>
            </w:pPr>
            <w:r>
              <w:rPr>
                <w:rStyle w:val="123"/>
                <w:rFonts w:hint="default"/>
                <w:color w:val="auto"/>
                <w:sz w:val="21"/>
                <w:szCs w:val="21"/>
              </w:rPr>
              <w:t>3.支持控制播放的音频，设置播放顺序、调节曲目进度、切换上下首、开启停止和调节音量，可以查看播放列表，支持将播放列表的音频删除，支持查看任务执行终端的在线状态，控制任务，支持开启任务和停止任务。</w:t>
            </w:r>
          </w:p>
          <w:p w14:paraId="67FCFB95">
            <w:pPr>
              <w:widowControl/>
              <w:spacing w:line="360" w:lineRule="auto"/>
              <w:jc w:val="left"/>
              <w:textAlignment w:val="center"/>
              <w:rPr>
                <w:rStyle w:val="123"/>
                <w:rFonts w:hint="default"/>
                <w:color w:val="auto"/>
                <w:sz w:val="21"/>
                <w:szCs w:val="21"/>
              </w:rPr>
            </w:pPr>
            <w:r>
              <w:rPr>
                <w:rStyle w:val="123"/>
                <w:rFonts w:hint="default"/>
                <w:color w:val="auto"/>
                <w:sz w:val="21"/>
                <w:szCs w:val="21"/>
              </w:rPr>
              <w:t>4.支持用户功能自定义布局：根据需求勾选展示APP功能模块，可对功能模块排序展示。</w:t>
            </w:r>
          </w:p>
          <w:p w14:paraId="363073E4">
            <w:pPr>
              <w:widowControl/>
              <w:spacing w:line="360" w:lineRule="auto"/>
              <w:jc w:val="left"/>
              <w:textAlignment w:val="center"/>
              <w:rPr>
                <w:rStyle w:val="123"/>
                <w:rFonts w:hint="default"/>
                <w:color w:val="auto"/>
                <w:sz w:val="21"/>
                <w:szCs w:val="21"/>
              </w:rPr>
            </w:pPr>
            <w:r>
              <w:rPr>
                <w:rStyle w:val="123"/>
                <w:rFonts w:hint="default"/>
                <w:color w:val="auto"/>
                <w:sz w:val="21"/>
                <w:szCs w:val="21"/>
              </w:rPr>
              <w:t>5.支持双机双网冗余备份，软件可与主备机的两个网络同时通信，实现任意一个网络故障或者任意一个主机故障，都不影响软件控制。</w:t>
            </w:r>
          </w:p>
        </w:tc>
      </w:tr>
      <w:tr w14:paraId="42A59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29AE50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6</w:t>
            </w:r>
          </w:p>
        </w:tc>
        <w:tc>
          <w:tcPr>
            <w:tcW w:w="850" w:type="dxa"/>
            <w:vAlign w:val="center"/>
          </w:tcPr>
          <w:p w14:paraId="3DF77D9A">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嵌入式位置计算服务器软件V1.0</w:t>
            </w:r>
          </w:p>
        </w:tc>
        <w:tc>
          <w:tcPr>
            <w:tcW w:w="851" w:type="dxa"/>
            <w:vAlign w:val="center"/>
          </w:tcPr>
          <w:p w14:paraId="24B9C752">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367E6099">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54BC739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位置地图：显示二维平面地图，在地图中显示基站安装位置、标签的实时定位分布位置，显示或隐藏地图标尺，支持x平面侧视图、y平面侧视图、z平面俯视图显示三维定位效果，支持测距标尺，轨迹显示支持按点图、线图、热图多种形式，自定义轨迹点保留时间，支持定时清理轨迹点，支持导出位置数据设备列表：展示基站/标签名称、标识、位置、在线状态，在位置地图中显示设备图标。</w:t>
            </w:r>
          </w:p>
          <w:p w14:paraId="37E4E9F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基础设置：支持基站/标签列表中选择基站/标签，鼠标右键对每个基站/标签进行基本操作，统计基站/标签总数、在线数、已使用数，发送用户数据，发送告警数据，发送带参告警，设置基站/标签工作参数，设置所有基站/标签工作参数，设置标签工作频率和间隔，修改标签语言，下发短信，下发警示信息，显示标签详细信息，添加/取消到已配置。</w:t>
            </w:r>
          </w:p>
          <w:p w14:paraId="7D1BEE2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信息监测：监测模板信息，引擎调用的模块进程信息；监测线程信息，引擎运行相关线程名称、PID、TID、BasePri、CPU、StartTS、UpdateTS、StopTS、RCode等；监测接口收发消息，接口类型、消息类型、消息计数、收发字节总量、传输速率；监测设备收发信息，IP、端口、接收数、接收字节大小、接收传输速率；监测所有进程信息，路径、PID、父进程PID、模块ID、DefaultHeapID、优先级、Flags和线程数；监测网内引擎，PID、SIP、SPORT、IP、PORT、TimestampRemote、TimestampLocal、OnMonitoring。</w:t>
            </w:r>
          </w:p>
          <w:p w14:paraId="3D5E85A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系统设置：基站：配置基站ID、基站名称、x/y/z坐标、层、组、量程、地址、矫正值、抖动、移动基站、A接口报文捕获、有线同步；支持新增基站、删除基站、导入和导出基站列表；全局设置基站量程；启用TDOA计算中使用来自主基站的数据；启用转发移动基站的新位置；设置基站控制地址，支持使用注册时上报的基站地址和控制端口、使用注册时上报的基站地址和控制端口、使用注册报文的源地址和源端口、使用注册报文的源地址和上报的控制端口、始终使用配置的地址和控制端口四种模式 ；启用检测基站网络异常，设置检测周期、检查使用预设IP；设置判断基站网络异常的策略阈值，IP变化、报文个数、报文总长度；标签：配置标签ID、标签名称、参考高度、速率上限、频率/周期、位置回传、用户数据端口；支持新增标签、删除标签、导入和导出标签列表；全局配置标签定层轨迹点数；支持未得到位置时，上报最近基站ID；支持静止标签输出固定坐标；支持启动标签位置带标识；支持未得到位置时，上报上次位 ；支持启用或关闭处理所有状态标记（SOS/静止/休眠）</w:t>
            </w:r>
          </w:p>
          <w:p w14:paraId="15E911C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5.转发： 支持新增、修改、删除转发目标，设置转发协议类型、目标地址、目标端口、转发数据范围；协议类型支持UDP、TCP、HTTP、HTTPS、RBCC；支持输出位置仿射矩阵配；支持输出经纬度，配置原点经纬度和偏转角。</w:t>
            </w:r>
          </w:p>
          <w:p w14:paraId="14024A5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6.轨迹分析： 支持轨迹加载参数设置；支持驻留分析参数设置；支持导出轨迹文件到本地 ；分析定位标签轨迹起始、点数、丢点、漫游、停留点、经过区域等 ；分析详细的丢点序号、时间、位置等 ；分析轨迹在不同层组间漫游的次数、可能停留的位置和时间区间、丢包数量统计，用以在跳层/组的分析，用以稳定性提升分析。</w:t>
            </w:r>
          </w:p>
          <w:p w14:paraId="3E4FFF9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在线升级：选择本地标签固件，对标签进行批量下发固件升级；显示固件名称、硬件版本号、固件版本号、文件尺寸、状态等；显示升级标签的名称、标识、电量、当前硬件版本、当前固件版本、标签状态、硬件升级版本、固件升级版本、升级进度、开始时间、结束时间等，监控升级过程。</w:t>
            </w:r>
          </w:p>
          <w:p w14:paraId="2BA763A0">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8.其他设置： 启动关闭同屏显示多轨迹、启用关闭增加功能、启用关闭UWBCON；设置在地图上呈现位置点、连线、选中点、方向角、选中采样序列的参考曲线等；设置自动存储数据的单文件长度限制、是否保存报文数据、是否保存报文文本、是否保存采样文本；配置统计参数，统计周期长度、标签状态推送间隔、离线基站、离线标签、每层标签、每层标签数、设备状态、标签异常；配置演示参数，设置全屏显示标签当前位置、分组显示边界、分组填充颜色。</w:t>
            </w:r>
          </w:p>
        </w:tc>
      </w:tr>
      <w:tr w14:paraId="62DAA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vAlign w:val="center"/>
          </w:tcPr>
          <w:p w14:paraId="4F43AFEB">
            <w:pPr>
              <w:widowControl/>
              <w:spacing w:line="360" w:lineRule="auto"/>
              <w:textAlignment w:val="center"/>
              <w:rPr>
                <w:rStyle w:val="123"/>
                <w:rFonts w:hint="default"/>
                <w:color w:val="auto"/>
                <w:sz w:val="21"/>
                <w:szCs w:val="21"/>
              </w:rPr>
            </w:pPr>
            <w:r>
              <w:rPr>
                <w:rStyle w:val="123"/>
                <w:rFonts w:hint="default"/>
                <w:b/>
                <w:bCs/>
                <w:color w:val="auto"/>
                <w:sz w:val="21"/>
                <w:szCs w:val="21"/>
              </w:rPr>
              <w:t>（三）</w:t>
            </w:r>
            <w:r>
              <w:rPr>
                <w:rFonts w:hint="eastAsia" w:ascii="宋体" w:hAnsi="宋体" w:cs="宋体"/>
                <w:b/>
                <w:bCs/>
                <w:color w:val="000000"/>
                <w:kern w:val="0"/>
                <w:szCs w:val="21"/>
                <w:lang w:bidi="ar"/>
              </w:rPr>
              <w:t>定位标签</w:t>
            </w:r>
          </w:p>
        </w:tc>
      </w:tr>
      <w:tr w14:paraId="51FC0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65EF094">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850" w:type="dxa"/>
            <w:vAlign w:val="center"/>
          </w:tcPr>
          <w:p w14:paraId="675D0EA0">
            <w:pPr>
              <w:tabs>
                <w:tab w:val="left" w:pos="180"/>
                <w:tab w:val="left" w:pos="1620"/>
              </w:tabs>
              <w:spacing w:line="360" w:lineRule="auto"/>
              <w:jc w:val="center"/>
              <w:rPr>
                <w:rFonts w:hint="eastAsia" w:ascii="宋体" w:hAnsi="宋体" w:cs="宋体"/>
                <w:szCs w:val="21"/>
              </w:rPr>
            </w:pPr>
            <w:r>
              <w:rPr>
                <w:rFonts w:hint="eastAsia" w:ascii="宋体" w:hAnsi="宋体" w:cs="宋体"/>
                <w:color w:val="000000"/>
                <w:kern w:val="0"/>
                <w:szCs w:val="21"/>
                <w:lang w:bidi="ar"/>
              </w:rPr>
              <w:t>定位标签</w:t>
            </w:r>
          </w:p>
        </w:tc>
        <w:tc>
          <w:tcPr>
            <w:tcW w:w="851" w:type="dxa"/>
            <w:vAlign w:val="center"/>
          </w:tcPr>
          <w:p w14:paraId="623181BE">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3</w:t>
            </w:r>
          </w:p>
        </w:tc>
        <w:tc>
          <w:tcPr>
            <w:tcW w:w="708" w:type="dxa"/>
            <w:vAlign w:val="center"/>
          </w:tcPr>
          <w:p w14:paraId="1A52332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414D372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1.定位标签主要用于智慧语音导览系统讲解员定位。</w:t>
            </w:r>
          </w:p>
          <w:p w14:paraId="7536AF5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2.IEEE 802.15.4a UWB 无线。</w:t>
            </w:r>
          </w:p>
          <w:p w14:paraId="2AB21E0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3.支持BLE 5.0。</w:t>
            </w:r>
          </w:p>
          <w:p w14:paraId="1D41E41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4.支持SOS按键。</w:t>
            </w:r>
          </w:p>
          <w:p w14:paraId="5CE5479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5.支持震动、蜂鸣提示。</w:t>
            </w:r>
          </w:p>
          <w:p w14:paraId="77CCD56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6.支持软件设置传输距离，以满足不同的场景使用。</w:t>
            </w:r>
          </w:p>
          <w:p w14:paraId="16EAD22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7.支持安卓充电接口，4小时充满电，可持续使用时间≥16h。</w:t>
            </w:r>
          </w:p>
          <w:p w14:paraId="5A05017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8.支持USB 连接电脑，通过上位机软件设置参数。</w:t>
            </w:r>
          </w:p>
          <w:p w14:paraId="33DFBB71">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9.智慧语音导览系统应定位标签用于现代企业展厅，政务单位，博物馆，工厂产线等有导览需求场合的综合导览系统，时刻保障导览讲解正常进行。</w:t>
            </w:r>
          </w:p>
        </w:tc>
      </w:tr>
      <w:tr w14:paraId="1B9AD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vAlign w:val="center"/>
          </w:tcPr>
          <w:p w14:paraId="78B330AF">
            <w:pPr>
              <w:widowControl/>
              <w:spacing w:line="360" w:lineRule="auto"/>
              <w:textAlignment w:val="center"/>
              <w:rPr>
                <w:rStyle w:val="123"/>
                <w:rFonts w:hint="default"/>
                <w:color w:val="auto"/>
                <w:sz w:val="21"/>
                <w:szCs w:val="21"/>
              </w:rPr>
            </w:pPr>
            <w:r>
              <w:rPr>
                <w:rStyle w:val="123"/>
                <w:rFonts w:hint="default"/>
                <w:b/>
                <w:bCs/>
                <w:color w:val="auto"/>
                <w:sz w:val="21"/>
                <w:szCs w:val="21"/>
              </w:rPr>
              <w:t>（四）</w:t>
            </w:r>
            <w:r>
              <w:rPr>
                <w:rFonts w:hint="eastAsia" w:ascii="宋体" w:hAnsi="宋体" w:cs="宋体"/>
                <w:b/>
                <w:bCs/>
                <w:color w:val="000000"/>
                <w:kern w:val="0"/>
                <w:szCs w:val="21"/>
                <w:lang w:bidi="ar"/>
              </w:rPr>
              <w:t>前端设备</w:t>
            </w:r>
          </w:p>
        </w:tc>
      </w:tr>
      <w:tr w14:paraId="387D2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7B9A0F0">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850" w:type="dxa"/>
            <w:vAlign w:val="center"/>
          </w:tcPr>
          <w:p w14:paraId="15379C0D">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智慧语音导览定位基站（一拖四+网络广播模块）</w:t>
            </w:r>
          </w:p>
        </w:tc>
        <w:tc>
          <w:tcPr>
            <w:tcW w:w="851" w:type="dxa"/>
            <w:vAlign w:val="center"/>
          </w:tcPr>
          <w:p w14:paraId="2629449B">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16</w:t>
            </w:r>
          </w:p>
        </w:tc>
        <w:tc>
          <w:tcPr>
            <w:tcW w:w="708" w:type="dxa"/>
            <w:vAlign w:val="center"/>
          </w:tcPr>
          <w:p w14:paraId="1933B2A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台</w:t>
            </w:r>
          </w:p>
        </w:tc>
        <w:tc>
          <w:tcPr>
            <w:tcW w:w="6928" w:type="dxa"/>
            <w:gridSpan w:val="3"/>
            <w:vAlign w:val="center"/>
          </w:tcPr>
          <w:p w14:paraId="24DA260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1.一体化设计：基于TCP/IP传输协议，集成精确定位与背景音乐功能于一体，实现智能化空间管理与音频播放的完美结合。</w:t>
            </w:r>
          </w:p>
          <w:p w14:paraId="7FB1979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2.状态指示：配备工作状态、网络连接和电源状态LED指示灯，设备运行情况一目了然。</w:t>
            </w:r>
          </w:p>
          <w:p w14:paraId="2BA74B3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3.配对管理：无线话筒与定位标签采用一对一配对模式，配对关系可通过服务器软件灵活配置。</w:t>
            </w:r>
          </w:p>
          <w:p w14:paraId="04B5403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4.通道管理：在无线覆盖范围内，每台设备设置唯一的通道号，避免信号干扰。</w:t>
            </w:r>
          </w:p>
          <w:p w14:paraId="209B1DA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5.采样率：设备采样频率高达48K，使用24位AD/DA数模转换芯片，动态范围达到了≥115dB。</w:t>
            </w:r>
          </w:p>
          <w:p w14:paraId="3CCEF89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6.信号处理：支持多路音频信号处理，信号优选算法，自动选择信号性能最好的进行处理。</w:t>
            </w:r>
          </w:p>
          <w:p w14:paraId="5BDC132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7.设备级联：支持同一场馆内可同时布置多台团队智慧讲解接收机。</w:t>
            </w:r>
          </w:p>
          <w:p w14:paraId="4CAA9F1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8.信道隔离：自主的数字信道隔离技术，可以抵御各种无线干扰，保证系统稳定可靠连接，杜绝连接中的掉线重连现象，保障音频传输质量。</w:t>
            </w:r>
          </w:p>
          <w:p w14:paraId="6DA5690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9.信号全方位采集技术，保障信号稳定、不间断，声音清晰、流畅。</w:t>
            </w:r>
          </w:p>
          <w:p w14:paraId="5EAC3D3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10.独特的信道设计技术，可根据需要在多个信道之间切换。</w:t>
            </w:r>
          </w:p>
          <w:p w14:paraId="15F5C55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11.支持独立的通道传输、低时延传输机制，保证音频信号及时准确传输。</w:t>
            </w:r>
          </w:p>
          <w:p w14:paraId="0A1187F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12.信号调节：通过服务器软件可调整无线发射功率，精准控制定位范围。 </w:t>
            </w:r>
          </w:p>
          <w:p w14:paraId="32D085C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13.精准无线定位功能：支持自定义定位标签感应距离（误差≤30cm），在设定范围内自动激活对应无线话筒。</w:t>
            </w:r>
          </w:p>
          <w:p w14:paraId="49BE5AF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14.双备份：具备主备服务器自动切换功能，当主服务器故障时无缝切换至备用服务器，保障系统不间断运行。 </w:t>
            </w:r>
          </w:p>
          <w:p w14:paraId="194C3B3A">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szCs w:val="21"/>
              </w:rPr>
              <w:t>▲</w:t>
            </w:r>
            <w:r>
              <w:rPr>
                <w:rFonts w:hint="eastAsia" w:ascii="宋体" w:hAnsi="宋体" w:cs="宋体"/>
                <w:color w:val="000000"/>
                <w:kern w:val="0"/>
                <w:szCs w:val="21"/>
                <w:lang w:bidi="ar"/>
              </w:rPr>
              <w:t>15.内置DSP：具有自动反馈抑制功能，可有效防止话筒啸叫。</w:t>
            </w:r>
          </w:p>
          <w:p w14:paraId="28E48E6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szCs w:val="21"/>
              </w:rPr>
              <w:t>▲</w:t>
            </w:r>
            <w:r>
              <w:rPr>
                <w:rFonts w:hint="eastAsia" w:ascii="宋体" w:hAnsi="宋体" w:cs="宋体"/>
                <w:color w:val="000000"/>
                <w:kern w:val="0"/>
                <w:szCs w:val="21"/>
                <w:lang w:bidi="ar"/>
              </w:rPr>
              <w:t>16.噪声抑制：通过高性能的浮点DSP芯片和AI人工智能算法深度学习人声特性，可以有效地处理人声以外的噪声。</w:t>
            </w:r>
          </w:p>
          <w:p w14:paraId="7260219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szCs w:val="21"/>
              </w:rPr>
              <w:t>▲</w:t>
            </w:r>
            <w:r>
              <w:rPr>
                <w:rFonts w:hint="eastAsia" w:ascii="宋体" w:hAnsi="宋体" w:cs="宋体"/>
                <w:color w:val="000000"/>
                <w:kern w:val="0"/>
                <w:szCs w:val="21"/>
                <w:lang w:bidi="ar"/>
              </w:rPr>
              <w:t xml:space="preserve">17.解区域之间采用淡入淡出的不间断、无缝平滑切换方式。“人到声起，人走声息，声随人动、如影随形”。 </w:t>
            </w:r>
          </w:p>
          <w:p w14:paraId="470EF28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szCs w:val="21"/>
              </w:rPr>
              <w:t>▲</w:t>
            </w:r>
            <w:r>
              <w:rPr>
                <w:rFonts w:hint="eastAsia" w:ascii="宋体" w:hAnsi="宋体" w:cs="宋体"/>
                <w:color w:val="000000"/>
                <w:kern w:val="0"/>
                <w:szCs w:val="21"/>
                <w:lang w:bidi="ar"/>
              </w:rPr>
              <w:t>18.系统自恢复：内置看门狗功能，自动监测设备状态并在异常时重启，确保系统持续稳定运行。</w:t>
            </w:r>
          </w:p>
          <w:p w14:paraId="76B313D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szCs w:val="21"/>
              </w:rPr>
              <w:t>▲</w:t>
            </w:r>
            <w:r>
              <w:rPr>
                <w:rFonts w:hint="eastAsia" w:ascii="宋体" w:hAnsi="宋体" w:cs="宋体"/>
                <w:color w:val="000000"/>
                <w:kern w:val="0"/>
                <w:szCs w:val="21"/>
                <w:lang w:bidi="ar"/>
              </w:rPr>
              <w:t xml:space="preserve">19.紧急广播：脱机状态下仍可接收紧急寻呼，并自动将音量提升至80%确保信息传达。 </w:t>
            </w:r>
          </w:p>
          <w:p w14:paraId="294E1BA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szCs w:val="21"/>
              </w:rPr>
              <w:t>▲</w:t>
            </w:r>
            <w:r>
              <w:rPr>
                <w:rFonts w:hint="eastAsia" w:ascii="宋体" w:hAnsi="宋体" w:cs="宋体"/>
                <w:color w:val="000000"/>
                <w:kern w:val="0"/>
                <w:szCs w:val="21"/>
                <w:lang w:bidi="ar"/>
              </w:rPr>
              <w:t xml:space="preserve">20.多人讲解：最大允许四个无线话筒同时使用，可以实现多人导览讲解应用场景。   </w:t>
            </w:r>
          </w:p>
          <w:p w14:paraId="093920E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21.数字功放：内置2×20W D类数字功放，可直接驱动8Ω扬声器，提供清晰稳定的音频输出。</w:t>
            </w:r>
          </w:p>
          <w:p w14:paraId="6436426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22.脱机播放：支持SD卡本地存储和定时播放功能，无需服务器支持即可实现定时音乐播放，确保系统可靠性。</w:t>
            </w:r>
          </w:p>
          <w:p w14:paraId="53CB2FB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23.网络接口：标准RJ45输入，传输速率：100Mbps，支持协议：TCP/IP，UDP，IGMP（组播）。</w:t>
            </w:r>
          </w:p>
          <w:p w14:paraId="25B3B27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24.接口：Line IN*1、Line OUT*1、Speak out*2、短路输入*1。</w:t>
            </w:r>
          </w:p>
          <w:p w14:paraId="654EA95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25.保护电路：软启动、直流、短路、过热、过载、限幅多重智能检测保护系统。</w:t>
            </w:r>
          </w:p>
          <w:p w14:paraId="659E4BC0">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26.智慧语音导览定位基站应用于现代企业展厅，政务单位，博物馆，工厂产线等有导览需求场合的综合导览系统，时刻保障导览讲解正常进行，配合系统硬件的超低延时扩声与高保真声场覆盖，特别适用于面向领导及重要客户的高端智慧语音讲解场合。</w:t>
            </w:r>
          </w:p>
        </w:tc>
      </w:tr>
      <w:tr w14:paraId="5D594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9E752B7">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850" w:type="dxa"/>
            <w:vAlign w:val="center"/>
          </w:tcPr>
          <w:p w14:paraId="71BD6634">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音频采集器</w:t>
            </w:r>
          </w:p>
        </w:tc>
        <w:tc>
          <w:tcPr>
            <w:tcW w:w="851" w:type="dxa"/>
            <w:vAlign w:val="center"/>
          </w:tcPr>
          <w:p w14:paraId="15988F56">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749663B5">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台</w:t>
            </w:r>
          </w:p>
        </w:tc>
        <w:tc>
          <w:tcPr>
            <w:tcW w:w="6928" w:type="dxa"/>
            <w:gridSpan w:val="3"/>
            <w:vAlign w:val="center"/>
          </w:tcPr>
          <w:p w14:paraId="51153B9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1.安装在各个广播管理区域，可将4路模拟音频采集到IP网络可视对讲广播系统任意终端，也可将4路网络音频解码到功率放大器进行音乐播放。</w:t>
            </w:r>
          </w:p>
          <w:p w14:paraId="6924CD2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2.标准19英寸机架设计，黑色氧化铝拉丝面板，专业的机械组装工艺，机器外观非常高档。</w:t>
            </w:r>
          </w:p>
          <w:p w14:paraId="1032961A">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3.采用嵌入式计算机和DSP音频处理技术应用，高速的工业级单片机芯片，启动时间小于1s。</w:t>
            </w:r>
          </w:p>
          <w:p w14:paraId="772BC68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4.支持关联4路各大监控品牌摄像机功能，当喊话/对讲时可通过IP网络可视化控制台显示绑定摄像机视频画面，真正做到可视广播。</w:t>
            </w:r>
          </w:p>
          <w:p w14:paraId="5266EFF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5.支持声压触发采集外部音源，智能识别音频，自动建立采集任务，可自定义执行区域，可自定义延时关闭时间。</w:t>
            </w:r>
          </w:p>
          <w:p w14:paraId="125D0CF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6.内置4路网络硬件音频解码模块，支持TCP/IP、UDP、IGMP（组播协议），实现网络化传输16位CD音质的音频信号。</w:t>
            </w:r>
          </w:p>
          <w:p w14:paraId="1857209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 4路音频信号输入接口，可同时外接4台音源设备，可将4路模拟音频采集到IP网络可视对讲广播系统任意终端。</w:t>
            </w:r>
          </w:p>
          <w:p w14:paraId="073057F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 4路音频信号输出接口，可同时外接4台功率放大器，可将4路网络音频解码到功率放大器进行音乐播放。</w:t>
            </w:r>
          </w:p>
          <w:p w14:paraId="7634D44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 6路独立电源输出，方便级联其它设备；并具有智能电源管理，无音乐或呼叫时，设备自动切断输出主电源，使级联设备进入待机状态；同时可以编程预打开输出电源。</w:t>
            </w:r>
          </w:p>
          <w:p w14:paraId="2859CC9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 4路独立的三线制报警强切功能接口。可以由主机控制报警区域，无需24V强切电源，不限音控数量，3线连接。</w:t>
            </w:r>
          </w:p>
          <w:p w14:paraId="76BBCB8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 4路短路输入，4路短路输出，支持灵活的自定义功能，可实现短路采集、报警触发，并实现消防、监控等第三方设备及平台的联动应用。</w:t>
            </w:r>
          </w:p>
          <w:p w14:paraId="5CA8BE3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12.支持4分区独立触发打开或关闭采集功能，面板带有4个分区触发按键及4个通道优先级按键，每个通道具有独立BASS、TRBLE、VOLUME调节旋钮及4路独立的信号状态灯。</w:t>
            </w:r>
          </w:p>
          <w:p w14:paraId="02E678B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1路AUX总输入，1路MIC输入，可外接麦克风等外部音源进行采集。</w:t>
            </w:r>
          </w:p>
          <w:p w14:paraId="464DD40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14.整机待机功率小于10W，满足国家环保节能认证标准。</w:t>
            </w:r>
          </w:p>
          <w:p w14:paraId="078C2A1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15.兼容路由器、交换机、网桥网关、Modem、Internet、2G、3G、4G、5G、组播、单播等任意网络结构。</w:t>
            </w:r>
          </w:p>
          <w:p w14:paraId="2F0343C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16.数字化产品，扩容方便，不受地理位置限制，无需增加机房管理设备，采用共网免线路施工的设计理念，安装简便。</w:t>
            </w:r>
          </w:p>
          <w:p w14:paraId="48CD433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17.网络接口：标准RJ45输入，传输速率：100Mbps，支持协议：TCP/IP，UDP，IGMP（组播）。</w:t>
            </w:r>
          </w:p>
          <w:p w14:paraId="1E54FBD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18.音频格式：MP3，音频模式：16位CD音质，采样率：8K～48K，比特率：8K～512Kbps。</w:t>
            </w:r>
          </w:p>
          <w:p w14:paraId="63D060CC">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19.工作环境温度：5℃～40℃，工作环境湿度：20%～80%相对湿度，无结露。</w:t>
            </w:r>
          </w:p>
        </w:tc>
      </w:tr>
      <w:tr w14:paraId="520B1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8E8FFF8">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3</w:t>
            </w:r>
          </w:p>
        </w:tc>
        <w:tc>
          <w:tcPr>
            <w:tcW w:w="850" w:type="dxa"/>
            <w:vAlign w:val="center"/>
          </w:tcPr>
          <w:p w14:paraId="61623FCA">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音频处理器</w:t>
            </w:r>
          </w:p>
        </w:tc>
        <w:tc>
          <w:tcPr>
            <w:tcW w:w="851" w:type="dxa"/>
            <w:vAlign w:val="center"/>
          </w:tcPr>
          <w:p w14:paraId="03E78757">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5FE27F05">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台</w:t>
            </w:r>
          </w:p>
        </w:tc>
        <w:tc>
          <w:tcPr>
            <w:tcW w:w="6928" w:type="dxa"/>
            <w:gridSpan w:val="3"/>
            <w:vAlign w:val="center"/>
          </w:tcPr>
          <w:p w14:paraId="073896A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1.设备具有统一集中控制功能，支持≥65535台设备通过软件集中控制。</w:t>
            </w:r>
          </w:p>
          <w:p w14:paraId="513B593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2.具有设备定位功能，客户端一键定位局域网内同类设备，被定位的设备会显示定位信息。</w:t>
            </w:r>
          </w:p>
          <w:p w14:paraId="02E5732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后面板具有≥8路线路音频凤凰端子平衡输入接口（具有48V幻象供电）、≥8路线路音频凤凰端子平衡输出接口、≥1个拨码开关、≥1个RJ45接口、≥1个RS232接口、≥1个RS485接口、≥8个可编程GPIO控制接口、≥1个接地柱；前面板具有≥2.0英寸 IPS 真彩显示屏、≥1个编码旋钮、≥1个USB存储设备接口。</w:t>
            </w:r>
          </w:p>
          <w:p w14:paraId="66E038EA">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4.具有矩阵增益调节功能，每个输入通道参与混音的增益可调，增益调节范围等同或优于-72db到12db。</w:t>
            </w:r>
          </w:p>
          <w:p w14:paraId="5A76041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5.产品具有PC客户端、手机移动端、安卓平板端不同控制方式，可以通同时登入APP软件、PC客户端同时连接设备，并实现多端数据的同步。</w:t>
            </w:r>
          </w:p>
          <w:p w14:paraId="7097349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6.设备具有编码旋钮和IPS屏幕，可用于控制和配置设备静音，增益，场景；IPS屏幕能够显示IP地址，输入和输出通道的实时电平。</w:t>
            </w:r>
          </w:p>
          <w:p w14:paraId="17C71E6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p>
          <w:p w14:paraId="0AE6FFE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p w14:paraId="143CCBFF">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▲9.音频处理器具有跨平台软件，可运行的操作系统版本≥8种，包括Windows7/10/11、银河麒麟桌面操作系统（兆芯版）、银河麒麟桌面操作系统（飞腾版）、macOS系统、统信UOS、Ubuntu桌面版操作系统。</w:t>
            </w:r>
          </w:p>
        </w:tc>
      </w:tr>
      <w:tr w14:paraId="35FC1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957AC97">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4</w:t>
            </w:r>
          </w:p>
        </w:tc>
        <w:tc>
          <w:tcPr>
            <w:tcW w:w="850" w:type="dxa"/>
            <w:vAlign w:val="center"/>
          </w:tcPr>
          <w:p w14:paraId="3C52E9A3">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无线话筒</w:t>
            </w:r>
          </w:p>
        </w:tc>
        <w:tc>
          <w:tcPr>
            <w:tcW w:w="851" w:type="dxa"/>
            <w:vAlign w:val="center"/>
          </w:tcPr>
          <w:p w14:paraId="7E716951">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2</w:t>
            </w:r>
          </w:p>
        </w:tc>
        <w:tc>
          <w:tcPr>
            <w:tcW w:w="708" w:type="dxa"/>
            <w:vAlign w:val="center"/>
          </w:tcPr>
          <w:p w14:paraId="021E61B9">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7B91C79A">
            <w:pPr>
              <w:widowControl/>
              <w:numPr>
                <w:ilvl w:val="0"/>
                <w:numId w:val="6"/>
              </w:numPr>
              <w:spacing w:line="360" w:lineRule="auto"/>
              <w:jc w:val="left"/>
              <w:textAlignment w:val="center"/>
              <w:rPr>
                <w:rStyle w:val="123"/>
                <w:rFonts w:hint="default"/>
                <w:color w:val="auto"/>
                <w:sz w:val="21"/>
                <w:szCs w:val="21"/>
              </w:rPr>
            </w:pPr>
            <w:r>
              <w:rPr>
                <w:rStyle w:val="123"/>
                <w:rFonts w:hint="default"/>
                <w:color w:val="auto"/>
                <w:sz w:val="21"/>
                <w:szCs w:val="21"/>
              </w:rPr>
              <w:t xml:space="preserve">OLED自发光液晶屏，显示通道、电量指示等信息。 </w:t>
            </w:r>
          </w:p>
          <w:p w14:paraId="5BA58FC1">
            <w:pPr>
              <w:widowControl/>
              <w:spacing w:line="360" w:lineRule="auto"/>
              <w:jc w:val="left"/>
              <w:textAlignment w:val="center"/>
              <w:rPr>
                <w:rStyle w:val="123"/>
                <w:rFonts w:hint="default"/>
                <w:color w:val="auto"/>
                <w:sz w:val="21"/>
                <w:szCs w:val="21"/>
              </w:rPr>
            </w:pPr>
            <w:r>
              <w:rPr>
                <w:rStyle w:val="123"/>
                <w:rFonts w:hint="default"/>
                <w:color w:val="auto"/>
                <w:sz w:val="21"/>
                <w:szCs w:val="21"/>
              </w:rPr>
              <w:t>2.内置高灵敏度电容式麦克风，可真正实现无线手持讲解。</w:t>
            </w:r>
          </w:p>
          <w:p w14:paraId="7213E78A">
            <w:pPr>
              <w:widowControl/>
              <w:spacing w:line="360" w:lineRule="auto"/>
              <w:jc w:val="left"/>
              <w:textAlignment w:val="center"/>
              <w:rPr>
                <w:rStyle w:val="123"/>
                <w:rFonts w:hint="default"/>
                <w:color w:val="auto"/>
                <w:sz w:val="21"/>
                <w:szCs w:val="21"/>
              </w:rPr>
            </w:pPr>
            <w:r>
              <w:rPr>
                <w:rStyle w:val="123"/>
                <w:rFonts w:hint="default"/>
                <w:color w:val="auto"/>
                <w:sz w:val="21"/>
                <w:szCs w:val="21"/>
              </w:rPr>
              <w:t>3.内置多通道设置，同一区域支持2/4台话筒同时讲解。</w:t>
            </w:r>
          </w:p>
          <w:p w14:paraId="4E0FC979">
            <w:pPr>
              <w:widowControl/>
              <w:spacing w:line="360" w:lineRule="auto"/>
              <w:jc w:val="left"/>
              <w:textAlignment w:val="center"/>
              <w:rPr>
                <w:rStyle w:val="123"/>
                <w:rFonts w:hint="default"/>
                <w:color w:val="auto"/>
                <w:sz w:val="21"/>
                <w:szCs w:val="21"/>
              </w:rPr>
            </w:pPr>
            <w:r>
              <w:rPr>
                <w:rStyle w:val="123"/>
                <w:rFonts w:hint="default"/>
                <w:color w:val="auto"/>
                <w:sz w:val="21"/>
                <w:szCs w:val="21"/>
              </w:rPr>
              <w:t>4.支持软件调节发射与接收距离，控制分区距离。</w:t>
            </w:r>
          </w:p>
          <w:p w14:paraId="7253FDC0">
            <w:pPr>
              <w:widowControl/>
              <w:spacing w:line="360" w:lineRule="auto"/>
              <w:jc w:val="left"/>
              <w:textAlignment w:val="center"/>
              <w:rPr>
                <w:rStyle w:val="123"/>
                <w:rFonts w:hint="default"/>
                <w:color w:val="auto"/>
                <w:sz w:val="21"/>
                <w:szCs w:val="21"/>
              </w:rPr>
            </w:pPr>
            <w:r>
              <w:rPr>
                <w:rStyle w:val="123"/>
                <w:rFonts w:hint="default"/>
                <w:color w:val="auto"/>
                <w:sz w:val="21"/>
                <w:szCs w:val="21"/>
              </w:rPr>
              <w:t>5.可同时支持展区内所有讲解通道的实时切换。</w:t>
            </w:r>
          </w:p>
          <w:p w14:paraId="454DA638">
            <w:pPr>
              <w:widowControl/>
              <w:spacing w:line="360" w:lineRule="auto"/>
              <w:jc w:val="left"/>
              <w:textAlignment w:val="center"/>
              <w:rPr>
                <w:rStyle w:val="123"/>
                <w:rFonts w:hint="default"/>
                <w:color w:val="auto"/>
                <w:sz w:val="21"/>
                <w:szCs w:val="21"/>
              </w:rPr>
            </w:pPr>
            <w:r>
              <w:rPr>
                <w:rStyle w:val="123"/>
                <w:rFonts w:hint="default"/>
                <w:color w:val="auto"/>
                <w:sz w:val="21"/>
                <w:szCs w:val="21"/>
              </w:rPr>
              <w:t>6.支持99个频道可以任意设置，支持自动通道链接功能。</w:t>
            </w:r>
          </w:p>
          <w:p w14:paraId="5AE624B8">
            <w:pPr>
              <w:widowControl/>
              <w:spacing w:line="360" w:lineRule="auto"/>
              <w:jc w:val="left"/>
              <w:textAlignment w:val="center"/>
              <w:rPr>
                <w:rStyle w:val="123"/>
                <w:rFonts w:hint="default"/>
                <w:color w:val="auto"/>
                <w:sz w:val="21"/>
                <w:szCs w:val="21"/>
              </w:rPr>
            </w:pPr>
            <w:r>
              <w:rPr>
                <w:rStyle w:val="123"/>
                <w:rFonts w:hint="default"/>
                <w:color w:val="auto"/>
                <w:sz w:val="21"/>
                <w:szCs w:val="21"/>
              </w:rPr>
              <w:t>7.解区域之间采用淡入淡出的不间断、无缝平滑切换方式。“人到声起，人走声息，声随人动、如影随形”。</w:t>
            </w:r>
          </w:p>
          <w:p w14:paraId="12F9E936">
            <w:pPr>
              <w:widowControl/>
              <w:spacing w:line="360" w:lineRule="auto"/>
              <w:jc w:val="left"/>
              <w:textAlignment w:val="center"/>
              <w:rPr>
                <w:rStyle w:val="123"/>
                <w:rFonts w:hint="default"/>
                <w:color w:val="auto"/>
                <w:sz w:val="21"/>
                <w:szCs w:val="21"/>
              </w:rPr>
            </w:pPr>
            <w:r>
              <w:rPr>
                <w:rStyle w:val="123"/>
                <w:rFonts w:hint="default"/>
                <w:color w:val="auto"/>
                <w:sz w:val="21"/>
                <w:szCs w:val="21"/>
              </w:rPr>
              <w:t>8.有效发射距离30米。</w:t>
            </w:r>
          </w:p>
          <w:p w14:paraId="685C0224">
            <w:pPr>
              <w:widowControl/>
              <w:spacing w:line="360" w:lineRule="auto"/>
              <w:jc w:val="left"/>
              <w:textAlignment w:val="center"/>
              <w:rPr>
                <w:rStyle w:val="123"/>
                <w:rFonts w:hint="default"/>
                <w:color w:val="auto"/>
                <w:sz w:val="21"/>
                <w:szCs w:val="21"/>
              </w:rPr>
            </w:pPr>
            <w:r>
              <w:rPr>
                <w:rStyle w:val="123"/>
                <w:rFonts w:hint="default"/>
                <w:color w:val="auto"/>
                <w:sz w:val="21"/>
                <w:szCs w:val="21"/>
              </w:rPr>
              <w:t>9.频率响应：40Hz-16KHz。</w:t>
            </w:r>
          </w:p>
          <w:p w14:paraId="020FD81C">
            <w:pPr>
              <w:widowControl/>
              <w:spacing w:line="360" w:lineRule="auto"/>
              <w:jc w:val="left"/>
              <w:textAlignment w:val="center"/>
              <w:rPr>
                <w:rStyle w:val="123"/>
                <w:rFonts w:hint="default"/>
                <w:color w:val="auto"/>
                <w:sz w:val="21"/>
                <w:szCs w:val="21"/>
              </w:rPr>
            </w:pPr>
            <w:r>
              <w:rPr>
                <w:rStyle w:val="123"/>
                <w:rFonts w:hint="default"/>
                <w:color w:val="auto"/>
                <w:sz w:val="21"/>
                <w:szCs w:val="21"/>
              </w:rPr>
              <w:t>10.灵敏度：-45±3dB @ 1KHz。</w:t>
            </w:r>
          </w:p>
          <w:p w14:paraId="156A8770">
            <w:pPr>
              <w:widowControl/>
              <w:spacing w:line="360" w:lineRule="auto"/>
              <w:jc w:val="left"/>
              <w:textAlignment w:val="center"/>
              <w:rPr>
                <w:rStyle w:val="123"/>
                <w:rFonts w:hint="default"/>
                <w:color w:val="auto"/>
                <w:sz w:val="21"/>
                <w:szCs w:val="21"/>
              </w:rPr>
            </w:pPr>
            <w:r>
              <w:rPr>
                <w:rStyle w:val="123"/>
                <w:rFonts w:hint="default"/>
                <w:color w:val="auto"/>
                <w:sz w:val="21"/>
                <w:szCs w:val="21"/>
              </w:rPr>
              <w:t>11.拾音距离：10cm~30cm。</w:t>
            </w:r>
          </w:p>
          <w:p w14:paraId="79F82DA2">
            <w:pPr>
              <w:widowControl/>
              <w:spacing w:line="360" w:lineRule="auto"/>
              <w:jc w:val="left"/>
              <w:textAlignment w:val="center"/>
              <w:rPr>
                <w:rStyle w:val="123"/>
                <w:rFonts w:hint="default"/>
                <w:color w:val="auto"/>
                <w:sz w:val="21"/>
                <w:szCs w:val="21"/>
              </w:rPr>
            </w:pPr>
            <w:r>
              <w:rPr>
                <w:rStyle w:val="123"/>
                <w:rFonts w:hint="default"/>
                <w:color w:val="auto"/>
                <w:sz w:val="21"/>
                <w:szCs w:val="21"/>
              </w:rPr>
              <w:t>12.信噪比≥80dB。</w:t>
            </w:r>
          </w:p>
          <w:p w14:paraId="6D3E0504">
            <w:pPr>
              <w:widowControl/>
              <w:spacing w:line="360" w:lineRule="auto"/>
              <w:jc w:val="left"/>
              <w:textAlignment w:val="center"/>
              <w:rPr>
                <w:rStyle w:val="123"/>
                <w:rFonts w:hint="default"/>
                <w:color w:val="auto"/>
                <w:sz w:val="21"/>
                <w:szCs w:val="21"/>
              </w:rPr>
            </w:pPr>
            <w:r>
              <w:rPr>
                <w:rStyle w:val="123"/>
                <w:rFonts w:hint="default"/>
                <w:color w:val="auto"/>
                <w:sz w:val="21"/>
                <w:szCs w:val="21"/>
              </w:rPr>
              <w:t>13.智慧分区讲解手持麦克风应用于现代企业展厅，政务单位，博物馆，工厂产线等有导览需求场合的综合导览系统，时刻保障导览讲解正常进行。</w:t>
            </w:r>
          </w:p>
        </w:tc>
      </w:tr>
      <w:tr w14:paraId="5DBC1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EEA9C61">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5</w:t>
            </w:r>
          </w:p>
        </w:tc>
        <w:tc>
          <w:tcPr>
            <w:tcW w:w="850" w:type="dxa"/>
            <w:vAlign w:val="center"/>
          </w:tcPr>
          <w:p w14:paraId="1D89EC91">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天线分配器</w:t>
            </w:r>
          </w:p>
        </w:tc>
        <w:tc>
          <w:tcPr>
            <w:tcW w:w="851" w:type="dxa"/>
            <w:vAlign w:val="center"/>
          </w:tcPr>
          <w:p w14:paraId="5D3CAE07">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6BE7C4D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25666DE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1.具备≥2个天线输入接口，支持接收天线信号，实现分配多路射频信号的效果。</w:t>
            </w:r>
          </w:p>
          <w:p w14:paraId="7E63609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2.具备放大射频信号，补偿因信号功率被分配至多个输出而造成的插入损耗。</w:t>
            </w:r>
          </w:p>
          <w:p w14:paraId="2F0E045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3.具备≥2个天线级联接口，支持无限制级联分配器，可实现扩展无线话筒的目的。</w:t>
            </w:r>
          </w:p>
          <w:p w14:paraId="090A5A1E">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4.具备≥4个直流电源输出接口，支持给≥4台接收机供电，减少适配器数量和免去繁琐布线。</w:t>
            </w:r>
          </w:p>
        </w:tc>
      </w:tr>
      <w:tr w14:paraId="09B1E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A65A8DB">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6</w:t>
            </w:r>
          </w:p>
        </w:tc>
        <w:tc>
          <w:tcPr>
            <w:tcW w:w="850" w:type="dxa"/>
            <w:vAlign w:val="center"/>
          </w:tcPr>
          <w:p w14:paraId="0F5FAEB9">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话筒天线</w:t>
            </w:r>
          </w:p>
        </w:tc>
        <w:tc>
          <w:tcPr>
            <w:tcW w:w="851" w:type="dxa"/>
            <w:vAlign w:val="center"/>
          </w:tcPr>
          <w:p w14:paraId="1CC68233">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4</w:t>
            </w:r>
          </w:p>
        </w:tc>
        <w:tc>
          <w:tcPr>
            <w:tcW w:w="708" w:type="dxa"/>
            <w:vAlign w:val="center"/>
          </w:tcPr>
          <w:p w14:paraId="249EF769">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75F9B97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1.射频频率范围等同或优于470～950MHz；</w:t>
            </w:r>
          </w:p>
          <w:p w14:paraId="17A5A4B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2.驻波比：≤2.0；</w:t>
            </w:r>
          </w:p>
          <w:p w14:paraId="0781DBA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3.输入阻抗：≤50Ω；</w:t>
            </w:r>
          </w:p>
          <w:p w14:paraId="36B223FD">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4.指向性：≥180度指向；</w:t>
            </w:r>
          </w:p>
        </w:tc>
      </w:tr>
      <w:tr w14:paraId="09786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D41E5D0">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7</w:t>
            </w:r>
          </w:p>
        </w:tc>
        <w:tc>
          <w:tcPr>
            <w:tcW w:w="850" w:type="dxa"/>
            <w:vAlign w:val="center"/>
          </w:tcPr>
          <w:p w14:paraId="64D9C8DA">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天线放大器</w:t>
            </w:r>
          </w:p>
        </w:tc>
        <w:tc>
          <w:tcPr>
            <w:tcW w:w="851" w:type="dxa"/>
            <w:vAlign w:val="center"/>
          </w:tcPr>
          <w:p w14:paraId="40F5FD24">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3</w:t>
            </w:r>
          </w:p>
        </w:tc>
        <w:tc>
          <w:tcPr>
            <w:tcW w:w="708" w:type="dxa"/>
            <w:vAlign w:val="center"/>
          </w:tcPr>
          <w:p w14:paraId="369C622C">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718FB0A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1.频率范围≥470-950MHZ；</w:t>
            </w:r>
          </w:p>
          <w:p w14:paraId="78DC409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2.端子：BNC；</w:t>
            </w:r>
          </w:p>
          <w:p w14:paraId="41275E8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3.噪声：≤3dB；</w:t>
            </w:r>
          </w:p>
          <w:p w14:paraId="40248A36">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4.增益：≥20dB；</w:t>
            </w:r>
          </w:p>
        </w:tc>
      </w:tr>
      <w:tr w14:paraId="68677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1A0F34E">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8</w:t>
            </w:r>
          </w:p>
        </w:tc>
        <w:tc>
          <w:tcPr>
            <w:tcW w:w="850" w:type="dxa"/>
            <w:vAlign w:val="center"/>
          </w:tcPr>
          <w:p w14:paraId="5766541A">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天线耦合器</w:t>
            </w:r>
          </w:p>
        </w:tc>
        <w:tc>
          <w:tcPr>
            <w:tcW w:w="851" w:type="dxa"/>
            <w:vAlign w:val="center"/>
          </w:tcPr>
          <w:p w14:paraId="4D51A0BD">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3</w:t>
            </w:r>
          </w:p>
        </w:tc>
        <w:tc>
          <w:tcPr>
            <w:tcW w:w="708" w:type="dxa"/>
            <w:vAlign w:val="center"/>
          </w:tcPr>
          <w:p w14:paraId="53017B37">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3587AF1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1.宽带设计，在应用频率范围内提供高隔离度，防止信号相互干扰。</w:t>
            </w:r>
          </w:p>
          <w:p w14:paraId="741F720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2.在系统中，通过此耦合器方便转接和安装。</w:t>
            </w:r>
          </w:p>
          <w:p w14:paraId="0836FFF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3.可使用多组耦合器进行拓展覆盖区域。</w:t>
            </w:r>
          </w:p>
          <w:p w14:paraId="748D7B91">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4.耦合器在线路中有隔离杂讯的功能，防止自激。</w:t>
            </w:r>
          </w:p>
        </w:tc>
      </w:tr>
      <w:tr w14:paraId="24606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CB0637A">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9</w:t>
            </w:r>
          </w:p>
        </w:tc>
        <w:tc>
          <w:tcPr>
            <w:tcW w:w="850" w:type="dxa"/>
            <w:vAlign w:val="center"/>
          </w:tcPr>
          <w:p w14:paraId="4954DD26">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网络功放</w:t>
            </w:r>
          </w:p>
        </w:tc>
        <w:tc>
          <w:tcPr>
            <w:tcW w:w="851" w:type="dxa"/>
            <w:vAlign w:val="center"/>
          </w:tcPr>
          <w:p w14:paraId="505B45AE">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2BD22DC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台</w:t>
            </w:r>
          </w:p>
        </w:tc>
        <w:tc>
          <w:tcPr>
            <w:tcW w:w="6928" w:type="dxa"/>
            <w:gridSpan w:val="3"/>
            <w:vAlign w:val="center"/>
          </w:tcPr>
          <w:p w14:paraId="6C25B6DB">
            <w:pPr>
              <w:widowControl/>
              <w:spacing w:line="360" w:lineRule="auto"/>
              <w:jc w:val="left"/>
              <w:textAlignment w:val="center"/>
              <w:rPr>
                <w:rStyle w:val="123"/>
                <w:rFonts w:hint="default"/>
                <w:color w:val="auto"/>
                <w:sz w:val="21"/>
                <w:szCs w:val="21"/>
              </w:rPr>
            </w:pPr>
            <w:r>
              <w:rPr>
                <w:rStyle w:val="123"/>
                <w:rFonts w:hint="default"/>
                <w:color w:val="auto"/>
                <w:sz w:val="21"/>
                <w:szCs w:val="21"/>
              </w:rPr>
              <w:t>1.采用≥4.3英寸电容触摸屏，图形操作界面。</w:t>
            </w:r>
          </w:p>
          <w:p w14:paraId="26D82B9F">
            <w:pPr>
              <w:widowControl/>
              <w:spacing w:line="360" w:lineRule="auto"/>
              <w:jc w:val="left"/>
              <w:textAlignment w:val="center"/>
              <w:rPr>
                <w:rStyle w:val="123"/>
                <w:rFonts w:hint="default"/>
                <w:color w:val="auto"/>
                <w:sz w:val="21"/>
                <w:szCs w:val="21"/>
              </w:rPr>
            </w:pPr>
            <w:r>
              <w:rPr>
                <w:rStyle w:val="123"/>
                <w:rFonts w:hint="default"/>
                <w:color w:val="auto"/>
                <w:sz w:val="21"/>
                <w:szCs w:val="21"/>
              </w:rPr>
              <w:t>2.具有≥4进4出禁音功能开关，可独立调节每个通道音量。</w:t>
            </w:r>
          </w:p>
          <w:p w14:paraId="78E41732">
            <w:pPr>
              <w:widowControl/>
              <w:spacing w:line="360" w:lineRule="auto"/>
              <w:jc w:val="left"/>
              <w:textAlignment w:val="center"/>
              <w:rPr>
                <w:rStyle w:val="123"/>
                <w:rFonts w:hint="default"/>
                <w:color w:val="auto"/>
                <w:sz w:val="21"/>
                <w:szCs w:val="21"/>
              </w:rPr>
            </w:pPr>
            <w:r>
              <w:rPr>
                <w:rStyle w:val="123"/>
                <w:rFonts w:hint="default"/>
                <w:color w:val="auto"/>
                <w:sz w:val="21"/>
                <w:szCs w:val="21"/>
              </w:rPr>
              <w:t>3.通过动态图形实时显示≥4通道信号强度。</w:t>
            </w:r>
          </w:p>
          <w:p w14:paraId="32D71740">
            <w:pPr>
              <w:widowControl/>
              <w:spacing w:line="360" w:lineRule="auto"/>
              <w:jc w:val="left"/>
              <w:textAlignment w:val="center"/>
              <w:rPr>
                <w:rStyle w:val="123"/>
                <w:rFonts w:hint="default"/>
                <w:color w:val="auto"/>
                <w:sz w:val="21"/>
                <w:szCs w:val="21"/>
              </w:rPr>
            </w:pPr>
            <w:r>
              <w:rPr>
                <w:rStyle w:val="123"/>
                <w:rFonts w:hint="default"/>
                <w:color w:val="auto"/>
                <w:sz w:val="21"/>
                <w:szCs w:val="21"/>
              </w:rPr>
              <w:t>4.支持PC客户端对设备进行管控：实时查看系统设备信息、设备状态，设置设备参数（IP地址、设备名称、EQ参数）。</w:t>
            </w:r>
          </w:p>
          <w:p w14:paraId="571D426D">
            <w:pPr>
              <w:widowControl/>
              <w:spacing w:line="360" w:lineRule="auto"/>
              <w:jc w:val="left"/>
              <w:textAlignment w:val="center"/>
              <w:rPr>
                <w:rStyle w:val="123"/>
                <w:rFonts w:hint="default"/>
                <w:color w:val="auto"/>
                <w:sz w:val="21"/>
                <w:szCs w:val="21"/>
              </w:rPr>
            </w:pPr>
            <w:r>
              <w:rPr>
                <w:rStyle w:val="123"/>
                <w:rFonts w:hint="default"/>
                <w:color w:val="auto"/>
                <w:sz w:val="21"/>
                <w:szCs w:val="21"/>
              </w:rPr>
              <w:t>5.支持话筒广播语音与网络背景音乐混音，可设置背景音乐混音音量。</w:t>
            </w:r>
          </w:p>
          <w:p w14:paraId="605075FD">
            <w:pPr>
              <w:widowControl/>
              <w:spacing w:line="360" w:lineRule="auto"/>
              <w:jc w:val="left"/>
              <w:textAlignment w:val="center"/>
              <w:rPr>
                <w:rStyle w:val="123"/>
                <w:rFonts w:hint="default"/>
                <w:color w:val="auto"/>
                <w:sz w:val="21"/>
                <w:szCs w:val="21"/>
              </w:rPr>
            </w:pPr>
            <w:r>
              <w:rPr>
                <w:rStyle w:val="123"/>
                <w:rFonts w:hint="default"/>
                <w:color w:val="auto"/>
                <w:sz w:val="21"/>
                <w:szCs w:val="21"/>
              </w:rPr>
              <w:t>6.内置≥4路网络音频解码模块，内置数字功放，≥350W×4定压100V/定阻4欧功率输出，≥240W×4定阻8欧功率输出。</w:t>
            </w:r>
          </w:p>
          <w:p w14:paraId="542A8AC8">
            <w:pPr>
              <w:widowControl/>
              <w:spacing w:line="360" w:lineRule="auto"/>
              <w:jc w:val="left"/>
              <w:textAlignment w:val="center"/>
              <w:rPr>
                <w:rStyle w:val="123"/>
                <w:rFonts w:hint="default"/>
                <w:color w:val="auto"/>
                <w:sz w:val="21"/>
                <w:szCs w:val="21"/>
              </w:rPr>
            </w:pPr>
            <w:r>
              <w:rPr>
                <w:rStyle w:val="123"/>
                <w:rFonts w:hint="default"/>
                <w:color w:val="auto"/>
                <w:sz w:val="21"/>
                <w:szCs w:val="21"/>
              </w:rPr>
              <w:t>7.支持功放短路，过载，过热保护功能，具有LED状态提示。</w:t>
            </w:r>
          </w:p>
          <w:p w14:paraId="35931491">
            <w:pPr>
              <w:widowControl/>
              <w:spacing w:line="360" w:lineRule="auto"/>
              <w:jc w:val="left"/>
              <w:textAlignment w:val="center"/>
              <w:rPr>
                <w:rStyle w:val="123"/>
                <w:rFonts w:hint="default"/>
                <w:color w:val="auto"/>
                <w:sz w:val="21"/>
                <w:szCs w:val="21"/>
              </w:rPr>
            </w:pPr>
            <w:r>
              <w:rPr>
                <w:rStyle w:val="123"/>
                <w:rFonts w:hint="default"/>
                <w:color w:val="auto"/>
                <w:sz w:val="21"/>
                <w:szCs w:val="21"/>
              </w:rPr>
              <w:t>8.内置DSP音频处理器，具有≥4路数字限幅器功能，具有≥4路输出信号分频处理，对高通频率、低通频率、类型、Q值、段数进行调节。</w:t>
            </w:r>
          </w:p>
          <w:p w14:paraId="144BDD9F">
            <w:pPr>
              <w:widowControl/>
              <w:spacing w:line="360" w:lineRule="auto"/>
              <w:jc w:val="left"/>
              <w:textAlignment w:val="center"/>
              <w:rPr>
                <w:rStyle w:val="123"/>
                <w:rFonts w:hint="default"/>
                <w:color w:val="auto"/>
                <w:sz w:val="21"/>
                <w:szCs w:val="21"/>
              </w:rPr>
            </w:pPr>
            <w:r>
              <w:rPr>
                <w:rStyle w:val="123"/>
                <w:rFonts w:hint="default"/>
                <w:color w:val="auto"/>
                <w:sz w:val="21"/>
                <w:szCs w:val="21"/>
              </w:rPr>
              <w:t>▲9.具有≥4路均衡器，每路支持≥8段EQ调节，支持对设备的EQ频率、增益、带宽、类型进行调节。</w:t>
            </w:r>
            <w:r>
              <w:rPr>
                <w:rStyle w:val="123"/>
                <w:rFonts w:hint="default"/>
                <w:b/>
                <w:bCs/>
                <w:color w:val="auto"/>
                <w:sz w:val="21"/>
                <w:szCs w:val="21"/>
              </w:rPr>
              <w:t>（提供功能界面截图佐证）</w:t>
            </w:r>
          </w:p>
          <w:p w14:paraId="4C02E56B">
            <w:pPr>
              <w:widowControl/>
              <w:spacing w:line="360" w:lineRule="auto"/>
              <w:jc w:val="left"/>
              <w:textAlignment w:val="center"/>
              <w:rPr>
                <w:rStyle w:val="123"/>
                <w:rFonts w:hint="default"/>
                <w:color w:val="auto"/>
                <w:sz w:val="21"/>
                <w:szCs w:val="21"/>
              </w:rPr>
            </w:pPr>
            <w:r>
              <w:rPr>
                <w:rStyle w:val="123"/>
                <w:rFonts w:hint="default"/>
                <w:color w:val="auto"/>
                <w:sz w:val="21"/>
                <w:szCs w:val="21"/>
              </w:rPr>
              <w:t>▲10.具有≥8个场景预存功能，可选择加载场景或者保存当前参数到指定场景。</w:t>
            </w:r>
            <w:r>
              <w:rPr>
                <w:rStyle w:val="123"/>
                <w:rFonts w:hint="default"/>
                <w:b/>
                <w:bCs/>
                <w:color w:val="auto"/>
                <w:sz w:val="21"/>
                <w:szCs w:val="21"/>
              </w:rPr>
              <w:t>（提供功能界面截图佐证）</w:t>
            </w:r>
          </w:p>
          <w:p w14:paraId="782D036D">
            <w:pPr>
              <w:widowControl/>
              <w:spacing w:line="360" w:lineRule="auto"/>
              <w:jc w:val="left"/>
              <w:textAlignment w:val="center"/>
              <w:rPr>
                <w:rStyle w:val="123"/>
                <w:rFonts w:hint="default"/>
                <w:color w:val="auto"/>
                <w:sz w:val="21"/>
                <w:szCs w:val="21"/>
              </w:rPr>
            </w:pPr>
            <w:r>
              <w:rPr>
                <w:rStyle w:val="123"/>
                <w:rFonts w:hint="default"/>
                <w:color w:val="auto"/>
                <w:sz w:val="21"/>
                <w:szCs w:val="21"/>
              </w:rPr>
              <w:t>▲11.具有≥4进4出音频矩阵功能，触摸屏可进行4X4任意矩阵切换和混音输出。</w:t>
            </w:r>
            <w:r>
              <w:rPr>
                <w:rStyle w:val="123"/>
                <w:rFonts w:hint="default"/>
                <w:b/>
                <w:bCs/>
                <w:color w:val="auto"/>
                <w:sz w:val="21"/>
                <w:szCs w:val="21"/>
              </w:rPr>
              <w:t>（提供功能界面截图佐证）</w:t>
            </w:r>
          </w:p>
        </w:tc>
      </w:tr>
      <w:tr w14:paraId="7B747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FA0CEA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10</w:t>
            </w:r>
          </w:p>
        </w:tc>
        <w:tc>
          <w:tcPr>
            <w:tcW w:w="850" w:type="dxa"/>
            <w:vAlign w:val="center"/>
          </w:tcPr>
          <w:p w14:paraId="6E3C10AF">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天花式扬声器 20W（带功率选择+阻燃铁质后盖）</w:t>
            </w:r>
          </w:p>
        </w:tc>
        <w:tc>
          <w:tcPr>
            <w:tcW w:w="851" w:type="dxa"/>
            <w:vAlign w:val="center"/>
          </w:tcPr>
          <w:p w14:paraId="13811394">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17</w:t>
            </w:r>
          </w:p>
        </w:tc>
        <w:tc>
          <w:tcPr>
            <w:tcW w:w="708" w:type="dxa"/>
            <w:vAlign w:val="center"/>
          </w:tcPr>
          <w:p w14:paraId="1DD9E90E">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只</w:t>
            </w:r>
          </w:p>
        </w:tc>
        <w:tc>
          <w:tcPr>
            <w:tcW w:w="6928" w:type="dxa"/>
            <w:gridSpan w:val="3"/>
            <w:vAlign w:val="center"/>
          </w:tcPr>
          <w:p w14:paraId="73A4001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1.额定功率(100V)：20W/10W/5W/2.5W/8Ω；</w:t>
            </w:r>
          </w:p>
          <w:p w14:paraId="42E2E51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2.额定功率(70V)：10W/5W/2.5W/1.25W/8Ω；</w:t>
            </w:r>
          </w:p>
          <w:p w14:paraId="0700316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3.灵敏度：88±3dB；</w:t>
            </w:r>
          </w:p>
          <w:p w14:paraId="4842229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4.频率响应：100-20KHz；</w:t>
            </w:r>
          </w:p>
          <w:p w14:paraId="4C3E759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5.喇叭单元：5.25"x1+1.5"x1；</w:t>
            </w:r>
          </w:p>
          <w:p w14:paraId="797EE9DE">
            <w:pPr>
              <w:widowControl/>
              <w:spacing w:line="360" w:lineRule="auto"/>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lang w:bidi="ar"/>
              </w:rPr>
              <w:t>6.安</w:t>
            </w:r>
            <w:r>
              <w:rPr>
                <w:rFonts w:hint="eastAsia" w:ascii="宋体" w:hAnsi="宋体" w:cs="宋体"/>
                <w:color w:val="000000"/>
                <w:kern w:val="0"/>
                <w:szCs w:val="21"/>
                <w:highlight w:val="none"/>
                <w:lang w:bidi="ar"/>
              </w:rPr>
              <w:t>装开孔尺寸：Φ170mm；</w:t>
            </w:r>
          </w:p>
          <w:p w14:paraId="28467B9A">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highlight w:val="none"/>
                <w:lang w:bidi="ar"/>
              </w:rPr>
              <w:t>7.尺寸：约Φ203x145m</w:t>
            </w:r>
            <w:r>
              <w:rPr>
                <w:rFonts w:hint="eastAsia" w:ascii="宋体" w:hAnsi="宋体" w:cs="宋体"/>
                <w:color w:val="000000"/>
                <w:kern w:val="0"/>
                <w:szCs w:val="21"/>
                <w:lang w:bidi="ar"/>
              </w:rPr>
              <w:t>m；</w:t>
            </w:r>
          </w:p>
          <w:p w14:paraId="5D9CA5F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8.重量：约1.68Kg；</w:t>
            </w:r>
          </w:p>
          <w:p w14:paraId="63542BB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9.材质：塑料外壳+铝质网罩+铁质后盖；</w:t>
            </w:r>
          </w:p>
          <w:p w14:paraId="1E84C18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10.颜色：白色；</w:t>
            </w:r>
          </w:p>
          <w:p w14:paraId="5854F710">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11.室内高保真天花式扬声器，全封闭结构，铁质阻燃性单元保护后盖，多功率定压定阻选择。螺丝固定压脚系统。适用于宾馆，酒店，会所，商场等室内。</w:t>
            </w:r>
          </w:p>
        </w:tc>
      </w:tr>
      <w:tr w14:paraId="4D191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vAlign w:val="center"/>
          </w:tcPr>
          <w:p w14:paraId="2A5BCE16">
            <w:pPr>
              <w:widowControl/>
              <w:spacing w:line="360" w:lineRule="auto"/>
              <w:textAlignment w:val="center"/>
              <w:rPr>
                <w:rStyle w:val="123"/>
                <w:rFonts w:hint="default"/>
                <w:color w:val="auto"/>
                <w:sz w:val="21"/>
                <w:szCs w:val="21"/>
              </w:rPr>
            </w:pPr>
            <w:r>
              <w:rPr>
                <w:rStyle w:val="123"/>
                <w:rFonts w:hint="default"/>
                <w:b/>
                <w:bCs/>
                <w:color w:val="auto"/>
                <w:sz w:val="21"/>
                <w:szCs w:val="21"/>
              </w:rPr>
              <w:t>（五）</w:t>
            </w:r>
            <w:r>
              <w:rPr>
                <w:rFonts w:hint="eastAsia" w:ascii="宋体" w:hAnsi="宋体" w:cs="宋体"/>
                <w:b/>
                <w:bCs/>
                <w:color w:val="000000"/>
                <w:kern w:val="0"/>
                <w:szCs w:val="21"/>
                <w:lang w:bidi="ar"/>
              </w:rPr>
              <w:t>辅助材料</w:t>
            </w:r>
          </w:p>
        </w:tc>
      </w:tr>
      <w:tr w14:paraId="2DBCD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387A8BD">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850" w:type="dxa"/>
            <w:vAlign w:val="center"/>
          </w:tcPr>
          <w:p w14:paraId="3891E65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音频连接线1</w:t>
            </w:r>
          </w:p>
        </w:tc>
        <w:tc>
          <w:tcPr>
            <w:tcW w:w="851" w:type="dxa"/>
            <w:vAlign w:val="center"/>
          </w:tcPr>
          <w:p w14:paraId="1BAC8DA8">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6</w:t>
            </w:r>
          </w:p>
        </w:tc>
        <w:tc>
          <w:tcPr>
            <w:tcW w:w="708" w:type="dxa"/>
            <w:vAlign w:val="center"/>
          </w:tcPr>
          <w:p w14:paraId="05E1DFF9">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根</w:t>
            </w:r>
          </w:p>
        </w:tc>
        <w:tc>
          <w:tcPr>
            <w:tcW w:w="6928" w:type="dxa"/>
            <w:gridSpan w:val="3"/>
            <w:vAlign w:val="center"/>
          </w:tcPr>
          <w:p w14:paraId="14A22A9A">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1.8米音频连接线：莲花（RCA）*2，线径：0.3mm；</w:t>
            </w:r>
          </w:p>
        </w:tc>
      </w:tr>
      <w:tr w14:paraId="2F9A3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CB2D332">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850" w:type="dxa"/>
            <w:vAlign w:val="center"/>
          </w:tcPr>
          <w:p w14:paraId="235ED88B">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音频连接线2</w:t>
            </w:r>
          </w:p>
        </w:tc>
        <w:tc>
          <w:tcPr>
            <w:tcW w:w="851" w:type="dxa"/>
            <w:vAlign w:val="center"/>
          </w:tcPr>
          <w:p w14:paraId="62449444">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6</w:t>
            </w:r>
          </w:p>
        </w:tc>
        <w:tc>
          <w:tcPr>
            <w:tcW w:w="708" w:type="dxa"/>
            <w:vAlign w:val="center"/>
          </w:tcPr>
          <w:p w14:paraId="6030EBD5">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根</w:t>
            </w:r>
          </w:p>
        </w:tc>
        <w:tc>
          <w:tcPr>
            <w:tcW w:w="6928" w:type="dxa"/>
            <w:gridSpan w:val="3"/>
            <w:vAlign w:val="center"/>
          </w:tcPr>
          <w:p w14:paraId="1BD1FBB6">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1.8米音频连接线：卡侬头（母）*1，卡侬头（公）*1，线径：0.3mm；</w:t>
            </w:r>
          </w:p>
        </w:tc>
      </w:tr>
      <w:tr w14:paraId="497C5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7B36339">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3</w:t>
            </w:r>
          </w:p>
        </w:tc>
        <w:tc>
          <w:tcPr>
            <w:tcW w:w="850" w:type="dxa"/>
            <w:vAlign w:val="center"/>
          </w:tcPr>
          <w:p w14:paraId="1151BC6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音频连接线3</w:t>
            </w:r>
          </w:p>
        </w:tc>
        <w:tc>
          <w:tcPr>
            <w:tcW w:w="851" w:type="dxa"/>
            <w:vAlign w:val="center"/>
          </w:tcPr>
          <w:p w14:paraId="26DEF133">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2</w:t>
            </w:r>
          </w:p>
        </w:tc>
        <w:tc>
          <w:tcPr>
            <w:tcW w:w="708" w:type="dxa"/>
            <w:vAlign w:val="center"/>
          </w:tcPr>
          <w:p w14:paraId="45812374">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根</w:t>
            </w:r>
          </w:p>
        </w:tc>
        <w:tc>
          <w:tcPr>
            <w:tcW w:w="6928" w:type="dxa"/>
            <w:gridSpan w:val="3"/>
            <w:vAlign w:val="center"/>
          </w:tcPr>
          <w:p w14:paraId="2E695C16">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3米音频连接线：3.5（耳机插头）-双莲花（RCA）；</w:t>
            </w:r>
          </w:p>
        </w:tc>
      </w:tr>
      <w:tr w14:paraId="3411B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24FE15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4</w:t>
            </w:r>
          </w:p>
        </w:tc>
        <w:tc>
          <w:tcPr>
            <w:tcW w:w="850" w:type="dxa"/>
            <w:vAlign w:val="center"/>
          </w:tcPr>
          <w:p w14:paraId="3CD6E840">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前端设备机柜</w:t>
            </w:r>
          </w:p>
        </w:tc>
        <w:tc>
          <w:tcPr>
            <w:tcW w:w="851" w:type="dxa"/>
            <w:vAlign w:val="center"/>
          </w:tcPr>
          <w:p w14:paraId="69F7BF7E">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2</w:t>
            </w:r>
          </w:p>
        </w:tc>
        <w:tc>
          <w:tcPr>
            <w:tcW w:w="708" w:type="dxa"/>
            <w:vAlign w:val="center"/>
          </w:tcPr>
          <w:p w14:paraId="4212CE7D">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42717AA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1.9U挂墙机柜黑色；</w:t>
            </w:r>
          </w:p>
          <w:p w14:paraId="3F3AE21C">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2.规格：约600*450*501mm；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3.M6方螺母钉10套，内六角扳手1只，钥匙两把；</w:t>
            </w:r>
          </w:p>
        </w:tc>
      </w:tr>
      <w:tr w14:paraId="41633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21DFE5A">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5</w:t>
            </w:r>
          </w:p>
        </w:tc>
        <w:tc>
          <w:tcPr>
            <w:tcW w:w="850" w:type="dxa"/>
            <w:vAlign w:val="center"/>
          </w:tcPr>
          <w:p w14:paraId="4879A9FA">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交换机</w:t>
            </w:r>
          </w:p>
        </w:tc>
        <w:tc>
          <w:tcPr>
            <w:tcW w:w="851" w:type="dxa"/>
            <w:vAlign w:val="center"/>
          </w:tcPr>
          <w:p w14:paraId="6EF504DB">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2</w:t>
            </w:r>
          </w:p>
        </w:tc>
        <w:tc>
          <w:tcPr>
            <w:tcW w:w="708" w:type="dxa"/>
            <w:vAlign w:val="center"/>
          </w:tcPr>
          <w:p w14:paraId="7FA5872E">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台</w:t>
            </w:r>
          </w:p>
        </w:tc>
        <w:tc>
          <w:tcPr>
            <w:tcW w:w="6928" w:type="dxa"/>
            <w:gridSpan w:val="3"/>
            <w:vAlign w:val="center"/>
          </w:tcPr>
          <w:p w14:paraId="2EE5CBD1">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24个10/100/1000Base-T RJ45端口（支持PoE+供电）；</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2个独立千兆SFP端口，整机最大PoE供电功率为225W，单端口最大PoE供电功率为30W；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3.支持IEEE 802.1Q VLAN、QoS、ACL、生成树、组播、IPv6；</w:t>
            </w:r>
          </w:p>
        </w:tc>
      </w:tr>
      <w:tr w14:paraId="69B7E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E0DFE96">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6</w:t>
            </w:r>
          </w:p>
        </w:tc>
        <w:tc>
          <w:tcPr>
            <w:tcW w:w="850" w:type="dxa"/>
            <w:vAlign w:val="center"/>
          </w:tcPr>
          <w:p w14:paraId="14F449AE">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三极电源插头</w:t>
            </w:r>
          </w:p>
        </w:tc>
        <w:tc>
          <w:tcPr>
            <w:tcW w:w="851" w:type="dxa"/>
            <w:vAlign w:val="center"/>
          </w:tcPr>
          <w:p w14:paraId="3E2D77D0">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2</w:t>
            </w:r>
          </w:p>
        </w:tc>
        <w:tc>
          <w:tcPr>
            <w:tcW w:w="708" w:type="dxa"/>
            <w:vAlign w:val="center"/>
          </w:tcPr>
          <w:p w14:paraId="2995254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6928" w:type="dxa"/>
            <w:gridSpan w:val="3"/>
            <w:vAlign w:val="center"/>
          </w:tcPr>
          <w:p w14:paraId="107D0494">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额定电压：250V，有效负载：2500（KW）；</w:t>
            </w:r>
          </w:p>
        </w:tc>
      </w:tr>
      <w:tr w14:paraId="699C7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CDDA8F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7</w:t>
            </w:r>
          </w:p>
        </w:tc>
        <w:tc>
          <w:tcPr>
            <w:tcW w:w="850" w:type="dxa"/>
            <w:vAlign w:val="center"/>
          </w:tcPr>
          <w:p w14:paraId="399DB385">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六类带屏蔽网线</w:t>
            </w:r>
          </w:p>
        </w:tc>
        <w:tc>
          <w:tcPr>
            <w:tcW w:w="851" w:type="dxa"/>
            <w:vAlign w:val="center"/>
          </w:tcPr>
          <w:p w14:paraId="3E51AA20">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56BC9FF7">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卷</w:t>
            </w:r>
          </w:p>
        </w:tc>
        <w:tc>
          <w:tcPr>
            <w:tcW w:w="6928" w:type="dxa"/>
            <w:gridSpan w:val="3"/>
            <w:vAlign w:val="center"/>
          </w:tcPr>
          <w:p w14:paraId="2D790165">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六类屏蔽网线，300米/卷；</w:t>
            </w:r>
          </w:p>
        </w:tc>
      </w:tr>
      <w:tr w14:paraId="088B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3CBA6ED">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8</w:t>
            </w:r>
          </w:p>
        </w:tc>
        <w:tc>
          <w:tcPr>
            <w:tcW w:w="850" w:type="dxa"/>
            <w:vAlign w:val="center"/>
          </w:tcPr>
          <w:p w14:paraId="74B2076B">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水晶头</w:t>
            </w:r>
          </w:p>
        </w:tc>
        <w:tc>
          <w:tcPr>
            <w:tcW w:w="851" w:type="dxa"/>
            <w:vAlign w:val="center"/>
          </w:tcPr>
          <w:p w14:paraId="53A920CA">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252F5A0E">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盒</w:t>
            </w:r>
          </w:p>
        </w:tc>
        <w:tc>
          <w:tcPr>
            <w:tcW w:w="6928" w:type="dxa"/>
            <w:gridSpan w:val="3"/>
            <w:vAlign w:val="center"/>
          </w:tcPr>
          <w:p w14:paraId="1012AA3F">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六类水晶头工程级，50U镀金100个装，RJ45千兆网线接头 CAT6，100个一盒；</w:t>
            </w:r>
          </w:p>
        </w:tc>
      </w:tr>
      <w:tr w14:paraId="31FDA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FAFBDF9">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9</w:t>
            </w:r>
          </w:p>
        </w:tc>
        <w:tc>
          <w:tcPr>
            <w:tcW w:w="850" w:type="dxa"/>
            <w:vAlign w:val="center"/>
          </w:tcPr>
          <w:p w14:paraId="5600AFAE">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线材</w:t>
            </w:r>
          </w:p>
        </w:tc>
        <w:tc>
          <w:tcPr>
            <w:tcW w:w="851" w:type="dxa"/>
            <w:vAlign w:val="center"/>
          </w:tcPr>
          <w:p w14:paraId="4251FA3B">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01DEECFB">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卷</w:t>
            </w:r>
          </w:p>
        </w:tc>
        <w:tc>
          <w:tcPr>
            <w:tcW w:w="6928" w:type="dxa"/>
            <w:gridSpan w:val="3"/>
            <w:vAlign w:val="center"/>
          </w:tcPr>
          <w:p w14:paraId="0331FCCA">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直径7.2mm，馈线50-5-1，200/卷；</w:t>
            </w:r>
          </w:p>
        </w:tc>
      </w:tr>
      <w:tr w14:paraId="4D158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2DF816E">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10</w:t>
            </w:r>
          </w:p>
        </w:tc>
        <w:tc>
          <w:tcPr>
            <w:tcW w:w="850" w:type="dxa"/>
            <w:vAlign w:val="center"/>
          </w:tcPr>
          <w:p w14:paraId="3789826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线材</w:t>
            </w:r>
          </w:p>
        </w:tc>
        <w:tc>
          <w:tcPr>
            <w:tcW w:w="851" w:type="dxa"/>
            <w:vAlign w:val="center"/>
          </w:tcPr>
          <w:p w14:paraId="276B2172">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2</w:t>
            </w:r>
          </w:p>
        </w:tc>
        <w:tc>
          <w:tcPr>
            <w:tcW w:w="708" w:type="dxa"/>
            <w:vAlign w:val="center"/>
          </w:tcPr>
          <w:p w14:paraId="0DACF2A0">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卷</w:t>
            </w:r>
          </w:p>
        </w:tc>
        <w:tc>
          <w:tcPr>
            <w:tcW w:w="6928" w:type="dxa"/>
            <w:gridSpan w:val="3"/>
            <w:vAlign w:val="center"/>
          </w:tcPr>
          <w:p w14:paraId="6A14DB54">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铜芯护套线RVV2*1.5；</w:t>
            </w:r>
          </w:p>
        </w:tc>
      </w:tr>
      <w:tr w14:paraId="3EE05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D8E1A19">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11</w:t>
            </w:r>
          </w:p>
        </w:tc>
        <w:tc>
          <w:tcPr>
            <w:tcW w:w="850" w:type="dxa"/>
            <w:vAlign w:val="center"/>
          </w:tcPr>
          <w:p w14:paraId="34DAB38B">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PVC管</w:t>
            </w:r>
          </w:p>
        </w:tc>
        <w:tc>
          <w:tcPr>
            <w:tcW w:w="851" w:type="dxa"/>
            <w:vAlign w:val="center"/>
          </w:tcPr>
          <w:p w14:paraId="7B6BD382">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20</w:t>
            </w:r>
          </w:p>
        </w:tc>
        <w:tc>
          <w:tcPr>
            <w:tcW w:w="708" w:type="dxa"/>
            <w:vAlign w:val="center"/>
          </w:tcPr>
          <w:p w14:paraId="31EA85A3">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根</w:t>
            </w:r>
          </w:p>
        </w:tc>
        <w:tc>
          <w:tcPr>
            <w:tcW w:w="6928" w:type="dxa"/>
            <w:gridSpan w:val="3"/>
            <w:vAlign w:val="center"/>
          </w:tcPr>
          <w:p w14:paraId="7D9FA153">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白色线管A管DN25，4米；</w:t>
            </w:r>
          </w:p>
        </w:tc>
      </w:tr>
      <w:tr w14:paraId="1F989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895D3FB">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12</w:t>
            </w:r>
          </w:p>
        </w:tc>
        <w:tc>
          <w:tcPr>
            <w:tcW w:w="850" w:type="dxa"/>
            <w:vAlign w:val="center"/>
          </w:tcPr>
          <w:p w14:paraId="68931645">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其它辅助材料</w:t>
            </w:r>
          </w:p>
        </w:tc>
        <w:tc>
          <w:tcPr>
            <w:tcW w:w="851" w:type="dxa"/>
            <w:vAlign w:val="center"/>
          </w:tcPr>
          <w:p w14:paraId="0473A249">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73017ABE">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项</w:t>
            </w:r>
          </w:p>
        </w:tc>
        <w:tc>
          <w:tcPr>
            <w:tcW w:w="6928" w:type="dxa"/>
            <w:gridSpan w:val="3"/>
            <w:vAlign w:val="center"/>
          </w:tcPr>
          <w:p w14:paraId="0E4BE2A1">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绝缘胶布、排插、铁丝等，满足工程安装；</w:t>
            </w:r>
          </w:p>
        </w:tc>
      </w:tr>
      <w:tr w14:paraId="3078A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3949739">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13</w:t>
            </w:r>
          </w:p>
        </w:tc>
        <w:tc>
          <w:tcPr>
            <w:tcW w:w="850" w:type="dxa"/>
            <w:vAlign w:val="center"/>
          </w:tcPr>
          <w:p w14:paraId="2327E5A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安装调试</w:t>
            </w:r>
          </w:p>
        </w:tc>
        <w:tc>
          <w:tcPr>
            <w:tcW w:w="851" w:type="dxa"/>
            <w:vAlign w:val="center"/>
          </w:tcPr>
          <w:p w14:paraId="5FCBE40A">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7EB643FC">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项</w:t>
            </w:r>
          </w:p>
        </w:tc>
        <w:tc>
          <w:tcPr>
            <w:tcW w:w="6928" w:type="dxa"/>
            <w:gridSpan w:val="3"/>
            <w:vAlign w:val="center"/>
          </w:tcPr>
          <w:p w14:paraId="09E5D6EA">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安装调试；</w:t>
            </w:r>
          </w:p>
        </w:tc>
      </w:tr>
      <w:tr w14:paraId="086EA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vAlign w:val="center"/>
          </w:tcPr>
          <w:p w14:paraId="5ACFAA4F">
            <w:pPr>
              <w:widowControl/>
              <w:spacing w:line="360" w:lineRule="auto"/>
              <w:textAlignment w:val="center"/>
              <w:rPr>
                <w:rStyle w:val="123"/>
                <w:rFonts w:hint="default"/>
                <w:color w:val="auto"/>
                <w:sz w:val="21"/>
                <w:szCs w:val="21"/>
              </w:rPr>
            </w:pPr>
            <w:r>
              <w:rPr>
                <w:rStyle w:val="123"/>
                <w:rFonts w:hint="default"/>
                <w:b/>
                <w:bCs/>
                <w:color w:val="auto"/>
                <w:sz w:val="21"/>
                <w:szCs w:val="21"/>
              </w:rPr>
              <w:t>二、美术作品翻拍及工作站</w:t>
            </w:r>
          </w:p>
        </w:tc>
      </w:tr>
      <w:tr w14:paraId="6DACF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194A2CE">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850" w:type="dxa"/>
            <w:vAlign w:val="center"/>
          </w:tcPr>
          <w:p w14:paraId="17B7C4E7">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电动升降翻拍台（带专用LED拍摄灯）</w:t>
            </w:r>
          </w:p>
        </w:tc>
        <w:tc>
          <w:tcPr>
            <w:tcW w:w="851" w:type="dxa"/>
            <w:vAlign w:val="center"/>
          </w:tcPr>
          <w:p w14:paraId="157260A2">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42AFB8A4">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2F20027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一、电动升降翻拍台</w:t>
            </w:r>
          </w:p>
          <w:p w14:paraId="45F2B0D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1.立柱由特殊的铝制多节管制成，哑光黑色阳极氧化，带有厘米刻度。相机托架由铝制截面制成，可通过齿轮齿条平行导轨在约 16 厘米内水平调节。左手/右手操作，两个锁定螺钉可防止意外更改调整位置。相机安装板可倾斜 ± 90°。连接螺钉水平可调，电动调节高度。</w:t>
            </w:r>
          </w:p>
          <w:p w14:paraId="1D81B47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2.大型无反射哑光灰色底板。脚的高度可调节。</w:t>
            </w:r>
          </w:p>
          <w:p w14:paraId="12FC79E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3.底板（宽 x 高 x 深）：约680 x 38 x 570 毫米；</w:t>
            </w:r>
          </w:p>
          <w:p w14:paraId="6132607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4.立柱高度：约1.20米；</w:t>
            </w:r>
          </w:p>
          <w:p w14:paraId="79F748B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5.立柱横截面：约105 x 74 毫米；</w:t>
            </w:r>
          </w:p>
          <w:p w14:paraId="6EBD42D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6.载重量：约8 kg；</w:t>
            </w:r>
          </w:p>
          <w:p w14:paraId="4C5F44B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7.摄像机安装板：约130 x 78 毫米；</w:t>
            </w:r>
          </w:p>
          <w:p w14:paraId="2F0FB2B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8.换向安装螺纹：1/4 、3/8 可更换；</w:t>
            </w:r>
          </w:p>
          <w:p w14:paraId="0B73449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9.桌面高度约 75 厘米。允许在坐姿或站姿下方便地工作。重型焊接管状钢结构。高度可调的支脚。</w:t>
            </w:r>
          </w:p>
          <w:p w14:paraId="60CED9C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10.尺寸（宽 x 高 x 深）：约 80 x 75 x 60 厘米；</w:t>
            </w:r>
          </w:p>
          <w:p w14:paraId="5648851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11.带有玻璃压力板的固定装置，可在从书籍、杂志和报纸进行翻拍工作时进行精确定位。</w:t>
            </w:r>
          </w:p>
          <w:p w14:paraId="1019A90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12.不同厚度的 28 x 18 厘米预制海绵用于补偿打开的书的高度。</w:t>
            </w:r>
          </w:p>
          <w:p w14:paraId="0F3D59F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13.采用高品质、中性色晶玻璃压板。</w:t>
            </w:r>
          </w:p>
          <w:p w14:paraId="01B6567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14.适用于最大尺寸：44 x 41 厘米；</w:t>
            </w:r>
          </w:p>
          <w:p w14:paraId="36D5BAD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15.原稿（书本等）的最大高度：145 毫米；</w:t>
            </w:r>
          </w:p>
          <w:p w14:paraId="651C72B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二、翻拍台专用光源</w:t>
            </w:r>
          </w:p>
          <w:p w14:paraId="1D728A7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1.使用灯体轻薄耐用，亮度高照幅广的双色温LED面板灯。</w:t>
            </w:r>
          </w:p>
          <w:p w14:paraId="50B5785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2.显色指数高于96；</w:t>
            </w:r>
          </w:p>
          <w:p w14:paraId="6306230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3.电视显色指数高于97；</w:t>
            </w:r>
          </w:p>
          <w:p w14:paraId="292EA07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4.可使用DC电源供电；</w:t>
            </w:r>
          </w:p>
          <w:p w14:paraId="45DE4B2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5.可由面板控制或者DMX控制；</w:t>
            </w:r>
          </w:p>
          <w:p w14:paraId="451C205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6.亮度和色温支持面板直接调控；</w:t>
            </w:r>
          </w:p>
          <w:p w14:paraId="69B23756">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7.单灯光照度约5400流明；</w:t>
            </w:r>
          </w:p>
        </w:tc>
      </w:tr>
      <w:tr w14:paraId="731E4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00547CC">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850" w:type="dxa"/>
            <w:vAlign w:val="center"/>
          </w:tcPr>
          <w:p w14:paraId="4641C49B">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翻拍磁吸背景墙</w:t>
            </w:r>
          </w:p>
        </w:tc>
        <w:tc>
          <w:tcPr>
            <w:tcW w:w="851" w:type="dxa"/>
            <w:vAlign w:val="center"/>
          </w:tcPr>
          <w:p w14:paraId="00A53DEB">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007BEBAC">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幅</w:t>
            </w:r>
          </w:p>
        </w:tc>
        <w:tc>
          <w:tcPr>
            <w:tcW w:w="6928" w:type="dxa"/>
            <w:gridSpan w:val="3"/>
            <w:vAlign w:val="center"/>
          </w:tcPr>
          <w:p w14:paraId="4F165EB0">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1.尺寸：2*4米；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2.全磁面覆盖，3层基底吸力≥40N/平方厘米；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3.剩磁：≤对应点吸力的10%；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4.绝缘电阻：室温条件下低于5MΩ；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5.要求采用可分拆式组合；</w:t>
            </w:r>
          </w:p>
        </w:tc>
      </w:tr>
      <w:tr w14:paraId="5CDA3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1BFC864">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3</w:t>
            </w:r>
          </w:p>
        </w:tc>
        <w:tc>
          <w:tcPr>
            <w:tcW w:w="850" w:type="dxa"/>
            <w:vAlign w:val="center"/>
          </w:tcPr>
          <w:p w14:paraId="66896D34">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190大型条形闪光灯及配套灯架</w:t>
            </w:r>
          </w:p>
        </w:tc>
        <w:tc>
          <w:tcPr>
            <w:tcW w:w="851" w:type="dxa"/>
            <w:vAlign w:val="center"/>
          </w:tcPr>
          <w:p w14:paraId="4E804C7F">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2</w:t>
            </w:r>
          </w:p>
        </w:tc>
        <w:tc>
          <w:tcPr>
            <w:tcW w:w="708" w:type="dxa"/>
            <w:vAlign w:val="center"/>
          </w:tcPr>
          <w:p w14:paraId="1EDE01F3">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6928" w:type="dxa"/>
            <w:gridSpan w:val="3"/>
            <w:vAlign w:val="center"/>
          </w:tcPr>
          <w:p w14:paraId="227D7625">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 xml:space="preserve">一、闪光灯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1.最大能量：约3*3200 瓦秒；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2.能量范围：11挡光圈(1.3-1250瓦秒)；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3.能量控制增量：0.1挡光圈(0.1-10)；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4.回电时间：230V/50Hz:0.01-0.8秒；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120V/60Hz:0.01-1.2秒；</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二、色温：</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1.Eco / Boost 模式：6300K±100K；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2.Freeze 模式：6400K(10)-9000K(0.1)；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3.2mISO100时裸灯：32 2/10；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4.最大亮度光圈加装强力反光罩：644/10；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三、LED造型灯：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1.最大输出：3组200瓦；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2.最大光通量：6300 流明；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3.最大照度@1m 裸灯：2380勒克斯；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4.强力反光罩：16540勒克斯；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5.调光范围：100-1%；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6.色温：5600K±100K；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7.显色指数：92以上；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四、无线连接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1.Air 分组数量：6(A-F)；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2.Air频道数量：100(1-100)；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3.支持的Air功能引闪、TTL、HSS、无线遥控(Air1和Air2)；</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五、蓝牙连接支持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1.无线操作范围遥控引闪器：0.5-100米；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2.蓝牙设备：0.1-30米；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六、灯架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1.灯架自带4个脚轮；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2.配有滑动支架可调节高度和角度；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3.含有电箱托盘；</w:t>
            </w:r>
          </w:p>
        </w:tc>
      </w:tr>
      <w:tr w14:paraId="78D48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39480F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4</w:t>
            </w:r>
          </w:p>
        </w:tc>
        <w:tc>
          <w:tcPr>
            <w:tcW w:w="850" w:type="dxa"/>
            <w:vAlign w:val="center"/>
          </w:tcPr>
          <w:p w14:paraId="6FFA57BD">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闪光灯电源箱</w:t>
            </w:r>
          </w:p>
        </w:tc>
        <w:tc>
          <w:tcPr>
            <w:tcW w:w="851" w:type="dxa"/>
            <w:vAlign w:val="center"/>
          </w:tcPr>
          <w:p w14:paraId="7BCFA0A5">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4</w:t>
            </w:r>
          </w:p>
        </w:tc>
        <w:tc>
          <w:tcPr>
            <w:tcW w:w="708" w:type="dxa"/>
            <w:vAlign w:val="center"/>
          </w:tcPr>
          <w:p w14:paraId="6208D46B">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6928" w:type="dxa"/>
            <w:gridSpan w:val="3"/>
            <w:vAlign w:val="center"/>
          </w:tcPr>
          <w:p w14:paraId="1BB76D2B">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1.接口：配备3个灯头连接插口；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2.总功率：2400W；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3.内置WiFi模块；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4.内置RFS 2引闪接收系统；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5.配备多语种LED信息显示屏；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6.任何输出功率都能保持稳定一致的色温输出；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7.备有快速充电模式和记忆功能；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8.每个灯头可单独调整定时功能（交替触发、延迟、频闪）；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9.每个灯头可单独调整闪光功率和色温；</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10.3×650W并设有5种按比例的光度调节；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11.工作电压：100 - 240 VAC；</w:t>
            </w:r>
          </w:p>
        </w:tc>
      </w:tr>
      <w:tr w14:paraId="1DA83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3DC158A">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5</w:t>
            </w:r>
          </w:p>
        </w:tc>
        <w:tc>
          <w:tcPr>
            <w:tcW w:w="850" w:type="dxa"/>
            <w:vAlign w:val="center"/>
          </w:tcPr>
          <w:p w14:paraId="5E5BFEB9">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闪光灯头配70x100柔光箱及闪光灯触发器</w:t>
            </w:r>
          </w:p>
        </w:tc>
        <w:tc>
          <w:tcPr>
            <w:tcW w:w="851" w:type="dxa"/>
            <w:vAlign w:val="center"/>
          </w:tcPr>
          <w:p w14:paraId="4F3DF691">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2</w:t>
            </w:r>
          </w:p>
        </w:tc>
        <w:tc>
          <w:tcPr>
            <w:tcW w:w="708" w:type="dxa"/>
            <w:vAlign w:val="center"/>
          </w:tcPr>
          <w:p w14:paraId="712F6F49">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6928" w:type="dxa"/>
            <w:gridSpan w:val="3"/>
            <w:vAlign w:val="center"/>
          </w:tcPr>
          <w:p w14:paraId="505F6F2F">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1.输出功率：2400Ws；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2.闪光持续时间：最快 1/17800s(t0.1)；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3.档位：1.0~10；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4.色温恒定：全程档位波动 ±75K；</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5.闪光模式：手动闪光、Multi 频闪闪光；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6.频闪闪光：具备(次数: 100 次,频率: 100)；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7.延时引闪：0.01~30s；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8.蒙板：有；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9.风扇：有；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10.蜂鸣器：有；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11.造型灯 LED：60W；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12.光控引闪：S1/S2；</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13.显示闪光持续时间：有；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14.配置70x100柔光箱及闪光灯触发器；</w:t>
            </w:r>
          </w:p>
          <w:p w14:paraId="1D5ED0A1">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6000.00</w:t>
            </w:r>
          </w:p>
          <w:p w14:paraId="17D140CD">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12000.00</w:t>
            </w:r>
          </w:p>
        </w:tc>
      </w:tr>
      <w:tr w14:paraId="5DE7F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47A5CE1">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6</w:t>
            </w:r>
          </w:p>
        </w:tc>
        <w:tc>
          <w:tcPr>
            <w:tcW w:w="850" w:type="dxa"/>
            <w:vAlign w:val="center"/>
          </w:tcPr>
          <w:p w14:paraId="3BC44E21">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相机数据线</w:t>
            </w:r>
          </w:p>
        </w:tc>
        <w:tc>
          <w:tcPr>
            <w:tcW w:w="851" w:type="dxa"/>
            <w:vAlign w:val="center"/>
          </w:tcPr>
          <w:p w14:paraId="04DC3255">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5F706A14">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条</w:t>
            </w:r>
          </w:p>
        </w:tc>
        <w:tc>
          <w:tcPr>
            <w:tcW w:w="6928" w:type="dxa"/>
            <w:gridSpan w:val="3"/>
            <w:vAlign w:val="center"/>
          </w:tcPr>
          <w:p w14:paraId="0463E6B1">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长度3米，5G传输能力，USB-C接口；</w:t>
            </w:r>
          </w:p>
        </w:tc>
      </w:tr>
      <w:tr w14:paraId="39153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AF97878">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7</w:t>
            </w:r>
          </w:p>
        </w:tc>
        <w:tc>
          <w:tcPr>
            <w:tcW w:w="850" w:type="dxa"/>
            <w:vAlign w:val="center"/>
          </w:tcPr>
          <w:p w14:paraId="2AC9E961">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重型十字相机支架配球型云台</w:t>
            </w:r>
          </w:p>
        </w:tc>
        <w:tc>
          <w:tcPr>
            <w:tcW w:w="851" w:type="dxa"/>
            <w:vAlign w:val="center"/>
          </w:tcPr>
          <w:p w14:paraId="66E84FC4">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39720F1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6928" w:type="dxa"/>
            <w:gridSpan w:val="3"/>
            <w:vAlign w:val="center"/>
          </w:tcPr>
          <w:p w14:paraId="50CB3721">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1.高度：0.4m-2.5m；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2.横臂：1m；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3.承重：不小于7kg；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4.带有1/4相机快装板；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5.配有球型云台；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6.配有不锈钢储物托盘，并内置有防滑、防反光托盘垫，方便摆放设备等；储物托盘可独立移位；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7.能够升降、360度旋转、水平滑动的交叉横臂，能够从一边到另一边精确定位，并配有上、下、左、右任一位置锁紧支架的锁定装置；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8.立柱及横臂带厘米标尺；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9.底座带脚轮方便移动；</w:t>
            </w:r>
          </w:p>
        </w:tc>
      </w:tr>
      <w:tr w14:paraId="2B9A4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BF19070">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8</w:t>
            </w:r>
          </w:p>
        </w:tc>
        <w:tc>
          <w:tcPr>
            <w:tcW w:w="850" w:type="dxa"/>
            <w:vAlign w:val="center"/>
          </w:tcPr>
          <w:p w14:paraId="1AA20E13">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相机（配专业镜头）</w:t>
            </w:r>
          </w:p>
        </w:tc>
        <w:tc>
          <w:tcPr>
            <w:tcW w:w="851" w:type="dxa"/>
            <w:vAlign w:val="center"/>
          </w:tcPr>
          <w:p w14:paraId="1EDD89EF">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409CE50C">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台</w:t>
            </w:r>
          </w:p>
        </w:tc>
        <w:tc>
          <w:tcPr>
            <w:tcW w:w="6928" w:type="dxa"/>
            <w:gridSpan w:val="3"/>
            <w:vAlign w:val="center"/>
          </w:tcPr>
          <w:p w14:paraId="30E603C8">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1.相机类型：无反相机；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2.相机画幅：中画幅相机；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3.总像素：1亿200万像素；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4.传感器类型：BSI CMOS传感器；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5.影像处理系统 ：X-Processor 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6.液晶屏尺寸：3.2英寸液晶屏，2.09英寸320×219画点黑白LCD肩屏；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7.液晶屏像素：236万像素；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8.电子取景器像素：944万像素；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9.ISO感光度：自动,80-12800（可拓展50-102400）；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10.白平衡模式：自动，晴天(日光)，阴天，白炽灯，荧光灯，钨丝灯，自定义；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11.视频分辨率：7680×4320(8K)，3840×2160(4K)，1920×1080；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12.视频拍摄帧数(fps)：8K/30p、4K/60p、FHD/120p；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13.机械快门速度：60min-1/4000s；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14.电子快门速度：60min-1/32000s；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15.防抖功能：机身防抖，5轴防抖（最高可实现8档防抖补偿效果）；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16.连拍：支持连拍功能，机械快门：8张/秒，电子快门：8.7张/秒；</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17.动态范围：基础ISO80，支持16位HQ RAW；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18.对焦系统：AI主体识别（人/动物/车辆/昆虫），支持人脸/眼控追踪；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19.配套三款镜头：100-200mm f/5.6L镜头、120mm f/4L 镜头、55mm f/1.7L 镜头；</w:t>
            </w:r>
          </w:p>
        </w:tc>
      </w:tr>
      <w:tr w14:paraId="31B4F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3F3D874">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9</w:t>
            </w:r>
          </w:p>
        </w:tc>
        <w:tc>
          <w:tcPr>
            <w:tcW w:w="850" w:type="dxa"/>
            <w:vAlign w:val="center"/>
          </w:tcPr>
          <w:p w14:paraId="18CDCA81">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绘图设计移动工作站</w:t>
            </w:r>
          </w:p>
        </w:tc>
        <w:tc>
          <w:tcPr>
            <w:tcW w:w="851" w:type="dxa"/>
            <w:vAlign w:val="center"/>
          </w:tcPr>
          <w:p w14:paraId="3801AD0C">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59E19B90">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台</w:t>
            </w:r>
          </w:p>
        </w:tc>
        <w:tc>
          <w:tcPr>
            <w:tcW w:w="6928" w:type="dxa"/>
            <w:gridSpan w:val="3"/>
            <w:vAlign w:val="center"/>
          </w:tcPr>
          <w:p w14:paraId="1E232134">
            <w:pPr>
              <w:widowControl/>
              <w:spacing w:line="360" w:lineRule="auto"/>
              <w:jc w:val="left"/>
              <w:textAlignment w:val="center"/>
              <w:rPr>
                <w:rStyle w:val="123"/>
                <w:rFonts w:hint="default"/>
                <w:color w:val="auto"/>
                <w:sz w:val="21"/>
                <w:szCs w:val="21"/>
              </w:rPr>
            </w:pPr>
            <w:r>
              <w:rPr>
                <w:rStyle w:val="123"/>
                <w:rFonts w:hint="default"/>
                <w:color w:val="auto"/>
                <w:sz w:val="21"/>
                <w:szCs w:val="21"/>
              </w:rPr>
              <w:t>一、硬件参数：</w:t>
            </w:r>
          </w:p>
          <w:p w14:paraId="75F9394B">
            <w:pPr>
              <w:widowControl/>
              <w:spacing w:line="360" w:lineRule="auto"/>
              <w:jc w:val="left"/>
              <w:textAlignment w:val="center"/>
              <w:rPr>
                <w:rStyle w:val="123"/>
                <w:rFonts w:hint="default"/>
                <w:color w:val="auto"/>
                <w:sz w:val="21"/>
                <w:szCs w:val="21"/>
              </w:rPr>
            </w:pPr>
            <w:r>
              <w:rPr>
                <w:rStyle w:val="123"/>
                <w:rFonts w:hint="default"/>
                <w:color w:val="auto"/>
                <w:sz w:val="21"/>
                <w:szCs w:val="21"/>
              </w:rPr>
              <w:t>屏幕尺寸16英寸U7-155H/64GB(2x32GB)DDE5/4T SSD/ RTX2000 ADA-12G显卡/WIFI6E+BT5.3/W11H/16.0 inch AG WQXGA (2560x1600) LwBluLt UWVA 400 f5MP IR 120Hz  bnt LCD Panel/指纹/</w:t>
            </w:r>
          </w:p>
          <w:p w14:paraId="7B4E5CAD">
            <w:pPr>
              <w:widowControl/>
              <w:spacing w:line="360" w:lineRule="auto"/>
              <w:jc w:val="left"/>
              <w:textAlignment w:val="center"/>
              <w:rPr>
                <w:rStyle w:val="123"/>
                <w:rFonts w:hint="default"/>
                <w:color w:val="auto"/>
                <w:sz w:val="21"/>
                <w:szCs w:val="21"/>
              </w:rPr>
            </w:pPr>
            <w:r>
              <w:rPr>
                <w:rStyle w:val="123"/>
                <w:rFonts w:hint="default"/>
                <w:color w:val="auto"/>
                <w:sz w:val="21"/>
                <w:szCs w:val="21"/>
              </w:rPr>
              <w:t>二、配套CO专业图像处理软件</w:t>
            </w:r>
          </w:p>
          <w:p w14:paraId="66D008FC">
            <w:pPr>
              <w:widowControl/>
              <w:spacing w:line="360" w:lineRule="auto"/>
              <w:jc w:val="left"/>
              <w:textAlignment w:val="center"/>
              <w:rPr>
                <w:rStyle w:val="123"/>
                <w:rFonts w:hint="default"/>
                <w:color w:val="auto"/>
                <w:sz w:val="21"/>
                <w:szCs w:val="21"/>
              </w:rPr>
            </w:pPr>
            <w:r>
              <w:rPr>
                <w:rStyle w:val="123"/>
                <w:rFonts w:hint="default"/>
                <w:color w:val="auto"/>
                <w:sz w:val="21"/>
                <w:szCs w:val="21"/>
              </w:rPr>
              <w:t>1.该软件能够与富士相机无缝衔接，提供精确的色彩编辑和图像处理功能，其RAW编辑功能能够独立存储所有调整数据，确保原始画质不受损，便于反复优化。此外还支持高分辨率RAW格式的无损直出与实时预览，大幅缩短后期准备时间。</w:t>
            </w:r>
          </w:p>
          <w:p w14:paraId="107C0F57">
            <w:pPr>
              <w:widowControl/>
              <w:spacing w:line="360" w:lineRule="auto"/>
              <w:jc w:val="left"/>
              <w:textAlignment w:val="center"/>
              <w:rPr>
                <w:rStyle w:val="123"/>
                <w:rFonts w:hint="default"/>
                <w:color w:val="auto"/>
                <w:sz w:val="21"/>
                <w:szCs w:val="21"/>
              </w:rPr>
            </w:pPr>
            <w:r>
              <w:rPr>
                <w:rStyle w:val="123"/>
                <w:rFonts w:hint="default"/>
                <w:color w:val="auto"/>
                <w:sz w:val="21"/>
                <w:szCs w:val="21"/>
              </w:rPr>
              <w:t>2.软件可以针对单个图像或图像组操作此类元数据（即批量编辑）。可以创建元数据预设以添加以加快重复字段的输入速度。外部元数据系统可以与一组强大的元数据脚本命令合并。定制工具的逻辑设置可在准备、生产和文件存储期间优化拍摄工作流程。</w:t>
            </w:r>
          </w:p>
          <w:p w14:paraId="2A260217">
            <w:pPr>
              <w:widowControl/>
              <w:spacing w:line="360" w:lineRule="auto"/>
              <w:jc w:val="left"/>
              <w:textAlignment w:val="center"/>
              <w:rPr>
                <w:rStyle w:val="123"/>
                <w:rFonts w:hint="default"/>
                <w:color w:val="auto"/>
                <w:sz w:val="21"/>
                <w:szCs w:val="21"/>
              </w:rPr>
            </w:pPr>
            <w:r>
              <w:rPr>
                <w:rStyle w:val="123"/>
                <w:rFonts w:hint="default"/>
                <w:color w:val="auto"/>
                <w:sz w:val="21"/>
                <w:szCs w:val="21"/>
              </w:rPr>
              <w:t>三、数据同传要求</w:t>
            </w:r>
          </w:p>
          <w:p w14:paraId="27EC10CD">
            <w:pPr>
              <w:widowControl/>
              <w:spacing w:line="360" w:lineRule="auto"/>
              <w:jc w:val="left"/>
              <w:textAlignment w:val="center"/>
              <w:rPr>
                <w:rStyle w:val="123"/>
                <w:rFonts w:hint="default"/>
                <w:color w:val="auto"/>
                <w:sz w:val="21"/>
                <w:szCs w:val="21"/>
              </w:rPr>
            </w:pPr>
            <w:r>
              <w:rPr>
                <w:rStyle w:val="123"/>
                <w:rFonts w:hint="default"/>
                <w:color w:val="auto"/>
                <w:sz w:val="21"/>
                <w:szCs w:val="21"/>
              </w:rPr>
              <w:t>1.支持在一台计算机上安装Windows2012、Windows7、Windows8、Windows10、Windows11等多种桌面操作系统并进行引导和立即还原；</w:t>
            </w:r>
          </w:p>
          <w:p w14:paraId="31038C31">
            <w:pPr>
              <w:widowControl/>
              <w:spacing w:line="360" w:lineRule="auto"/>
              <w:jc w:val="left"/>
              <w:textAlignment w:val="center"/>
              <w:rPr>
                <w:rStyle w:val="123"/>
                <w:rFonts w:hint="default"/>
                <w:color w:val="auto"/>
                <w:sz w:val="21"/>
                <w:szCs w:val="21"/>
              </w:rPr>
            </w:pPr>
            <w:r>
              <w:rPr>
                <w:rStyle w:val="123"/>
                <w:rFonts w:hint="default"/>
                <w:color w:val="auto"/>
                <w:sz w:val="21"/>
                <w:szCs w:val="21"/>
              </w:rPr>
              <w:t>2.支持CentOS、Ubuntu、RedHat、Fedora非信创Linux桌面操作系统立即还原，实现Linux系统的差异拷贝、创建频道、虚拟系统、还原点功能；</w:t>
            </w:r>
          </w:p>
          <w:p w14:paraId="7A86F192">
            <w:pPr>
              <w:widowControl/>
              <w:spacing w:line="360" w:lineRule="auto"/>
              <w:jc w:val="left"/>
              <w:textAlignment w:val="center"/>
              <w:rPr>
                <w:rStyle w:val="123"/>
                <w:rFonts w:hint="default"/>
                <w:b/>
                <w:bCs/>
                <w:color w:val="auto"/>
                <w:sz w:val="21"/>
                <w:szCs w:val="21"/>
              </w:rPr>
            </w:pPr>
            <w:r>
              <w:rPr>
                <w:rStyle w:val="123"/>
                <w:rFonts w:hint="default"/>
                <w:color w:val="auto"/>
                <w:sz w:val="21"/>
                <w:szCs w:val="21"/>
              </w:rPr>
              <w:t>▲3.支持统信UOS、麒麟KylinOS信创国产化操作系统的立即还原、每天还原、每周还原、每月还原等方式并支持还原点的创建；</w:t>
            </w:r>
            <w:r>
              <w:rPr>
                <w:rStyle w:val="123"/>
                <w:rFonts w:hint="default"/>
                <w:b/>
                <w:bCs/>
                <w:color w:val="auto"/>
                <w:sz w:val="21"/>
                <w:szCs w:val="21"/>
              </w:rPr>
              <w:t>（投标时提供第三方检测机构出具的具备CMA或CNAS标识的产品功能测试报告复印件，并加盖投标人公章）</w:t>
            </w:r>
          </w:p>
          <w:p w14:paraId="3BA5A164">
            <w:pPr>
              <w:widowControl/>
              <w:spacing w:line="360" w:lineRule="auto"/>
              <w:jc w:val="left"/>
              <w:textAlignment w:val="center"/>
              <w:rPr>
                <w:rStyle w:val="123"/>
                <w:rFonts w:hint="default"/>
                <w:color w:val="auto"/>
                <w:sz w:val="21"/>
                <w:szCs w:val="21"/>
              </w:rPr>
            </w:pPr>
            <w:r>
              <w:rPr>
                <w:rStyle w:val="123"/>
                <w:rFonts w:hint="default"/>
                <w:color w:val="auto"/>
                <w:sz w:val="21"/>
                <w:szCs w:val="21"/>
              </w:rPr>
              <w:t>4.分区类型支持设置为立即还原型启动分区、备份还原型启动分区、专属分区、共享分区、Linux交换分区及其他分区；</w:t>
            </w:r>
          </w:p>
          <w:p w14:paraId="7ECA3636">
            <w:pPr>
              <w:widowControl/>
              <w:spacing w:line="360" w:lineRule="auto"/>
              <w:jc w:val="left"/>
              <w:textAlignment w:val="center"/>
              <w:rPr>
                <w:rStyle w:val="123"/>
                <w:rFonts w:hint="default"/>
                <w:color w:val="auto"/>
                <w:sz w:val="21"/>
                <w:szCs w:val="21"/>
              </w:rPr>
            </w:pPr>
            <w:r>
              <w:rPr>
                <w:rStyle w:val="123"/>
                <w:rFonts w:hint="default"/>
                <w:color w:val="auto"/>
                <w:sz w:val="21"/>
                <w:szCs w:val="21"/>
              </w:rPr>
              <w:t>5.支持信创终端电脑MBR分区系统和GPT分区系统混合安装，可支持60个以上的不同操作系统；</w:t>
            </w:r>
          </w:p>
          <w:p w14:paraId="2E9F812D">
            <w:pPr>
              <w:widowControl/>
              <w:spacing w:line="360" w:lineRule="auto"/>
              <w:jc w:val="left"/>
              <w:textAlignment w:val="center"/>
              <w:rPr>
                <w:rStyle w:val="123"/>
                <w:rFonts w:hint="default"/>
                <w:color w:val="auto"/>
                <w:sz w:val="21"/>
                <w:szCs w:val="21"/>
              </w:rPr>
            </w:pPr>
            <w:r>
              <w:rPr>
                <w:rStyle w:val="123"/>
                <w:rFonts w:hint="default"/>
                <w:color w:val="auto"/>
                <w:sz w:val="21"/>
                <w:szCs w:val="21"/>
              </w:rPr>
              <w:t>6.支持海光、兆芯国产终端电脑额外安装WINDOWS操作系统，满足特殊场景应用，用户可以随时隐藏该系统的选单界面；</w:t>
            </w:r>
          </w:p>
          <w:p w14:paraId="54F32494">
            <w:pPr>
              <w:widowControl/>
              <w:spacing w:line="360" w:lineRule="auto"/>
              <w:jc w:val="left"/>
              <w:textAlignment w:val="center"/>
              <w:rPr>
                <w:rStyle w:val="123"/>
                <w:rFonts w:hint="default"/>
                <w:b/>
                <w:bCs/>
                <w:color w:val="auto"/>
                <w:sz w:val="21"/>
                <w:szCs w:val="21"/>
              </w:rPr>
            </w:pPr>
            <w:r>
              <w:rPr>
                <w:rStyle w:val="123"/>
                <w:rFonts w:hint="default"/>
                <w:color w:val="auto"/>
                <w:sz w:val="21"/>
                <w:szCs w:val="21"/>
              </w:rPr>
              <w:t>▲7.支持国产终端电脑SSD硬盘和机械硬盘双硬盘保护模式和同传；</w:t>
            </w:r>
            <w:r>
              <w:rPr>
                <w:rStyle w:val="123"/>
                <w:rFonts w:hint="default"/>
                <w:b/>
                <w:bCs/>
                <w:color w:val="auto"/>
                <w:sz w:val="21"/>
                <w:szCs w:val="21"/>
              </w:rPr>
              <w:t>（投标时提供第三方检测机构出具的具备CMA或CNAS标识的产品功能测试报告复印件，并加盖投标人公章）</w:t>
            </w:r>
          </w:p>
          <w:p w14:paraId="2D001839">
            <w:pPr>
              <w:widowControl/>
              <w:spacing w:line="360" w:lineRule="auto"/>
              <w:jc w:val="left"/>
              <w:textAlignment w:val="center"/>
              <w:rPr>
                <w:rStyle w:val="123"/>
                <w:rFonts w:hint="default"/>
                <w:color w:val="auto"/>
                <w:sz w:val="21"/>
                <w:szCs w:val="21"/>
              </w:rPr>
            </w:pPr>
            <w:r>
              <w:rPr>
                <w:rStyle w:val="123"/>
                <w:rFonts w:hint="default"/>
                <w:color w:val="auto"/>
                <w:sz w:val="21"/>
                <w:szCs w:val="21"/>
              </w:rPr>
              <w:t>8.针对系统或者频道创建多个状态的还原点，恢复还原点、删除还原点。系统维护时，新增软件，软件冲突等软件导致系统损坏，可快速恢复到上一次保存的状态；</w:t>
            </w:r>
          </w:p>
          <w:p w14:paraId="7233FDAE">
            <w:pPr>
              <w:widowControl/>
              <w:spacing w:line="360" w:lineRule="auto"/>
              <w:jc w:val="left"/>
              <w:textAlignment w:val="center"/>
              <w:rPr>
                <w:rStyle w:val="123"/>
                <w:rFonts w:hint="default"/>
                <w:color w:val="auto"/>
                <w:sz w:val="21"/>
                <w:szCs w:val="21"/>
              </w:rPr>
            </w:pPr>
            <w:r>
              <w:rPr>
                <w:rStyle w:val="123"/>
                <w:rFonts w:hint="default"/>
                <w:color w:val="auto"/>
                <w:sz w:val="21"/>
                <w:szCs w:val="21"/>
              </w:rPr>
              <w:t>9.支持隐藏底层操作系统选单，当有多个操作系统时，可设置默认进入某个操作系统，可以以秒为自定义进入系统的时间；</w:t>
            </w:r>
          </w:p>
          <w:p w14:paraId="79E042C7">
            <w:pPr>
              <w:widowControl/>
              <w:spacing w:line="360" w:lineRule="auto"/>
              <w:jc w:val="left"/>
              <w:textAlignment w:val="center"/>
              <w:rPr>
                <w:rStyle w:val="123"/>
                <w:rFonts w:hint="default"/>
                <w:color w:val="auto"/>
                <w:sz w:val="21"/>
                <w:szCs w:val="21"/>
              </w:rPr>
            </w:pPr>
            <w:r>
              <w:rPr>
                <w:rStyle w:val="123"/>
                <w:rFonts w:hint="default"/>
                <w:color w:val="auto"/>
                <w:sz w:val="21"/>
                <w:szCs w:val="21"/>
              </w:rPr>
              <w:t>10.支持自定义选择是否显示开机背景和开机画面；</w:t>
            </w:r>
          </w:p>
          <w:p w14:paraId="742CA673">
            <w:pPr>
              <w:widowControl/>
              <w:spacing w:line="360" w:lineRule="auto"/>
              <w:jc w:val="left"/>
              <w:textAlignment w:val="center"/>
              <w:rPr>
                <w:rStyle w:val="123"/>
                <w:rFonts w:hint="default"/>
                <w:color w:val="auto"/>
                <w:sz w:val="21"/>
                <w:szCs w:val="21"/>
              </w:rPr>
            </w:pPr>
            <w:r>
              <w:rPr>
                <w:rStyle w:val="123"/>
                <w:rFonts w:hint="default"/>
                <w:color w:val="auto"/>
                <w:sz w:val="21"/>
                <w:szCs w:val="21"/>
              </w:rPr>
              <w:t>11.可对多个操作系统自动分配不同网段的IP地址，用于不同的内外网使用环境或实验环境；</w:t>
            </w:r>
          </w:p>
          <w:p w14:paraId="04248D4B">
            <w:pPr>
              <w:widowControl/>
              <w:spacing w:line="360" w:lineRule="auto"/>
              <w:jc w:val="left"/>
              <w:textAlignment w:val="center"/>
              <w:rPr>
                <w:rStyle w:val="123"/>
                <w:rFonts w:hint="default"/>
                <w:color w:val="auto"/>
                <w:sz w:val="21"/>
                <w:szCs w:val="21"/>
              </w:rPr>
            </w:pPr>
            <w:r>
              <w:rPr>
                <w:rStyle w:val="123"/>
                <w:rFonts w:hint="default"/>
                <w:color w:val="auto"/>
                <w:sz w:val="21"/>
                <w:szCs w:val="21"/>
              </w:rPr>
              <w:t>12.在保留现有操作系统情况下，支持对磁盘进行新增分区、删除分区、设置分区还原方式；</w:t>
            </w:r>
          </w:p>
          <w:p w14:paraId="51E95B56">
            <w:pPr>
              <w:widowControl/>
              <w:spacing w:line="360" w:lineRule="auto"/>
              <w:jc w:val="left"/>
              <w:textAlignment w:val="center"/>
              <w:rPr>
                <w:rStyle w:val="123"/>
                <w:rFonts w:hint="default"/>
                <w:color w:val="auto"/>
                <w:sz w:val="21"/>
                <w:szCs w:val="21"/>
              </w:rPr>
            </w:pPr>
            <w:r>
              <w:rPr>
                <w:rStyle w:val="123"/>
                <w:rFonts w:hint="default"/>
                <w:color w:val="auto"/>
                <w:sz w:val="21"/>
                <w:szCs w:val="21"/>
              </w:rPr>
              <w:t>13.在无网络情况下，终端上可挂多硬盘，支持将本机硬盘数据复制出给其它硬盘，其它终端要以挂载复制好的硬盘直接使用；</w:t>
            </w:r>
          </w:p>
          <w:p w14:paraId="5BE6733A">
            <w:pPr>
              <w:widowControl/>
              <w:spacing w:line="360" w:lineRule="auto"/>
              <w:jc w:val="left"/>
              <w:textAlignment w:val="center"/>
              <w:rPr>
                <w:rStyle w:val="123"/>
                <w:rFonts w:hint="default"/>
                <w:color w:val="auto"/>
                <w:sz w:val="21"/>
                <w:szCs w:val="21"/>
              </w:rPr>
            </w:pPr>
            <w:r>
              <w:rPr>
                <w:rStyle w:val="123"/>
                <w:rFonts w:hint="default"/>
                <w:color w:val="auto"/>
                <w:sz w:val="21"/>
                <w:szCs w:val="21"/>
              </w:rPr>
              <w:t>14.可分配用户权限，自主在现有安装好的统信UOS、麒麟KylinOS信创国产化操作系统下面快速（3秒内）创建属于自己的专用虚拟系统，所安装的软件和保存的数据仅自己可以使用，其他用户无法查看、修改或删除；</w:t>
            </w:r>
            <w:r>
              <w:rPr>
                <w:rStyle w:val="123"/>
                <w:rFonts w:hint="default"/>
                <w:b/>
                <w:bCs/>
                <w:color w:val="auto"/>
                <w:sz w:val="21"/>
                <w:szCs w:val="21"/>
              </w:rPr>
              <w:t>（投标时提供第三方检测机构出具的具备CMA或CNAS标识的产品功能测试报告复印件，并加盖投标人公章）</w:t>
            </w:r>
          </w:p>
          <w:p w14:paraId="7E65CA18">
            <w:pPr>
              <w:widowControl/>
              <w:spacing w:line="360" w:lineRule="auto"/>
              <w:jc w:val="left"/>
              <w:textAlignment w:val="center"/>
              <w:rPr>
                <w:rStyle w:val="123"/>
                <w:rFonts w:hint="default"/>
                <w:color w:val="auto"/>
                <w:sz w:val="21"/>
                <w:szCs w:val="21"/>
              </w:rPr>
            </w:pPr>
            <w:r>
              <w:rPr>
                <w:rStyle w:val="123"/>
                <w:rFonts w:hint="default"/>
                <w:color w:val="auto"/>
                <w:sz w:val="21"/>
                <w:szCs w:val="21"/>
              </w:rPr>
              <w:t>▲15.可在现有安装好的统信UOS、麒麟KylinOS国产化操作系统下面快速（3秒内）复制出一个同样的频道系统，无需重新分区；该频道系统可以安装不同的应用软件，实现一机多用；</w:t>
            </w:r>
            <w:r>
              <w:rPr>
                <w:rStyle w:val="123"/>
                <w:rFonts w:hint="default"/>
                <w:b/>
                <w:bCs/>
                <w:color w:val="auto"/>
                <w:sz w:val="21"/>
                <w:szCs w:val="21"/>
              </w:rPr>
              <w:t>（投标时提供第三方检测机构出具的具备CMA或CNAS标识的产品功能测试报告复印件，并加盖投标人公章）</w:t>
            </w:r>
          </w:p>
          <w:p w14:paraId="6567E77B">
            <w:pPr>
              <w:widowControl/>
              <w:spacing w:line="360" w:lineRule="auto"/>
              <w:jc w:val="left"/>
              <w:textAlignment w:val="center"/>
              <w:rPr>
                <w:rStyle w:val="123"/>
                <w:rFonts w:hint="default"/>
                <w:color w:val="auto"/>
                <w:sz w:val="21"/>
                <w:szCs w:val="21"/>
              </w:rPr>
            </w:pPr>
            <w:r>
              <w:rPr>
                <w:rStyle w:val="123"/>
                <w:rFonts w:hint="default"/>
                <w:color w:val="auto"/>
                <w:sz w:val="21"/>
                <w:szCs w:val="21"/>
              </w:rPr>
              <w:t>▲16.可同时对1000台以上的信创终端电脑采用差异拷贝的方式对系统和软件进行更新部署，并同时对UOS、KOS信创国产化操作系统的计算机名和IP地址进行自动分配；</w:t>
            </w:r>
            <w:r>
              <w:rPr>
                <w:rStyle w:val="123"/>
                <w:rFonts w:hint="default"/>
                <w:b/>
                <w:bCs/>
                <w:color w:val="auto"/>
                <w:sz w:val="21"/>
                <w:szCs w:val="21"/>
              </w:rPr>
              <w:t>（提供支持1000台机位的界面截图并加盖投标人公章）</w:t>
            </w:r>
          </w:p>
          <w:p w14:paraId="2D4C1FE0">
            <w:pPr>
              <w:widowControl/>
              <w:spacing w:line="360" w:lineRule="auto"/>
              <w:jc w:val="left"/>
              <w:textAlignment w:val="center"/>
              <w:rPr>
                <w:rStyle w:val="123"/>
                <w:rFonts w:hint="default"/>
                <w:color w:val="auto"/>
                <w:sz w:val="21"/>
                <w:szCs w:val="21"/>
              </w:rPr>
            </w:pPr>
            <w:r>
              <w:rPr>
                <w:rStyle w:val="123"/>
                <w:rFonts w:hint="default"/>
                <w:color w:val="auto"/>
                <w:sz w:val="21"/>
                <w:szCs w:val="21"/>
              </w:rPr>
              <w:t>17.当国产终端电脑因特殊需要安装使用WINDOWS操作系统，管理人员可以远程监控使用者的桌面，并可限制桌面使用的程序、U盘外设和访问的网址，防止资料泄密；</w:t>
            </w:r>
          </w:p>
          <w:p w14:paraId="76DD91DA">
            <w:pPr>
              <w:widowControl/>
              <w:spacing w:line="360" w:lineRule="auto"/>
              <w:jc w:val="left"/>
              <w:textAlignment w:val="center"/>
              <w:rPr>
                <w:rStyle w:val="123"/>
                <w:rFonts w:hint="default"/>
                <w:color w:val="auto"/>
                <w:sz w:val="21"/>
                <w:szCs w:val="21"/>
              </w:rPr>
            </w:pPr>
            <w:r>
              <w:rPr>
                <w:rStyle w:val="123"/>
                <w:rFonts w:hint="default"/>
                <w:color w:val="auto"/>
                <w:sz w:val="21"/>
                <w:szCs w:val="21"/>
              </w:rPr>
              <w:t>18.在使用WINDOWS系统时可统计每台信创终端电脑的硬件配置，当硬件配置发生变更时可对管理人员发出报警提示。并可统计硬件资产信息并导出报表；</w:t>
            </w:r>
          </w:p>
          <w:p w14:paraId="71156B04">
            <w:pPr>
              <w:widowControl/>
              <w:spacing w:line="360" w:lineRule="auto"/>
              <w:jc w:val="left"/>
              <w:textAlignment w:val="center"/>
              <w:rPr>
                <w:rStyle w:val="123"/>
                <w:rFonts w:hint="default"/>
                <w:color w:val="auto"/>
                <w:sz w:val="21"/>
                <w:szCs w:val="21"/>
              </w:rPr>
            </w:pPr>
            <w:r>
              <w:rPr>
                <w:rStyle w:val="123"/>
                <w:rFonts w:hint="default"/>
                <w:color w:val="auto"/>
                <w:sz w:val="21"/>
                <w:szCs w:val="21"/>
              </w:rPr>
              <w:t>19.支持将保护分区中的指定文件备份至不保护分区中，可设置备份文件的存放路径，支持的文件格式至少涵盖.docx、.ppt、.pptx、.txt、.xls、.xlsx及.rar七类，用户可以自行添加想要备份的文件格式；</w:t>
            </w:r>
          </w:p>
          <w:p w14:paraId="379FB9BE">
            <w:pPr>
              <w:widowControl/>
              <w:spacing w:line="360" w:lineRule="auto"/>
              <w:jc w:val="left"/>
              <w:textAlignment w:val="center"/>
              <w:rPr>
                <w:rStyle w:val="123"/>
                <w:rFonts w:hint="default"/>
                <w:color w:val="auto"/>
                <w:sz w:val="21"/>
                <w:szCs w:val="21"/>
              </w:rPr>
            </w:pPr>
            <w:r>
              <w:rPr>
                <w:rStyle w:val="123"/>
                <w:rFonts w:hint="default"/>
                <w:color w:val="auto"/>
                <w:sz w:val="21"/>
                <w:szCs w:val="21"/>
              </w:rPr>
              <w:t>20.支持设置客户端的网络访问权限、白名单网址、白名单IP地址、白名单端口、网络限制生效时间，限制范围可设置面向外网或内网与外网的全部网络，限制解除后，网页管理端对应限制记录字段清空显示；</w:t>
            </w:r>
          </w:p>
        </w:tc>
      </w:tr>
      <w:tr w14:paraId="6F3D4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B5A0BDB">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10</w:t>
            </w:r>
          </w:p>
        </w:tc>
        <w:tc>
          <w:tcPr>
            <w:tcW w:w="850" w:type="dxa"/>
            <w:vAlign w:val="center"/>
          </w:tcPr>
          <w:p w14:paraId="14D4DE04">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绘图设计工作站</w:t>
            </w:r>
          </w:p>
        </w:tc>
        <w:tc>
          <w:tcPr>
            <w:tcW w:w="851" w:type="dxa"/>
            <w:vAlign w:val="center"/>
          </w:tcPr>
          <w:p w14:paraId="04E1B9A5">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2</w:t>
            </w:r>
          </w:p>
        </w:tc>
        <w:tc>
          <w:tcPr>
            <w:tcW w:w="708" w:type="dxa"/>
            <w:vAlign w:val="center"/>
          </w:tcPr>
          <w:p w14:paraId="1DD8B0B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台</w:t>
            </w:r>
          </w:p>
        </w:tc>
        <w:tc>
          <w:tcPr>
            <w:tcW w:w="6928" w:type="dxa"/>
            <w:gridSpan w:val="3"/>
            <w:vAlign w:val="center"/>
          </w:tcPr>
          <w:p w14:paraId="28DDB6B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一、硬件要求：性能配置相当或高于酷睿i9-14900HX 、显存8GB、内存32G DDR5。</w:t>
            </w:r>
          </w:p>
          <w:p w14:paraId="202AA73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二、安全要求：</w:t>
            </w:r>
          </w:p>
          <w:p w14:paraId="11665FFA">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软件形式交付，包含控制中心和客户端软件。控制中心能够实现对客户端的集中管理，包括终端统一部署、策略配置、任务分发、集中监控、日志报表等功能；支持根据客户端点数的增加进行横向扩展；具备防病毒、补丁管理、主机防火墙、终端管控等功能。</w:t>
            </w:r>
          </w:p>
          <w:p w14:paraId="2099E75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2.支持终端用户和管理员是一套账号管理系统，简化账号管理复杂度，一个账号解决所有身份认证，既可以用于终端登录，也可以用于管理管理中心。</w:t>
            </w:r>
          </w:p>
          <w:p w14:paraId="7AE2AB3A">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3.管理控制中心当登录账号输入密码错误次数超过锁定阈值后账号将被锁定，且可设置锁定时间，该时间内账号登录请求不被接受。同时应支持双因子认证登录方式，提高安全性</w:t>
            </w:r>
            <w:r>
              <w:rPr>
                <w:rFonts w:hint="eastAsia" w:ascii="宋体" w:hAnsi="宋体" w:cs="宋体"/>
                <w:b/>
                <w:bCs/>
                <w:color w:val="000000"/>
                <w:kern w:val="0"/>
                <w:szCs w:val="21"/>
                <w:lang w:bidi="ar"/>
              </w:rPr>
              <w:t>（投标文件中提供功能截图证明并加盖投标人公章）</w:t>
            </w:r>
            <w:r>
              <w:rPr>
                <w:rFonts w:hint="eastAsia" w:ascii="宋体" w:hAnsi="宋体" w:cs="宋体"/>
                <w:color w:val="000000"/>
                <w:kern w:val="0"/>
                <w:szCs w:val="21"/>
                <w:lang w:bidi="ar"/>
              </w:rPr>
              <w:t>。</w:t>
            </w:r>
          </w:p>
          <w:p w14:paraId="2A7FC21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4.支持对压缩包内的病毒扫描，支持多层压缩包的扫描，可自定义配置压缩包的扫描层数，至少10层模式下的扫描</w:t>
            </w:r>
            <w:r>
              <w:rPr>
                <w:rFonts w:hint="eastAsia" w:ascii="宋体" w:hAnsi="宋体" w:cs="宋体"/>
                <w:b/>
                <w:bCs/>
                <w:color w:val="000000"/>
                <w:kern w:val="0"/>
                <w:szCs w:val="21"/>
                <w:lang w:bidi="ar"/>
              </w:rPr>
              <w:t>（投标文件中提供功能截图证明并加盖投标人公章）</w:t>
            </w:r>
            <w:r>
              <w:rPr>
                <w:rFonts w:hint="eastAsia" w:ascii="宋体" w:hAnsi="宋体" w:cs="宋体"/>
                <w:color w:val="000000"/>
                <w:kern w:val="0"/>
                <w:szCs w:val="21"/>
                <w:lang w:bidi="ar"/>
              </w:rPr>
              <w:t>。</w:t>
            </w:r>
          </w:p>
          <w:p w14:paraId="653BA78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5.支持对终端当扫描到感染型病毒、顽固木马时，自动进入深度查模式，可设置禁止终端用户管理路径或文件白名单、禁止终端用户管理扩展名白名单、扫描时不允许终端用户暂停或停止扫描任务。</w:t>
            </w:r>
          </w:p>
          <w:p w14:paraId="3440B63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6.支持预先设置好补丁灰度发布批次漏洞修复策略，每当控制台更新补丁库，根据企业环境自动先推送给第一个小批次分组，如无问题自动推送给下一个批次，直到推送给全网</w:t>
            </w:r>
            <w:r>
              <w:rPr>
                <w:rFonts w:hint="eastAsia" w:ascii="宋体" w:hAnsi="宋体" w:cs="宋体"/>
                <w:b/>
                <w:bCs/>
                <w:color w:val="000000"/>
                <w:kern w:val="0"/>
                <w:szCs w:val="21"/>
                <w:lang w:bidi="ar"/>
              </w:rPr>
              <w:t>（投标文件中提供功能截图证明并加盖投标人公章）</w:t>
            </w:r>
            <w:r>
              <w:rPr>
                <w:rFonts w:hint="eastAsia" w:ascii="宋体" w:hAnsi="宋体" w:cs="宋体"/>
                <w:color w:val="000000"/>
                <w:kern w:val="0"/>
                <w:szCs w:val="21"/>
                <w:lang w:bidi="ar"/>
              </w:rPr>
              <w:t>。</w:t>
            </w:r>
          </w:p>
          <w:p w14:paraId="0451E95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7.支持主机防火墙功能，通过添加IP、域名规则、支持允许/拒绝规则、支持任意流向拦截和允许，支持TCP、UDP、TCP+UDP、ICMP、多播和组播，支持自定义端口范围、支持自定义目标IP，支持输入IP范围。</w:t>
            </w:r>
          </w:p>
          <w:p w14:paraId="27739B3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8.支持对外设进行多维度的放行，包括设备名称、PID/VID、实例路径，通过添加实现例外或加黑</w:t>
            </w:r>
            <w:r>
              <w:rPr>
                <w:rFonts w:hint="eastAsia" w:ascii="宋体" w:hAnsi="宋体" w:cs="宋体"/>
                <w:b/>
                <w:bCs/>
                <w:color w:val="000000"/>
                <w:kern w:val="0"/>
                <w:szCs w:val="21"/>
                <w:lang w:bidi="ar"/>
              </w:rPr>
              <w:t>（投标文件中提供功能截图证明并加盖投标人公章）</w:t>
            </w:r>
            <w:r>
              <w:rPr>
                <w:rFonts w:hint="eastAsia" w:ascii="宋体" w:hAnsi="宋体" w:cs="宋体"/>
                <w:color w:val="000000"/>
                <w:kern w:val="0"/>
                <w:szCs w:val="21"/>
                <w:lang w:bidi="ar"/>
              </w:rPr>
              <w:t>。</w:t>
            </w:r>
          </w:p>
          <w:p w14:paraId="12D8BA6E">
            <w:pPr>
              <w:widowControl/>
              <w:spacing w:line="360" w:lineRule="auto"/>
              <w:jc w:val="left"/>
              <w:textAlignment w:val="center"/>
              <w:rPr>
                <w:rStyle w:val="123"/>
                <w:rFonts w:hint="default"/>
                <w:color w:val="auto"/>
                <w:sz w:val="21"/>
                <w:szCs w:val="21"/>
              </w:rPr>
            </w:pPr>
            <w:r>
              <w:rPr>
                <w:rFonts w:hint="eastAsia" w:ascii="宋体" w:hAnsi="宋体" w:cs="宋体"/>
                <w:color w:val="000000"/>
                <w:kern w:val="0"/>
                <w:szCs w:val="21"/>
                <w:lang w:bidi="ar"/>
              </w:rPr>
              <w:t>9.支持对网卡进行防护，支持阻止终端修改IP地址、使用动态IP地址、热点创建和IPV6地址使用等，可自定义提示内容和生效时间。</w:t>
            </w:r>
          </w:p>
        </w:tc>
      </w:tr>
      <w:tr w14:paraId="0197B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602206B">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11</w:t>
            </w:r>
          </w:p>
        </w:tc>
        <w:tc>
          <w:tcPr>
            <w:tcW w:w="850" w:type="dxa"/>
            <w:vAlign w:val="center"/>
          </w:tcPr>
          <w:p w14:paraId="589F033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NAS存储</w:t>
            </w:r>
          </w:p>
        </w:tc>
        <w:tc>
          <w:tcPr>
            <w:tcW w:w="851" w:type="dxa"/>
            <w:vAlign w:val="center"/>
          </w:tcPr>
          <w:p w14:paraId="23BAE633">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7F33B2E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台</w:t>
            </w:r>
          </w:p>
        </w:tc>
        <w:tc>
          <w:tcPr>
            <w:tcW w:w="6928" w:type="dxa"/>
            <w:gridSpan w:val="3"/>
            <w:vAlign w:val="center"/>
          </w:tcPr>
          <w:p w14:paraId="5A03CBB5">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 xml:space="preserve">1.处理器：不低于16核心32线程、主频2.6GHz </w:t>
            </w:r>
          </w:p>
          <w:p w14:paraId="11193926">
            <w:pPr>
              <w:widowControl/>
              <w:spacing w:line="360" w:lineRule="auto"/>
              <w:jc w:val="left"/>
              <w:textAlignment w:val="center"/>
              <w:rPr>
                <w:rStyle w:val="123"/>
                <w:rFonts w:hint="default"/>
                <w:color w:val="auto"/>
                <w:sz w:val="21"/>
                <w:szCs w:val="21"/>
              </w:rPr>
            </w:pPr>
            <w:r>
              <w:rPr>
                <w:rStyle w:val="123"/>
                <w:rFonts w:hint="default"/>
                <w:color w:val="auto"/>
                <w:sz w:val="21"/>
                <w:szCs w:val="21"/>
              </w:rPr>
              <w:t>2.内存：不低于32G DDR4 RECC；</w:t>
            </w:r>
          </w:p>
          <w:p w14:paraId="2F090591">
            <w:pPr>
              <w:widowControl/>
              <w:spacing w:line="360" w:lineRule="auto"/>
              <w:jc w:val="left"/>
              <w:textAlignment w:val="center"/>
              <w:rPr>
                <w:rStyle w:val="123"/>
                <w:rFonts w:hint="default"/>
                <w:color w:val="auto"/>
                <w:sz w:val="21"/>
                <w:szCs w:val="21"/>
              </w:rPr>
            </w:pPr>
            <w:r>
              <w:rPr>
                <w:rStyle w:val="123"/>
                <w:rFonts w:hint="default"/>
                <w:color w:val="auto"/>
                <w:sz w:val="21"/>
                <w:szCs w:val="21"/>
              </w:rPr>
              <w:t>3.硬盘槽：前置24盘位；</w:t>
            </w:r>
          </w:p>
          <w:p w14:paraId="7EA25C8B">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4.硬盘：本次配置24块24T 7200转企业级 SATA硬盘；</w:t>
            </w:r>
          </w:p>
          <w:p w14:paraId="52915B22">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5.网络扩展性：2*SFP+ 10G光口、1*1G电口、1*1G管理网络电口；</w:t>
            </w:r>
          </w:p>
          <w:p w14:paraId="757D156F">
            <w:pPr>
              <w:widowControl/>
              <w:spacing w:line="360" w:lineRule="auto"/>
              <w:jc w:val="left"/>
              <w:textAlignment w:val="center"/>
              <w:rPr>
                <w:rStyle w:val="123"/>
                <w:rFonts w:hint="default"/>
                <w:color w:val="auto"/>
                <w:sz w:val="21"/>
                <w:szCs w:val="21"/>
              </w:rPr>
            </w:pPr>
            <w:r>
              <w:rPr>
                <w:rStyle w:val="123"/>
                <w:rFonts w:hint="default"/>
                <w:color w:val="auto"/>
                <w:sz w:val="21"/>
                <w:szCs w:val="21"/>
              </w:rPr>
              <w:t>6.其他要求：800w电源 双电冗余；</w:t>
            </w:r>
          </w:p>
          <w:p w14:paraId="3C9601E7">
            <w:pPr>
              <w:widowControl/>
              <w:spacing w:line="360" w:lineRule="auto"/>
              <w:jc w:val="left"/>
              <w:textAlignment w:val="center"/>
              <w:rPr>
                <w:rStyle w:val="123"/>
                <w:rFonts w:hint="default"/>
                <w:color w:val="auto"/>
                <w:sz w:val="21"/>
                <w:szCs w:val="21"/>
              </w:rPr>
            </w:pPr>
            <w:r>
              <w:rPr>
                <w:rStyle w:val="123"/>
                <w:rFonts w:hint="default"/>
                <w:color w:val="auto"/>
                <w:sz w:val="21"/>
                <w:szCs w:val="21"/>
              </w:rPr>
              <w:t>7.支持Windows 2000、Windows Server 2003、Windows Server 2008、Windows Server 2012、Windows XP、Linux®、Oracle Solaris、AIX、HP-UX、Mac® OS、VMware® ESXi、Citrix® XenServer和主流国产操作系统连接存储；</w:t>
            </w:r>
          </w:p>
          <w:p w14:paraId="6C31B77B">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8.支持用户在可视化界面上对系统的固件进行升级和回滚；</w:t>
            </w:r>
          </w:p>
          <w:p w14:paraId="2D751710">
            <w:pPr>
              <w:widowControl/>
              <w:spacing w:line="360" w:lineRule="auto"/>
              <w:jc w:val="left"/>
              <w:textAlignment w:val="center"/>
              <w:rPr>
                <w:rStyle w:val="123"/>
                <w:rFonts w:hint="default"/>
                <w:color w:val="auto"/>
                <w:sz w:val="21"/>
                <w:szCs w:val="21"/>
              </w:rPr>
            </w:pPr>
            <w:r>
              <w:rPr>
                <w:rStyle w:val="123"/>
                <w:rFonts w:hint="default"/>
                <w:color w:val="auto"/>
                <w:sz w:val="21"/>
                <w:szCs w:val="21"/>
              </w:rPr>
              <w:t>9.支持不低于EB级别单卷容量，支持对任意卷进行用户和组配额管理，支持卷精简配置功能：</w:t>
            </w:r>
          </w:p>
          <w:p w14:paraId="5AF3F8B6">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10.支持RAID0，RAID1，RAID Z1，RAID Z2，RAID Z3和分布式RAID等多种相同或同级别阵列模式，支持数据多副本模式；</w:t>
            </w:r>
          </w:p>
          <w:p w14:paraId="2D731184">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11.支持iSCSI、NFS、CIFS/SMB、FTP、S3、WebDAV等多种存储协议；</w:t>
            </w:r>
          </w:p>
          <w:p w14:paraId="0A73B0E2">
            <w:pPr>
              <w:widowControl/>
              <w:spacing w:line="360" w:lineRule="auto"/>
              <w:jc w:val="left"/>
              <w:textAlignment w:val="center"/>
              <w:rPr>
                <w:rStyle w:val="123"/>
                <w:rFonts w:hint="default"/>
                <w:color w:val="auto"/>
                <w:sz w:val="21"/>
                <w:szCs w:val="21"/>
              </w:rPr>
            </w:pPr>
            <w:r>
              <w:rPr>
                <w:rStyle w:val="123"/>
                <w:rFonts w:hint="default"/>
                <w:color w:val="auto"/>
                <w:sz w:val="21"/>
                <w:szCs w:val="21"/>
              </w:rPr>
              <w:t>12.支持Posix ACL和NFSv4 ACL的访问权限控制功能，能对用户访问存储文件进行读取、写入、浏览等权限进行访问控制；</w:t>
            </w:r>
          </w:p>
          <w:p w14:paraId="325DBCF6">
            <w:pPr>
              <w:widowControl/>
              <w:spacing w:line="360" w:lineRule="auto"/>
              <w:jc w:val="left"/>
              <w:textAlignment w:val="center"/>
              <w:rPr>
                <w:rStyle w:val="123"/>
                <w:rFonts w:hint="default"/>
                <w:color w:val="auto"/>
                <w:sz w:val="21"/>
                <w:szCs w:val="21"/>
              </w:rPr>
            </w:pPr>
            <w:r>
              <w:rPr>
                <w:rStyle w:val="123"/>
                <w:rFonts w:hint="default"/>
                <w:color w:val="auto"/>
                <w:sz w:val="21"/>
                <w:szCs w:val="21"/>
              </w:rPr>
              <w:t>13.支持多种系统故障监控模式，包括Email自动故障报警、SNMP监控等；</w:t>
            </w:r>
          </w:p>
          <w:p w14:paraId="11D4C227">
            <w:pPr>
              <w:widowControl/>
              <w:spacing w:line="360" w:lineRule="auto"/>
              <w:jc w:val="left"/>
              <w:textAlignment w:val="center"/>
              <w:rPr>
                <w:rStyle w:val="123"/>
                <w:rFonts w:hint="default"/>
                <w:color w:val="auto"/>
                <w:sz w:val="21"/>
                <w:szCs w:val="21"/>
              </w:rPr>
            </w:pPr>
            <w:r>
              <w:rPr>
                <w:rStyle w:val="123"/>
                <w:rFonts w:hint="default"/>
                <w:color w:val="auto"/>
                <w:sz w:val="21"/>
                <w:szCs w:val="21"/>
              </w:rPr>
              <w:t>14.支持在存储底层数据块级的进行重复数据删除，提高存储的空间利用率；</w:t>
            </w:r>
          </w:p>
          <w:p w14:paraId="613681D7">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15.支持包括LZ4高速模式、GZIP综合模式和 ZSTD强化压缩模式等数据压缩方式，提高对文本、位图、数据文件的存储效率；</w:t>
            </w:r>
          </w:p>
          <w:p w14:paraId="68AB9756">
            <w:pPr>
              <w:widowControl/>
              <w:spacing w:line="360" w:lineRule="auto"/>
              <w:jc w:val="left"/>
              <w:textAlignment w:val="center"/>
              <w:rPr>
                <w:rStyle w:val="123"/>
                <w:rFonts w:hint="default"/>
                <w:color w:val="auto"/>
                <w:sz w:val="21"/>
                <w:szCs w:val="21"/>
              </w:rPr>
            </w:pPr>
            <w:r>
              <w:rPr>
                <w:rStyle w:val="123"/>
                <w:rFonts w:hint="default"/>
                <w:color w:val="auto"/>
                <w:sz w:val="21"/>
                <w:szCs w:val="21"/>
              </w:rPr>
              <w:t>16.支持快速卷克隆功能，克隆后的卷不占用额外空间，当有新数据产生时才占用相应的空间；</w:t>
            </w:r>
          </w:p>
          <w:p w14:paraId="01AE3292">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17.支持手动和定时数据快照功能，快照创建时间与创建间隔均可达到秒级，且最大快照数量不低于100000个；</w:t>
            </w:r>
          </w:p>
          <w:p w14:paraId="20FB0674">
            <w:pPr>
              <w:widowControl/>
              <w:spacing w:line="360" w:lineRule="auto"/>
              <w:jc w:val="left"/>
              <w:textAlignment w:val="center"/>
              <w:rPr>
                <w:rStyle w:val="123"/>
                <w:rFonts w:hint="default"/>
                <w:color w:val="auto"/>
                <w:sz w:val="21"/>
                <w:szCs w:val="21"/>
              </w:rPr>
            </w:pPr>
            <w:r>
              <w:rPr>
                <w:rStyle w:val="123"/>
                <w:rFonts w:hint="default"/>
                <w:color w:val="auto"/>
                <w:sz w:val="21"/>
                <w:szCs w:val="21"/>
              </w:rPr>
              <w:t>18.支持静默数据损坏检查功能，能定期的对阵列底层数据进行校验和自修复；</w:t>
            </w:r>
          </w:p>
          <w:p w14:paraId="7D2146E5">
            <w:pPr>
              <w:widowControl/>
              <w:spacing w:line="360" w:lineRule="auto"/>
              <w:jc w:val="left"/>
              <w:textAlignment w:val="center"/>
              <w:rPr>
                <w:rStyle w:val="123"/>
                <w:rFonts w:hint="default"/>
                <w:color w:val="auto"/>
                <w:sz w:val="21"/>
                <w:szCs w:val="21"/>
              </w:rPr>
            </w:pPr>
            <w:r>
              <w:rPr>
                <w:rStyle w:val="123"/>
                <w:rFonts w:hint="default"/>
                <w:color w:val="auto"/>
                <w:sz w:val="21"/>
                <w:szCs w:val="21"/>
              </w:rPr>
              <w:t>19.支持文件级同步功能，能对文件进行本地或异地数据同步，且支持在数据同步过程中进行数据压缩，降低带宽占用；</w:t>
            </w:r>
          </w:p>
          <w:p w14:paraId="2481EA44">
            <w:pPr>
              <w:widowControl/>
              <w:spacing w:line="360" w:lineRule="auto"/>
              <w:jc w:val="left"/>
              <w:textAlignment w:val="center"/>
              <w:rPr>
                <w:rStyle w:val="123"/>
                <w:rFonts w:hint="default"/>
                <w:color w:val="auto"/>
                <w:sz w:val="21"/>
                <w:szCs w:val="21"/>
              </w:rPr>
            </w:pPr>
            <w:r>
              <w:rPr>
                <w:rStyle w:val="123"/>
                <w:rFonts w:hint="default"/>
                <w:color w:val="auto"/>
                <w:sz w:val="21"/>
                <w:szCs w:val="21"/>
              </w:rPr>
              <w:t>20.支持卷级别复制功能，能对数据卷进行本地或异地数据复制，同时可以自动管理复制快照生命周期；</w:t>
            </w:r>
          </w:p>
          <w:p w14:paraId="1D9A1ACD">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21.文件级同步和卷级别复制功能可以支持跨级别设备，能在同一厂家的所有高中低端平台上兼容，可以在不同型号、不同档次（包含8、12、16、24、36盘位等）的存储设备之间进行，无需额外授权；</w:t>
            </w:r>
          </w:p>
          <w:p w14:paraId="2EF13CF7">
            <w:pPr>
              <w:widowControl/>
              <w:spacing w:line="360" w:lineRule="auto"/>
              <w:jc w:val="left"/>
              <w:textAlignment w:val="center"/>
              <w:rPr>
                <w:rStyle w:val="123"/>
                <w:rFonts w:hint="default"/>
                <w:color w:val="auto"/>
                <w:sz w:val="21"/>
                <w:szCs w:val="21"/>
              </w:rPr>
            </w:pPr>
            <w:r>
              <w:rPr>
                <w:rStyle w:val="123"/>
                <w:rFonts w:hint="default"/>
                <w:color w:val="auto"/>
                <w:sz w:val="21"/>
                <w:szCs w:val="21"/>
              </w:rPr>
              <w:t>22.支持同步数据写缓存，极大的提供小IO的同步写数据性能；支持数据读缓存，极大的提高热点数据的读性能；</w:t>
            </w:r>
          </w:p>
          <w:p w14:paraId="364F7BE1">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23.支持对驱动器、数据池进行自定义加密，保证用户的数据安全；</w:t>
            </w:r>
          </w:p>
          <w:p w14:paraId="4C33B540">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24.支持多用户数据云盘，提供了强大的文件管理及上传组件，支持对云盘文件进行分享、移动、复制、压缩等操作。 功能丰富的上传任务管理器，支持目录上传、断点续传、并行上传、拖拽文件上传；</w:t>
            </w:r>
          </w:p>
          <w:p w14:paraId="1EEAC144">
            <w:pPr>
              <w:widowControl/>
              <w:spacing w:line="360" w:lineRule="auto"/>
              <w:jc w:val="left"/>
              <w:textAlignment w:val="center"/>
              <w:rPr>
                <w:rStyle w:val="123"/>
                <w:rFonts w:hint="default"/>
                <w:color w:val="auto"/>
                <w:sz w:val="21"/>
                <w:szCs w:val="21"/>
              </w:rPr>
            </w:pPr>
            <w:r>
              <w:rPr>
                <w:rStyle w:val="123"/>
                <w:rFonts w:hint="default"/>
                <w:color w:val="auto"/>
                <w:sz w:val="21"/>
                <w:szCs w:val="21"/>
              </w:rPr>
              <w:t>25.支持数据跨网审计软件，提供对文件跨网传输的审计功能，在审计过程中允许对常见文档进行在线预览、预览水印设置、关键词辅助脱密、敏感词辅助检查等功能；</w:t>
            </w:r>
          </w:p>
          <w:p w14:paraId="12DBBC82">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26.支持功能强大的虚拟化软件，能运行多种操作系统且支持GPU应用，能在单一硬件平台上整合运算、存储和网络资源，易于植入第三方的应用平台；</w:t>
            </w:r>
          </w:p>
          <w:p w14:paraId="1BE3E2C5">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27.支持轻量级软件容器化解决方案，可提供如Nginx、Mysql、Gitlab等几乎无数的免费套件在 NAS 上无缝部署，易于接入第三方的容器平台；</w:t>
            </w:r>
          </w:p>
          <w:p w14:paraId="50CC1F03">
            <w:pPr>
              <w:widowControl/>
              <w:spacing w:line="360" w:lineRule="auto"/>
              <w:jc w:val="left"/>
              <w:textAlignment w:val="center"/>
              <w:rPr>
                <w:rStyle w:val="123"/>
                <w:rFonts w:hint="default"/>
                <w:color w:val="auto"/>
                <w:sz w:val="21"/>
                <w:szCs w:val="21"/>
              </w:rPr>
            </w:pPr>
            <w:r>
              <w:rPr>
                <w:rFonts w:hint="eastAsia" w:ascii="宋体" w:hAnsi="宋体" w:cs="宋体"/>
                <w:szCs w:val="21"/>
              </w:rPr>
              <w:t>▲28.云桌面管理软件，支持云桌面发布软件，可将存储内置的或其他服务器的虚拟机进行云桌面发布；</w:t>
            </w:r>
          </w:p>
        </w:tc>
      </w:tr>
      <w:tr w14:paraId="05A61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vAlign w:val="center"/>
          </w:tcPr>
          <w:p w14:paraId="60AD5ED6">
            <w:pPr>
              <w:widowControl/>
              <w:spacing w:line="360" w:lineRule="auto"/>
              <w:textAlignment w:val="center"/>
              <w:rPr>
                <w:rStyle w:val="123"/>
                <w:rFonts w:hint="default"/>
                <w:color w:val="auto"/>
                <w:sz w:val="21"/>
                <w:szCs w:val="21"/>
              </w:rPr>
            </w:pPr>
            <w:r>
              <w:rPr>
                <w:rStyle w:val="123"/>
                <w:rFonts w:hint="default"/>
                <w:b/>
                <w:bCs/>
                <w:color w:val="auto"/>
                <w:sz w:val="21"/>
                <w:szCs w:val="21"/>
              </w:rPr>
              <w:t>三、</w:t>
            </w:r>
            <w:r>
              <w:rPr>
                <w:rFonts w:hint="eastAsia" w:ascii="宋体" w:hAnsi="宋体" w:cs="宋体"/>
                <w:b/>
                <w:bCs/>
                <w:color w:val="000000"/>
                <w:kern w:val="0"/>
                <w:szCs w:val="21"/>
                <w:lang w:bidi="ar"/>
              </w:rPr>
              <w:t>媒体展示间</w:t>
            </w:r>
          </w:p>
        </w:tc>
      </w:tr>
      <w:tr w14:paraId="4180B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8E58DF9">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850" w:type="dxa"/>
            <w:vAlign w:val="center"/>
          </w:tcPr>
          <w:p w14:paraId="4C7A30F3">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100寸智慧屏</w:t>
            </w:r>
          </w:p>
        </w:tc>
        <w:tc>
          <w:tcPr>
            <w:tcW w:w="851" w:type="dxa"/>
            <w:vAlign w:val="center"/>
          </w:tcPr>
          <w:p w14:paraId="2E867240">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65AC3D0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台</w:t>
            </w:r>
          </w:p>
        </w:tc>
        <w:tc>
          <w:tcPr>
            <w:tcW w:w="6928" w:type="dxa"/>
            <w:gridSpan w:val="3"/>
            <w:vAlign w:val="center"/>
          </w:tcPr>
          <w:p w14:paraId="72A2F1EB">
            <w:pPr>
              <w:widowControl/>
              <w:numPr>
                <w:ilvl w:val="0"/>
                <w:numId w:val="7"/>
              </w:numPr>
              <w:spacing w:line="360" w:lineRule="auto"/>
              <w:jc w:val="left"/>
              <w:textAlignment w:val="center"/>
              <w:rPr>
                <w:rStyle w:val="123"/>
                <w:rFonts w:hint="default"/>
                <w:color w:val="auto"/>
                <w:sz w:val="21"/>
                <w:szCs w:val="21"/>
              </w:rPr>
            </w:pPr>
            <w:r>
              <w:rPr>
                <w:rStyle w:val="123"/>
                <w:rFonts w:hint="default"/>
                <w:color w:val="auto"/>
                <w:sz w:val="21"/>
                <w:szCs w:val="21"/>
              </w:rPr>
              <w:t>100寸窄边框、金属机身。</w:t>
            </w:r>
          </w:p>
          <w:p w14:paraId="436F4284">
            <w:pPr>
              <w:widowControl/>
              <w:spacing w:line="360" w:lineRule="auto"/>
              <w:jc w:val="left"/>
              <w:textAlignment w:val="center"/>
              <w:rPr>
                <w:rStyle w:val="123"/>
                <w:rFonts w:hint="default"/>
                <w:color w:val="auto"/>
                <w:sz w:val="21"/>
                <w:szCs w:val="21"/>
              </w:rPr>
            </w:pPr>
            <w:r>
              <w:rPr>
                <w:rStyle w:val="123"/>
                <w:rFonts w:hint="default"/>
                <w:color w:val="auto"/>
                <w:sz w:val="21"/>
                <w:szCs w:val="21"/>
              </w:rPr>
              <w:t>2.电视尺寸（宽*高*厚）：</w:t>
            </w:r>
            <w:r>
              <w:rPr>
                <w:rStyle w:val="123"/>
                <w:rFonts w:hint="default"/>
                <w:color w:val="auto"/>
                <w:sz w:val="21"/>
                <w:szCs w:val="21"/>
                <w:highlight w:val="none"/>
              </w:rPr>
              <w:t>约2186</w:t>
            </w:r>
            <w:r>
              <w:rPr>
                <w:rStyle w:val="123"/>
                <w:rFonts w:hint="default"/>
                <w:color w:val="auto"/>
                <w:sz w:val="21"/>
                <w:szCs w:val="21"/>
              </w:rPr>
              <w:t>×1256×85mm。</w:t>
            </w:r>
          </w:p>
          <w:p w14:paraId="4ACEE234">
            <w:pPr>
              <w:widowControl/>
              <w:spacing w:line="360" w:lineRule="auto"/>
              <w:jc w:val="left"/>
              <w:textAlignment w:val="center"/>
              <w:rPr>
                <w:rStyle w:val="123"/>
                <w:rFonts w:hint="default"/>
                <w:color w:val="auto"/>
                <w:sz w:val="21"/>
                <w:szCs w:val="21"/>
              </w:rPr>
            </w:pPr>
            <w:r>
              <w:rPr>
                <w:rStyle w:val="123"/>
                <w:rFonts w:hint="default"/>
                <w:color w:val="auto"/>
                <w:sz w:val="21"/>
                <w:szCs w:val="21"/>
              </w:rPr>
              <w:t>3.整机额定功率：450W。</w:t>
            </w:r>
          </w:p>
          <w:p w14:paraId="78E83B43">
            <w:pPr>
              <w:widowControl/>
              <w:spacing w:line="360" w:lineRule="auto"/>
              <w:jc w:val="left"/>
              <w:textAlignment w:val="center"/>
              <w:rPr>
                <w:rStyle w:val="123"/>
                <w:rFonts w:hint="default"/>
                <w:color w:val="auto"/>
                <w:sz w:val="21"/>
                <w:szCs w:val="21"/>
              </w:rPr>
            </w:pPr>
            <w:r>
              <w:rPr>
                <w:rStyle w:val="123"/>
                <w:rFonts w:hint="default"/>
                <w:color w:val="auto"/>
                <w:sz w:val="21"/>
                <w:szCs w:val="21"/>
              </w:rPr>
              <w:t>4.能效等级：一级。</w:t>
            </w:r>
          </w:p>
          <w:p w14:paraId="4815B7AE">
            <w:pPr>
              <w:widowControl/>
              <w:spacing w:line="360" w:lineRule="auto"/>
              <w:jc w:val="left"/>
              <w:textAlignment w:val="center"/>
              <w:rPr>
                <w:rStyle w:val="123"/>
                <w:rFonts w:hint="default"/>
                <w:color w:val="auto"/>
                <w:sz w:val="21"/>
                <w:szCs w:val="21"/>
              </w:rPr>
            </w:pPr>
            <w:r>
              <w:rPr>
                <w:rStyle w:val="123"/>
                <w:rFonts w:hint="default"/>
                <w:color w:val="auto"/>
                <w:sz w:val="21"/>
                <w:szCs w:val="21"/>
              </w:rPr>
              <w:t>5.物理分辨率：4K（3840*2160）。</w:t>
            </w:r>
          </w:p>
          <w:p w14:paraId="13E59D2C">
            <w:pPr>
              <w:widowControl/>
              <w:spacing w:line="360" w:lineRule="auto"/>
              <w:jc w:val="left"/>
              <w:textAlignment w:val="center"/>
              <w:rPr>
                <w:rStyle w:val="123"/>
                <w:rFonts w:hint="default"/>
                <w:color w:val="auto"/>
                <w:sz w:val="21"/>
                <w:szCs w:val="21"/>
              </w:rPr>
            </w:pPr>
            <w:r>
              <w:rPr>
                <w:rStyle w:val="123"/>
                <w:rFonts w:hint="default"/>
                <w:color w:val="auto"/>
                <w:sz w:val="21"/>
                <w:szCs w:val="21"/>
              </w:rPr>
              <w:t>6.刷新率：144Hz，支持VRR可变刷新率。</w:t>
            </w:r>
          </w:p>
          <w:p w14:paraId="3E650F25">
            <w:pPr>
              <w:widowControl/>
              <w:spacing w:line="360" w:lineRule="auto"/>
              <w:jc w:val="left"/>
              <w:textAlignment w:val="center"/>
              <w:rPr>
                <w:rStyle w:val="123"/>
                <w:rFonts w:hint="default"/>
                <w:color w:val="auto"/>
                <w:sz w:val="21"/>
                <w:szCs w:val="21"/>
              </w:rPr>
            </w:pPr>
            <w:r>
              <w:rPr>
                <w:rStyle w:val="123"/>
                <w:rFonts w:hint="default"/>
                <w:color w:val="auto"/>
                <w:sz w:val="21"/>
                <w:szCs w:val="21"/>
              </w:rPr>
              <w:t>7.内存：≥4GB，存储：≥128GB。</w:t>
            </w:r>
          </w:p>
          <w:p w14:paraId="37675797">
            <w:pPr>
              <w:widowControl/>
              <w:spacing w:line="360" w:lineRule="auto"/>
              <w:jc w:val="left"/>
              <w:textAlignment w:val="center"/>
              <w:rPr>
                <w:rStyle w:val="123"/>
                <w:rFonts w:hint="default"/>
                <w:color w:val="auto"/>
                <w:sz w:val="21"/>
                <w:szCs w:val="21"/>
              </w:rPr>
            </w:pPr>
            <w:r>
              <w:rPr>
                <w:rStyle w:val="123"/>
                <w:rFonts w:hint="default"/>
                <w:color w:val="auto"/>
                <w:sz w:val="21"/>
                <w:szCs w:val="21"/>
              </w:rPr>
              <w:t>8.CPU：四核ARM Cortex A73。</w:t>
            </w:r>
          </w:p>
          <w:p w14:paraId="2C93735F">
            <w:pPr>
              <w:widowControl/>
              <w:spacing w:line="360" w:lineRule="auto"/>
              <w:jc w:val="left"/>
              <w:textAlignment w:val="center"/>
              <w:rPr>
                <w:rStyle w:val="123"/>
                <w:rFonts w:hint="default"/>
                <w:color w:val="auto"/>
                <w:sz w:val="21"/>
                <w:szCs w:val="21"/>
              </w:rPr>
            </w:pPr>
            <w:r>
              <w:rPr>
                <w:rStyle w:val="123"/>
                <w:rFonts w:hint="default"/>
                <w:color w:val="auto"/>
                <w:sz w:val="21"/>
                <w:szCs w:val="21"/>
              </w:rPr>
              <w:t>9.GPU：双核Mali-G52。</w:t>
            </w:r>
          </w:p>
          <w:p w14:paraId="31F107AB">
            <w:pPr>
              <w:widowControl/>
              <w:spacing w:line="360" w:lineRule="auto"/>
              <w:jc w:val="left"/>
              <w:textAlignment w:val="center"/>
              <w:rPr>
                <w:rStyle w:val="123"/>
                <w:rFonts w:hint="default"/>
                <w:color w:val="auto"/>
                <w:sz w:val="21"/>
                <w:szCs w:val="21"/>
              </w:rPr>
            </w:pPr>
            <w:r>
              <w:rPr>
                <w:rStyle w:val="123"/>
                <w:rFonts w:hint="default"/>
                <w:color w:val="auto"/>
                <w:sz w:val="21"/>
                <w:szCs w:val="21"/>
              </w:rPr>
              <w:t>10.语音功能：支持远场语音。</w:t>
            </w:r>
          </w:p>
          <w:p w14:paraId="45D78709">
            <w:pPr>
              <w:widowControl/>
              <w:spacing w:line="360" w:lineRule="auto"/>
              <w:jc w:val="left"/>
              <w:textAlignment w:val="center"/>
              <w:rPr>
                <w:rStyle w:val="123"/>
                <w:rFonts w:hint="default"/>
                <w:color w:val="auto"/>
                <w:sz w:val="21"/>
                <w:szCs w:val="21"/>
              </w:rPr>
            </w:pPr>
            <w:r>
              <w:rPr>
                <w:rStyle w:val="123"/>
                <w:rFonts w:hint="default"/>
                <w:color w:val="auto"/>
                <w:sz w:val="21"/>
                <w:szCs w:val="21"/>
              </w:rPr>
              <w:t>11.WIFI规格：2.4GHz/5GHz双通道。</w:t>
            </w:r>
          </w:p>
          <w:p w14:paraId="6B8A6CEF">
            <w:pPr>
              <w:widowControl/>
              <w:spacing w:line="360" w:lineRule="auto"/>
              <w:jc w:val="left"/>
              <w:textAlignment w:val="center"/>
              <w:rPr>
                <w:rStyle w:val="123"/>
                <w:rFonts w:hint="default"/>
                <w:color w:val="auto"/>
                <w:sz w:val="21"/>
                <w:szCs w:val="21"/>
              </w:rPr>
            </w:pPr>
            <w:r>
              <w:rPr>
                <w:rStyle w:val="123"/>
                <w:rFonts w:hint="default"/>
                <w:color w:val="auto"/>
                <w:sz w:val="21"/>
                <w:szCs w:val="21"/>
              </w:rPr>
              <w:t>12.亮度：400nits。</w:t>
            </w:r>
          </w:p>
          <w:p w14:paraId="75934E08">
            <w:pPr>
              <w:widowControl/>
              <w:spacing w:line="360" w:lineRule="auto"/>
              <w:jc w:val="left"/>
              <w:textAlignment w:val="center"/>
              <w:rPr>
                <w:rStyle w:val="123"/>
                <w:rFonts w:hint="default"/>
                <w:color w:val="auto"/>
                <w:sz w:val="21"/>
                <w:szCs w:val="21"/>
              </w:rPr>
            </w:pPr>
            <w:r>
              <w:rPr>
                <w:rStyle w:val="123"/>
                <w:rFonts w:hint="default"/>
                <w:color w:val="auto"/>
                <w:sz w:val="21"/>
                <w:szCs w:val="21"/>
              </w:rPr>
              <w:t>13.端口：HDMI2.1(4K@144/120Hz)*2、HDMI2.1(4K@60Hz)*2；其中1路支持eARC、USB2.0*1；USB3.0*1、网口*1、音视频输入*1、有线/天线输入*1、音频数字同轴输出*1。</w:t>
            </w:r>
          </w:p>
          <w:p w14:paraId="00620B4F">
            <w:pPr>
              <w:widowControl/>
              <w:spacing w:line="360" w:lineRule="auto"/>
              <w:jc w:val="left"/>
              <w:textAlignment w:val="center"/>
              <w:rPr>
                <w:rStyle w:val="123"/>
                <w:rFonts w:hint="default"/>
                <w:color w:val="auto"/>
                <w:sz w:val="21"/>
                <w:szCs w:val="21"/>
              </w:rPr>
            </w:pPr>
            <w:r>
              <w:rPr>
                <w:rStyle w:val="123"/>
                <w:rFonts w:hint="default"/>
                <w:color w:val="auto"/>
                <w:sz w:val="21"/>
                <w:szCs w:val="21"/>
              </w:rPr>
              <w:t>14.操作系统：Android 。</w:t>
            </w:r>
          </w:p>
          <w:p w14:paraId="479B132E">
            <w:pPr>
              <w:widowControl/>
              <w:spacing w:line="360" w:lineRule="auto"/>
              <w:jc w:val="left"/>
              <w:textAlignment w:val="center"/>
              <w:rPr>
                <w:rStyle w:val="123"/>
                <w:rFonts w:hint="default"/>
                <w:color w:val="auto"/>
                <w:sz w:val="21"/>
                <w:szCs w:val="21"/>
              </w:rPr>
            </w:pPr>
            <w:r>
              <w:rPr>
                <w:rStyle w:val="123"/>
                <w:rFonts w:hint="default"/>
                <w:color w:val="auto"/>
                <w:sz w:val="21"/>
                <w:szCs w:val="21"/>
              </w:rPr>
              <w:t>15.背光分区数：384分区。</w:t>
            </w:r>
          </w:p>
          <w:p w14:paraId="312E5405">
            <w:pPr>
              <w:widowControl/>
              <w:spacing w:line="360" w:lineRule="auto"/>
              <w:jc w:val="left"/>
              <w:textAlignment w:val="center"/>
              <w:rPr>
                <w:rStyle w:val="123"/>
                <w:rFonts w:hint="default"/>
                <w:color w:val="auto"/>
                <w:sz w:val="21"/>
                <w:szCs w:val="21"/>
              </w:rPr>
            </w:pPr>
            <w:r>
              <w:rPr>
                <w:rStyle w:val="123"/>
                <w:rFonts w:hint="default"/>
                <w:color w:val="auto"/>
                <w:sz w:val="21"/>
                <w:szCs w:val="21"/>
              </w:rPr>
              <w:t>16.投屏功能：支持DLNA协议、Air Play、安卓手机投屏。</w:t>
            </w:r>
          </w:p>
          <w:p w14:paraId="59BD7B58">
            <w:pPr>
              <w:widowControl/>
              <w:spacing w:line="360" w:lineRule="auto"/>
              <w:jc w:val="left"/>
              <w:textAlignment w:val="center"/>
              <w:rPr>
                <w:rStyle w:val="123"/>
                <w:rFonts w:hint="default"/>
                <w:color w:val="auto"/>
                <w:sz w:val="21"/>
                <w:szCs w:val="21"/>
              </w:rPr>
            </w:pPr>
            <w:r>
              <w:rPr>
                <w:rStyle w:val="123"/>
                <w:rFonts w:hint="default"/>
                <w:color w:val="auto"/>
                <w:sz w:val="21"/>
                <w:szCs w:val="21"/>
              </w:rPr>
              <w:t>17.产品需按国家标准具有国家节能产品认证证书、3C认证证书。</w:t>
            </w:r>
          </w:p>
        </w:tc>
      </w:tr>
      <w:tr w14:paraId="29AEA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B9AFE9E">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850" w:type="dxa"/>
            <w:vAlign w:val="center"/>
          </w:tcPr>
          <w:p w14:paraId="6E0DDA23">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扩声系统</w:t>
            </w:r>
          </w:p>
        </w:tc>
        <w:tc>
          <w:tcPr>
            <w:tcW w:w="851" w:type="dxa"/>
            <w:vAlign w:val="center"/>
          </w:tcPr>
          <w:p w14:paraId="47C31B0F">
            <w:pPr>
              <w:widowControl/>
              <w:spacing w:line="360" w:lineRule="auto"/>
              <w:jc w:val="center"/>
              <w:textAlignment w:val="center"/>
              <w:rPr>
                <w:rFonts w:hint="eastAsia" w:ascii="宋体" w:hAnsi="宋体" w:cs="宋体"/>
                <w:szCs w:val="21"/>
                <w:highlight w:val="yellow"/>
              </w:rPr>
            </w:pPr>
            <w:r>
              <w:rPr>
                <w:rFonts w:hint="eastAsia" w:ascii="宋体" w:hAnsi="宋体" w:cs="宋体"/>
                <w:color w:val="000000"/>
                <w:kern w:val="0"/>
                <w:szCs w:val="21"/>
                <w:lang w:bidi="ar"/>
              </w:rPr>
              <w:t>1</w:t>
            </w:r>
          </w:p>
        </w:tc>
        <w:tc>
          <w:tcPr>
            <w:tcW w:w="708" w:type="dxa"/>
            <w:vAlign w:val="center"/>
          </w:tcPr>
          <w:p w14:paraId="6A7F5DA7">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6928" w:type="dxa"/>
            <w:gridSpan w:val="3"/>
            <w:vAlign w:val="center"/>
          </w:tcPr>
          <w:p w14:paraId="2B88D815">
            <w:pPr>
              <w:widowControl/>
              <w:spacing w:line="360" w:lineRule="auto"/>
              <w:jc w:val="left"/>
              <w:textAlignment w:val="center"/>
              <w:rPr>
                <w:rStyle w:val="123"/>
                <w:rFonts w:hint="default"/>
                <w:color w:val="auto"/>
                <w:sz w:val="21"/>
                <w:szCs w:val="21"/>
              </w:rPr>
            </w:pPr>
            <w:r>
              <w:rPr>
                <w:rStyle w:val="123"/>
                <w:rFonts w:hint="default"/>
                <w:color w:val="auto"/>
                <w:sz w:val="21"/>
                <w:szCs w:val="21"/>
              </w:rPr>
              <w:t>一、音柱：</w:t>
            </w:r>
          </w:p>
          <w:p w14:paraId="1A15CE7C">
            <w:pPr>
              <w:widowControl/>
              <w:spacing w:line="360" w:lineRule="auto"/>
              <w:jc w:val="left"/>
              <w:textAlignment w:val="center"/>
              <w:rPr>
                <w:rStyle w:val="123"/>
                <w:rFonts w:hint="default"/>
                <w:color w:val="auto"/>
                <w:sz w:val="21"/>
                <w:szCs w:val="21"/>
              </w:rPr>
            </w:pPr>
            <w:r>
              <w:rPr>
                <w:rStyle w:val="123"/>
                <w:rFonts w:hint="default"/>
                <w:color w:val="auto"/>
                <w:sz w:val="21"/>
                <w:szCs w:val="21"/>
              </w:rPr>
              <w:t>1.单元配置：采用4×4＂全频单元，结合阵列排列共面耦合技术，提供平滑的频响曲线和宽广的覆盖角度，具有非常高的语言清晰度和高保真音色。</w:t>
            </w:r>
          </w:p>
          <w:p w14:paraId="6846DBCE">
            <w:pPr>
              <w:widowControl/>
              <w:spacing w:line="360" w:lineRule="auto"/>
              <w:jc w:val="left"/>
              <w:textAlignment w:val="center"/>
              <w:rPr>
                <w:rStyle w:val="123"/>
                <w:rFonts w:hint="default"/>
                <w:color w:val="auto"/>
                <w:sz w:val="21"/>
                <w:szCs w:val="21"/>
              </w:rPr>
            </w:pPr>
            <w:r>
              <w:rPr>
                <w:rStyle w:val="123"/>
                <w:rFonts w:hint="default"/>
                <w:color w:val="auto"/>
                <w:sz w:val="21"/>
                <w:szCs w:val="21"/>
              </w:rPr>
              <w:t>2.线性外型：采用高密度纤维板箱体，表面雨点漆面处理，体积小巧，性能卓越。</w:t>
            </w:r>
          </w:p>
          <w:p w14:paraId="3B2C3874">
            <w:pPr>
              <w:widowControl/>
              <w:spacing w:line="360" w:lineRule="auto"/>
              <w:jc w:val="left"/>
              <w:textAlignment w:val="center"/>
              <w:rPr>
                <w:rStyle w:val="123"/>
                <w:rFonts w:hint="default"/>
                <w:color w:val="auto"/>
                <w:sz w:val="21"/>
                <w:szCs w:val="21"/>
              </w:rPr>
            </w:pPr>
            <w:r>
              <w:rPr>
                <w:rStyle w:val="123"/>
                <w:rFonts w:hint="default"/>
                <w:color w:val="auto"/>
                <w:sz w:val="21"/>
                <w:szCs w:val="21"/>
              </w:rPr>
              <w:t>3.分频设计：采用精确设计的分频点优化功率响应及人声部分的高保真还原。</w:t>
            </w:r>
          </w:p>
          <w:p w14:paraId="405C53A7">
            <w:pPr>
              <w:widowControl/>
              <w:spacing w:line="360" w:lineRule="auto"/>
              <w:jc w:val="left"/>
              <w:textAlignment w:val="center"/>
              <w:rPr>
                <w:rStyle w:val="123"/>
                <w:rFonts w:hint="default"/>
                <w:color w:val="auto"/>
                <w:sz w:val="21"/>
                <w:szCs w:val="21"/>
              </w:rPr>
            </w:pPr>
            <w:r>
              <w:rPr>
                <w:rStyle w:val="123"/>
                <w:rFonts w:hint="default"/>
                <w:color w:val="auto"/>
                <w:sz w:val="21"/>
                <w:szCs w:val="21"/>
              </w:rPr>
              <w:t>4.扬声器设计：采用拼接排列扬声器设计，提高SPL以及减少垂直辐射波瓣宽度大范围的声场覆盖。</w:t>
            </w:r>
          </w:p>
          <w:p w14:paraId="0F96E0C1">
            <w:pPr>
              <w:widowControl/>
              <w:spacing w:line="360" w:lineRule="auto"/>
              <w:jc w:val="left"/>
              <w:textAlignment w:val="center"/>
              <w:rPr>
                <w:rStyle w:val="123"/>
                <w:rFonts w:hint="default"/>
                <w:color w:val="auto"/>
                <w:sz w:val="21"/>
                <w:szCs w:val="21"/>
              </w:rPr>
            </w:pPr>
            <w:r>
              <w:rPr>
                <w:rStyle w:val="123"/>
                <w:rFonts w:hint="default"/>
                <w:color w:val="auto"/>
                <w:sz w:val="21"/>
                <w:szCs w:val="21"/>
              </w:rPr>
              <w:t>5.安装方式：提供墙面安装支架孔位。</w:t>
            </w:r>
          </w:p>
          <w:p w14:paraId="7946819B">
            <w:pPr>
              <w:widowControl/>
              <w:spacing w:line="360" w:lineRule="auto"/>
              <w:jc w:val="left"/>
              <w:textAlignment w:val="center"/>
              <w:rPr>
                <w:rStyle w:val="123"/>
                <w:rFonts w:hint="default"/>
                <w:color w:val="auto"/>
                <w:sz w:val="21"/>
                <w:szCs w:val="21"/>
              </w:rPr>
            </w:pPr>
            <w:r>
              <w:rPr>
                <w:rStyle w:val="123"/>
                <w:rFonts w:hint="default"/>
                <w:color w:val="auto"/>
                <w:sz w:val="21"/>
                <w:szCs w:val="21"/>
              </w:rPr>
              <w:t>6.全频单元：4×4＂(100mm)/0.75＂voice coil；</w:t>
            </w:r>
          </w:p>
          <w:p w14:paraId="7117D0ED">
            <w:pPr>
              <w:widowControl/>
              <w:spacing w:line="360" w:lineRule="auto"/>
              <w:jc w:val="left"/>
              <w:textAlignment w:val="center"/>
              <w:rPr>
                <w:rStyle w:val="123"/>
                <w:rFonts w:hint="default"/>
                <w:color w:val="auto"/>
                <w:sz w:val="21"/>
                <w:szCs w:val="21"/>
              </w:rPr>
            </w:pPr>
            <w:r>
              <w:rPr>
                <w:rStyle w:val="123"/>
                <w:rFonts w:hint="default"/>
                <w:color w:val="auto"/>
                <w:sz w:val="21"/>
                <w:szCs w:val="21"/>
              </w:rPr>
              <w:t>7.额定功率：100W，峰值功率：400W， 额定阻抗：4 Ω；</w:t>
            </w:r>
          </w:p>
          <w:p w14:paraId="0E11148D">
            <w:pPr>
              <w:widowControl/>
              <w:spacing w:line="360" w:lineRule="auto"/>
              <w:jc w:val="left"/>
              <w:textAlignment w:val="center"/>
              <w:rPr>
                <w:rStyle w:val="123"/>
                <w:rFonts w:hint="default"/>
                <w:color w:val="auto"/>
                <w:sz w:val="21"/>
                <w:szCs w:val="21"/>
              </w:rPr>
            </w:pPr>
            <w:r>
              <w:rPr>
                <w:rStyle w:val="123"/>
                <w:rFonts w:hint="default"/>
                <w:color w:val="auto"/>
                <w:sz w:val="21"/>
                <w:szCs w:val="21"/>
              </w:rPr>
              <w:t>8.频响范围：90Hz-20KHz；</w:t>
            </w:r>
          </w:p>
          <w:p w14:paraId="58C4B044">
            <w:pPr>
              <w:widowControl/>
              <w:spacing w:line="360" w:lineRule="auto"/>
              <w:jc w:val="left"/>
              <w:textAlignment w:val="center"/>
              <w:rPr>
                <w:rStyle w:val="123"/>
                <w:rFonts w:hint="default"/>
                <w:color w:val="auto"/>
                <w:sz w:val="21"/>
                <w:szCs w:val="21"/>
              </w:rPr>
            </w:pPr>
            <w:r>
              <w:rPr>
                <w:rStyle w:val="123"/>
                <w:rFonts w:hint="default"/>
                <w:color w:val="auto"/>
                <w:sz w:val="21"/>
                <w:szCs w:val="21"/>
              </w:rPr>
              <w:t>9.指向性：120°×120°；</w:t>
            </w:r>
          </w:p>
          <w:p w14:paraId="6465FB3E">
            <w:pPr>
              <w:widowControl/>
              <w:spacing w:line="360" w:lineRule="auto"/>
              <w:jc w:val="left"/>
              <w:textAlignment w:val="center"/>
              <w:rPr>
                <w:rStyle w:val="123"/>
                <w:rFonts w:hint="default"/>
                <w:color w:val="auto"/>
                <w:sz w:val="21"/>
                <w:szCs w:val="21"/>
              </w:rPr>
            </w:pPr>
            <w:r>
              <w:rPr>
                <w:rStyle w:val="123"/>
                <w:rFonts w:hint="default"/>
                <w:color w:val="auto"/>
                <w:sz w:val="21"/>
                <w:szCs w:val="21"/>
              </w:rPr>
              <w:t>10.灵敏度：95dB/M/W；</w:t>
            </w:r>
          </w:p>
          <w:p w14:paraId="3FE72AB5">
            <w:pPr>
              <w:widowControl/>
              <w:spacing w:line="360" w:lineRule="auto"/>
              <w:jc w:val="left"/>
              <w:textAlignment w:val="center"/>
              <w:rPr>
                <w:rStyle w:val="123"/>
                <w:rFonts w:hint="default"/>
                <w:color w:val="auto"/>
                <w:sz w:val="21"/>
                <w:szCs w:val="21"/>
              </w:rPr>
            </w:pPr>
            <w:r>
              <w:rPr>
                <w:rStyle w:val="123"/>
                <w:rFonts w:hint="default"/>
                <w:color w:val="auto"/>
                <w:sz w:val="21"/>
                <w:szCs w:val="21"/>
              </w:rPr>
              <w:t>11.最大声压：115dB；</w:t>
            </w:r>
          </w:p>
          <w:p w14:paraId="46DC8658">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12.全频音柱，适用于还原人声，多媒体会议室，大型会议厅，宴会厅及多功能厅，大型礼堂等扩声使用。 </w:t>
            </w:r>
          </w:p>
          <w:p w14:paraId="3523E7E5">
            <w:pPr>
              <w:widowControl/>
              <w:spacing w:line="360" w:lineRule="auto"/>
              <w:jc w:val="left"/>
              <w:textAlignment w:val="center"/>
              <w:rPr>
                <w:rStyle w:val="123"/>
                <w:rFonts w:hint="default"/>
                <w:color w:val="auto"/>
                <w:sz w:val="21"/>
                <w:szCs w:val="21"/>
              </w:rPr>
            </w:pPr>
            <w:r>
              <w:rPr>
                <w:rStyle w:val="123"/>
                <w:rFonts w:hint="default"/>
                <w:color w:val="auto"/>
                <w:sz w:val="21"/>
                <w:szCs w:val="21"/>
              </w:rPr>
              <w:t>二、一体化多媒体功放</w:t>
            </w:r>
          </w:p>
          <w:p w14:paraId="1E887036">
            <w:pPr>
              <w:widowControl/>
              <w:spacing w:line="360" w:lineRule="auto"/>
              <w:jc w:val="left"/>
              <w:textAlignment w:val="center"/>
              <w:rPr>
                <w:rStyle w:val="123"/>
                <w:rFonts w:hint="default"/>
                <w:color w:val="auto"/>
                <w:sz w:val="21"/>
                <w:szCs w:val="21"/>
              </w:rPr>
            </w:pPr>
            <w:r>
              <w:rPr>
                <w:rStyle w:val="123"/>
                <w:rFonts w:hint="default"/>
                <w:color w:val="auto"/>
                <w:sz w:val="21"/>
                <w:szCs w:val="21"/>
              </w:rPr>
              <w:t>1.具有LED显示屏，显示内容更全面直观。</w:t>
            </w:r>
          </w:p>
          <w:p w14:paraId="7EC03AD0">
            <w:pPr>
              <w:widowControl/>
              <w:spacing w:line="360" w:lineRule="auto"/>
              <w:jc w:val="left"/>
              <w:textAlignment w:val="center"/>
              <w:rPr>
                <w:rStyle w:val="123"/>
                <w:rFonts w:hint="default"/>
                <w:color w:val="auto"/>
                <w:sz w:val="21"/>
                <w:szCs w:val="21"/>
              </w:rPr>
            </w:pPr>
            <w:r>
              <w:rPr>
                <w:rStyle w:val="123"/>
                <w:rFonts w:hint="default"/>
                <w:color w:val="auto"/>
                <w:sz w:val="21"/>
                <w:szCs w:val="21"/>
              </w:rPr>
              <w:t>2.具有音源输入选择按键，切换音源更简便（蓝牙、光纤、铜轴、AUX、BGM）。</w:t>
            </w:r>
          </w:p>
          <w:p w14:paraId="764B4276">
            <w:pPr>
              <w:widowControl/>
              <w:spacing w:line="360" w:lineRule="auto"/>
              <w:jc w:val="left"/>
              <w:textAlignment w:val="center"/>
              <w:rPr>
                <w:rStyle w:val="123"/>
                <w:rFonts w:hint="default"/>
                <w:color w:val="auto"/>
                <w:sz w:val="21"/>
                <w:szCs w:val="21"/>
              </w:rPr>
            </w:pPr>
            <w:r>
              <w:rPr>
                <w:rStyle w:val="123"/>
                <w:rFonts w:hint="default"/>
                <w:color w:val="auto"/>
                <w:sz w:val="21"/>
                <w:szCs w:val="21"/>
              </w:rPr>
              <w:t>3.音乐、麦克风均支持三段均衡器调节；支持混响、延迟、效果比例调节。</w:t>
            </w:r>
          </w:p>
          <w:p w14:paraId="605A73F0">
            <w:pPr>
              <w:widowControl/>
              <w:spacing w:line="360" w:lineRule="auto"/>
              <w:jc w:val="left"/>
              <w:textAlignment w:val="center"/>
              <w:rPr>
                <w:rStyle w:val="123"/>
                <w:rFonts w:hint="default"/>
                <w:color w:val="auto"/>
                <w:sz w:val="21"/>
                <w:szCs w:val="21"/>
              </w:rPr>
            </w:pPr>
            <w:r>
              <w:rPr>
                <w:rStyle w:val="123"/>
                <w:rFonts w:hint="default"/>
                <w:color w:val="auto"/>
                <w:sz w:val="21"/>
                <w:szCs w:val="21"/>
              </w:rPr>
              <w:t>4.采用专业防啸叫技术，具有反馈抑制FBX一键开关按键，让啸叫无影无踪。</w:t>
            </w:r>
          </w:p>
          <w:p w14:paraId="623EFF6B">
            <w:pPr>
              <w:widowControl/>
              <w:spacing w:line="360" w:lineRule="auto"/>
              <w:jc w:val="left"/>
              <w:textAlignment w:val="center"/>
              <w:rPr>
                <w:rStyle w:val="123"/>
                <w:rFonts w:hint="default"/>
                <w:color w:val="auto"/>
                <w:sz w:val="21"/>
                <w:szCs w:val="21"/>
              </w:rPr>
            </w:pPr>
            <w:r>
              <w:rPr>
                <w:rStyle w:val="123"/>
                <w:rFonts w:hint="default"/>
                <w:color w:val="auto"/>
                <w:sz w:val="21"/>
                <w:szCs w:val="21"/>
              </w:rPr>
              <w:t>5.具有3路麦克风MIC输入，2路线路AUX输入、1路同轴输入、1路光纤输入，具有1路MIC输出、1路REC输出。</w:t>
            </w:r>
          </w:p>
          <w:p w14:paraId="41CBC88B">
            <w:pPr>
              <w:widowControl/>
              <w:spacing w:line="360" w:lineRule="auto"/>
              <w:jc w:val="left"/>
              <w:textAlignment w:val="center"/>
              <w:rPr>
                <w:rStyle w:val="123"/>
                <w:rFonts w:hint="default"/>
                <w:color w:val="auto"/>
                <w:sz w:val="21"/>
                <w:szCs w:val="21"/>
              </w:rPr>
            </w:pPr>
            <w:r>
              <w:rPr>
                <w:rStyle w:val="123"/>
                <w:rFonts w:hint="default"/>
                <w:color w:val="auto"/>
                <w:sz w:val="21"/>
                <w:szCs w:val="21"/>
              </w:rPr>
              <w:t>6.整机具备6个MIC接口，3个6.3前置麦克风输入口，出色模拟效果，可调整其大小、时间常数和深度。后面板增加3个麦克风输入口 ，一个6.3口，2个卡农口，方便客户选择。</w:t>
            </w:r>
          </w:p>
          <w:p w14:paraId="1D6D07B8">
            <w:pPr>
              <w:widowControl/>
              <w:spacing w:line="360" w:lineRule="auto"/>
              <w:jc w:val="left"/>
              <w:textAlignment w:val="center"/>
              <w:rPr>
                <w:rStyle w:val="123"/>
                <w:rFonts w:hint="default"/>
                <w:color w:val="auto"/>
                <w:sz w:val="21"/>
                <w:szCs w:val="21"/>
              </w:rPr>
            </w:pPr>
            <w:r>
              <w:rPr>
                <w:rStyle w:val="123"/>
                <w:rFonts w:hint="default"/>
                <w:color w:val="auto"/>
                <w:sz w:val="21"/>
                <w:szCs w:val="21"/>
              </w:rPr>
              <w:t>7.麦克风支持48V幻象供电（选配）。</w:t>
            </w:r>
          </w:p>
          <w:p w14:paraId="2256B67B">
            <w:pPr>
              <w:widowControl/>
              <w:spacing w:line="360" w:lineRule="auto"/>
              <w:jc w:val="left"/>
              <w:textAlignment w:val="center"/>
              <w:rPr>
                <w:rStyle w:val="123"/>
                <w:rFonts w:hint="default"/>
                <w:color w:val="auto"/>
                <w:sz w:val="21"/>
                <w:szCs w:val="21"/>
              </w:rPr>
            </w:pPr>
            <w:r>
              <w:rPr>
                <w:rStyle w:val="123"/>
                <w:rFonts w:hint="default"/>
                <w:color w:val="auto"/>
                <w:sz w:val="21"/>
                <w:szCs w:val="21"/>
              </w:rPr>
              <w:t>8.支持4个功放输出接口：2组接线柱端子、2组欧姆头接口。</w:t>
            </w:r>
          </w:p>
          <w:p w14:paraId="2F832221">
            <w:pPr>
              <w:widowControl/>
              <w:spacing w:line="360" w:lineRule="auto"/>
              <w:jc w:val="left"/>
              <w:textAlignment w:val="center"/>
              <w:rPr>
                <w:rStyle w:val="123"/>
                <w:rFonts w:hint="default"/>
                <w:color w:val="auto"/>
                <w:sz w:val="21"/>
                <w:szCs w:val="21"/>
              </w:rPr>
            </w:pPr>
            <w:r>
              <w:rPr>
                <w:rStyle w:val="123"/>
                <w:rFonts w:hint="default"/>
                <w:color w:val="auto"/>
                <w:sz w:val="21"/>
                <w:szCs w:val="21"/>
              </w:rPr>
              <w:t>9.具有蓝牙功能，可连接手机、电脑等使用蓝音乐播放。</w:t>
            </w:r>
          </w:p>
          <w:p w14:paraId="3FB0DC15">
            <w:pPr>
              <w:widowControl/>
              <w:spacing w:line="360" w:lineRule="auto"/>
              <w:jc w:val="left"/>
              <w:textAlignment w:val="center"/>
              <w:rPr>
                <w:rStyle w:val="123"/>
                <w:rFonts w:hint="default"/>
                <w:color w:val="auto"/>
                <w:sz w:val="21"/>
                <w:szCs w:val="21"/>
              </w:rPr>
            </w:pPr>
            <w:r>
              <w:rPr>
                <w:rStyle w:val="123"/>
                <w:rFonts w:hint="default"/>
                <w:color w:val="auto"/>
                <w:sz w:val="21"/>
                <w:szCs w:val="21"/>
              </w:rPr>
              <w:t>10.具有USB播放功能、支持电脑声卡播放，支持上下曲、暂停/播放、循环/单曲等控制。</w:t>
            </w:r>
          </w:p>
          <w:p w14:paraId="70F64C85">
            <w:pPr>
              <w:widowControl/>
              <w:spacing w:line="360" w:lineRule="auto"/>
              <w:jc w:val="left"/>
              <w:textAlignment w:val="center"/>
              <w:rPr>
                <w:rStyle w:val="123"/>
                <w:rFonts w:hint="default"/>
                <w:color w:val="auto"/>
                <w:sz w:val="21"/>
                <w:szCs w:val="21"/>
              </w:rPr>
            </w:pPr>
            <w:r>
              <w:rPr>
                <w:rStyle w:val="123"/>
                <w:rFonts w:hint="default"/>
                <w:color w:val="auto"/>
                <w:sz w:val="21"/>
                <w:szCs w:val="21"/>
              </w:rPr>
              <w:t>11.功放设计有短路、过载、过压、过温限幅，开机廷时等保护功能，使用安全可靠。</w:t>
            </w:r>
          </w:p>
          <w:p w14:paraId="7B5C869C">
            <w:pPr>
              <w:widowControl/>
              <w:spacing w:line="360" w:lineRule="auto"/>
              <w:jc w:val="left"/>
              <w:textAlignment w:val="center"/>
              <w:rPr>
                <w:rStyle w:val="123"/>
                <w:rFonts w:hint="default"/>
                <w:color w:val="auto"/>
                <w:sz w:val="21"/>
                <w:szCs w:val="21"/>
              </w:rPr>
            </w:pPr>
            <w:r>
              <w:rPr>
                <w:rStyle w:val="123"/>
                <w:rFonts w:hint="default"/>
                <w:color w:val="auto"/>
                <w:sz w:val="21"/>
                <w:szCs w:val="21"/>
              </w:rPr>
              <w:t>12.具有软启动，变速风扇。</w:t>
            </w:r>
          </w:p>
          <w:p w14:paraId="45530CF5">
            <w:pPr>
              <w:widowControl/>
              <w:spacing w:line="360" w:lineRule="auto"/>
              <w:jc w:val="left"/>
              <w:textAlignment w:val="center"/>
              <w:rPr>
                <w:rStyle w:val="123"/>
                <w:rFonts w:hint="default"/>
                <w:color w:val="auto"/>
                <w:sz w:val="21"/>
                <w:szCs w:val="21"/>
              </w:rPr>
            </w:pPr>
            <w:r>
              <w:rPr>
                <w:rStyle w:val="123"/>
                <w:rFonts w:hint="default"/>
                <w:color w:val="auto"/>
                <w:sz w:val="21"/>
                <w:szCs w:val="21"/>
              </w:rPr>
              <w:t>13.具有开关机保护功能，防冲击音箱。</w:t>
            </w:r>
          </w:p>
          <w:p w14:paraId="2D9E5896">
            <w:pPr>
              <w:widowControl/>
              <w:spacing w:line="360" w:lineRule="auto"/>
              <w:jc w:val="left"/>
              <w:textAlignment w:val="center"/>
              <w:rPr>
                <w:rStyle w:val="123"/>
                <w:rFonts w:hint="default"/>
                <w:color w:val="auto"/>
                <w:sz w:val="21"/>
                <w:szCs w:val="21"/>
              </w:rPr>
            </w:pPr>
            <w:r>
              <w:rPr>
                <w:rStyle w:val="123"/>
                <w:rFonts w:hint="default"/>
                <w:color w:val="auto"/>
                <w:sz w:val="21"/>
                <w:szCs w:val="21"/>
              </w:rPr>
              <w:t>14.输出功率：（8Ω)：2*300W；</w:t>
            </w:r>
          </w:p>
          <w:p w14:paraId="5327B969">
            <w:pPr>
              <w:widowControl/>
              <w:spacing w:line="360" w:lineRule="auto"/>
              <w:jc w:val="left"/>
              <w:textAlignment w:val="center"/>
              <w:rPr>
                <w:rStyle w:val="123"/>
                <w:rFonts w:hint="default"/>
                <w:color w:val="auto"/>
                <w:sz w:val="21"/>
                <w:szCs w:val="21"/>
              </w:rPr>
            </w:pPr>
            <w:r>
              <w:rPr>
                <w:rStyle w:val="123"/>
                <w:rFonts w:hint="default"/>
                <w:color w:val="auto"/>
                <w:sz w:val="21"/>
                <w:szCs w:val="21"/>
              </w:rPr>
              <w:t>15.频率范围：20Hz-15KHz 3dB，话筒输入(灵敏度/阻抗)：70mV/10K，音频输入(灵敏度/阻抗)：0.5V/20K，总谐波失真：＜0.05%，信噪比：≥100dB；</w:t>
            </w:r>
          </w:p>
          <w:p w14:paraId="00D9BF52">
            <w:pPr>
              <w:widowControl/>
              <w:spacing w:line="360" w:lineRule="auto"/>
              <w:jc w:val="left"/>
              <w:textAlignment w:val="center"/>
              <w:rPr>
                <w:rStyle w:val="123"/>
                <w:rFonts w:hint="default"/>
                <w:color w:val="auto"/>
                <w:sz w:val="21"/>
                <w:szCs w:val="21"/>
              </w:rPr>
            </w:pPr>
            <w:r>
              <w:rPr>
                <w:rStyle w:val="123"/>
                <w:rFonts w:hint="default"/>
                <w:color w:val="auto"/>
                <w:sz w:val="21"/>
                <w:szCs w:val="21"/>
              </w:rPr>
              <w:t>三、一拖二无线话筒（手持+头戴）</w:t>
            </w:r>
          </w:p>
          <w:p w14:paraId="0DA4044B">
            <w:pPr>
              <w:widowControl/>
              <w:spacing w:line="360" w:lineRule="auto"/>
              <w:jc w:val="left"/>
              <w:textAlignment w:val="center"/>
              <w:rPr>
                <w:rStyle w:val="123"/>
                <w:rFonts w:hint="default"/>
                <w:color w:val="auto"/>
                <w:sz w:val="21"/>
                <w:szCs w:val="21"/>
              </w:rPr>
            </w:pPr>
            <w:r>
              <w:rPr>
                <w:rStyle w:val="123"/>
                <w:rFonts w:hint="default"/>
                <w:color w:val="auto"/>
                <w:sz w:val="21"/>
                <w:szCs w:val="21"/>
              </w:rPr>
              <w:t>（一）接收机功能参数：</w:t>
            </w:r>
          </w:p>
          <w:p w14:paraId="49FB5923">
            <w:pPr>
              <w:widowControl/>
              <w:spacing w:line="360" w:lineRule="auto"/>
              <w:jc w:val="left"/>
              <w:textAlignment w:val="center"/>
              <w:rPr>
                <w:rStyle w:val="123"/>
                <w:rFonts w:hint="default"/>
                <w:color w:val="auto"/>
                <w:sz w:val="21"/>
                <w:szCs w:val="21"/>
              </w:rPr>
            </w:pPr>
            <w:r>
              <w:rPr>
                <w:rStyle w:val="123"/>
                <w:rFonts w:hint="default"/>
                <w:color w:val="auto"/>
                <w:sz w:val="21"/>
                <w:szCs w:val="21"/>
              </w:rPr>
              <w:t>1.使用UHF550-950MHz频段，避免干扰频率。</w:t>
            </w:r>
          </w:p>
          <w:p w14:paraId="13E78600">
            <w:pPr>
              <w:widowControl/>
              <w:spacing w:line="360" w:lineRule="auto"/>
              <w:jc w:val="left"/>
              <w:textAlignment w:val="center"/>
              <w:rPr>
                <w:rStyle w:val="123"/>
                <w:rFonts w:hint="default"/>
                <w:color w:val="auto"/>
                <w:sz w:val="21"/>
                <w:szCs w:val="21"/>
              </w:rPr>
            </w:pPr>
            <w:r>
              <w:rPr>
                <w:rStyle w:val="123"/>
                <w:rFonts w:hint="default"/>
                <w:color w:val="auto"/>
                <w:sz w:val="21"/>
                <w:szCs w:val="21"/>
              </w:rPr>
              <w:t>2.采用独有的ID码导频技术，ID随机码16位，彻底解决同频、串频现象。</w:t>
            </w:r>
          </w:p>
          <w:p w14:paraId="16474FCF">
            <w:pPr>
              <w:widowControl/>
              <w:spacing w:line="360" w:lineRule="auto"/>
              <w:jc w:val="left"/>
              <w:textAlignment w:val="center"/>
              <w:rPr>
                <w:rStyle w:val="123"/>
                <w:rFonts w:hint="default"/>
                <w:color w:val="auto"/>
                <w:sz w:val="21"/>
                <w:szCs w:val="21"/>
              </w:rPr>
            </w:pPr>
            <w:r>
              <w:rPr>
                <w:rStyle w:val="123"/>
                <w:rFonts w:hint="default"/>
                <w:color w:val="auto"/>
                <w:sz w:val="21"/>
                <w:szCs w:val="21"/>
              </w:rPr>
              <w:t>3.采用彩色TFT显示屏，可显示通道频率、通道群组、通道ID、音量大小、均衡、混响比例、AF/RF信号、电量、发射功率、锁屏转态等，支持调节菜单功能。</w:t>
            </w:r>
          </w:p>
          <w:p w14:paraId="2F29E454">
            <w:pPr>
              <w:widowControl/>
              <w:spacing w:line="360" w:lineRule="auto"/>
              <w:jc w:val="left"/>
              <w:textAlignment w:val="center"/>
              <w:rPr>
                <w:rStyle w:val="123"/>
                <w:rFonts w:hint="default"/>
                <w:color w:val="auto"/>
                <w:sz w:val="21"/>
                <w:szCs w:val="21"/>
              </w:rPr>
            </w:pPr>
            <w:r>
              <w:rPr>
                <w:rStyle w:val="123"/>
                <w:rFonts w:hint="default"/>
                <w:color w:val="auto"/>
                <w:sz w:val="21"/>
                <w:szCs w:val="21"/>
              </w:rPr>
              <w:t>4.面板具有LOCK参数锁按键和红外IR快速对频按键。</w:t>
            </w:r>
          </w:p>
          <w:p w14:paraId="3B4D4F72">
            <w:pPr>
              <w:widowControl/>
              <w:spacing w:line="360" w:lineRule="auto"/>
              <w:jc w:val="left"/>
              <w:textAlignment w:val="center"/>
              <w:rPr>
                <w:rStyle w:val="123"/>
                <w:rFonts w:hint="default"/>
                <w:color w:val="auto"/>
                <w:sz w:val="21"/>
                <w:szCs w:val="21"/>
              </w:rPr>
            </w:pPr>
            <w:r>
              <w:rPr>
                <w:rStyle w:val="123"/>
                <w:rFonts w:hint="default"/>
                <w:color w:val="auto"/>
                <w:sz w:val="21"/>
                <w:szCs w:val="21"/>
              </w:rPr>
              <w:t>5.预设群组数：20组，每组预设25个频率。</w:t>
            </w:r>
          </w:p>
          <w:p w14:paraId="0B55D83B">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6.双通道提供1000个信道选择，每个通道可调频率500个，避免断频、串频现象，并提供更多选择性。          </w:t>
            </w:r>
          </w:p>
          <w:p w14:paraId="459D71E5">
            <w:pPr>
              <w:widowControl/>
              <w:spacing w:line="360" w:lineRule="auto"/>
              <w:jc w:val="left"/>
              <w:textAlignment w:val="center"/>
              <w:rPr>
                <w:rStyle w:val="123"/>
                <w:rFonts w:hint="default"/>
                <w:color w:val="auto"/>
                <w:sz w:val="21"/>
                <w:szCs w:val="21"/>
              </w:rPr>
            </w:pPr>
            <w:r>
              <w:rPr>
                <w:rStyle w:val="123"/>
                <w:rFonts w:hint="default"/>
                <w:color w:val="auto"/>
                <w:sz w:val="21"/>
                <w:szCs w:val="21"/>
              </w:rPr>
              <w:t>7.高效的电池能耗设计，使话筒能够连续使用更长时间。</w:t>
            </w:r>
          </w:p>
          <w:p w14:paraId="7BBCAA33">
            <w:pPr>
              <w:widowControl/>
              <w:spacing w:line="360" w:lineRule="auto"/>
              <w:jc w:val="left"/>
              <w:textAlignment w:val="center"/>
              <w:rPr>
                <w:rStyle w:val="123"/>
                <w:rFonts w:hint="default"/>
                <w:color w:val="auto"/>
                <w:sz w:val="21"/>
                <w:szCs w:val="21"/>
              </w:rPr>
            </w:pPr>
            <w:r>
              <w:rPr>
                <w:rStyle w:val="123"/>
                <w:rFonts w:hint="default"/>
                <w:color w:val="auto"/>
                <w:sz w:val="21"/>
                <w:szCs w:val="21"/>
              </w:rPr>
              <w:t>8.支持自动扫频，红外线对频，支持手动或自动SCAN扫频功能，能够自动找到环境中最干净的频点，并将其设定为接收机的使用频率，确保稳定的信号接收。</w:t>
            </w:r>
          </w:p>
          <w:p w14:paraId="1EBC426D">
            <w:pPr>
              <w:widowControl/>
              <w:spacing w:line="360" w:lineRule="auto"/>
              <w:jc w:val="left"/>
              <w:textAlignment w:val="center"/>
              <w:rPr>
                <w:rStyle w:val="123"/>
                <w:rFonts w:hint="default"/>
                <w:color w:val="auto"/>
                <w:sz w:val="21"/>
                <w:szCs w:val="21"/>
              </w:rPr>
            </w:pPr>
            <w:r>
              <w:rPr>
                <w:rStyle w:val="123"/>
                <w:rFonts w:hint="default"/>
                <w:color w:val="auto"/>
                <w:sz w:val="21"/>
                <w:szCs w:val="21"/>
              </w:rPr>
              <w:t>9.效果器功能可调节混响比例、延时效果以及混响音量，提供更丰富、多样的音效体验。</w:t>
            </w:r>
          </w:p>
          <w:p w14:paraId="345F72CD">
            <w:pPr>
              <w:widowControl/>
              <w:spacing w:line="360" w:lineRule="auto"/>
              <w:jc w:val="left"/>
              <w:textAlignment w:val="center"/>
              <w:rPr>
                <w:rStyle w:val="123"/>
                <w:rFonts w:hint="default"/>
                <w:color w:val="auto"/>
                <w:sz w:val="21"/>
                <w:szCs w:val="21"/>
              </w:rPr>
            </w:pPr>
            <w:r>
              <w:rPr>
                <w:rStyle w:val="123"/>
                <w:rFonts w:hint="default"/>
                <w:color w:val="auto"/>
                <w:sz w:val="21"/>
                <w:szCs w:val="21"/>
              </w:rPr>
              <w:t>10.均衡器功能可对输出信号进行高、中、低均衡调节，提高音质表现。</w:t>
            </w:r>
          </w:p>
          <w:p w14:paraId="68247BEE">
            <w:pPr>
              <w:widowControl/>
              <w:spacing w:line="360" w:lineRule="auto"/>
              <w:jc w:val="left"/>
              <w:textAlignment w:val="center"/>
              <w:rPr>
                <w:rStyle w:val="123"/>
                <w:rFonts w:hint="default"/>
                <w:color w:val="auto"/>
                <w:sz w:val="21"/>
                <w:szCs w:val="21"/>
              </w:rPr>
            </w:pPr>
            <w:r>
              <w:rPr>
                <w:rStyle w:val="123"/>
                <w:rFonts w:hint="default"/>
                <w:color w:val="auto"/>
                <w:sz w:val="21"/>
                <w:szCs w:val="21"/>
              </w:rPr>
              <w:t>11.智能静音功能和可调发射功率模式，功耗低功率模式工作时间长达10小时，高功率模式下工作时间为8小时满足长时间使用需求。</w:t>
            </w:r>
          </w:p>
          <w:p w14:paraId="1CC2F673">
            <w:pPr>
              <w:widowControl/>
              <w:spacing w:line="360" w:lineRule="auto"/>
              <w:jc w:val="left"/>
              <w:textAlignment w:val="center"/>
              <w:rPr>
                <w:rStyle w:val="123"/>
                <w:rFonts w:hint="default"/>
                <w:color w:val="auto"/>
                <w:sz w:val="21"/>
                <w:szCs w:val="21"/>
              </w:rPr>
            </w:pPr>
            <w:r>
              <w:rPr>
                <w:rStyle w:val="123"/>
                <w:rFonts w:hint="default"/>
                <w:color w:val="auto"/>
                <w:sz w:val="21"/>
                <w:szCs w:val="21"/>
              </w:rPr>
              <w:t>12.自动扫频，红外线对频。</w:t>
            </w:r>
          </w:p>
          <w:p w14:paraId="45C28D80">
            <w:pPr>
              <w:widowControl/>
              <w:spacing w:line="360" w:lineRule="auto"/>
              <w:jc w:val="left"/>
              <w:textAlignment w:val="center"/>
              <w:rPr>
                <w:rStyle w:val="123"/>
                <w:rFonts w:hint="default"/>
                <w:color w:val="auto"/>
                <w:sz w:val="21"/>
                <w:szCs w:val="21"/>
              </w:rPr>
            </w:pPr>
            <w:r>
              <w:rPr>
                <w:rStyle w:val="123"/>
                <w:rFonts w:hint="default"/>
                <w:color w:val="auto"/>
                <w:sz w:val="21"/>
                <w:szCs w:val="21"/>
              </w:rPr>
              <w:t>13.理想使用距离100米。</w:t>
            </w:r>
          </w:p>
          <w:p w14:paraId="75DE8DA4">
            <w:pPr>
              <w:widowControl/>
              <w:spacing w:line="360" w:lineRule="auto"/>
              <w:jc w:val="left"/>
              <w:textAlignment w:val="center"/>
              <w:rPr>
                <w:rStyle w:val="123"/>
                <w:rFonts w:hint="default"/>
                <w:color w:val="auto"/>
                <w:sz w:val="21"/>
                <w:szCs w:val="21"/>
              </w:rPr>
            </w:pPr>
            <w:r>
              <w:rPr>
                <w:rStyle w:val="123"/>
                <w:rFonts w:hint="default"/>
                <w:color w:val="auto"/>
                <w:sz w:val="21"/>
                <w:szCs w:val="21"/>
              </w:rPr>
              <w:t>（二）话筒技术参数</w:t>
            </w:r>
          </w:p>
          <w:p w14:paraId="07ACE37D">
            <w:pPr>
              <w:widowControl/>
              <w:spacing w:line="360" w:lineRule="auto"/>
              <w:jc w:val="left"/>
              <w:textAlignment w:val="center"/>
              <w:rPr>
                <w:rStyle w:val="123"/>
                <w:rFonts w:hint="default"/>
                <w:color w:val="auto"/>
                <w:sz w:val="21"/>
                <w:szCs w:val="21"/>
              </w:rPr>
            </w:pPr>
            <w:r>
              <w:rPr>
                <w:rStyle w:val="123"/>
                <w:rFonts w:hint="default"/>
                <w:color w:val="auto"/>
                <w:sz w:val="21"/>
                <w:szCs w:val="21"/>
              </w:rPr>
              <w:t>1.载波频段UHF500-980MHz可选；</w:t>
            </w:r>
          </w:p>
          <w:p w14:paraId="5CFC4E16">
            <w:pPr>
              <w:widowControl/>
              <w:spacing w:line="360" w:lineRule="auto"/>
              <w:jc w:val="left"/>
              <w:textAlignment w:val="center"/>
              <w:rPr>
                <w:rStyle w:val="123"/>
                <w:rFonts w:hint="default"/>
                <w:color w:val="auto"/>
                <w:sz w:val="21"/>
                <w:szCs w:val="21"/>
              </w:rPr>
            </w:pPr>
            <w:r>
              <w:rPr>
                <w:rStyle w:val="123"/>
                <w:rFonts w:hint="default"/>
                <w:color w:val="auto"/>
                <w:sz w:val="21"/>
                <w:szCs w:val="21"/>
              </w:rPr>
              <w:t>2.频率切换：红外同步；</w:t>
            </w:r>
          </w:p>
          <w:p w14:paraId="3CE75982">
            <w:pPr>
              <w:widowControl/>
              <w:spacing w:line="360" w:lineRule="auto"/>
              <w:jc w:val="left"/>
              <w:textAlignment w:val="center"/>
              <w:rPr>
                <w:rStyle w:val="123"/>
                <w:rFonts w:hint="default"/>
                <w:color w:val="auto"/>
                <w:sz w:val="21"/>
                <w:szCs w:val="21"/>
              </w:rPr>
            </w:pPr>
            <w:r>
              <w:rPr>
                <w:rStyle w:val="123"/>
                <w:rFonts w:hint="default"/>
                <w:color w:val="auto"/>
                <w:sz w:val="21"/>
                <w:szCs w:val="21"/>
              </w:rPr>
              <w:t>3.发射功率：30mW(max)；</w:t>
            </w:r>
          </w:p>
          <w:p w14:paraId="4A77419B">
            <w:pPr>
              <w:widowControl/>
              <w:spacing w:line="360" w:lineRule="auto"/>
              <w:jc w:val="left"/>
              <w:textAlignment w:val="center"/>
              <w:rPr>
                <w:rStyle w:val="123"/>
                <w:rFonts w:hint="default"/>
                <w:color w:val="auto"/>
                <w:sz w:val="21"/>
                <w:szCs w:val="21"/>
              </w:rPr>
            </w:pPr>
            <w:r>
              <w:rPr>
                <w:rStyle w:val="123"/>
                <w:rFonts w:hint="default"/>
                <w:color w:val="auto"/>
                <w:sz w:val="21"/>
                <w:szCs w:val="21"/>
              </w:rPr>
              <w:t>4.调製方式：FM；</w:t>
            </w:r>
          </w:p>
          <w:p w14:paraId="149B51AD">
            <w:pPr>
              <w:widowControl/>
              <w:spacing w:line="360" w:lineRule="auto"/>
              <w:jc w:val="left"/>
              <w:textAlignment w:val="center"/>
              <w:rPr>
                <w:rStyle w:val="123"/>
                <w:rFonts w:hint="default"/>
                <w:color w:val="auto"/>
                <w:sz w:val="21"/>
                <w:szCs w:val="21"/>
              </w:rPr>
            </w:pPr>
            <w:r>
              <w:rPr>
                <w:rStyle w:val="123"/>
                <w:rFonts w:hint="default"/>
                <w:color w:val="auto"/>
                <w:sz w:val="21"/>
                <w:szCs w:val="21"/>
              </w:rPr>
              <w:t>5.调制度：30KHz；</w:t>
            </w:r>
          </w:p>
          <w:p w14:paraId="346B8314">
            <w:pPr>
              <w:widowControl/>
              <w:spacing w:line="360" w:lineRule="auto"/>
              <w:jc w:val="left"/>
              <w:textAlignment w:val="center"/>
              <w:rPr>
                <w:rStyle w:val="123"/>
                <w:rFonts w:hint="default"/>
                <w:color w:val="auto"/>
                <w:sz w:val="21"/>
                <w:szCs w:val="21"/>
              </w:rPr>
            </w:pPr>
            <w:r>
              <w:rPr>
                <w:rStyle w:val="123"/>
                <w:rFonts w:hint="default"/>
                <w:color w:val="auto"/>
                <w:sz w:val="21"/>
                <w:szCs w:val="21"/>
              </w:rPr>
              <w:t>6.高次谐波：低于主波基准40dB以上；</w:t>
            </w:r>
          </w:p>
          <w:p w14:paraId="53ED4B24">
            <w:pPr>
              <w:widowControl/>
              <w:spacing w:line="360" w:lineRule="auto"/>
              <w:jc w:val="left"/>
              <w:textAlignment w:val="center"/>
              <w:rPr>
                <w:rStyle w:val="123"/>
                <w:rFonts w:hint="default"/>
                <w:color w:val="auto"/>
                <w:sz w:val="21"/>
                <w:szCs w:val="21"/>
              </w:rPr>
            </w:pPr>
            <w:r>
              <w:rPr>
                <w:rStyle w:val="123"/>
                <w:rFonts w:hint="default"/>
                <w:color w:val="auto"/>
                <w:sz w:val="21"/>
                <w:szCs w:val="21"/>
              </w:rPr>
              <w:t>7.使用电源电压 ：2节1.5V AA电池；</w:t>
            </w:r>
          </w:p>
          <w:p w14:paraId="19C18898">
            <w:pPr>
              <w:widowControl/>
              <w:spacing w:line="360" w:lineRule="auto"/>
              <w:jc w:val="left"/>
              <w:textAlignment w:val="center"/>
              <w:rPr>
                <w:rStyle w:val="123"/>
                <w:rFonts w:hint="default"/>
                <w:color w:val="auto"/>
                <w:sz w:val="21"/>
                <w:szCs w:val="21"/>
              </w:rPr>
            </w:pPr>
            <w:r>
              <w:rPr>
                <w:rStyle w:val="123"/>
                <w:rFonts w:hint="default"/>
                <w:color w:val="auto"/>
                <w:sz w:val="21"/>
                <w:szCs w:val="21"/>
              </w:rPr>
              <w:t>8.连续使用时间 ：＞5个小时；</w:t>
            </w:r>
          </w:p>
        </w:tc>
      </w:tr>
      <w:tr w14:paraId="1E3B1D4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tcPr>
          <w:p w14:paraId="338A46D3">
            <w:pPr>
              <w:spacing w:line="400" w:lineRule="exact"/>
              <w:rPr>
                <w:rFonts w:hint="eastAsia" w:ascii="宋体" w:hAnsi="宋体" w:cs="宋体"/>
                <w:szCs w:val="21"/>
              </w:rPr>
            </w:pPr>
            <w:r>
              <w:rPr>
                <w:rFonts w:hint="eastAsia" w:ascii="宋体" w:hAnsi="宋体" w:cs="宋体"/>
                <w:szCs w:val="21"/>
              </w:rPr>
              <w:t>▲</w:t>
            </w:r>
            <w:r>
              <w:rPr>
                <w:rFonts w:hint="eastAsia" w:ascii="宋体" w:hAnsi="宋体" w:cs="宋体"/>
                <w:b/>
                <w:szCs w:val="21"/>
              </w:rPr>
              <w:t>一、商务要求</w:t>
            </w:r>
          </w:p>
        </w:tc>
      </w:tr>
      <w:tr w14:paraId="3872595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558337F7">
            <w:pPr>
              <w:spacing w:line="360" w:lineRule="auto"/>
              <w:jc w:val="center"/>
              <w:rPr>
                <w:rFonts w:hint="eastAsia" w:ascii="宋体" w:hAnsi="宋体" w:cs="宋体"/>
                <w:szCs w:val="21"/>
              </w:rPr>
            </w:pPr>
            <w:r>
              <w:rPr>
                <w:rFonts w:hint="eastAsia" w:ascii="宋体" w:hAnsi="宋体" w:cs="宋体"/>
                <w:kern w:val="0"/>
                <w:szCs w:val="21"/>
              </w:rPr>
              <w:t>合同签订期</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3084B5E8">
            <w:pPr>
              <w:spacing w:line="360" w:lineRule="auto"/>
              <w:jc w:val="left"/>
              <w:rPr>
                <w:rFonts w:hint="eastAsia" w:ascii="宋体" w:hAnsi="宋体" w:cs="宋体"/>
                <w:kern w:val="0"/>
                <w:szCs w:val="21"/>
              </w:rPr>
            </w:pPr>
            <w:r>
              <w:rPr>
                <w:rFonts w:hint="eastAsia" w:ascii="宋体" w:hAnsi="宋体"/>
                <w:szCs w:val="21"/>
              </w:rPr>
              <w:t>自中标通知书发出之日起25 日内</w:t>
            </w:r>
          </w:p>
        </w:tc>
      </w:tr>
      <w:tr w14:paraId="3964FCD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013313DF">
            <w:pPr>
              <w:spacing w:line="400" w:lineRule="exact"/>
              <w:jc w:val="center"/>
              <w:rPr>
                <w:rFonts w:hint="eastAsia" w:ascii="宋体" w:hAnsi="宋体" w:cs="宋体"/>
                <w:szCs w:val="21"/>
              </w:rPr>
            </w:pPr>
            <w:r>
              <w:rPr>
                <w:rFonts w:ascii="宋体" w:hAnsi="宋体"/>
                <w:kern w:val="0"/>
                <w:szCs w:val="21"/>
              </w:rPr>
              <w:t>交货期</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180BBCA1">
            <w:pPr>
              <w:spacing w:line="400" w:lineRule="exact"/>
              <w:rPr>
                <w:rFonts w:hint="eastAsia" w:ascii="宋体" w:hAnsi="宋体" w:cs="宋体"/>
                <w:szCs w:val="21"/>
              </w:rPr>
            </w:pPr>
            <w:r>
              <w:rPr>
                <w:rFonts w:hint="eastAsia" w:ascii="宋体" w:hAnsi="宋体"/>
                <w:kern w:val="0"/>
                <w:szCs w:val="21"/>
              </w:rPr>
              <w:t>自合同签订之日起30天内全部货物交货验收并安装调试完毕。</w:t>
            </w:r>
          </w:p>
        </w:tc>
      </w:tr>
      <w:tr w14:paraId="0D2F3C2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6101F7DF">
            <w:pPr>
              <w:spacing w:line="400" w:lineRule="exact"/>
              <w:jc w:val="center"/>
              <w:rPr>
                <w:rFonts w:hint="eastAsia" w:ascii="宋体" w:hAnsi="宋体" w:cs="宋体"/>
                <w:szCs w:val="21"/>
              </w:rPr>
            </w:pPr>
            <w:r>
              <w:rPr>
                <w:rFonts w:hint="eastAsia" w:ascii="宋体" w:hAnsi="宋体"/>
                <w:szCs w:val="21"/>
              </w:rPr>
              <w:t>交付设备生产日期</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7AB0AA32">
            <w:pPr>
              <w:spacing w:line="400" w:lineRule="exact"/>
              <w:rPr>
                <w:rFonts w:hint="eastAsia" w:ascii="宋体" w:hAnsi="宋体" w:cs="宋体"/>
                <w:szCs w:val="21"/>
              </w:rPr>
            </w:pPr>
            <w:r>
              <w:rPr>
                <w:rFonts w:hint="eastAsia" w:ascii="宋体" w:hAnsi="宋体"/>
                <w:szCs w:val="21"/>
              </w:rPr>
              <w:t>应当为交付时间前1年内生产。</w:t>
            </w:r>
          </w:p>
        </w:tc>
      </w:tr>
      <w:tr w14:paraId="05E5A0C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3C2F6E8E">
            <w:pPr>
              <w:spacing w:line="400" w:lineRule="exact"/>
              <w:jc w:val="center"/>
              <w:rPr>
                <w:rFonts w:hint="eastAsia" w:ascii="宋体" w:hAnsi="宋体" w:cs="宋体"/>
                <w:szCs w:val="21"/>
              </w:rPr>
            </w:pPr>
            <w:r>
              <w:rPr>
                <w:rFonts w:ascii="宋体" w:hAnsi="宋体"/>
                <w:kern w:val="0"/>
                <w:szCs w:val="21"/>
              </w:rPr>
              <w:t>交货地点</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7C1F9B64">
            <w:pPr>
              <w:spacing w:line="400" w:lineRule="exact"/>
              <w:rPr>
                <w:rFonts w:hint="eastAsia" w:ascii="宋体" w:hAnsi="宋体" w:cs="宋体"/>
                <w:szCs w:val="21"/>
              </w:rPr>
            </w:pPr>
            <w:r>
              <w:rPr>
                <w:rFonts w:hint="eastAsia" w:ascii="宋体" w:hAnsi="宋体"/>
                <w:szCs w:val="21"/>
              </w:rPr>
              <w:t>广西艺术学院指定地点</w:t>
            </w:r>
          </w:p>
        </w:tc>
      </w:tr>
      <w:tr w14:paraId="7B0F6BA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0E09632C">
            <w:pPr>
              <w:spacing w:line="400" w:lineRule="exact"/>
              <w:jc w:val="center"/>
              <w:rPr>
                <w:rFonts w:hint="eastAsia" w:ascii="宋体" w:hAnsi="宋体" w:cs="宋体"/>
                <w:szCs w:val="21"/>
              </w:rPr>
            </w:pPr>
            <w:r>
              <w:rPr>
                <w:rFonts w:ascii="宋体" w:hAnsi="宋体"/>
                <w:kern w:val="0"/>
                <w:szCs w:val="21"/>
              </w:rPr>
              <w:t>交货方式</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62EA5C00">
            <w:pPr>
              <w:spacing w:line="400" w:lineRule="exact"/>
              <w:rPr>
                <w:rFonts w:hint="eastAsia" w:ascii="宋体" w:hAnsi="宋体" w:cs="宋体"/>
                <w:szCs w:val="21"/>
              </w:rPr>
            </w:pPr>
            <w:r>
              <w:rPr>
                <w:rFonts w:ascii="宋体" w:hAnsi="宋体"/>
                <w:kern w:val="0"/>
                <w:szCs w:val="21"/>
              </w:rPr>
              <w:t>现场交货</w:t>
            </w:r>
          </w:p>
        </w:tc>
      </w:tr>
      <w:tr w14:paraId="43C510A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5E6D26E3">
            <w:pPr>
              <w:spacing w:line="400" w:lineRule="exact"/>
              <w:jc w:val="center"/>
              <w:rPr>
                <w:rFonts w:hint="eastAsia" w:ascii="宋体" w:hAnsi="宋体" w:cs="宋体"/>
                <w:szCs w:val="21"/>
              </w:rPr>
            </w:pPr>
            <w:r>
              <w:rPr>
                <w:rFonts w:ascii="宋体" w:hAnsi="宋体"/>
                <w:kern w:val="0"/>
                <w:szCs w:val="21"/>
              </w:rPr>
              <w:t>售后服务要求</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33448A68">
            <w:pPr>
              <w:spacing w:line="400" w:lineRule="exact"/>
              <w:rPr>
                <w:rFonts w:hint="eastAsia" w:ascii="宋体" w:hAnsi="宋体"/>
                <w:szCs w:val="21"/>
              </w:rPr>
            </w:pPr>
            <w:r>
              <w:rPr>
                <w:rFonts w:hint="eastAsia" w:ascii="宋体" w:hAnsi="宋体"/>
                <w:szCs w:val="21"/>
              </w:rPr>
              <w:t>1.质保期：除采购项目需求的“技术要求”中另有约定外，其余产品按国家有关产品“三包”规定执行“三包”，质保期最短不得少于1年。若产品生产厂家质保期超过此年限的，合同履行过程中按厂家质保执行；若中标供应商质保期承诺优于产品生产厂家质保年限的，以中标供应商承诺执行。质保期内负责上门服务、维修、更换配件，不得收取任何费用。（自双方验收合格之日起计）。</w:t>
            </w:r>
          </w:p>
          <w:p w14:paraId="11F35B31">
            <w:pPr>
              <w:spacing w:line="400" w:lineRule="exact"/>
              <w:rPr>
                <w:rFonts w:hint="eastAsia" w:ascii="宋体" w:hAnsi="宋体"/>
                <w:szCs w:val="21"/>
              </w:rPr>
            </w:pPr>
            <w:r>
              <w:rPr>
                <w:rFonts w:hint="eastAsia" w:ascii="宋体" w:hAnsi="宋体"/>
                <w:szCs w:val="21"/>
              </w:rPr>
              <w:t>2.负责送货到采购人指定地点，协助采购人进行安装场地设计，负责安装、调试，安装应符合国家行业相关标准、规范及规定。</w:t>
            </w:r>
          </w:p>
          <w:p w14:paraId="115F3983">
            <w:pPr>
              <w:spacing w:line="400" w:lineRule="exact"/>
              <w:rPr>
                <w:rFonts w:hint="eastAsia" w:ascii="宋体" w:hAnsi="宋体"/>
                <w:szCs w:val="21"/>
              </w:rPr>
            </w:pPr>
            <w:r>
              <w:rPr>
                <w:rFonts w:hint="eastAsia" w:ascii="宋体" w:hAnsi="宋体"/>
                <w:szCs w:val="21"/>
              </w:rPr>
              <w:t>3.质保期内为采购人提供完善的设备、操作培训和维修技术人员的培训，确保采购人有关人员能独立操作使用设备；培训人数由采购人确定。</w:t>
            </w:r>
          </w:p>
          <w:p w14:paraId="1883D1F0">
            <w:pPr>
              <w:spacing w:line="400" w:lineRule="exact"/>
              <w:rPr>
                <w:rFonts w:hint="eastAsia" w:ascii="宋体" w:hAnsi="宋体"/>
                <w:szCs w:val="21"/>
              </w:rPr>
            </w:pPr>
            <w:r>
              <w:rPr>
                <w:rFonts w:hint="eastAsia" w:ascii="宋体" w:hAnsi="宋体"/>
                <w:szCs w:val="21"/>
              </w:rPr>
              <w:t>4.设备安装调试期间采购人及中标人双方必须安排人员到场，采购人只负责协调及监督工作，中标人应当安排足够人员到场负责进行装卸、调试。清理装机产生的木箱等工作；</w:t>
            </w:r>
          </w:p>
          <w:p w14:paraId="0B869303">
            <w:pPr>
              <w:spacing w:line="400" w:lineRule="exact"/>
              <w:rPr>
                <w:rFonts w:hint="eastAsia" w:ascii="宋体" w:hAnsi="宋体"/>
                <w:szCs w:val="21"/>
              </w:rPr>
            </w:pPr>
            <w:r>
              <w:rPr>
                <w:rFonts w:hint="eastAsia" w:ascii="宋体" w:hAnsi="宋体"/>
                <w:szCs w:val="21"/>
              </w:rPr>
              <w:t>5.故障响应时间：设备在使用过程中发生质量问题，中标人技术人员在接到采购人通知后12小时响应，24小时内到达采购人现场解决处理。</w:t>
            </w:r>
          </w:p>
          <w:p w14:paraId="6C05467D">
            <w:pPr>
              <w:spacing w:line="400" w:lineRule="exact"/>
              <w:rPr>
                <w:rFonts w:hint="eastAsia" w:ascii="宋体" w:hAnsi="宋体"/>
                <w:szCs w:val="21"/>
              </w:rPr>
            </w:pPr>
            <w:r>
              <w:rPr>
                <w:rFonts w:hint="eastAsia" w:ascii="宋体" w:hAnsi="宋体"/>
                <w:szCs w:val="21"/>
              </w:rPr>
              <w:t>6.每半年至少进行一次定期回访以及对设备保养。</w:t>
            </w:r>
          </w:p>
          <w:p w14:paraId="1413AF6F">
            <w:pPr>
              <w:spacing w:line="400" w:lineRule="exact"/>
              <w:rPr>
                <w:rFonts w:hint="eastAsia" w:ascii="宋体" w:hAnsi="宋体" w:cs="宋体"/>
                <w:szCs w:val="21"/>
              </w:rPr>
            </w:pPr>
            <w:r>
              <w:rPr>
                <w:rFonts w:hint="eastAsia" w:ascii="宋体" w:hAnsi="宋体"/>
                <w:szCs w:val="21"/>
              </w:rPr>
              <w:t>7.投标人应保证提供的是全新未经使用的合格产品。</w:t>
            </w:r>
          </w:p>
        </w:tc>
      </w:tr>
      <w:tr w14:paraId="5349F2B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4EC86507">
            <w:pPr>
              <w:spacing w:line="360" w:lineRule="auto"/>
              <w:jc w:val="center"/>
              <w:rPr>
                <w:rFonts w:hint="eastAsia" w:ascii="宋体" w:hAnsi="宋体" w:cs="宋体"/>
                <w:szCs w:val="21"/>
              </w:rPr>
            </w:pPr>
            <w:r>
              <w:rPr>
                <w:rFonts w:hint="eastAsia" w:ascii="宋体" w:hAnsi="宋体" w:cs="宋体"/>
                <w:szCs w:val="21"/>
              </w:rPr>
              <w:t>付款条件</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6B55CD49">
            <w:pPr>
              <w:adjustRightInd w:val="0"/>
              <w:snapToGrid w:val="0"/>
              <w:spacing w:line="360" w:lineRule="auto"/>
              <w:rPr>
                <w:rFonts w:hint="eastAsia" w:ascii="宋体" w:hAnsi="宋体" w:cs="宋体"/>
                <w:szCs w:val="21"/>
              </w:rPr>
            </w:pPr>
            <w:r>
              <w:rPr>
                <w:rFonts w:hint="eastAsia" w:ascii="宋体" w:hAnsi="宋体" w:cs="宋体"/>
                <w:szCs w:val="21"/>
              </w:rPr>
              <w:t>1.预付款：签订合同之日起10个工作日内，中标人开具合同总价款的 30%的等额价值保函(保函有效期应在</w:t>
            </w:r>
            <w:r>
              <w:rPr>
                <w:rFonts w:hint="eastAsia" w:ascii="宋体" w:hAnsi="宋体" w:cs="宋体"/>
                <w:szCs w:val="21"/>
                <w:lang w:eastAsia="zh-CN"/>
              </w:rPr>
              <w:t>2025年12月31日后</w:t>
            </w:r>
            <w:r>
              <w:rPr>
                <w:rFonts w:hint="eastAsia" w:ascii="宋体" w:hAnsi="宋体" w:cs="宋体"/>
                <w:szCs w:val="21"/>
              </w:rPr>
              <w:t>)给采购人后，采购人支付合同总价款的30%作为预付款。</w:t>
            </w:r>
          </w:p>
          <w:p w14:paraId="209CB184">
            <w:pPr>
              <w:adjustRightInd w:val="0"/>
              <w:snapToGrid w:val="0"/>
              <w:spacing w:line="360" w:lineRule="auto"/>
              <w:rPr>
                <w:rFonts w:hint="eastAsia" w:ascii="宋体" w:hAnsi="宋体" w:cs="宋体"/>
                <w:szCs w:val="21"/>
              </w:rPr>
            </w:pPr>
            <w:r>
              <w:rPr>
                <w:rFonts w:hint="eastAsia" w:ascii="宋体" w:hAnsi="宋体" w:cs="宋体"/>
                <w:szCs w:val="21"/>
              </w:rPr>
              <w:t>2.进度款：全部设备到货后，经采购人确认后在十个工作日内向中标人付款方式支付合同价款的50%；所有货物安装调试完成、试运行正常且验收合格，并经采购人确认后，在十个工作日内向中标人支付合同价款的20%。</w:t>
            </w:r>
          </w:p>
          <w:p w14:paraId="6F24507E">
            <w:pPr>
              <w:adjustRightInd w:val="0"/>
              <w:snapToGrid w:val="0"/>
              <w:spacing w:line="360" w:lineRule="auto"/>
              <w:rPr>
                <w:rFonts w:hint="eastAsia" w:ascii="宋体" w:hAnsi="宋体" w:cs="宋体"/>
                <w:szCs w:val="21"/>
              </w:rPr>
            </w:pPr>
            <w:r>
              <w:rPr>
                <w:rFonts w:hint="eastAsia" w:ascii="宋体" w:hAnsi="宋体" w:cs="宋体"/>
                <w:szCs w:val="21"/>
              </w:rPr>
              <w:t>3.以上各项付款以采购人预算资金实际到位情况为准。</w:t>
            </w:r>
          </w:p>
          <w:p w14:paraId="4232DB85">
            <w:pPr>
              <w:adjustRightInd w:val="0"/>
              <w:snapToGrid w:val="0"/>
              <w:spacing w:line="360" w:lineRule="auto"/>
              <w:rPr>
                <w:rFonts w:hint="eastAsia" w:ascii="宋体" w:hAnsi="宋体" w:cs="宋体"/>
                <w:szCs w:val="21"/>
              </w:rPr>
            </w:pPr>
            <w:r>
              <w:rPr>
                <w:rFonts w:hint="eastAsia" w:ascii="宋体" w:hAnsi="宋体" w:cs="宋体"/>
                <w:szCs w:val="21"/>
              </w:rPr>
              <w:t>4.以上各项付款所需凭证将在签订合同时做具体规定。</w:t>
            </w:r>
          </w:p>
        </w:tc>
      </w:tr>
      <w:tr w14:paraId="00B6B49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3AA19400">
            <w:pPr>
              <w:spacing w:line="400" w:lineRule="exact"/>
              <w:jc w:val="center"/>
              <w:rPr>
                <w:rFonts w:hint="eastAsia" w:ascii="宋体" w:hAnsi="宋体" w:cs="宋体"/>
                <w:szCs w:val="21"/>
              </w:rPr>
            </w:pPr>
            <w:r>
              <w:rPr>
                <w:rFonts w:hint="eastAsia" w:ascii="宋体" w:hAnsi="宋体"/>
                <w:kern w:val="0"/>
                <w:szCs w:val="21"/>
              </w:rPr>
              <w:t>投标报价</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25DCD069">
            <w:pPr>
              <w:spacing w:line="400" w:lineRule="exact"/>
              <w:rPr>
                <w:rFonts w:hint="eastAsia" w:ascii="宋体" w:hAnsi="宋体"/>
                <w:szCs w:val="21"/>
              </w:rPr>
            </w:pPr>
            <w:r>
              <w:rPr>
                <w:rFonts w:hint="eastAsia" w:ascii="宋体" w:hAnsi="宋体"/>
                <w:szCs w:val="21"/>
              </w:rPr>
              <w:t>投标总报价为现场交货价，包括：</w:t>
            </w:r>
          </w:p>
          <w:p w14:paraId="7E1FC66A">
            <w:pPr>
              <w:spacing w:line="400" w:lineRule="exact"/>
              <w:rPr>
                <w:rFonts w:hint="eastAsia" w:ascii="宋体" w:hAnsi="宋体"/>
                <w:szCs w:val="21"/>
              </w:rPr>
            </w:pPr>
            <w:r>
              <w:rPr>
                <w:rFonts w:hint="eastAsia" w:ascii="宋体" w:hAnsi="宋体"/>
                <w:szCs w:val="21"/>
              </w:rPr>
              <w:t>（1）货物的价格；</w:t>
            </w:r>
          </w:p>
          <w:p w14:paraId="09FBDB23">
            <w:pPr>
              <w:spacing w:line="400" w:lineRule="exact"/>
              <w:rPr>
                <w:rFonts w:hint="eastAsia" w:ascii="宋体" w:hAnsi="宋体"/>
                <w:szCs w:val="21"/>
              </w:rPr>
            </w:pPr>
            <w:r>
              <w:rPr>
                <w:rFonts w:hint="eastAsia" w:ascii="宋体" w:hAnsi="宋体"/>
                <w:szCs w:val="21"/>
              </w:rPr>
              <w:t>（2）货物的标准附件、备品备件、专用工具的价格；</w:t>
            </w:r>
          </w:p>
          <w:p w14:paraId="7BEC3FB7">
            <w:pPr>
              <w:spacing w:line="400" w:lineRule="exact"/>
              <w:rPr>
                <w:rFonts w:hint="eastAsia" w:ascii="宋体" w:hAnsi="宋体"/>
                <w:szCs w:val="21"/>
              </w:rPr>
            </w:pPr>
            <w:r>
              <w:rPr>
                <w:rFonts w:hint="eastAsia" w:ascii="宋体" w:hAnsi="宋体"/>
                <w:szCs w:val="21"/>
              </w:rPr>
              <w:t>（3）运输、调试、培训、技术支持、售后服务等费用；</w:t>
            </w:r>
          </w:p>
          <w:p w14:paraId="542CCF4A">
            <w:pPr>
              <w:spacing w:line="400" w:lineRule="exact"/>
              <w:rPr>
                <w:rFonts w:hint="eastAsia" w:ascii="宋体" w:hAnsi="宋体"/>
                <w:szCs w:val="21"/>
              </w:rPr>
            </w:pPr>
            <w:r>
              <w:rPr>
                <w:rFonts w:hint="eastAsia" w:ascii="宋体" w:hAnsi="宋体"/>
                <w:szCs w:val="21"/>
              </w:rPr>
              <w:t>（4）安装费用；</w:t>
            </w:r>
          </w:p>
          <w:p w14:paraId="669B13F3">
            <w:pPr>
              <w:spacing w:line="400" w:lineRule="exact"/>
              <w:rPr>
                <w:rFonts w:hint="eastAsia" w:ascii="宋体" w:hAnsi="宋体"/>
                <w:szCs w:val="21"/>
              </w:rPr>
            </w:pPr>
            <w:r>
              <w:rPr>
                <w:rFonts w:hint="eastAsia" w:ascii="宋体" w:hAnsi="宋体"/>
                <w:szCs w:val="21"/>
              </w:rPr>
              <w:t>（5）招标代理服务费、必要的保险费用和各项税费。</w:t>
            </w:r>
          </w:p>
        </w:tc>
      </w:tr>
      <w:tr w14:paraId="4A8F49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34052B61">
            <w:pPr>
              <w:spacing w:line="400" w:lineRule="exact"/>
              <w:jc w:val="center"/>
              <w:rPr>
                <w:rFonts w:hint="eastAsia" w:ascii="宋体" w:hAnsi="宋体"/>
                <w:kern w:val="0"/>
                <w:szCs w:val="21"/>
              </w:rPr>
            </w:pPr>
            <w:r>
              <w:rPr>
                <w:rFonts w:ascii="宋体" w:hAnsi="宋体"/>
                <w:kern w:val="0"/>
                <w:szCs w:val="21"/>
              </w:rPr>
              <w:t>履约保证金</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53E66F9E">
            <w:pPr>
              <w:spacing w:line="400" w:lineRule="exact"/>
              <w:rPr>
                <w:rFonts w:hint="eastAsia" w:ascii="宋体" w:hAnsi="宋体"/>
                <w:szCs w:val="21"/>
              </w:rPr>
            </w:pPr>
            <w:r>
              <w:rPr>
                <w:rFonts w:hint="eastAsia" w:ascii="宋体" w:hAnsi="宋体"/>
                <w:szCs w:val="21"/>
              </w:rPr>
              <w:t>为使中标人保证货物和服务质量，中标人在签订合同前向采购人交纳合同总金额5%（中小企业2%）的履约保证金。</w:t>
            </w:r>
          </w:p>
          <w:p w14:paraId="79DE9232">
            <w:pPr>
              <w:spacing w:line="400" w:lineRule="exact"/>
              <w:rPr>
                <w:rFonts w:hint="eastAsia" w:ascii="宋体" w:hAnsi="宋体"/>
                <w:szCs w:val="21"/>
              </w:rPr>
            </w:pPr>
            <w:r>
              <w:rPr>
                <w:rFonts w:hint="eastAsia" w:ascii="宋体" w:hAnsi="宋体"/>
                <w:szCs w:val="21"/>
              </w:rPr>
              <w:t>中标人按合同要求完全履约，项目验收合格后，待中标人履行完质保义务且无违约情况下后由采购人无息退还。合同履行期间，中标人存在违约的，采购人有权从履约保证金中先行抵扣，不足部分由中标人另行支付，采购人直接从履约保证金中扣除的，中标人应于接到采购人补足履约保证金通知之日起3个工作日内补足。</w:t>
            </w:r>
          </w:p>
          <w:p w14:paraId="753B00DD">
            <w:pPr>
              <w:spacing w:line="400" w:lineRule="exact"/>
              <w:rPr>
                <w:rFonts w:hint="eastAsia" w:ascii="宋体" w:hAnsi="宋体"/>
                <w:szCs w:val="21"/>
              </w:rPr>
            </w:pPr>
            <w:r>
              <w:rPr>
                <w:rFonts w:hint="eastAsia" w:ascii="宋体" w:hAnsi="宋体"/>
                <w:szCs w:val="21"/>
              </w:rPr>
              <w:t>注：符合《 广西壮族自治区财政厅关于规范政府采购货物和服务项目保证金管理的通知》桂财规〔2022〕8号文件要求的，按照相关要求执行。</w:t>
            </w:r>
          </w:p>
          <w:p w14:paraId="2653C863">
            <w:pPr>
              <w:spacing w:line="400" w:lineRule="exact"/>
              <w:rPr>
                <w:rFonts w:hint="eastAsia" w:ascii="宋体" w:hAnsi="宋体"/>
                <w:szCs w:val="21"/>
              </w:rPr>
            </w:pPr>
            <w:r>
              <w:rPr>
                <w:rFonts w:hint="eastAsia" w:ascii="宋体" w:hAnsi="宋体"/>
                <w:szCs w:val="21"/>
              </w:rPr>
              <w:t>履约保证金提交方式：银行转账、支票、汇票等非现金方式。</w:t>
            </w:r>
          </w:p>
          <w:p w14:paraId="36A995DF">
            <w:pPr>
              <w:spacing w:line="400" w:lineRule="exact"/>
              <w:rPr>
                <w:rFonts w:hint="eastAsia" w:ascii="宋体" w:hAnsi="宋体"/>
                <w:szCs w:val="21"/>
              </w:rPr>
            </w:pPr>
            <w:r>
              <w:rPr>
                <w:rFonts w:hint="eastAsia" w:ascii="宋体" w:hAnsi="宋体"/>
                <w:szCs w:val="21"/>
              </w:rPr>
              <w:t>履约保证金指定账户：</w:t>
            </w:r>
          </w:p>
          <w:p w14:paraId="693A4AAA">
            <w:pPr>
              <w:spacing w:line="400" w:lineRule="exact"/>
              <w:rPr>
                <w:rFonts w:hint="eastAsia" w:ascii="宋体" w:hAnsi="宋体"/>
                <w:szCs w:val="21"/>
              </w:rPr>
            </w:pPr>
            <w:r>
              <w:rPr>
                <w:rFonts w:hint="eastAsia" w:ascii="宋体" w:hAnsi="宋体"/>
                <w:szCs w:val="21"/>
              </w:rPr>
              <w:t xml:space="preserve">开户名称：广西艺术学院    </w:t>
            </w:r>
          </w:p>
          <w:p w14:paraId="22659DF6">
            <w:pPr>
              <w:spacing w:line="400" w:lineRule="exact"/>
              <w:rPr>
                <w:rFonts w:hint="eastAsia" w:ascii="宋体" w:hAnsi="宋体"/>
                <w:szCs w:val="21"/>
              </w:rPr>
            </w:pPr>
            <w:r>
              <w:rPr>
                <w:rFonts w:hint="eastAsia" w:ascii="宋体" w:hAnsi="宋体"/>
                <w:szCs w:val="21"/>
              </w:rPr>
              <w:t xml:space="preserve">开户银行：建行南宁市桃源支行    </w:t>
            </w:r>
          </w:p>
          <w:p w14:paraId="4FB64F09">
            <w:pPr>
              <w:spacing w:line="400" w:lineRule="exact"/>
              <w:rPr>
                <w:rFonts w:hint="eastAsia" w:ascii="宋体" w:hAnsi="宋体"/>
                <w:szCs w:val="21"/>
              </w:rPr>
            </w:pPr>
            <w:r>
              <w:rPr>
                <w:rFonts w:hint="eastAsia" w:ascii="宋体" w:hAnsi="宋体"/>
                <w:szCs w:val="21"/>
              </w:rPr>
              <w:t xml:space="preserve">银行账号：45001604559050500909     </w:t>
            </w:r>
          </w:p>
          <w:p w14:paraId="7B8235D1">
            <w:pPr>
              <w:spacing w:line="400" w:lineRule="exact"/>
              <w:rPr>
                <w:rFonts w:hint="eastAsia" w:ascii="宋体" w:hAnsi="宋体"/>
                <w:szCs w:val="21"/>
              </w:rPr>
            </w:pPr>
            <w:r>
              <w:rPr>
                <w:rFonts w:hint="eastAsia" w:ascii="宋体" w:hAnsi="宋体"/>
                <w:szCs w:val="21"/>
              </w:rPr>
              <w:t>备注：</w:t>
            </w:r>
          </w:p>
          <w:p w14:paraId="1BA76919">
            <w:pPr>
              <w:spacing w:line="400" w:lineRule="exact"/>
              <w:rPr>
                <w:rFonts w:hint="eastAsia" w:ascii="宋体" w:hAnsi="宋体"/>
                <w:szCs w:val="21"/>
              </w:rPr>
            </w:pPr>
            <w:r>
              <w:rPr>
                <w:rFonts w:hint="eastAsia" w:ascii="宋体" w:hAnsi="宋体"/>
                <w:szCs w:val="21"/>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6E3EEE89">
            <w:pPr>
              <w:spacing w:line="400" w:lineRule="exact"/>
              <w:rPr>
                <w:rFonts w:hint="eastAsia" w:ascii="宋体" w:hAnsi="宋体"/>
                <w:szCs w:val="21"/>
              </w:rPr>
            </w:pPr>
            <w:r>
              <w:rPr>
                <w:rFonts w:hint="eastAsia" w:ascii="宋体" w:hAnsi="宋体"/>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41A6191">
            <w:pPr>
              <w:spacing w:line="400" w:lineRule="exact"/>
              <w:rPr>
                <w:rFonts w:hint="eastAsia" w:ascii="宋体" w:hAnsi="宋体"/>
                <w:szCs w:val="21"/>
              </w:rPr>
            </w:pPr>
            <w:r>
              <w:rPr>
                <w:rFonts w:hint="eastAsia" w:ascii="宋体" w:hAnsi="宋体"/>
                <w:szCs w:val="21"/>
              </w:rPr>
              <w:t>3.采用金融、担保机构出具的保函的，必须为无条件保函，否则不予签订合同。</w:t>
            </w:r>
          </w:p>
        </w:tc>
      </w:tr>
      <w:tr w14:paraId="4D6E5F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18460540">
            <w:pPr>
              <w:spacing w:line="360" w:lineRule="auto"/>
              <w:jc w:val="center"/>
              <w:rPr>
                <w:rFonts w:hint="eastAsia" w:ascii="宋体" w:hAnsi="宋体" w:cs="宋体"/>
                <w:szCs w:val="21"/>
              </w:rPr>
            </w:pPr>
            <w:r>
              <w:rPr>
                <w:rFonts w:hint="eastAsia" w:ascii="宋体" w:hAnsi="宋体" w:cs="宋体"/>
                <w:szCs w:val="21"/>
              </w:rPr>
              <w:t>知识产权</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06739CE0">
            <w:pPr>
              <w:spacing w:line="360" w:lineRule="auto"/>
              <w:rPr>
                <w:rFonts w:hint="eastAsia" w:ascii="宋体" w:hAnsi="宋体" w:cs="宋体"/>
                <w:szCs w:val="21"/>
              </w:rPr>
            </w:pPr>
            <w:r>
              <w:rPr>
                <w:rFonts w:hint="eastAsia" w:ascii="宋体" w:hAnsi="宋体" w:cs="宋体"/>
                <w:szCs w:val="21"/>
              </w:rPr>
              <w:t>供应商应对投标承诺内容及服务成果所涉及的专利、著作权等知识产权承担责任，并负责保护用户的利益不受任何损害。一切由于文字、商标、技术和软件专利授权引起的法律裁决、诉讼和赔偿费用均由供应商负责。所使用的设备、材料须符合国家有关标准要求。</w:t>
            </w:r>
          </w:p>
        </w:tc>
      </w:tr>
      <w:tr w14:paraId="69FBE2B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17D1B894">
            <w:pPr>
              <w:spacing w:line="400" w:lineRule="exact"/>
              <w:rPr>
                <w:rFonts w:hint="eastAsia" w:ascii="宋体" w:hAnsi="宋体" w:cs="宋体"/>
                <w:b/>
                <w:bCs/>
                <w:szCs w:val="21"/>
              </w:rPr>
            </w:pPr>
            <w:r>
              <w:rPr>
                <w:rFonts w:hint="eastAsia" w:ascii="宋体" w:hAnsi="宋体" w:cs="宋体"/>
                <w:b/>
                <w:bCs/>
                <w:szCs w:val="21"/>
              </w:rPr>
              <w:t>二、与实现项目目标相关的其他要求</w:t>
            </w:r>
          </w:p>
        </w:tc>
      </w:tr>
      <w:tr w14:paraId="06AF491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7F5A9599">
            <w:pPr>
              <w:spacing w:line="400" w:lineRule="exact"/>
              <w:rPr>
                <w:rFonts w:hint="eastAsia" w:ascii="宋体" w:hAnsi="宋体" w:cs="宋体"/>
                <w:b/>
                <w:szCs w:val="21"/>
              </w:rPr>
            </w:pPr>
            <w:r>
              <w:rPr>
                <w:rFonts w:hint="eastAsia" w:ascii="宋体" w:hAnsi="宋体" w:cs="宋体"/>
                <w:b/>
                <w:szCs w:val="21"/>
              </w:rPr>
              <w:t>（一）供应商的履约能力要求</w:t>
            </w:r>
          </w:p>
        </w:tc>
      </w:tr>
      <w:tr w14:paraId="0CCCCF6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1A5D324B">
            <w:pPr>
              <w:spacing w:line="400" w:lineRule="exact"/>
              <w:rPr>
                <w:rFonts w:hint="eastAsia" w:ascii="宋体" w:hAnsi="宋体" w:cs="宋体"/>
                <w:b/>
                <w:szCs w:val="21"/>
              </w:rPr>
            </w:pPr>
            <w:r>
              <w:rPr>
                <w:rFonts w:ascii="宋体" w:hAnsi="宋体"/>
                <w:bCs/>
                <w:szCs w:val="21"/>
              </w:rPr>
              <w:t>质量管理、企业信用要求</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3A10ECF2">
            <w:pPr>
              <w:spacing w:line="400" w:lineRule="exact"/>
              <w:rPr>
                <w:rFonts w:hint="eastAsia" w:ascii="宋体" w:hAnsi="宋体" w:cs="宋体"/>
                <w:szCs w:val="21"/>
              </w:rPr>
            </w:pPr>
            <w:r>
              <w:rPr>
                <w:rFonts w:ascii="宋体" w:hAnsi="宋体"/>
                <w:bCs/>
                <w:szCs w:val="21"/>
              </w:rPr>
              <w:t>见本招标文件“评标办法及评分标准”。</w:t>
            </w:r>
          </w:p>
        </w:tc>
      </w:tr>
      <w:tr w14:paraId="703670A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51BB920E">
            <w:pPr>
              <w:spacing w:line="400" w:lineRule="exact"/>
              <w:rPr>
                <w:rFonts w:hint="eastAsia" w:ascii="宋体" w:hAnsi="宋体" w:cs="宋体"/>
                <w:b/>
                <w:szCs w:val="21"/>
              </w:rPr>
            </w:pPr>
            <w:r>
              <w:rPr>
                <w:rFonts w:ascii="宋体" w:hAnsi="宋体"/>
                <w:bCs/>
                <w:szCs w:val="21"/>
              </w:rPr>
              <w:t>能力或业绩要求</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12B8E0F7">
            <w:pPr>
              <w:spacing w:line="400" w:lineRule="exact"/>
              <w:rPr>
                <w:rFonts w:hint="eastAsia" w:ascii="宋体" w:hAnsi="宋体" w:cs="宋体"/>
                <w:szCs w:val="21"/>
              </w:rPr>
            </w:pPr>
            <w:r>
              <w:rPr>
                <w:rFonts w:ascii="宋体" w:hAnsi="宋体"/>
                <w:bCs/>
                <w:szCs w:val="21"/>
              </w:rPr>
              <w:t>见本招标文件“评标办法及评分标准”。</w:t>
            </w:r>
          </w:p>
        </w:tc>
      </w:tr>
      <w:tr w14:paraId="758CB45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18ECCBCA">
            <w:pPr>
              <w:spacing w:line="400" w:lineRule="exact"/>
              <w:rPr>
                <w:rFonts w:hint="eastAsia" w:ascii="宋体" w:hAnsi="宋体"/>
                <w:bCs/>
                <w:szCs w:val="21"/>
              </w:rPr>
            </w:pPr>
            <w:r>
              <w:rPr>
                <w:rFonts w:hint="eastAsia" w:ascii="宋体" w:hAnsi="宋体"/>
                <w:b/>
                <w:szCs w:val="21"/>
              </w:rPr>
              <w:t>（二）政策性加分条件</w:t>
            </w:r>
          </w:p>
        </w:tc>
      </w:tr>
      <w:tr w14:paraId="1EA9FB8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6BA2B183">
            <w:pPr>
              <w:spacing w:line="400" w:lineRule="exact"/>
              <w:rPr>
                <w:rFonts w:hint="eastAsia" w:ascii="宋体" w:hAnsi="宋体"/>
                <w:bCs/>
                <w:szCs w:val="21"/>
              </w:rPr>
            </w:pPr>
            <w:r>
              <w:rPr>
                <w:rFonts w:ascii="宋体" w:hAnsi="宋体"/>
                <w:bCs/>
                <w:szCs w:val="21"/>
              </w:rPr>
              <w:t>符合节能环保等国家政策要求。</w:t>
            </w:r>
          </w:p>
        </w:tc>
      </w:tr>
      <w:tr w14:paraId="4459820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76A3F326">
            <w:pPr>
              <w:tabs>
                <w:tab w:val="left" w:pos="180"/>
                <w:tab w:val="left" w:pos="1620"/>
              </w:tabs>
              <w:spacing w:line="400" w:lineRule="exact"/>
              <w:rPr>
                <w:rFonts w:hint="eastAsia" w:ascii="宋体" w:hAnsi="宋体" w:cs="宋体"/>
                <w:szCs w:val="21"/>
              </w:rPr>
            </w:pPr>
            <w:r>
              <w:rPr>
                <w:rFonts w:hint="eastAsia" w:ascii="宋体" w:hAnsi="宋体" w:cs="宋体"/>
                <w:b/>
                <w:szCs w:val="21"/>
              </w:rPr>
              <w:t>（三）验收标准</w:t>
            </w:r>
          </w:p>
        </w:tc>
      </w:tr>
      <w:tr w14:paraId="2AC9868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50441CD8">
            <w:pPr>
              <w:tabs>
                <w:tab w:val="left" w:pos="180"/>
                <w:tab w:val="left" w:pos="1620"/>
              </w:tabs>
              <w:spacing w:line="360" w:lineRule="auto"/>
              <w:rPr>
                <w:rFonts w:hint="eastAsia" w:ascii="宋体" w:hAnsi="宋体" w:cs="宋体"/>
                <w:bCs/>
                <w:szCs w:val="21"/>
              </w:rPr>
            </w:pPr>
            <w:r>
              <w:rPr>
                <w:rFonts w:hint="eastAsia" w:ascii="宋体" w:hAnsi="宋体" w:cs="宋体"/>
                <w:bCs/>
                <w:szCs w:val="21"/>
              </w:rPr>
              <w:t xml:space="preserve">1.中标人向采购人提供的货物必须是未使用过的原装产品。 </w:t>
            </w:r>
          </w:p>
          <w:p w14:paraId="6129A56C">
            <w:pPr>
              <w:tabs>
                <w:tab w:val="left" w:pos="180"/>
                <w:tab w:val="left" w:pos="1620"/>
              </w:tabs>
              <w:spacing w:line="360" w:lineRule="auto"/>
              <w:rPr>
                <w:rFonts w:hint="eastAsia" w:ascii="宋体" w:hAnsi="宋体" w:cs="宋体"/>
                <w:bCs/>
                <w:szCs w:val="21"/>
              </w:rPr>
            </w:pPr>
            <w:r>
              <w:rPr>
                <w:rFonts w:hint="eastAsia" w:ascii="宋体" w:hAnsi="宋体" w:cs="宋体"/>
                <w:bCs/>
                <w:szCs w:val="21"/>
              </w:rPr>
              <w:t>2.验收过程中所产生的一切费用均由中标人承担，报价时应考虑相关费用。</w:t>
            </w:r>
          </w:p>
          <w:p w14:paraId="303F0B43">
            <w:pPr>
              <w:tabs>
                <w:tab w:val="left" w:pos="180"/>
                <w:tab w:val="left" w:pos="1620"/>
              </w:tabs>
              <w:spacing w:line="360" w:lineRule="auto"/>
              <w:rPr>
                <w:rFonts w:hint="eastAsia" w:ascii="宋体" w:hAnsi="宋体" w:cs="宋体"/>
                <w:bCs/>
                <w:szCs w:val="21"/>
              </w:rPr>
            </w:pPr>
            <w:r>
              <w:rPr>
                <w:rFonts w:hint="eastAsia" w:ascii="宋体" w:hAnsi="宋体" w:cs="宋体"/>
                <w:bCs/>
                <w:szCs w:val="21"/>
              </w:rPr>
              <w:t>3.中标人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63C08BFC">
            <w:pPr>
              <w:tabs>
                <w:tab w:val="left" w:pos="180"/>
                <w:tab w:val="left" w:pos="1620"/>
              </w:tabs>
              <w:spacing w:line="360" w:lineRule="auto"/>
              <w:rPr>
                <w:rFonts w:hint="eastAsia" w:ascii="宋体" w:hAnsi="宋体" w:cs="宋体"/>
                <w:bCs/>
                <w:szCs w:val="21"/>
              </w:rPr>
            </w:pPr>
            <w:r>
              <w:rPr>
                <w:rFonts w:hint="eastAsia" w:ascii="宋体" w:hAnsi="宋体" w:cs="宋体"/>
                <w:bCs/>
                <w:szCs w:val="21"/>
              </w:rPr>
              <w:t>4.本采购文件的相关要求。</w:t>
            </w:r>
          </w:p>
          <w:p w14:paraId="18931904">
            <w:pPr>
              <w:tabs>
                <w:tab w:val="left" w:pos="180"/>
                <w:tab w:val="left" w:pos="1620"/>
              </w:tabs>
              <w:spacing w:line="360" w:lineRule="auto"/>
              <w:rPr>
                <w:rFonts w:hint="eastAsia" w:ascii="宋体" w:hAnsi="宋体" w:cs="宋体"/>
                <w:bCs/>
                <w:szCs w:val="21"/>
              </w:rPr>
            </w:pPr>
            <w:r>
              <w:rPr>
                <w:rFonts w:hint="eastAsia" w:ascii="宋体" w:hAnsi="宋体" w:cs="宋体"/>
                <w:bCs/>
                <w:szCs w:val="21"/>
              </w:rPr>
              <w:t>5.国家相关标准、行业标准、地方标准或者其他标准、规范。</w:t>
            </w:r>
          </w:p>
          <w:p w14:paraId="06884474">
            <w:pPr>
              <w:tabs>
                <w:tab w:val="left" w:pos="180"/>
                <w:tab w:val="left" w:pos="1620"/>
              </w:tabs>
              <w:spacing w:line="360" w:lineRule="auto"/>
              <w:rPr>
                <w:rFonts w:hint="eastAsia" w:ascii="宋体" w:hAnsi="宋体" w:cs="宋体"/>
                <w:bCs/>
                <w:szCs w:val="21"/>
              </w:rPr>
            </w:pPr>
            <w:r>
              <w:rPr>
                <w:rFonts w:hint="eastAsia" w:ascii="宋体" w:hAnsi="宋体" w:cs="宋体"/>
                <w:bCs/>
                <w:szCs w:val="21"/>
              </w:rPr>
              <w:t>6.产品在供货时采购人有权可对中标人所投产品进行功能测试，由采购人提供测试环境、测试方案。经测试，产品中的任何一项指标未达到中标人投标文件中响应的性能、功能指标等要求，视中标人为虚假应标，采购人有权解除合同。</w:t>
            </w:r>
          </w:p>
        </w:tc>
      </w:tr>
      <w:tr w14:paraId="3EF265A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48DC7971">
            <w:pPr>
              <w:spacing w:line="400" w:lineRule="exact"/>
              <w:rPr>
                <w:rFonts w:hint="eastAsia" w:ascii="宋体" w:hAnsi="宋体" w:cs="宋体"/>
                <w:b/>
                <w:szCs w:val="21"/>
              </w:rPr>
            </w:pPr>
            <w:r>
              <w:rPr>
                <w:rFonts w:hint="eastAsia" w:ascii="宋体" w:hAnsi="宋体" w:cs="宋体"/>
                <w:b/>
                <w:szCs w:val="21"/>
              </w:rPr>
              <w:t>（四）进口产品说明</w:t>
            </w:r>
          </w:p>
        </w:tc>
      </w:tr>
      <w:tr w14:paraId="180D496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6840BD3D">
            <w:pPr>
              <w:spacing w:line="360" w:lineRule="auto"/>
              <w:rPr>
                <w:rFonts w:hint="eastAsia" w:ascii="宋体" w:hAnsi="宋体" w:cs="宋体"/>
                <w:szCs w:val="21"/>
              </w:rPr>
            </w:pPr>
            <w:r>
              <w:rPr>
                <w:rFonts w:hint="eastAsia" w:ascii="宋体" w:hAnsi="宋体" w:cs="宋体"/>
                <w:szCs w:val="21"/>
              </w:rPr>
              <w:t>进口产品说明</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5D6B6941">
            <w:pPr>
              <w:tabs>
                <w:tab w:val="left" w:pos="180"/>
                <w:tab w:val="left" w:pos="1620"/>
              </w:tabs>
              <w:spacing w:line="360" w:lineRule="auto"/>
              <w:rPr>
                <w:rFonts w:hint="eastAsia" w:ascii="宋体" w:hAnsi="宋体" w:cs="宋体"/>
                <w:bCs/>
                <w:szCs w:val="21"/>
              </w:rPr>
            </w:pPr>
            <w:r>
              <w:rPr>
                <w:rFonts w:hint="eastAsia" w:ascii="宋体" w:hAnsi="宋体" w:cs="宋体"/>
                <w:bCs/>
                <w:szCs w:val="21"/>
              </w:rPr>
              <w:t>□本表的第</w:t>
            </w:r>
            <w:r>
              <w:rPr>
                <w:rFonts w:hint="eastAsia" w:ascii="宋体" w:hAnsi="宋体" w:cs="宋体"/>
                <w:bCs/>
                <w:szCs w:val="21"/>
                <w:u w:val="single"/>
              </w:rPr>
              <w:t xml:space="preserve">  </w:t>
            </w:r>
            <w:r>
              <w:rPr>
                <w:rFonts w:hint="eastAsia" w:ascii="宋体" w:hAnsi="宋体" w:cs="宋体"/>
                <w:bCs/>
                <w:szCs w:val="2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宋体" w:hAnsi="宋体" w:cs="宋体"/>
                <w:b/>
                <w:szCs w:val="21"/>
              </w:rPr>
              <w:t>否则作无效标处理</w:t>
            </w:r>
            <w:r>
              <w:rPr>
                <w:rFonts w:hint="eastAsia" w:ascii="宋体" w:hAnsi="宋体" w:cs="宋体"/>
                <w:bCs/>
                <w:szCs w:val="21"/>
              </w:rPr>
              <w:t>。</w:t>
            </w:r>
          </w:p>
          <w:p w14:paraId="25F05CAF">
            <w:pPr>
              <w:tabs>
                <w:tab w:val="left" w:pos="180"/>
                <w:tab w:val="left" w:pos="1620"/>
              </w:tabs>
              <w:spacing w:line="360" w:lineRule="auto"/>
              <w:rPr>
                <w:rFonts w:hint="eastAsia" w:ascii="宋体" w:hAnsi="宋体" w:cs="宋体"/>
                <w:szCs w:val="21"/>
              </w:rPr>
            </w:pPr>
            <w:r>
              <w:rPr>
                <w:rFonts w:hint="eastAsia" w:ascii="宋体" w:hAnsi="宋体" w:cs="宋体"/>
                <w:bCs/>
                <w:szCs w:val="21"/>
              </w:rPr>
              <w:t>☑本分标货物不接受进口产品（即通过中国海关报关验放进入中国境内且产自关境外的产品）参与投标，</w:t>
            </w:r>
            <w:r>
              <w:rPr>
                <w:rFonts w:hint="eastAsia" w:ascii="宋体" w:hAnsi="宋体" w:cs="宋体"/>
                <w:b/>
                <w:szCs w:val="21"/>
              </w:rPr>
              <w:t>如有进口产品参与投标的作无效标处理</w:t>
            </w:r>
            <w:r>
              <w:rPr>
                <w:rFonts w:hint="eastAsia" w:ascii="宋体" w:hAnsi="宋体" w:cs="宋体"/>
                <w:bCs/>
                <w:szCs w:val="21"/>
              </w:rPr>
              <w:t>。</w:t>
            </w:r>
          </w:p>
        </w:tc>
      </w:tr>
      <w:tr w14:paraId="2373DC1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56BCD370">
            <w:pPr>
              <w:spacing w:line="400" w:lineRule="exact"/>
              <w:rPr>
                <w:rFonts w:hint="eastAsia" w:ascii="宋体" w:hAnsi="宋体" w:cs="宋体"/>
                <w:b/>
                <w:szCs w:val="21"/>
              </w:rPr>
            </w:pPr>
            <w:r>
              <w:rPr>
                <w:rFonts w:hint="eastAsia" w:ascii="宋体" w:hAnsi="宋体" w:cs="宋体"/>
                <w:b/>
                <w:szCs w:val="21"/>
              </w:rPr>
              <w:t>（五）其他要求</w:t>
            </w:r>
          </w:p>
        </w:tc>
      </w:tr>
      <w:tr w14:paraId="36A8452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60DE6C36">
            <w:pPr>
              <w:pStyle w:val="18"/>
              <w:spacing w:line="360" w:lineRule="auto"/>
              <w:rPr>
                <w:rFonts w:hint="eastAsia" w:ascii="宋体" w:hAnsi="宋体" w:cs="宋体"/>
                <w:sz w:val="21"/>
                <w:szCs w:val="21"/>
              </w:rPr>
            </w:pPr>
            <w:r>
              <w:rPr>
                <w:rFonts w:hint="eastAsia" w:ascii="宋体" w:hAnsi="宋体" w:cs="宋体"/>
                <w:sz w:val="21"/>
                <w:szCs w:val="21"/>
              </w:rPr>
              <w:t>投标人根据自身情况提供安装调试方案、其他方案、信誉业绩等。</w:t>
            </w:r>
          </w:p>
        </w:tc>
      </w:tr>
    </w:tbl>
    <w:p w14:paraId="3FB16513">
      <w:pPr>
        <w:pStyle w:val="18"/>
      </w:pPr>
    </w:p>
    <w:p w14:paraId="7AE796D0">
      <w:pPr>
        <w:rPr>
          <w:rFonts w:hint="eastAsia" w:ascii="宋体" w:hAnsi="宋体"/>
          <w:b/>
          <w:szCs w:val="21"/>
        </w:rPr>
      </w:pPr>
      <w:r>
        <w:rPr>
          <w:rFonts w:hint="eastAsia" w:ascii="宋体" w:hAnsi="宋体"/>
          <w:b/>
          <w:szCs w:val="21"/>
        </w:rPr>
        <w:br w:type="page"/>
      </w:r>
    </w:p>
    <w:p w14:paraId="4E773352">
      <w:pPr>
        <w:pStyle w:val="47"/>
        <w:ind w:firstLine="422"/>
        <w:outlineLvl w:val="1"/>
        <w:rPr>
          <w:rFonts w:hint="eastAsia" w:ascii="宋体" w:hAnsi="宋体"/>
          <w:b/>
          <w:szCs w:val="21"/>
          <w:highlight w:val="yellow"/>
        </w:rPr>
      </w:pPr>
      <w:r>
        <w:rPr>
          <w:rFonts w:hint="eastAsia" w:ascii="宋体" w:hAnsi="宋体"/>
          <w:b/>
          <w:szCs w:val="21"/>
        </w:rPr>
        <w:t>分标</w:t>
      </w:r>
      <w:r>
        <w:rPr>
          <w:rFonts w:hint="eastAsia" w:ascii="宋体" w:hAnsi="宋体" w:cs="Arial"/>
          <w:b/>
          <w:szCs w:val="21"/>
          <w:u w:val="single"/>
        </w:rPr>
        <w:t>3</w:t>
      </w:r>
    </w:p>
    <w:tbl>
      <w:tblPr>
        <w:tblStyle w:val="48"/>
        <w:tblW w:w="98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50"/>
        <w:gridCol w:w="851"/>
        <w:gridCol w:w="708"/>
        <w:gridCol w:w="5093"/>
        <w:gridCol w:w="915"/>
        <w:gridCol w:w="920"/>
      </w:tblGrid>
      <w:tr w14:paraId="04007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vAlign w:val="center"/>
          </w:tcPr>
          <w:p w14:paraId="25DBB8C5">
            <w:pPr>
              <w:pStyle w:val="46"/>
              <w:ind w:left="0" w:firstLine="0" w:firstLineChars="0"/>
              <w:jc w:val="left"/>
              <w:rPr>
                <w:rFonts w:hint="eastAsia"/>
                <w:b/>
                <w:szCs w:val="21"/>
              </w:rPr>
            </w:pPr>
            <w:r>
              <w:rPr>
                <w:rFonts w:hint="eastAsia"/>
                <w:b/>
                <w:szCs w:val="21"/>
              </w:rPr>
              <w:t>本分标的核心产品为下表的第 5 项产品“</w:t>
            </w:r>
            <w:r>
              <w:rPr>
                <w:rFonts w:hint="eastAsia" w:cs="宋体"/>
                <w:b/>
                <w:szCs w:val="21"/>
              </w:rPr>
              <w:t>摄影机伺服变焦镜头1</w:t>
            </w:r>
            <w:r>
              <w:rPr>
                <w:rFonts w:hint="eastAsia"/>
                <w:b/>
                <w:szCs w:val="21"/>
              </w:rPr>
              <w:t xml:space="preserve"> ”。</w:t>
            </w:r>
          </w:p>
        </w:tc>
      </w:tr>
      <w:tr w14:paraId="6DB5E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2DB60BA">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序号</w:t>
            </w:r>
          </w:p>
        </w:tc>
        <w:tc>
          <w:tcPr>
            <w:tcW w:w="850" w:type="dxa"/>
            <w:vAlign w:val="center"/>
          </w:tcPr>
          <w:p w14:paraId="10F3EDA8">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标的的名称</w:t>
            </w:r>
          </w:p>
        </w:tc>
        <w:tc>
          <w:tcPr>
            <w:tcW w:w="851" w:type="dxa"/>
            <w:vAlign w:val="center"/>
          </w:tcPr>
          <w:p w14:paraId="3CDCEF34">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数量</w:t>
            </w:r>
          </w:p>
        </w:tc>
        <w:tc>
          <w:tcPr>
            <w:tcW w:w="708" w:type="dxa"/>
            <w:vAlign w:val="center"/>
          </w:tcPr>
          <w:p w14:paraId="496ABA79">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单位</w:t>
            </w:r>
          </w:p>
        </w:tc>
        <w:tc>
          <w:tcPr>
            <w:tcW w:w="5093" w:type="dxa"/>
            <w:vAlign w:val="center"/>
          </w:tcPr>
          <w:p w14:paraId="04253774">
            <w:pPr>
              <w:pStyle w:val="46"/>
              <w:spacing w:line="360" w:lineRule="auto"/>
              <w:ind w:left="0" w:firstLine="0" w:firstLineChars="0"/>
              <w:jc w:val="center"/>
              <w:rPr>
                <w:rFonts w:hint="eastAsia" w:cs="宋体"/>
                <w:sz w:val="21"/>
                <w:szCs w:val="21"/>
              </w:rPr>
            </w:pPr>
            <w:r>
              <w:rPr>
                <w:rFonts w:hint="eastAsia" w:cs="宋体"/>
                <w:sz w:val="21"/>
                <w:szCs w:val="21"/>
              </w:rPr>
              <w:t>技术要求</w:t>
            </w:r>
          </w:p>
        </w:tc>
        <w:tc>
          <w:tcPr>
            <w:tcW w:w="915" w:type="dxa"/>
            <w:vAlign w:val="center"/>
          </w:tcPr>
          <w:p w14:paraId="793D40C8">
            <w:pPr>
              <w:pStyle w:val="46"/>
              <w:spacing w:line="360" w:lineRule="auto"/>
              <w:ind w:left="0" w:firstLine="0" w:firstLineChars="0"/>
              <w:jc w:val="center"/>
              <w:rPr>
                <w:rFonts w:hint="eastAsia" w:cs="宋体"/>
                <w:sz w:val="21"/>
                <w:szCs w:val="21"/>
              </w:rPr>
            </w:pPr>
            <w:r>
              <w:rPr>
                <w:rFonts w:hint="eastAsia" w:cs="宋体"/>
                <w:sz w:val="21"/>
                <w:szCs w:val="21"/>
              </w:rPr>
              <w:t>单价预算（元）</w:t>
            </w:r>
          </w:p>
        </w:tc>
        <w:tc>
          <w:tcPr>
            <w:tcW w:w="920" w:type="dxa"/>
            <w:vAlign w:val="center"/>
          </w:tcPr>
          <w:p w14:paraId="2B4274B2">
            <w:pPr>
              <w:pStyle w:val="46"/>
              <w:spacing w:line="360" w:lineRule="auto"/>
              <w:ind w:left="0" w:firstLine="0" w:firstLineChars="0"/>
              <w:jc w:val="center"/>
              <w:rPr>
                <w:rFonts w:hint="eastAsia" w:cs="宋体"/>
                <w:sz w:val="21"/>
                <w:szCs w:val="21"/>
              </w:rPr>
            </w:pPr>
            <w:r>
              <w:rPr>
                <w:rFonts w:hint="eastAsia" w:cs="宋体"/>
                <w:sz w:val="21"/>
                <w:szCs w:val="21"/>
              </w:rPr>
              <w:t>分项预算（元）</w:t>
            </w:r>
          </w:p>
        </w:tc>
      </w:tr>
      <w:tr w14:paraId="118A6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84B2BD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w:t>
            </w:r>
          </w:p>
        </w:tc>
        <w:tc>
          <w:tcPr>
            <w:tcW w:w="850" w:type="dxa"/>
            <w:vAlign w:val="center"/>
          </w:tcPr>
          <w:p w14:paraId="21D8D332">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摄像机三脚架套装</w:t>
            </w:r>
          </w:p>
        </w:tc>
        <w:tc>
          <w:tcPr>
            <w:tcW w:w="851" w:type="dxa"/>
            <w:vAlign w:val="center"/>
          </w:tcPr>
          <w:p w14:paraId="0DE04BDC">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3</w:t>
            </w:r>
          </w:p>
        </w:tc>
        <w:tc>
          <w:tcPr>
            <w:tcW w:w="708" w:type="dxa"/>
            <w:vAlign w:val="center"/>
          </w:tcPr>
          <w:p w14:paraId="53394F8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54631DF5">
            <w:pPr>
              <w:widowControl/>
              <w:spacing w:line="360" w:lineRule="auto"/>
              <w:jc w:val="left"/>
              <w:textAlignment w:val="center"/>
              <w:rPr>
                <w:rFonts w:hint="eastAsia" w:ascii="宋体" w:hAnsi="宋体" w:cs="宋体"/>
              </w:rPr>
            </w:pPr>
            <w:r>
              <w:rPr>
                <w:rFonts w:hint="eastAsia" w:ascii="宋体" w:hAnsi="宋体" w:cs="宋体"/>
              </w:rPr>
              <w:t>1.最大承重：7kg；</w:t>
            </w:r>
          </w:p>
          <w:p w14:paraId="69D228C0">
            <w:pPr>
              <w:widowControl/>
              <w:spacing w:line="360" w:lineRule="auto"/>
              <w:jc w:val="left"/>
              <w:textAlignment w:val="center"/>
              <w:rPr>
                <w:rFonts w:hint="eastAsia" w:ascii="宋体" w:hAnsi="宋体" w:cs="宋体"/>
              </w:rPr>
            </w:pPr>
            <w:r>
              <w:rPr>
                <w:rFonts w:hint="eastAsia" w:ascii="宋体" w:hAnsi="宋体" w:cs="宋体"/>
              </w:rPr>
              <w:t>2.俯仰阻尼：1-4；</w:t>
            </w:r>
          </w:p>
          <w:p w14:paraId="75AC0FB8">
            <w:pPr>
              <w:widowControl/>
              <w:spacing w:line="360" w:lineRule="auto"/>
              <w:jc w:val="left"/>
              <w:textAlignment w:val="center"/>
              <w:rPr>
                <w:rFonts w:hint="eastAsia" w:ascii="宋体" w:hAnsi="宋体" w:cs="宋体"/>
              </w:rPr>
            </w:pPr>
            <w:r>
              <w:rPr>
                <w:rFonts w:hint="eastAsia" w:ascii="宋体" w:hAnsi="宋体" w:cs="宋体"/>
              </w:rPr>
              <w:t>3.动态平衡：1-4；</w:t>
            </w:r>
          </w:p>
          <w:p w14:paraId="5630AF81">
            <w:pPr>
              <w:widowControl/>
              <w:spacing w:line="360" w:lineRule="auto"/>
              <w:jc w:val="left"/>
              <w:textAlignment w:val="center"/>
              <w:rPr>
                <w:rFonts w:hint="eastAsia" w:ascii="宋体" w:hAnsi="宋体" w:cs="宋体"/>
              </w:rPr>
            </w:pPr>
            <w:r>
              <w:rPr>
                <w:rFonts w:hint="eastAsia" w:ascii="宋体" w:hAnsi="宋体" w:cs="宋体"/>
              </w:rPr>
              <w:t>4.俯仰角度：+90°/-66；</w:t>
            </w:r>
          </w:p>
          <w:p w14:paraId="538279E9">
            <w:pPr>
              <w:widowControl/>
              <w:spacing w:line="360" w:lineRule="auto"/>
              <w:jc w:val="left"/>
              <w:textAlignment w:val="center"/>
              <w:rPr>
                <w:rFonts w:hint="eastAsia" w:ascii="宋体" w:hAnsi="宋体" w:cs="宋体"/>
              </w:rPr>
            </w:pPr>
            <w:r>
              <w:rPr>
                <w:rFonts w:hint="eastAsia" w:ascii="宋体" w:hAnsi="宋体" w:cs="宋体"/>
              </w:rPr>
              <w:t>5.水平泡：玻璃；</w:t>
            </w:r>
          </w:p>
          <w:p w14:paraId="20D3DE67">
            <w:pPr>
              <w:widowControl/>
              <w:spacing w:line="360" w:lineRule="auto"/>
              <w:jc w:val="left"/>
              <w:textAlignment w:val="center"/>
              <w:rPr>
                <w:rFonts w:hint="eastAsia" w:ascii="宋体" w:hAnsi="宋体" w:cs="宋体"/>
              </w:rPr>
            </w:pPr>
            <w:r>
              <w:rPr>
                <w:rFonts w:hint="eastAsia" w:ascii="宋体" w:hAnsi="宋体" w:cs="宋体"/>
              </w:rPr>
              <w:t>6.脚架材质：碳纤维；</w:t>
            </w:r>
          </w:p>
          <w:p w14:paraId="35D1B993">
            <w:pPr>
              <w:widowControl/>
              <w:spacing w:line="360" w:lineRule="auto"/>
              <w:jc w:val="left"/>
              <w:textAlignment w:val="center"/>
              <w:rPr>
                <w:rFonts w:hint="eastAsia" w:ascii="宋体" w:hAnsi="宋体" w:cs="宋体"/>
              </w:rPr>
            </w:pPr>
            <w:r>
              <w:rPr>
                <w:rFonts w:hint="eastAsia" w:ascii="宋体" w:hAnsi="宋体" w:cs="宋体"/>
              </w:rPr>
              <w:t>7.脚架级数：一键双级三节；</w:t>
            </w:r>
          </w:p>
          <w:p w14:paraId="5430B13C">
            <w:pPr>
              <w:widowControl/>
              <w:spacing w:line="360" w:lineRule="auto"/>
              <w:jc w:val="left"/>
              <w:textAlignment w:val="center"/>
              <w:rPr>
                <w:rFonts w:hint="eastAsia" w:ascii="宋体" w:hAnsi="宋体" w:cs="宋体"/>
              </w:rPr>
            </w:pPr>
            <w:r>
              <w:rPr>
                <w:rFonts w:hint="eastAsia" w:ascii="宋体" w:hAnsi="宋体" w:cs="宋体"/>
              </w:rPr>
              <w:t>8.最小高度：665mm；</w:t>
            </w:r>
          </w:p>
          <w:p w14:paraId="6FE75CA6">
            <w:pPr>
              <w:widowControl/>
              <w:spacing w:line="360" w:lineRule="auto"/>
              <w:jc w:val="left"/>
              <w:textAlignment w:val="center"/>
              <w:rPr>
                <w:rFonts w:hint="eastAsia" w:ascii="宋体" w:hAnsi="宋体" w:cs="宋体"/>
              </w:rPr>
            </w:pPr>
            <w:r>
              <w:rPr>
                <w:rFonts w:hint="eastAsia" w:ascii="宋体" w:hAnsi="宋体" w:cs="宋体"/>
              </w:rPr>
              <w:t>9.云台重量：约2.09kg；</w:t>
            </w:r>
          </w:p>
          <w:p w14:paraId="355AFD2D">
            <w:pPr>
              <w:widowControl/>
              <w:spacing w:line="360" w:lineRule="auto"/>
              <w:jc w:val="left"/>
              <w:textAlignment w:val="center"/>
              <w:rPr>
                <w:rFonts w:hint="eastAsia" w:ascii="宋体" w:hAnsi="宋体" w:cs="宋体"/>
              </w:rPr>
            </w:pPr>
            <w:r>
              <w:rPr>
                <w:rFonts w:hint="eastAsia" w:ascii="宋体" w:hAnsi="宋体" w:cs="宋体"/>
              </w:rPr>
              <w:t>10.水平阻尼：1-4；</w:t>
            </w:r>
          </w:p>
          <w:p w14:paraId="0B6B6C64">
            <w:pPr>
              <w:widowControl/>
              <w:spacing w:line="360" w:lineRule="auto"/>
              <w:jc w:val="left"/>
              <w:textAlignment w:val="center"/>
              <w:rPr>
                <w:rFonts w:hint="eastAsia" w:ascii="宋体" w:hAnsi="宋体" w:cs="宋体"/>
              </w:rPr>
            </w:pPr>
            <w:r>
              <w:rPr>
                <w:rFonts w:hint="eastAsia" w:ascii="宋体" w:hAnsi="宋体" w:cs="宋体"/>
              </w:rPr>
              <w:t>11.温度范围：-40℃/+60℃；</w:t>
            </w:r>
          </w:p>
          <w:p w14:paraId="6F6E1F7D">
            <w:pPr>
              <w:widowControl/>
              <w:spacing w:line="360" w:lineRule="auto"/>
              <w:jc w:val="left"/>
              <w:textAlignment w:val="center"/>
              <w:rPr>
                <w:rFonts w:hint="eastAsia" w:ascii="宋体" w:hAnsi="宋体" w:cs="宋体"/>
              </w:rPr>
            </w:pPr>
            <w:r>
              <w:rPr>
                <w:rFonts w:hint="eastAsia" w:ascii="宋体" w:hAnsi="宋体" w:cs="宋体"/>
              </w:rPr>
              <w:t>12.球碗直径：75mm；</w:t>
            </w:r>
          </w:p>
          <w:p w14:paraId="4DD53137">
            <w:pPr>
              <w:tabs>
                <w:tab w:val="left" w:pos="180"/>
                <w:tab w:val="left" w:pos="1620"/>
              </w:tabs>
              <w:spacing w:line="360" w:lineRule="auto"/>
              <w:jc w:val="left"/>
              <w:rPr>
                <w:rFonts w:hint="eastAsia" w:ascii="宋体" w:hAnsi="宋体" w:cs="宋体"/>
                <w:szCs w:val="21"/>
              </w:rPr>
            </w:pPr>
            <w:r>
              <w:rPr>
                <w:rFonts w:hint="eastAsia" w:ascii="宋体" w:hAnsi="宋体" w:cs="宋体"/>
              </w:rPr>
              <w:t>13.最大高度：1760mm；</w:t>
            </w:r>
          </w:p>
        </w:tc>
      </w:tr>
      <w:tr w14:paraId="14478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8B67B4A">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2</w:t>
            </w:r>
          </w:p>
        </w:tc>
        <w:tc>
          <w:tcPr>
            <w:tcW w:w="850" w:type="dxa"/>
            <w:vAlign w:val="center"/>
          </w:tcPr>
          <w:p w14:paraId="01D3F59B">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便携提词器</w:t>
            </w:r>
          </w:p>
        </w:tc>
        <w:tc>
          <w:tcPr>
            <w:tcW w:w="851" w:type="dxa"/>
            <w:vAlign w:val="center"/>
          </w:tcPr>
          <w:p w14:paraId="46944A8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7036349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327A3392">
            <w:pPr>
              <w:widowControl/>
              <w:spacing w:line="360" w:lineRule="auto"/>
              <w:jc w:val="left"/>
              <w:textAlignment w:val="center"/>
              <w:rPr>
                <w:rStyle w:val="123"/>
                <w:rFonts w:hint="default"/>
                <w:color w:val="auto"/>
                <w:sz w:val="21"/>
                <w:szCs w:val="21"/>
              </w:rPr>
            </w:pPr>
            <w:r>
              <w:rPr>
                <w:rStyle w:val="123"/>
                <w:rFonts w:hint="default"/>
                <w:color w:val="auto"/>
                <w:sz w:val="21"/>
                <w:szCs w:val="21"/>
              </w:rPr>
              <w:t>1.平板提词器；</w:t>
            </w:r>
          </w:p>
          <w:p w14:paraId="4EA75495">
            <w:pPr>
              <w:widowControl/>
              <w:spacing w:line="360" w:lineRule="auto"/>
              <w:jc w:val="left"/>
              <w:textAlignment w:val="center"/>
              <w:rPr>
                <w:rStyle w:val="123"/>
                <w:rFonts w:hint="default"/>
                <w:color w:val="auto"/>
                <w:sz w:val="21"/>
                <w:szCs w:val="21"/>
              </w:rPr>
            </w:pPr>
            <w:r>
              <w:rPr>
                <w:rStyle w:val="123"/>
                <w:rFonts w:hint="default"/>
                <w:color w:val="auto"/>
                <w:sz w:val="21"/>
                <w:szCs w:val="21"/>
              </w:rPr>
              <w:t>2.紧扣分光镜；</w:t>
            </w:r>
          </w:p>
          <w:p w14:paraId="41C2EBC7">
            <w:pPr>
              <w:widowControl/>
              <w:spacing w:line="360" w:lineRule="auto"/>
              <w:jc w:val="left"/>
              <w:textAlignment w:val="center"/>
              <w:rPr>
                <w:rStyle w:val="123"/>
                <w:rFonts w:hint="default"/>
                <w:color w:val="auto"/>
                <w:sz w:val="21"/>
                <w:szCs w:val="21"/>
              </w:rPr>
            </w:pPr>
            <w:r>
              <w:rPr>
                <w:rStyle w:val="123"/>
                <w:rFonts w:hint="default"/>
                <w:color w:val="auto"/>
                <w:sz w:val="21"/>
                <w:szCs w:val="21"/>
              </w:rPr>
              <w:t>3.铝合金框架；</w:t>
            </w:r>
          </w:p>
          <w:p w14:paraId="38091E77">
            <w:pPr>
              <w:widowControl/>
              <w:spacing w:line="360" w:lineRule="auto"/>
              <w:jc w:val="left"/>
              <w:textAlignment w:val="center"/>
              <w:rPr>
                <w:rStyle w:val="123"/>
                <w:rFonts w:hint="default"/>
                <w:color w:val="auto"/>
                <w:sz w:val="21"/>
                <w:szCs w:val="21"/>
              </w:rPr>
            </w:pPr>
            <w:r>
              <w:rPr>
                <w:rStyle w:val="123"/>
                <w:rFonts w:hint="default"/>
                <w:color w:val="auto"/>
                <w:sz w:val="21"/>
                <w:szCs w:val="21"/>
              </w:rPr>
              <w:t>4.平板夹，支持7—12.9寸平板；</w:t>
            </w:r>
          </w:p>
          <w:p w14:paraId="44A0370F">
            <w:pPr>
              <w:widowControl/>
              <w:spacing w:line="360" w:lineRule="auto"/>
              <w:jc w:val="left"/>
              <w:textAlignment w:val="center"/>
              <w:rPr>
                <w:rStyle w:val="123"/>
                <w:rFonts w:hint="default"/>
                <w:color w:val="auto"/>
                <w:sz w:val="21"/>
                <w:szCs w:val="21"/>
              </w:rPr>
            </w:pPr>
            <w:r>
              <w:rPr>
                <w:rStyle w:val="123"/>
                <w:rFonts w:hint="default"/>
                <w:color w:val="auto"/>
                <w:sz w:val="21"/>
                <w:szCs w:val="21"/>
              </w:rPr>
              <w:t>5.配套遥控器；</w:t>
            </w:r>
          </w:p>
          <w:p w14:paraId="19737839">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6.配套托班、增高支架；</w:t>
            </w:r>
          </w:p>
        </w:tc>
      </w:tr>
      <w:tr w14:paraId="19CA6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58006E9">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3</w:t>
            </w:r>
          </w:p>
        </w:tc>
        <w:tc>
          <w:tcPr>
            <w:tcW w:w="850" w:type="dxa"/>
            <w:vAlign w:val="center"/>
          </w:tcPr>
          <w:p w14:paraId="32E54E0C">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题词平板</w:t>
            </w:r>
          </w:p>
        </w:tc>
        <w:tc>
          <w:tcPr>
            <w:tcW w:w="851" w:type="dxa"/>
            <w:vAlign w:val="center"/>
          </w:tcPr>
          <w:p w14:paraId="7C69A99B">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66E7E66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台</w:t>
            </w:r>
          </w:p>
        </w:tc>
        <w:tc>
          <w:tcPr>
            <w:tcW w:w="6928" w:type="dxa"/>
            <w:gridSpan w:val="3"/>
            <w:vAlign w:val="center"/>
          </w:tcPr>
          <w:p w14:paraId="58B3BD85">
            <w:pPr>
              <w:widowControl/>
              <w:spacing w:line="360" w:lineRule="auto"/>
              <w:jc w:val="left"/>
              <w:textAlignment w:val="center"/>
              <w:rPr>
                <w:rStyle w:val="123"/>
                <w:rFonts w:hint="default"/>
                <w:color w:val="auto"/>
                <w:sz w:val="21"/>
                <w:szCs w:val="21"/>
              </w:rPr>
            </w:pPr>
            <w:r>
              <w:rPr>
                <w:rStyle w:val="123"/>
                <w:rFonts w:hint="default"/>
                <w:color w:val="auto"/>
                <w:sz w:val="21"/>
                <w:szCs w:val="21"/>
              </w:rPr>
              <w:t>1.CPU型号：核心频率不低于3.3GHz，核心数不低于8核；</w:t>
            </w:r>
          </w:p>
          <w:p w14:paraId="4518310E">
            <w:pPr>
              <w:widowControl/>
              <w:spacing w:line="360" w:lineRule="auto"/>
              <w:jc w:val="left"/>
              <w:textAlignment w:val="center"/>
              <w:rPr>
                <w:rStyle w:val="123"/>
                <w:rFonts w:hint="default"/>
                <w:color w:val="auto"/>
                <w:sz w:val="21"/>
                <w:szCs w:val="21"/>
              </w:rPr>
            </w:pPr>
            <w:r>
              <w:rPr>
                <w:rStyle w:val="123"/>
                <w:rFonts w:hint="default"/>
                <w:color w:val="auto"/>
                <w:sz w:val="21"/>
                <w:szCs w:val="21"/>
              </w:rPr>
              <w:t>2.操作系统：Android 15；</w:t>
            </w:r>
          </w:p>
          <w:p w14:paraId="12D1F668">
            <w:pPr>
              <w:widowControl/>
              <w:spacing w:line="360" w:lineRule="auto"/>
              <w:jc w:val="left"/>
              <w:textAlignment w:val="center"/>
              <w:rPr>
                <w:rStyle w:val="123"/>
                <w:rFonts w:hint="default"/>
                <w:color w:val="auto"/>
                <w:sz w:val="21"/>
                <w:szCs w:val="21"/>
              </w:rPr>
            </w:pPr>
            <w:r>
              <w:rPr>
                <w:rStyle w:val="123"/>
                <w:rFonts w:hint="default"/>
                <w:color w:val="auto"/>
                <w:sz w:val="21"/>
                <w:szCs w:val="21"/>
              </w:rPr>
              <w:t>3.网络类型：WIFI；</w:t>
            </w:r>
          </w:p>
          <w:p w14:paraId="46A036D1">
            <w:pPr>
              <w:widowControl/>
              <w:spacing w:line="360" w:lineRule="auto"/>
              <w:jc w:val="left"/>
              <w:textAlignment w:val="center"/>
              <w:rPr>
                <w:rStyle w:val="123"/>
                <w:rFonts w:hint="default"/>
                <w:color w:val="auto"/>
                <w:sz w:val="21"/>
                <w:szCs w:val="21"/>
              </w:rPr>
            </w:pPr>
            <w:r>
              <w:rPr>
                <w:rStyle w:val="123"/>
                <w:rFonts w:hint="default"/>
                <w:color w:val="auto"/>
                <w:sz w:val="21"/>
                <w:szCs w:val="21"/>
              </w:rPr>
              <w:t>4.触摸屏类型：电容屏；</w:t>
            </w:r>
          </w:p>
          <w:p w14:paraId="2FF8B481">
            <w:pPr>
              <w:widowControl/>
              <w:spacing w:line="360" w:lineRule="auto"/>
              <w:jc w:val="left"/>
              <w:textAlignment w:val="center"/>
              <w:rPr>
                <w:rStyle w:val="123"/>
                <w:rFonts w:hint="default"/>
                <w:color w:val="auto"/>
                <w:sz w:val="21"/>
                <w:szCs w:val="21"/>
              </w:rPr>
            </w:pPr>
            <w:r>
              <w:rPr>
                <w:rStyle w:val="123"/>
                <w:rFonts w:hint="default"/>
                <w:color w:val="auto"/>
                <w:sz w:val="21"/>
                <w:szCs w:val="21"/>
              </w:rPr>
              <w:t>5.容量：≥16G+256G；</w:t>
            </w:r>
          </w:p>
          <w:p w14:paraId="7CED1A33">
            <w:pPr>
              <w:widowControl/>
              <w:spacing w:line="360" w:lineRule="auto"/>
              <w:jc w:val="left"/>
              <w:textAlignment w:val="center"/>
              <w:rPr>
                <w:rStyle w:val="123"/>
                <w:rFonts w:hint="default"/>
                <w:color w:val="auto"/>
                <w:sz w:val="21"/>
                <w:szCs w:val="21"/>
              </w:rPr>
            </w:pPr>
            <w:r>
              <w:rPr>
                <w:rStyle w:val="123"/>
                <w:rFonts w:hint="default"/>
                <w:color w:val="auto"/>
                <w:sz w:val="21"/>
                <w:szCs w:val="21"/>
              </w:rPr>
              <w:t>6.屏幕尺寸：11英寸；</w:t>
            </w:r>
          </w:p>
          <w:p w14:paraId="45A229CF">
            <w:pPr>
              <w:widowControl/>
              <w:spacing w:line="360" w:lineRule="auto"/>
              <w:jc w:val="left"/>
              <w:textAlignment w:val="center"/>
              <w:rPr>
                <w:rStyle w:val="123"/>
                <w:rFonts w:hint="default"/>
                <w:color w:val="auto"/>
                <w:sz w:val="21"/>
                <w:szCs w:val="21"/>
              </w:rPr>
            </w:pPr>
            <w:r>
              <w:rPr>
                <w:rStyle w:val="123"/>
                <w:rFonts w:hint="default"/>
                <w:color w:val="auto"/>
                <w:sz w:val="21"/>
                <w:szCs w:val="21"/>
              </w:rPr>
              <w:t>7.接口类型：Type-C；</w:t>
            </w:r>
          </w:p>
          <w:p w14:paraId="53DB18DF">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8.分辨率：2560x1600；</w:t>
            </w:r>
          </w:p>
        </w:tc>
      </w:tr>
      <w:tr w14:paraId="7DCC8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E09FA81">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4</w:t>
            </w:r>
          </w:p>
        </w:tc>
        <w:tc>
          <w:tcPr>
            <w:tcW w:w="850" w:type="dxa"/>
            <w:vAlign w:val="center"/>
          </w:tcPr>
          <w:p w14:paraId="1B60E2B3">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提词器</w:t>
            </w:r>
          </w:p>
        </w:tc>
        <w:tc>
          <w:tcPr>
            <w:tcW w:w="851" w:type="dxa"/>
            <w:vAlign w:val="center"/>
          </w:tcPr>
          <w:p w14:paraId="5F8A5A6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708" w:type="dxa"/>
            <w:vAlign w:val="center"/>
          </w:tcPr>
          <w:p w14:paraId="0B8C23F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11AD4843">
            <w:pPr>
              <w:widowControl/>
              <w:spacing w:line="360" w:lineRule="auto"/>
              <w:jc w:val="left"/>
              <w:textAlignment w:val="center"/>
              <w:rPr>
                <w:rStyle w:val="123"/>
                <w:rFonts w:hint="default"/>
                <w:color w:val="auto"/>
                <w:sz w:val="21"/>
                <w:szCs w:val="21"/>
              </w:rPr>
            </w:pPr>
            <w:r>
              <w:rPr>
                <w:rStyle w:val="123"/>
                <w:rFonts w:hint="default"/>
                <w:color w:val="auto"/>
                <w:sz w:val="21"/>
                <w:szCs w:val="21"/>
              </w:rPr>
              <w:t>一、提词器分光镜</w:t>
            </w:r>
          </w:p>
          <w:p w14:paraId="08EE29A3">
            <w:pPr>
              <w:widowControl/>
              <w:spacing w:line="360" w:lineRule="auto"/>
              <w:jc w:val="left"/>
              <w:textAlignment w:val="center"/>
              <w:rPr>
                <w:rStyle w:val="123"/>
                <w:rFonts w:hint="default"/>
                <w:color w:val="auto"/>
                <w:sz w:val="21"/>
                <w:szCs w:val="21"/>
              </w:rPr>
            </w:pPr>
            <w:r>
              <w:rPr>
                <w:rStyle w:val="123"/>
                <w:rFonts w:hint="default"/>
                <w:color w:val="auto"/>
                <w:sz w:val="21"/>
                <w:szCs w:val="21"/>
              </w:rPr>
              <w:t>1.采用2mm专业镀膜无色分光镜，多介质膜无色差超薄增透分光镜，防眩光高亮显示技术，透过率超过85%以上，分光比2：8光损失小于3%，透反率1：0.35提示器文稿显示清晰，无虚影，拍摄不穿帮。</w:t>
            </w:r>
          </w:p>
          <w:p w14:paraId="7D1908F9">
            <w:pPr>
              <w:widowControl/>
              <w:spacing w:line="360" w:lineRule="auto"/>
              <w:jc w:val="left"/>
              <w:textAlignment w:val="center"/>
              <w:rPr>
                <w:rStyle w:val="123"/>
                <w:rFonts w:hint="default"/>
                <w:color w:val="auto"/>
                <w:sz w:val="21"/>
                <w:szCs w:val="21"/>
              </w:rPr>
            </w:pPr>
            <w:r>
              <w:rPr>
                <w:rStyle w:val="123"/>
                <w:rFonts w:hint="default"/>
                <w:color w:val="auto"/>
                <w:sz w:val="21"/>
                <w:szCs w:val="21"/>
              </w:rPr>
              <w:t>二、提词器双屏幕</w:t>
            </w:r>
          </w:p>
          <w:p w14:paraId="124831CA">
            <w:pPr>
              <w:widowControl/>
              <w:spacing w:line="360" w:lineRule="auto"/>
              <w:jc w:val="left"/>
              <w:textAlignment w:val="center"/>
              <w:rPr>
                <w:rStyle w:val="123"/>
                <w:rFonts w:hint="default"/>
                <w:color w:val="auto"/>
                <w:sz w:val="21"/>
                <w:szCs w:val="21"/>
              </w:rPr>
            </w:pPr>
            <w:r>
              <w:rPr>
                <w:rStyle w:val="123"/>
                <w:rFonts w:hint="default"/>
                <w:color w:val="auto"/>
                <w:sz w:val="21"/>
                <w:szCs w:val="21"/>
              </w:rPr>
              <w:t>1.提词器屏幕采用广视角高清分辨率LED屏幕，提供VGA、HDMI双输入接口，可直接连接PC实现播音文稿，提词屏幕视角可达水平140°和垂直130°，250cd/㎡亮度标准屏。</w:t>
            </w:r>
          </w:p>
          <w:p w14:paraId="4689923E">
            <w:pPr>
              <w:widowControl/>
              <w:spacing w:line="360" w:lineRule="auto"/>
              <w:jc w:val="left"/>
              <w:textAlignment w:val="center"/>
              <w:rPr>
                <w:rStyle w:val="123"/>
                <w:rFonts w:hint="default"/>
                <w:color w:val="auto"/>
                <w:sz w:val="21"/>
                <w:szCs w:val="21"/>
              </w:rPr>
            </w:pPr>
            <w:r>
              <w:rPr>
                <w:rStyle w:val="123"/>
                <w:rFonts w:hint="default"/>
                <w:color w:val="auto"/>
                <w:sz w:val="21"/>
                <w:szCs w:val="21"/>
              </w:rPr>
              <w:t>三、提词器软件</w:t>
            </w:r>
          </w:p>
          <w:p w14:paraId="428E23AB">
            <w:pPr>
              <w:widowControl/>
              <w:spacing w:line="360" w:lineRule="auto"/>
              <w:jc w:val="left"/>
              <w:textAlignment w:val="center"/>
              <w:rPr>
                <w:rStyle w:val="123"/>
                <w:rFonts w:hint="default"/>
                <w:color w:val="auto"/>
                <w:sz w:val="21"/>
                <w:szCs w:val="21"/>
              </w:rPr>
            </w:pPr>
            <w:r>
              <w:rPr>
                <w:rStyle w:val="123"/>
                <w:rFonts w:hint="default"/>
                <w:color w:val="auto"/>
                <w:sz w:val="21"/>
                <w:szCs w:val="21"/>
              </w:rPr>
              <w:t>1.兼容性强支持:Windows xp、Windows 7、Windows10 操作系统；</w:t>
            </w:r>
          </w:p>
          <w:p w14:paraId="1312B4CA">
            <w:pPr>
              <w:widowControl/>
              <w:spacing w:line="360" w:lineRule="auto"/>
              <w:jc w:val="left"/>
              <w:textAlignment w:val="center"/>
              <w:rPr>
                <w:rStyle w:val="123"/>
                <w:rFonts w:hint="default"/>
                <w:color w:val="auto"/>
                <w:sz w:val="21"/>
                <w:szCs w:val="21"/>
              </w:rPr>
            </w:pPr>
            <w:r>
              <w:rPr>
                <w:rStyle w:val="123"/>
                <w:rFonts w:hint="default"/>
                <w:color w:val="auto"/>
                <w:sz w:val="21"/>
                <w:szCs w:val="21"/>
              </w:rPr>
              <w:t>2.支持镜像、多人分色播出，不同主持人可设置字色背景色进行区分，滚动速度任意调整，字号、字体、字色、背景色任意搭配等功能；</w:t>
            </w:r>
          </w:p>
          <w:p w14:paraId="34BC71AF">
            <w:pPr>
              <w:widowControl/>
              <w:spacing w:line="360" w:lineRule="auto"/>
              <w:jc w:val="left"/>
              <w:textAlignment w:val="center"/>
              <w:rPr>
                <w:rStyle w:val="123"/>
                <w:rFonts w:hint="default"/>
                <w:color w:val="auto"/>
                <w:sz w:val="21"/>
                <w:szCs w:val="21"/>
              </w:rPr>
            </w:pPr>
            <w:r>
              <w:rPr>
                <w:rStyle w:val="123"/>
                <w:rFonts w:hint="default"/>
                <w:color w:val="auto"/>
                <w:sz w:val="21"/>
                <w:szCs w:val="21"/>
              </w:rPr>
              <w:t>3.文稿编辑操作简单，自动完成排版，支持txt、rtf、word等格式文本，支持图片，word，PPT，视频等文件；</w:t>
            </w:r>
          </w:p>
          <w:p w14:paraId="313969C0">
            <w:pPr>
              <w:widowControl/>
              <w:spacing w:line="360" w:lineRule="auto"/>
              <w:jc w:val="left"/>
              <w:textAlignment w:val="center"/>
              <w:rPr>
                <w:rStyle w:val="123"/>
                <w:rFonts w:hint="default"/>
                <w:color w:val="auto"/>
                <w:sz w:val="21"/>
                <w:szCs w:val="21"/>
              </w:rPr>
            </w:pPr>
            <w:r>
              <w:rPr>
                <w:rStyle w:val="123"/>
                <w:rFonts w:hint="default"/>
                <w:color w:val="auto"/>
                <w:sz w:val="21"/>
                <w:szCs w:val="21"/>
              </w:rPr>
              <w:t>4.采用高分辨率彩显自带镜像功能，分辨率高，视觉清晰，图象鲜艳，字符大、亮度高、画面平滑无抖动；</w:t>
            </w:r>
          </w:p>
          <w:p w14:paraId="55E1EFBB">
            <w:pPr>
              <w:widowControl/>
              <w:spacing w:line="360" w:lineRule="auto"/>
              <w:jc w:val="left"/>
              <w:textAlignment w:val="center"/>
              <w:rPr>
                <w:rStyle w:val="123"/>
                <w:rFonts w:hint="default"/>
                <w:color w:val="auto"/>
                <w:sz w:val="21"/>
                <w:szCs w:val="21"/>
              </w:rPr>
            </w:pPr>
            <w:r>
              <w:rPr>
                <w:rStyle w:val="123"/>
                <w:rFonts w:hint="default"/>
                <w:color w:val="auto"/>
                <w:sz w:val="21"/>
                <w:szCs w:val="21"/>
              </w:rPr>
              <w:t>5.支持英、日、韩、德、俄、法、阿拉伯文等外语，藏、蒙、傣、维、朝鲜等少数民族语言；</w:t>
            </w:r>
          </w:p>
          <w:p w14:paraId="41FE30E0">
            <w:pPr>
              <w:widowControl/>
              <w:spacing w:line="360" w:lineRule="auto"/>
              <w:jc w:val="left"/>
              <w:textAlignment w:val="center"/>
              <w:rPr>
                <w:rStyle w:val="123"/>
                <w:rFonts w:hint="default"/>
                <w:color w:val="auto"/>
                <w:sz w:val="21"/>
                <w:szCs w:val="21"/>
              </w:rPr>
            </w:pPr>
            <w:r>
              <w:rPr>
                <w:rStyle w:val="123"/>
                <w:rFonts w:hint="default"/>
                <w:color w:val="auto"/>
                <w:sz w:val="21"/>
                <w:szCs w:val="21"/>
              </w:rPr>
              <w:t>6.内容实时更新，可在电脑提词软件小窗口实时编辑播放内容；</w:t>
            </w:r>
          </w:p>
          <w:p w14:paraId="54725473">
            <w:pPr>
              <w:widowControl/>
              <w:spacing w:line="360" w:lineRule="auto"/>
              <w:jc w:val="left"/>
              <w:textAlignment w:val="center"/>
              <w:rPr>
                <w:rStyle w:val="123"/>
                <w:rFonts w:hint="default"/>
                <w:color w:val="auto"/>
                <w:sz w:val="21"/>
                <w:szCs w:val="21"/>
              </w:rPr>
            </w:pPr>
            <w:r>
              <w:rPr>
                <w:rStyle w:val="123"/>
                <w:rFonts w:hint="default"/>
                <w:color w:val="auto"/>
                <w:sz w:val="21"/>
                <w:szCs w:val="21"/>
              </w:rPr>
              <w:t>7.支持手机或平板同屏控制提词，脱离电脑主机使用；</w:t>
            </w:r>
          </w:p>
          <w:p w14:paraId="0EDEDBB4">
            <w:pPr>
              <w:widowControl/>
              <w:spacing w:line="360" w:lineRule="auto"/>
              <w:jc w:val="left"/>
              <w:textAlignment w:val="center"/>
              <w:rPr>
                <w:rStyle w:val="123"/>
                <w:rFonts w:hint="default"/>
                <w:color w:val="auto"/>
                <w:sz w:val="21"/>
                <w:szCs w:val="21"/>
              </w:rPr>
            </w:pPr>
            <w:r>
              <w:rPr>
                <w:rStyle w:val="123"/>
                <w:rFonts w:hint="default"/>
                <w:color w:val="auto"/>
                <w:sz w:val="21"/>
                <w:szCs w:val="21"/>
              </w:rPr>
              <w:t>8.语音控制，通过电脑端，提词文稿播放速度，随语速快慢同步变化；</w:t>
            </w:r>
          </w:p>
          <w:p w14:paraId="0763C5C3">
            <w:pPr>
              <w:widowControl/>
              <w:spacing w:line="360" w:lineRule="auto"/>
              <w:jc w:val="left"/>
              <w:textAlignment w:val="center"/>
              <w:rPr>
                <w:rStyle w:val="123"/>
                <w:rFonts w:hint="default"/>
                <w:color w:val="auto"/>
                <w:sz w:val="21"/>
                <w:szCs w:val="21"/>
              </w:rPr>
            </w:pPr>
            <w:r>
              <w:rPr>
                <w:rStyle w:val="123"/>
                <w:rFonts w:hint="default"/>
                <w:color w:val="auto"/>
                <w:sz w:val="21"/>
                <w:szCs w:val="21"/>
              </w:rPr>
              <w:t>9.多种控制方式，键盘、鼠标、遥控器，有线或无线控制方式，可单、双人控制，速度任意调节，文稿一键翻页；</w:t>
            </w:r>
          </w:p>
          <w:p w14:paraId="3C183B7B">
            <w:pPr>
              <w:widowControl/>
              <w:spacing w:line="360" w:lineRule="auto"/>
              <w:jc w:val="left"/>
              <w:textAlignment w:val="center"/>
              <w:rPr>
                <w:rStyle w:val="123"/>
                <w:rFonts w:hint="default"/>
                <w:color w:val="auto"/>
                <w:sz w:val="21"/>
                <w:szCs w:val="21"/>
              </w:rPr>
            </w:pPr>
            <w:r>
              <w:rPr>
                <w:rStyle w:val="123"/>
                <w:rFonts w:hint="default"/>
                <w:color w:val="auto"/>
                <w:sz w:val="21"/>
                <w:szCs w:val="21"/>
              </w:rPr>
              <w:t>10.可对文稿、图片、PPT等素材一键上下左右镜像翻转，操作更省心；</w:t>
            </w:r>
          </w:p>
          <w:p w14:paraId="14A1682F">
            <w:pPr>
              <w:widowControl/>
              <w:spacing w:line="360" w:lineRule="auto"/>
              <w:jc w:val="left"/>
              <w:textAlignment w:val="center"/>
              <w:rPr>
                <w:rStyle w:val="123"/>
                <w:rFonts w:hint="default"/>
                <w:color w:val="auto"/>
                <w:sz w:val="21"/>
                <w:szCs w:val="21"/>
              </w:rPr>
            </w:pPr>
            <w:r>
              <w:rPr>
                <w:rStyle w:val="123"/>
                <w:rFonts w:hint="default"/>
                <w:color w:val="auto"/>
                <w:sz w:val="21"/>
                <w:szCs w:val="21"/>
              </w:rPr>
              <w:t>11. 22寸彩色液晶平板显示器，提示器文稿显示清晰，无虚影，久看不疲劳；</w:t>
            </w:r>
          </w:p>
          <w:p w14:paraId="78E60B76">
            <w:pPr>
              <w:widowControl/>
              <w:spacing w:line="360" w:lineRule="auto"/>
              <w:jc w:val="left"/>
              <w:textAlignment w:val="center"/>
              <w:rPr>
                <w:rStyle w:val="123"/>
                <w:rFonts w:hint="default"/>
                <w:color w:val="auto"/>
                <w:sz w:val="21"/>
                <w:szCs w:val="21"/>
              </w:rPr>
            </w:pPr>
            <w:r>
              <w:rPr>
                <w:rStyle w:val="123"/>
                <w:rFonts w:hint="default"/>
                <w:color w:val="auto"/>
                <w:sz w:val="21"/>
                <w:szCs w:val="21"/>
              </w:rPr>
              <w:t>12.操作页面布局简介明了，新手可快速上手；</w:t>
            </w:r>
          </w:p>
          <w:p w14:paraId="27FDCE4F">
            <w:pPr>
              <w:widowControl/>
              <w:spacing w:line="360" w:lineRule="auto"/>
              <w:jc w:val="left"/>
              <w:textAlignment w:val="center"/>
              <w:rPr>
                <w:rStyle w:val="123"/>
                <w:rFonts w:hint="default"/>
                <w:color w:val="auto"/>
                <w:sz w:val="21"/>
                <w:szCs w:val="21"/>
              </w:rPr>
            </w:pPr>
            <w:r>
              <w:rPr>
                <w:rStyle w:val="123"/>
                <w:rFonts w:hint="default"/>
                <w:color w:val="auto"/>
                <w:sz w:val="21"/>
                <w:szCs w:val="21"/>
              </w:rPr>
              <w:t>13.双屏画面可旋转自检屏，用于主持人监看直播画面和弹幕评论，便于主持人随时调整自身状态。</w:t>
            </w:r>
          </w:p>
          <w:p w14:paraId="252B9459">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四、配置包含：22寸双屏 +航空箱（送脚踏）+三脚架+加密狗+同屏器+遥控器。</w:t>
            </w:r>
          </w:p>
        </w:tc>
      </w:tr>
      <w:tr w14:paraId="774BC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210E545">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5</w:t>
            </w:r>
          </w:p>
        </w:tc>
        <w:tc>
          <w:tcPr>
            <w:tcW w:w="850" w:type="dxa"/>
            <w:vAlign w:val="center"/>
          </w:tcPr>
          <w:p w14:paraId="49A165D2">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摄影机伺服变焦镜头1</w:t>
            </w:r>
          </w:p>
        </w:tc>
        <w:tc>
          <w:tcPr>
            <w:tcW w:w="851" w:type="dxa"/>
            <w:vAlign w:val="center"/>
          </w:tcPr>
          <w:p w14:paraId="0BDC56B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708" w:type="dxa"/>
            <w:vAlign w:val="center"/>
          </w:tcPr>
          <w:p w14:paraId="0B1885B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2AA984FB">
            <w:pPr>
              <w:widowControl/>
              <w:spacing w:line="360" w:lineRule="auto"/>
              <w:jc w:val="left"/>
              <w:textAlignment w:val="center"/>
              <w:rPr>
                <w:rStyle w:val="123"/>
                <w:rFonts w:hint="default"/>
                <w:color w:val="auto"/>
                <w:sz w:val="21"/>
                <w:szCs w:val="21"/>
              </w:rPr>
            </w:pPr>
            <w:r>
              <w:rPr>
                <w:rStyle w:val="123"/>
                <w:rFonts w:hint="default"/>
                <w:color w:val="auto"/>
                <w:sz w:val="21"/>
                <w:szCs w:val="21"/>
              </w:rPr>
              <w:t>1.EF卡口，变焦倍率 8×，焦距：15~120mm／22.5~180mm（1.5x）；</w:t>
            </w:r>
          </w:p>
          <w:p w14:paraId="4343198A">
            <w:pPr>
              <w:widowControl/>
              <w:spacing w:line="360" w:lineRule="auto"/>
              <w:jc w:val="left"/>
              <w:textAlignment w:val="center"/>
              <w:rPr>
                <w:rStyle w:val="123"/>
                <w:rFonts w:hint="default"/>
                <w:color w:val="auto"/>
                <w:sz w:val="21"/>
                <w:szCs w:val="21"/>
              </w:rPr>
            </w:pPr>
            <w:r>
              <w:rPr>
                <w:rStyle w:val="123"/>
                <w:rFonts w:hint="default"/>
                <w:color w:val="auto"/>
                <w:sz w:val="21"/>
                <w:szCs w:val="21"/>
              </w:rPr>
              <w:t>2.最大光度孔径T数：T2.95（15~90mm时）／T3.95（120mm时）/T4.4（22.5~135mm*时）／T5.9（180mm*时）；</w:t>
            </w:r>
          </w:p>
          <w:p w14:paraId="4A4C4D2D">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3.配电源控制延长线</w:t>
            </w:r>
            <w:r>
              <w:rPr>
                <w:rFonts w:hint="eastAsia"/>
              </w:rPr>
              <w:t>；</w:t>
            </w:r>
          </w:p>
        </w:tc>
      </w:tr>
      <w:tr w14:paraId="1DBF4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8D7756A">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6</w:t>
            </w:r>
          </w:p>
        </w:tc>
        <w:tc>
          <w:tcPr>
            <w:tcW w:w="850" w:type="dxa"/>
            <w:vAlign w:val="center"/>
          </w:tcPr>
          <w:p w14:paraId="738D13F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全画幅微单</w:t>
            </w:r>
          </w:p>
        </w:tc>
        <w:tc>
          <w:tcPr>
            <w:tcW w:w="851" w:type="dxa"/>
            <w:vAlign w:val="center"/>
          </w:tcPr>
          <w:p w14:paraId="670D525D">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2EE20C78">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20FEE691">
            <w:pPr>
              <w:widowControl/>
              <w:spacing w:line="360" w:lineRule="auto"/>
              <w:jc w:val="left"/>
              <w:textAlignment w:val="center"/>
              <w:rPr>
                <w:rStyle w:val="123"/>
                <w:rFonts w:hint="default"/>
                <w:color w:val="auto"/>
                <w:sz w:val="21"/>
                <w:szCs w:val="21"/>
              </w:rPr>
            </w:pPr>
            <w:r>
              <w:rPr>
                <w:rStyle w:val="123"/>
                <w:rFonts w:hint="default"/>
                <w:color w:val="auto"/>
                <w:sz w:val="21"/>
                <w:szCs w:val="21"/>
              </w:rPr>
              <w:t>1.类型：具有自动对焦/自动曝光的单镜头无反光镜数码相机；</w:t>
            </w:r>
          </w:p>
          <w:p w14:paraId="49F8C045">
            <w:pPr>
              <w:widowControl/>
              <w:spacing w:line="360" w:lineRule="auto"/>
              <w:jc w:val="left"/>
              <w:textAlignment w:val="center"/>
              <w:rPr>
                <w:rStyle w:val="123"/>
                <w:rFonts w:hint="default"/>
                <w:color w:val="auto"/>
                <w:sz w:val="21"/>
                <w:szCs w:val="21"/>
              </w:rPr>
            </w:pPr>
            <w:r>
              <w:rPr>
                <w:rStyle w:val="123"/>
                <w:rFonts w:hint="default"/>
                <w:color w:val="auto"/>
                <w:sz w:val="21"/>
                <w:szCs w:val="21"/>
              </w:rPr>
              <w:t>2.记录媒体：双卡槽，CFexpress 2.0存储卡（B型）支持VPG400，最大支持2TB容量；SD/SDHC/SDXC存储卡（兼容UHS-II存储卡）；</w:t>
            </w:r>
          </w:p>
          <w:p w14:paraId="0BCFCC25">
            <w:pPr>
              <w:widowControl/>
              <w:spacing w:line="360" w:lineRule="auto"/>
              <w:jc w:val="left"/>
              <w:textAlignment w:val="center"/>
              <w:rPr>
                <w:rStyle w:val="123"/>
                <w:rFonts w:hint="default"/>
                <w:color w:val="auto"/>
                <w:sz w:val="21"/>
                <w:szCs w:val="21"/>
              </w:rPr>
            </w:pPr>
            <w:r>
              <w:rPr>
                <w:rStyle w:val="123"/>
                <w:rFonts w:hint="default"/>
                <w:color w:val="auto"/>
                <w:sz w:val="21"/>
                <w:szCs w:val="21"/>
              </w:rPr>
              <w:t>3.图像感应器尺寸：约36×24毫米；</w:t>
            </w:r>
          </w:p>
          <w:p w14:paraId="6C9B92BB">
            <w:pPr>
              <w:widowControl/>
              <w:spacing w:line="360" w:lineRule="auto"/>
              <w:jc w:val="left"/>
              <w:textAlignment w:val="center"/>
              <w:rPr>
                <w:rStyle w:val="123"/>
                <w:rFonts w:hint="default"/>
                <w:color w:val="auto"/>
                <w:sz w:val="21"/>
                <w:szCs w:val="21"/>
              </w:rPr>
            </w:pPr>
            <w:r>
              <w:rPr>
                <w:rStyle w:val="123"/>
                <w:rFonts w:hint="default"/>
                <w:color w:val="auto"/>
                <w:sz w:val="21"/>
                <w:szCs w:val="21"/>
              </w:rPr>
              <w:t>4.图像感应器类型：背照堆栈式CMOS图像感应器（支持全像素双核CMOS AF）；</w:t>
            </w:r>
          </w:p>
          <w:p w14:paraId="1B161EDD">
            <w:pPr>
              <w:widowControl/>
              <w:spacing w:line="360" w:lineRule="auto"/>
              <w:jc w:val="left"/>
              <w:textAlignment w:val="center"/>
              <w:rPr>
                <w:rStyle w:val="123"/>
                <w:rFonts w:hint="default"/>
                <w:color w:val="auto"/>
                <w:sz w:val="21"/>
                <w:szCs w:val="21"/>
              </w:rPr>
            </w:pPr>
            <w:r>
              <w:rPr>
                <w:rStyle w:val="123"/>
                <w:rFonts w:hint="default"/>
                <w:color w:val="auto"/>
                <w:sz w:val="21"/>
                <w:szCs w:val="21"/>
              </w:rPr>
              <w:t>5.有效像素：最高约4500万像素。</w:t>
            </w:r>
          </w:p>
          <w:p w14:paraId="55716901">
            <w:pPr>
              <w:widowControl/>
              <w:spacing w:line="360" w:lineRule="auto"/>
              <w:jc w:val="left"/>
              <w:textAlignment w:val="center"/>
              <w:rPr>
                <w:rStyle w:val="123"/>
                <w:rFonts w:hint="default"/>
                <w:color w:val="auto"/>
                <w:sz w:val="21"/>
                <w:szCs w:val="21"/>
              </w:rPr>
            </w:pPr>
            <w:r>
              <w:rPr>
                <w:rStyle w:val="123"/>
                <w:rFonts w:hint="default"/>
                <w:color w:val="auto"/>
                <w:sz w:val="21"/>
                <w:szCs w:val="21"/>
              </w:rPr>
              <w:t>6.长宽比：3:2；</w:t>
            </w:r>
          </w:p>
          <w:p w14:paraId="5397E77B">
            <w:pPr>
              <w:widowControl/>
              <w:spacing w:line="360" w:lineRule="auto"/>
              <w:jc w:val="left"/>
              <w:textAlignment w:val="center"/>
              <w:rPr>
                <w:rStyle w:val="123"/>
                <w:rFonts w:hint="default"/>
                <w:color w:val="auto"/>
                <w:sz w:val="21"/>
                <w:szCs w:val="21"/>
              </w:rPr>
            </w:pPr>
            <w:r>
              <w:rPr>
                <w:rStyle w:val="123"/>
                <w:rFonts w:hint="default"/>
                <w:color w:val="auto"/>
                <w:sz w:val="21"/>
                <w:szCs w:val="21"/>
              </w:rPr>
              <w:t>7.除尘功能：自动、手动、添加除尘数据；</w:t>
            </w:r>
          </w:p>
          <w:p w14:paraId="6A036516">
            <w:pPr>
              <w:widowControl/>
              <w:spacing w:line="360" w:lineRule="auto"/>
              <w:jc w:val="left"/>
              <w:textAlignment w:val="center"/>
              <w:rPr>
                <w:rStyle w:val="123"/>
                <w:rFonts w:hint="default"/>
                <w:color w:val="auto"/>
                <w:sz w:val="21"/>
                <w:szCs w:val="21"/>
              </w:rPr>
            </w:pPr>
            <w:r>
              <w:rPr>
                <w:rStyle w:val="123"/>
                <w:rFonts w:hint="default"/>
                <w:color w:val="auto"/>
                <w:sz w:val="21"/>
                <w:szCs w:val="21"/>
              </w:rPr>
              <w:t>8.记录格式：兼容相机文件系统设计规则2.0（Design rule for Camera File System 2.0）和Exif 2.31 支持时差信息；</w:t>
            </w:r>
          </w:p>
          <w:p w14:paraId="4181989F">
            <w:pPr>
              <w:widowControl/>
              <w:spacing w:line="360" w:lineRule="auto"/>
              <w:jc w:val="left"/>
              <w:textAlignment w:val="center"/>
              <w:rPr>
                <w:rStyle w:val="123"/>
                <w:rFonts w:hint="default"/>
                <w:color w:val="auto"/>
                <w:sz w:val="21"/>
                <w:szCs w:val="21"/>
              </w:rPr>
            </w:pPr>
            <w:r>
              <w:rPr>
                <w:rStyle w:val="123"/>
                <w:rFonts w:hint="default"/>
                <w:color w:val="auto"/>
                <w:sz w:val="21"/>
                <w:szCs w:val="21"/>
              </w:rPr>
              <w:t>9.图像类型：JPEG（8位）、HEIF（10位）、RAW（14位，佳能原创），可以同时记录RAW+JPEG或RAW+HEIF；</w:t>
            </w:r>
          </w:p>
          <w:p w14:paraId="20C9A1EC">
            <w:pPr>
              <w:widowControl/>
              <w:spacing w:line="360" w:lineRule="auto"/>
              <w:jc w:val="left"/>
              <w:textAlignment w:val="center"/>
              <w:rPr>
                <w:rStyle w:val="123"/>
                <w:rFonts w:hint="default"/>
                <w:color w:val="auto"/>
                <w:sz w:val="21"/>
                <w:szCs w:val="21"/>
              </w:rPr>
            </w:pPr>
            <w:r>
              <w:rPr>
                <w:rStyle w:val="123"/>
                <w:rFonts w:hint="default"/>
                <w:color w:val="auto"/>
                <w:sz w:val="21"/>
                <w:szCs w:val="21"/>
              </w:rPr>
              <w:t>10.记录像素：L（大）：约4480万像素（8192×5464），M（中）：约2400万像素（6000×4000），S1（小1）：约1160万像素（4176×2784），S2（小2）：约380万像素（2400×1600），RAW/C-RAW：约4480万像素（8192×5464）长宽比设置为3:2时。</w:t>
            </w:r>
          </w:p>
          <w:p w14:paraId="040162ED">
            <w:pPr>
              <w:widowControl/>
              <w:spacing w:line="360" w:lineRule="auto"/>
              <w:jc w:val="left"/>
              <w:textAlignment w:val="center"/>
              <w:rPr>
                <w:rStyle w:val="123"/>
                <w:rFonts w:hint="default"/>
                <w:color w:val="auto"/>
                <w:sz w:val="21"/>
                <w:szCs w:val="21"/>
              </w:rPr>
            </w:pPr>
            <w:r>
              <w:rPr>
                <w:rStyle w:val="123"/>
                <w:rFonts w:hint="default"/>
                <w:color w:val="auto"/>
                <w:sz w:val="21"/>
                <w:szCs w:val="21"/>
              </w:rPr>
              <w:t>11.记录功能：照片/短片分别记录、照片记录功能、短片记录功能、照片记录·回放、短片记录·回放；</w:t>
            </w:r>
          </w:p>
          <w:p w14:paraId="0D503EF1">
            <w:pPr>
              <w:widowControl/>
              <w:spacing w:line="360" w:lineRule="auto"/>
              <w:jc w:val="left"/>
              <w:textAlignment w:val="center"/>
              <w:rPr>
                <w:rStyle w:val="123"/>
                <w:rFonts w:hint="default"/>
                <w:color w:val="auto"/>
                <w:sz w:val="21"/>
                <w:szCs w:val="21"/>
              </w:rPr>
            </w:pPr>
            <w:r>
              <w:rPr>
                <w:rStyle w:val="123"/>
                <w:rFonts w:hint="default"/>
                <w:color w:val="auto"/>
                <w:sz w:val="21"/>
                <w:szCs w:val="21"/>
              </w:rPr>
              <w:t>12.创建/选择文件夹：具备；</w:t>
            </w:r>
          </w:p>
          <w:p w14:paraId="67FAF3A1">
            <w:pPr>
              <w:widowControl/>
              <w:spacing w:line="360" w:lineRule="auto"/>
              <w:jc w:val="left"/>
              <w:textAlignment w:val="center"/>
              <w:rPr>
                <w:rStyle w:val="123"/>
                <w:rFonts w:hint="default"/>
                <w:color w:val="auto"/>
                <w:sz w:val="21"/>
                <w:szCs w:val="21"/>
              </w:rPr>
            </w:pPr>
            <w:r>
              <w:rPr>
                <w:rStyle w:val="123"/>
                <w:rFonts w:hint="default"/>
                <w:color w:val="auto"/>
                <w:sz w:val="21"/>
                <w:szCs w:val="21"/>
              </w:rPr>
              <w:t>13.文件名：预设代码、用户设置1、用户设置2；</w:t>
            </w:r>
          </w:p>
          <w:p w14:paraId="34155475">
            <w:pPr>
              <w:widowControl/>
              <w:spacing w:line="360" w:lineRule="auto"/>
              <w:jc w:val="left"/>
              <w:textAlignment w:val="center"/>
              <w:rPr>
                <w:rStyle w:val="123"/>
                <w:rFonts w:hint="default"/>
                <w:color w:val="auto"/>
                <w:sz w:val="21"/>
                <w:szCs w:val="21"/>
              </w:rPr>
            </w:pPr>
            <w:r>
              <w:rPr>
                <w:rStyle w:val="123"/>
                <w:rFonts w:hint="default"/>
                <w:color w:val="auto"/>
                <w:sz w:val="21"/>
                <w:szCs w:val="21"/>
              </w:rPr>
              <w:t>14.文件编号：连续编号、自动重设，照片可手动重设；</w:t>
            </w:r>
          </w:p>
          <w:p w14:paraId="27F8ECC3">
            <w:pPr>
              <w:widowControl/>
              <w:spacing w:line="360" w:lineRule="auto"/>
              <w:jc w:val="left"/>
              <w:textAlignment w:val="center"/>
              <w:rPr>
                <w:rStyle w:val="123"/>
                <w:rFonts w:hint="default"/>
                <w:color w:val="auto"/>
                <w:sz w:val="21"/>
                <w:szCs w:val="21"/>
              </w:rPr>
            </w:pPr>
            <w:r>
              <w:rPr>
                <w:rStyle w:val="123"/>
                <w:rFonts w:hint="default"/>
                <w:color w:val="auto"/>
                <w:sz w:val="21"/>
                <w:szCs w:val="21"/>
              </w:rPr>
              <w:t>18.NEWS METADATA：支持；</w:t>
            </w:r>
          </w:p>
          <w:p w14:paraId="4B77D3A1">
            <w:pPr>
              <w:widowControl/>
              <w:spacing w:line="360" w:lineRule="auto"/>
              <w:jc w:val="left"/>
              <w:textAlignment w:val="center"/>
              <w:rPr>
                <w:rStyle w:val="123"/>
                <w:rFonts w:hint="default"/>
                <w:color w:val="auto"/>
                <w:sz w:val="21"/>
                <w:szCs w:val="21"/>
              </w:rPr>
            </w:pPr>
            <w:r>
              <w:rPr>
                <w:rStyle w:val="123"/>
                <w:rFonts w:hint="default"/>
                <w:color w:val="auto"/>
                <w:sz w:val="21"/>
                <w:szCs w:val="21"/>
              </w:rPr>
              <w:t>15.照片风格：自动、标准、人像、风光、精致细节、中性、可靠设置、单色、用户定义1-3；</w:t>
            </w:r>
          </w:p>
          <w:p w14:paraId="5A0AF9AA">
            <w:pPr>
              <w:widowControl/>
              <w:spacing w:line="360" w:lineRule="auto"/>
              <w:jc w:val="left"/>
              <w:textAlignment w:val="center"/>
              <w:rPr>
                <w:rStyle w:val="123"/>
                <w:rFonts w:hint="default"/>
                <w:color w:val="auto"/>
                <w:sz w:val="21"/>
                <w:szCs w:val="21"/>
              </w:rPr>
            </w:pPr>
            <w:r>
              <w:rPr>
                <w:rStyle w:val="123"/>
                <w:rFonts w:hint="default"/>
                <w:color w:val="auto"/>
                <w:sz w:val="21"/>
                <w:szCs w:val="21"/>
              </w:rPr>
              <w:t>16.白平衡：自动（氛围优先)、自动（白色优先)、预设（日光、阴影、阴天、钨丝灯、白色荧光灯、闪光灯）、用户自定义、色温（约2500-10000K），可手动注册5种白平衡数据，具备白平衡校正和白平衡包围曝光功能，支持闪光色温信息传输；</w:t>
            </w:r>
          </w:p>
          <w:p w14:paraId="30D30BB1">
            <w:pPr>
              <w:widowControl/>
              <w:spacing w:line="360" w:lineRule="auto"/>
              <w:jc w:val="left"/>
              <w:textAlignment w:val="center"/>
              <w:rPr>
                <w:rStyle w:val="123"/>
                <w:rFonts w:hint="default"/>
                <w:color w:val="auto"/>
                <w:sz w:val="21"/>
                <w:szCs w:val="21"/>
              </w:rPr>
            </w:pPr>
            <w:r>
              <w:rPr>
                <w:rStyle w:val="123"/>
                <w:rFonts w:hint="default"/>
                <w:color w:val="auto"/>
                <w:sz w:val="21"/>
                <w:szCs w:val="21"/>
              </w:rPr>
              <w:t>17.白平衡校正：蓝色/琥珀色方向：±9级，洋红色/绿色方向：±9级；</w:t>
            </w:r>
          </w:p>
          <w:p w14:paraId="63ABD78C">
            <w:pPr>
              <w:widowControl/>
              <w:spacing w:line="360" w:lineRule="auto"/>
              <w:jc w:val="left"/>
              <w:textAlignment w:val="center"/>
              <w:rPr>
                <w:rStyle w:val="123"/>
                <w:rFonts w:hint="default"/>
                <w:color w:val="auto"/>
                <w:sz w:val="21"/>
                <w:szCs w:val="21"/>
              </w:rPr>
            </w:pPr>
            <w:r>
              <w:rPr>
                <w:rStyle w:val="123"/>
                <w:rFonts w:hint="default"/>
                <w:color w:val="auto"/>
                <w:sz w:val="21"/>
                <w:szCs w:val="21"/>
              </w:rPr>
              <w:t>18.白平衡包围曝光：在±3级间以1级为单位调节；</w:t>
            </w:r>
          </w:p>
          <w:p w14:paraId="1DB30673">
            <w:pPr>
              <w:widowControl/>
              <w:spacing w:line="360" w:lineRule="auto"/>
              <w:jc w:val="left"/>
              <w:textAlignment w:val="center"/>
              <w:rPr>
                <w:rStyle w:val="123"/>
                <w:rFonts w:hint="default"/>
                <w:color w:val="auto"/>
                <w:sz w:val="21"/>
                <w:szCs w:val="21"/>
              </w:rPr>
            </w:pPr>
            <w:r>
              <w:rPr>
                <w:rStyle w:val="123"/>
                <w:rFonts w:hint="default"/>
                <w:color w:val="auto"/>
                <w:sz w:val="21"/>
                <w:szCs w:val="21"/>
              </w:rPr>
              <w:t>23.自动图像亮度校正：自动亮度优化；</w:t>
            </w:r>
          </w:p>
          <w:p w14:paraId="0666DE82">
            <w:pPr>
              <w:widowControl/>
              <w:spacing w:line="360" w:lineRule="auto"/>
              <w:jc w:val="left"/>
              <w:textAlignment w:val="center"/>
              <w:rPr>
                <w:rStyle w:val="123"/>
                <w:rFonts w:hint="default"/>
                <w:color w:val="auto"/>
                <w:sz w:val="21"/>
                <w:szCs w:val="21"/>
              </w:rPr>
            </w:pPr>
            <w:r>
              <w:rPr>
                <w:rStyle w:val="123"/>
                <w:rFonts w:hint="default"/>
                <w:color w:val="auto"/>
                <w:sz w:val="21"/>
                <w:szCs w:val="21"/>
              </w:rPr>
              <w:t>19.降噪：可应用于长时间曝光和高ISO感光度拍摄；</w:t>
            </w:r>
          </w:p>
          <w:p w14:paraId="5FBDF82D">
            <w:pPr>
              <w:widowControl/>
              <w:spacing w:line="360" w:lineRule="auto"/>
              <w:jc w:val="left"/>
              <w:textAlignment w:val="center"/>
              <w:rPr>
                <w:rStyle w:val="123"/>
                <w:rFonts w:hint="default"/>
                <w:color w:val="auto"/>
                <w:sz w:val="21"/>
                <w:szCs w:val="21"/>
              </w:rPr>
            </w:pPr>
            <w:r>
              <w:rPr>
                <w:rStyle w:val="123"/>
                <w:rFonts w:hint="default"/>
                <w:color w:val="auto"/>
                <w:sz w:val="21"/>
                <w:szCs w:val="21"/>
              </w:rPr>
              <w:t>20.高光色调优先：具备；</w:t>
            </w:r>
          </w:p>
          <w:p w14:paraId="74E1C2B0">
            <w:pPr>
              <w:widowControl/>
              <w:spacing w:line="360" w:lineRule="auto"/>
              <w:jc w:val="left"/>
              <w:textAlignment w:val="center"/>
              <w:rPr>
                <w:rStyle w:val="123"/>
                <w:rFonts w:hint="default"/>
                <w:color w:val="auto"/>
                <w:sz w:val="21"/>
                <w:szCs w:val="21"/>
              </w:rPr>
            </w:pPr>
            <w:r>
              <w:rPr>
                <w:rStyle w:val="123"/>
                <w:rFonts w:hint="default"/>
                <w:color w:val="auto"/>
                <w:sz w:val="21"/>
                <w:szCs w:val="21"/>
              </w:rPr>
              <w:t>21.镜头像差校正：周边光量校正、失真校正、数码镜头优化、色差校正、衍射校正、短片拍摄时呼吸效应校正；</w:t>
            </w:r>
          </w:p>
          <w:p w14:paraId="494B83D2">
            <w:pPr>
              <w:widowControl/>
              <w:spacing w:line="360" w:lineRule="auto"/>
              <w:jc w:val="left"/>
              <w:textAlignment w:val="center"/>
              <w:rPr>
                <w:rStyle w:val="123"/>
                <w:rFonts w:hint="default"/>
                <w:color w:val="auto"/>
                <w:sz w:val="21"/>
                <w:szCs w:val="21"/>
              </w:rPr>
            </w:pPr>
            <w:r>
              <w:rPr>
                <w:rStyle w:val="123"/>
                <w:rFonts w:hint="default"/>
                <w:color w:val="auto"/>
                <w:sz w:val="21"/>
                <w:szCs w:val="21"/>
              </w:rPr>
              <w:t>22.取景器类型：OLED彩色电子取景器；</w:t>
            </w:r>
          </w:p>
          <w:p w14:paraId="42FE1840">
            <w:pPr>
              <w:widowControl/>
              <w:spacing w:line="360" w:lineRule="auto"/>
              <w:jc w:val="left"/>
              <w:textAlignment w:val="center"/>
              <w:rPr>
                <w:rStyle w:val="123"/>
                <w:rFonts w:hint="default"/>
                <w:color w:val="auto"/>
                <w:sz w:val="21"/>
                <w:szCs w:val="21"/>
              </w:rPr>
            </w:pPr>
            <w:r>
              <w:rPr>
                <w:rStyle w:val="123"/>
                <w:rFonts w:hint="default"/>
                <w:color w:val="auto"/>
                <w:sz w:val="21"/>
                <w:szCs w:val="21"/>
              </w:rPr>
              <w:t>监视器尺寸和点数：约13毫米，约576万点；</w:t>
            </w:r>
          </w:p>
          <w:p w14:paraId="7A23F71E">
            <w:pPr>
              <w:widowControl/>
              <w:spacing w:line="360" w:lineRule="auto"/>
              <w:jc w:val="left"/>
              <w:textAlignment w:val="center"/>
              <w:rPr>
                <w:rStyle w:val="123"/>
                <w:rFonts w:hint="default"/>
                <w:color w:val="auto"/>
                <w:sz w:val="21"/>
                <w:szCs w:val="21"/>
              </w:rPr>
            </w:pPr>
            <w:r>
              <w:rPr>
                <w:rStyle w:val="123"/>
                <w:rFonts w:hint="default"/>
                <w:color w:val="auto"/>
                <w:sz w:val="21"/>
                <w:szCs w:val="21"/>
              </w:rPr>
              <w:t>23.视野率：垂直/水平方向约为100%（记录画质为L，长宽比为3:2，眼点为约24毫米时）；</w:t>
            </w:r>
          </w:p>
          <w:p w14:paraId="3856DDBE">
            <w:pPr>
              <w:widowControl/>
              <w:spacing w:line="360" w:lineRule="auto"/>
              <w:jc w:val="left"/>
              <w:textAlignment w:val="center"/>
              <w:rPr>
                <w:rStyle w:val="123"/>
                <w:rFonts w:hint="default"/>
                <w:color w:val="auto"/>
                <w:sz w:val="21"/>
                <w:szCs w:val="21"/>
              </w:rPr>
            </w:pPr>
            <w:r>
              <w:rPr>
                <w:rStyle w:val="123"/>
                <w:rFonts w:hint="default"/>
                <w:color w:val="auto"/>
                <w:sz w:val="21"/>
                <w:szCs w:val="21"/>
              </w:rPr>
              <w:t>24.放大倍率：约0.76倍（-1m-1，使用50mm镜头对无限远处对焦）；</w:t>
            </w:r>
          </w:p>
          <w:p w14:paraId="448EFADA">
            <w:pPr>
              <w:widowControl/>
              <w:spacing w:line="360" w:lineRule="auto"/>
              <w:jc w:val="left"/>
              <w:textAlignment w:val="center"/>
              <w:rPr>
                <w:rStyle w:val="123"/>
                <w:rFonts w:hint="default"/>
                <w:color w:val="auto"/>
                <w:sz w:val="21"/>
                <w:szCs w:val="21"/>
              </w:rPr>
            </w:pPr>
            <w:r>
              <w:rPr>
                <w:rStyle w:val="123"/>
                <w:rFonts w:hint="default"/>
                <w:color w:val="auto"/>
                <w:sz w:val="21"/>
                <w:szCs w:val="21"/>
              </w:rPr>
              <w:t>25.眼点：约24毫米（自目镜透镜最尾端起-1m-1）；</w:t>
            </w:r>
          </w:p>
          <w:p w14:paraId="4B6E6DBF">
            <w:pPr>
              <w:widowControl/>
              <w:spacing w:line="360" w:lineRule="auto"/>
              <w:jc w:val="left"/>
              <w:textAlignment w:val="center"/>
              <w:rPr>
                <w:rStyle w:val="123"/>
                <w:rFonts w:hint="default"/>
                <w:color w:val="auto"/>
                <w:sz w:val="21"/>
                <w:szCs w:val="21"/>
              </w:rPr>
            </w:pPr>
            <w:r>
              <w:rPr>
                <w:rStyle w:val="123"/>
                <w:rFonts w:hint="default"/>
                <w:color w:val="auto"/>
                <w:sz w:val="21"/>
                <w:szCs w:val="21"/>
              </w:rPr>
              <w:t>26.动对焦类型：全像素双核CMOS AF（Dual Pixel CMOS AF）相差检测方式；</w:t>
            </w:r>
          </w:p>
          <w:p w14:paraId="6AFA1D32">
            <w:pPr>
              <w:widowControl/>
              <w:spacing w:line="360" w:lineRule="auto"/>
              <w:jc w:val="left"/>
              <w:textAlignment w:val="center"/>
              <w:rPr>
                <w:rStyle w:val="123"/>
                <w:rFonts w:hint="default"/>
                <w:color w:val="auto"/>
                <w:sz w:val="21"/>
                <w:szCs w:val="21"/>
              </w:rPr>
            </w:pPr>
            <w:r>
              <w:rPr>
                <w:rStyle w:val="123"/>
                <w:rFonts w:hint="default"/>
                <w:color w:val="auto"/>
                <w:sz w:val="21"/>
                <w:szCs w:val="21"/>
              </w:rPr>
              <w:t>27.自动对焦区域：定点自动对焦、单点自动对焦、扩展自动对焦区域（上下左右）、扩展自动对焦区域（周围）、灵活区域自动对焦1、灵活区域自动对焦2、灵活区域自动对焦3、整个区域自动对焦；</w:t>
            </w:r>
          </w:p>
          <w:p w14:paraId="63A2F5A7">
            <w:pPr>
              <w:widowControl/>
              <w:spacing w:line="360" w:lineRule="auto"/>
              <w:jc w:val="left"/>
              <w:textAlignment w:val="center"/>
              <w:rPr>
                <w:rStyle w:val="123"/>
                <w:rFonts w:hint="default"/>
                <w:color w:val="auto"/>
                <w:sz w:val="21"/>
                <w:szCs w:val="21"/>
              </w:rPr>
            </w:pPr>
            <w:r>
              <w:rPr>
                <w:rStyle w:val="123"/>
                <w:rFonts w:hint="default"/>
                <w:color w:val="auto"/>
                <w:sz w:val="21"/>
                <w:szCs w:val="21"/>
              </w:rPr>
              <w:t>28.可用的自动对焦点位：最多5850个；</w:t>
            </w:r>
          </w:p>
          <w:p w14:paraId="7DCE5DD1">
            <w:pPr>
              <w:widowControl/>
              <w:spacing w:line="360" w:lineRule="auto"/>
              <w:jc w:val="left"/>
              <w:textAlignment w:val="center"/>
              <w:rPr>
                <w:rStyle w:val="123"/>
                <w:rFonts w:hint="default"/>
                <w:color w:val="auto"/>
                <w:sz w:val="21"/>
                <w:szCs w:val="21"/>
              </w:rPr>
            </w:pPr>
            <w:r>
              <w:rPr>
                <w:rStyle w:val="123"/>
                <w:rFonts w:hint="default"/>
                <w:color w:val="auto"/>
                <w:sz w:val="21"/>
                <w:szCs w:val="21"/>
              </w:rPr>
              <w:t>29.自动选择时的可用自动对焦区域：最大1053区；</w:t>
            </w:r>
          </w:p>
          <w:p w14:paraId="68F1EBC2">
            <w:pPr>
              <w:widowControl/>
              <w:spacing w:line="360" w:lineRule="auto"/>
              <w:jc w:val="left"/>
              <w:textAlignment w:val="center"/>
              <w:rPr>
                <w:rStyle w:val="123"/>
                <w:rFonts w:hint="default"/>
                <w:color w:val="auto"/>
                <w:sz w:val="21"/>
                <w:szCs w:val="21"/>
              </w:rPr>
            </w:pPr>
            <w:r>
              <w:rPr>
                <w:rStyle w:val="123"/>
                <w:rFonts w:hint="default"/>
                <w:color w:val="auto"/>
                <w:sz w:val="21"/>
                <w:szCs w:val="21"/>
              </w:rPr>
              <w:t>30.眼控对焦：具备；</w:t>
            </w:r>
          </w:p>
          <w:p w14:paraId="7C1CCA90">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31.触摸和拖拽自动对焦：具备；</w:t>
            </w:r>
          </w:p>
        </w:tc>
      </w:tr>
      <w:tr w14:paraId="787EE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5FD5A57">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7</w:t>
            </w:r>
          </w:p>
        </w:tc>
        <w:tc>
          <w:tcPr>
            <w:tcW w:w="850" w:type="dxa"/>
            <w:vAlign w:val="center"/>
          </w:tcPr>
          <w:p w14:paraId="130F3BC2">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微单镜头</w:t>
            </w:r>
          </w:p>
        </w:tc>
        <w:tc>
          <w:tcPr>
            <w:tcW w:w="851" w:type="dxa"/>
            <w:vAlign w:val="center"/>
          </w:tcPr>
          <w:p w14:paraId="44618C53">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59911C98">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支</w:t>
            </w:r>
          </w:p>
        </w:tc>
        <w:tc>
          <w:tcPr>
            <w:tcW w:w="6928" w:type="dxa"/>
            <w:gridSpan w:val="3"/>
            <w:vAlign w:val="center"/>
          </w:tcPr>
          <w:p w14:paraId="4F5C2514">
            <w:pPr>
              <w:widowControl/>
              <w:spacing w:line="360" w:lineRule="auto"/>
              <w:jc w:val="left"/>
              <w:textAlignment w:val="center"/>
              <w:rPr>
                <w:rStyle w:val="123"/>
                <w:rFonts w:hint="default"/>
                <w:color w:val="auto"/>
                <w:sz w:val="21"/>
                <w:szCs w:val="21"/>
              </w:rPr>
            </w:pPr>
            <w:r>
              <w:rPr>
                <w:rStyle w:val="123"/>
                <w:rFonts w:hint="default"/>
                <w:color w:val="auto"/>
                <w:sz w:val="21"/>
                <w:szCs w:val="21"/>
              </w:rPr>
              <w:t>1.镜头焦距：24-70mm；</w:t>
            </w:r>
          </w:p>
          <w:p w14:paraId="18670B36">
            <w:pPr>
              <w:widowControl/>
              <w:spacing w:line="360" w:lineRule="auto"/>
              <w:jc w:val="left"/>
              <w:textAlignment w:val="center"/>
              <w:rPr>
                <w:rStyle w:val="123"/>
                <w:rFonts w:hint="default"/>
                <w:color w:val="auto"/>
                <w:sz w:val="21"/>
                <w:szCs w:val="21"/>
              </w:rPr>
            </w:pPr>
            <w:r>
              <w:rPr>
                <w:rStyle w:val="123"/>
                <w:rFonts w:hint="default"/>
                <w:color w:val="auto"/>
                <w:sz w:val="21"/>
                <w:szCs w:val="21"/>
              </w:rPr>
              <w:t>2.镜头结构：15组21片；</w:t>
            </w:r>
          </w:p>
          <w:p w14:paraId="24BB47D6">
            <w:pPr>
              <w:widowControl/>
              <w:spacing w:line="360" w:lineRule="auto"/>
              <w:jc w:val="left"/>
              <w:textAlignment w:val="center"/>
              <w:rPr>
                <w:rStyle w:val="123"/>
                <w:rFonts w:hint="default"/>
                <w:color w:val="auto"/>
                <w:sz w:val="21"/>
                <w:szCs w:val="21"/>
              </w:rPr>
            </w:pPr>
            <w:r>
              <w:rPr>
                <w:rStyle w:val="123"/>
                <w:rFonts w:hint="default"/>
                <w:color w:val="auto"/>
                <w:sz w:val="21"/>
                <w:szCs w:val="21"/>
              </w:rPr>
              <w:t>3.光圈叶片：9片（圆形光圈）；</w:t>
            </w:r>
          </w:p>
          <w:p w14:paraId="76253E76">
            <w:pPr>
              <w:widowControl/>
              <w:spacing w:line="360" w:lineRule="auto"/>
              <w:jc w:val="left"/>
              <w:textAlignment w:val="center"/>
              <w:rPr>
                <w:rStyle w:val="123"/>
                <w:rFonts w:hint="default"/>
                <w:color w:val="auto"/>
                <w:sz w:val="21"/>
                <w:szCs w:val="21"/>
              </w:rPr>
            </w:pPr>
            <w:r>
              <w:rPr>
                <w:rStyle w:val="123"/>
                <w:rFonts w:hint="default"/>
                <w:color w:val="auto"/>
                <w:sz w:val="21"/>
                <w:szCs w:val="21"/>
              </w:rPr>
              <w:t>4.最小光圈：22；</w:t>
            </w:r>
          </w:p>
          <w:p w14:paraId="39E1E5FC">
            <w:pPr>
              <w:widowControl/>
              <w:spacing w:line="360" w:lineRule="auto"/>
              <w:jc w:val="left"/>
              <w:textAlignment w:val="center"/>
              <w:rPr>
                <w:rStyle w:val="123"/>
                <w:rFonts w:hint="default"/>
                <w:color w:val="auto"/>
                <w:sz w:val="21"/>
                <w:szCs w:val="21"/>
              </w:rPr>
            </w:pPr>
            <w:r>
              <w:rPr>
                <w:rStyle w:val="123"/>
                <w:rFonts w:hint="default"/>
                <w:color w:val="auto"/>
                <w:sz w:val="21"/>
                <w:szCs w:val="21"/>
              </w:rPr>
              <w:t>5.最近对焦距离：广角端：约0.21米，远摄端：约0.38米；</w:t>
            </w:r>
          </w:p>
          <w:p w14:paraId="6C243B38">
            <w:pPr>
              <w:widowControl/>
              <w:spacing w:line="360" w:lineRule="auto"/>
              <w:jc w:val="left"/>
              <w:textAlignment w:val="center"/>
              <w:rPr>
                <w:rStyle w:val="123"/>
                <w:rFonts w:hint="default"/>
                <w:color w:val="auto"/>
                <w:sz w:val="21"/>
                <w:szCs w:val="21"/>
              </w:rPr>
            </w:pPr>
            <w:r>
              <w:rPr>
                <w:rStyle w:val="123"/>
                <w:rFonts w:hint="default"/>
                <w:color w:val="auto"/>
                <w:sz w:val="21"/>
                <w:szCs w:val="21"/>
              </w:rPr>
              <w:t>6.最大放大倍率：约0.24倍（24mm时），约0.3倍（32mm时），约0.22倍（70mm时）；</w:t>
            </w:r>
          </w:p>
          <w:p w14:paraId="10A8BAC1">
            <w:pPr>
              <w:widowControl/>
              <w:spacing w:line="360" w:lineRule="auto"/>
              <w:jc w:val="left"/>
              <w:textAlignment w:val="center"/>
              <w:rPr>
                <w:rStyle w:val="123"/>
                <w:rFonts w:hint="default"/>
                <w:color w:val="auto"/>
                <w:sz w:val="21"/>
                <w:szCs w:val="21"/>
              </w:rPr>
            </w:pPr>
            <w:r>
              <w:rPr>
                <w:rStyle w:val="123"/>
                <w:rFonts w:hint="default"/>
                <w:color w:val="auto"/>
                <w:sz w:val="21"/>
                <w:szCs w:val="21"/>
              </w:rPr>
              <w:t>7.驱动系统：NANO USM超声波马达；</w:t>
            </w:r>
          </w:p>
          <w:p w14:paraId="1B118C9C">
            <w:pPr>
              <w:widowControl/>
              <w:spacing w:line="360" w:lineRule="auto"/>
              <w:jc w:val="left"/>
              <w:textAlignment w:val="center"/>
              <w:rPr>
                <w:rStyle w:val="123"/>
                <w:rFonts w:hint="default"/>
                <w:color w:val="auto"/>
                <w:sz w:val="21"/>
                <w:szCs w:val="21"/>
              </w:rPr>
            </w:pPr>
            <w:r>
              <w:rPr>
                <w:rStyle w:val="123"/>
                <w:rFonts w:hint="default"/>
                <w:color w:val="auto"/>
                <w:sz w:val="21"/>
                <w:szCs w:val="21"/>
              </w:rPr>
              <w:t>8.手抖动补偿效果：5级（基于CIPA测试标准，70mm焦距端，使用EOS R时）；</w:t>
            </w:r>
          </w:p>
          <w:p w14:paraId="584C6247">
            <w:pPr>
              <w:widowControl/>
              <w:spacing w:line="360" w:lineRule="auto"/>
              <w:jc w:val="left"/>
              <w:textAlignment w:val="center"/>
              <w:rPr>
                <w:rStyle w:val="123"/>
                <w:rFonts w:hint="default"/>
                <w:color w:val="auto"/>
                <w:sz w:val="21"/>
                <w:szCs w:val="21"/>
              </w:rPr>
            </w:pPr>
            <w:r>
              <w:rPr>
                <w:rStyle w:val="123"/>
                <w:rFonts w:hint="default"/>
                <w:color w:val="auto"/>
                <w:sz w:val="21"/>
                <w:szCs w:val="21"/>
              </w:rPr>
              <w:t>9.滤镜直径：约82毫米；</w:t>
            </w:r>
          </w:p>
          <w:p w14:paraId="12CE4C45">
            <w:pPr>
              <w:widowControl/>
              <w:spacing w:line="360" w:lineRule="auto"/>
              <w:jc w:val="left"/>
              <w:textAlignment w:val="center"/>
              <w:rPr>
                <w:rStyle w:val="123"/>
                <w:rFonts w:hint="default"/>
                <w:color w:val="auto"/>
                <w:sz w:val="21"/>
                <w:szCs w:val="21"/>
              </w:rPr>
            </w:pPr>
            <w:r>
              <w:rPr>
                <w:rStyle w:val="123"/>
                <w:rFonts w:hint="default"/>
                <w:color w:val="auto"/>
                <w:sz w:val="21"/>
                <w:szCs w:val="21"/>
              </w:rPr>
              <w:t>10.最大直径及长度：约Φ88.5×125.7毫米；</w:t>
            </w:r>
          </w:p>
          <w:p w14:paraId="3FAA5584">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11.重量：约900克；</w:t>
            </w:r>
          </w:p>
        </w:tc>
      </w:tr>
      <w:tr w14:paraId="51154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A5DFB3E">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8</w:t>
            </w:r>
          </w:p>
        </w:tc>
        <w:tc>
          <w:tcPr>
            <w:tcW w:w="850" w:type="dxa"/>
            <w:vAlign w:val="center"/>
          </w:tcPr>
          <w:p w14:paraId="6A2A147D">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微单镜头</w:t>
            </w:r>
          </w:p>
        </w:tc>
        <w:tc>
          <w:tcPr>
            <w:tcW w:w="851" w:type="dxa"/>
            <w:vAlign w:val="center"/>
          </w:tcPr>
          <w:p w14:paraId="011792A8">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708" w:type="dxa"/>
            <w:vAlign w:val="center"/>
          </w:tcPr>
          <w:p w14:paraId="6854D1C7">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支</w:t>
            </w:r>
          </w:p>
        </w:tc>
        <w:tc>
          <w:tcPr>
            <w:tcW w:w="6928" w:type="dxa"/>
            <w:gridSpan w:val="3"/>
            <w:vAlign w:val="center"/>
          </w:tcPr>
          <w:p w14:paraId="02A01EE3">
            <w:pPr>
              <w:widowControl/>
              <w:spacing w:line="360" w:lineRule="auto"/>
              <w:jc w:val="left"/>
              <w:textAlignment w:val="center"/>
              <w:rPr>
                <w:rStyle w:val="123"/>
                <w:rFonts w:hint="default"/>
                <w:color w:val="auto"/>
                <w:sz w:val="21"/>
                <w:szCs w:val="21"/>
              </w:rPr>
            </w:pPr>
            <w:r>
              <w:rPr>
                <w:rStyle w:val="123"/>
                <w:rFonts w:hint="default"/>
                <w:color w:val="auto"/>
                <w:sz w:val="21"/>
                <w:szCs w:val="21"/>
              </w:rPr>
              <w:t>1.镜头焦距：70-200mm；</w:t>
            </w:r>
          </w:p>
          <w:p w14:paraId="7EEBFE43">
            <w:pPr>
              <w:widowControl/>
              <w:spacing w:line="360" w:lineRule="auto"/>
              <w:jc w:val="left"/>
              <w:textAlignment w:val="center"/>
              <w:rPr>
                <w:rStyle w:val="123"/>
                <w:rFonts w:hint="default"/>
                <w:color w:val="auto"/>
                <w:sz w:val="21"/>
                <w:szCs w:val="21"/>
              </w:rPr>
            </w:pPr>
            <w:r>
              <w:rPr>
                <w:rStyle w:val="123"/>
                <w:rFonts w:hint="default"/>
                <w:color w:val="auto"/>
                <w:sz w:val="21"/>
                <w:szCs w:val="21"/>
              </w:rPr>
              <w:t>2.镜头结构：13组17片；</w:t>
            </w:r>
          </w:p>
          <w:p w14:paraId="6A22A103">
            <w:pPr>
              <w:widowControl/>
              <w:spacing w:line="360" w:lineRule="auto"/>
              <w:jc w:val="left"/>
              <w:textAlignment w:val="center"/>
              <w:rPr>
                <w:rStyle w:val="123"/>
                <w:rFonts w:hint="default"/>
                <w:color w:val="auto"/>
                <w:sz w:val="21"/>
                <w:szCs w:val="21"/>
              </w:rPr>
            </w:pPr>
            <w:r>
              <w:rPr>
                <w:rStyle w:val="123"/>
                <w:rFonts w:hint="default"/>
                <w:color w:val="auto"/>
                <w:sz w:val="21"/>
                <w:szCs w:val="21"/>
              </w:rPr>
              <w:t>3.光圈叶片：9片（圆形光圈）；</w:t>
            </w:r>
          </w:p>
          <w:p w14:paraId="63CC0C5A">
            <w:pPr>
              <w:widowControl/>
              <w:spacing w:line="360" w:lineRule="auto"/>
              <w:jc w:val="left"/>
              <w:textAlignment w:val="center"/>
              <w:rPr>
                <w:rStyle w:val="123"/>
                <w:rFonts w:hint="default"/>
                <w:color w:val="auto"/>
                <w:sz w:val="21"/>
                <w:szCs w:val="21"/>
              </w:rPr>
            </w:pPr>
            <w:r>
              <w:rPr>
                <w:rStyle w:val="123"/>
                <w:rFonts w:hint="default"/>
                <w:color w:val="auto"/>
                <w:sz w:val="21"/>
                <w:szCs w:val="21"/>
              </w:rPr>
              <w:t>4.最小光圈：32；</w:t>
            </w:r>
          </w:p>
          <w:p w14:paraId="45AE1CAE">
            <w:pPr>
              <w:widowControl/>
              <w:spacing w:line="360" w:lineRule="auto"/>
              <w:jc w:val="left"/>
              <w:textAlignment w:val="center"/>
              <w:rPr>
                <w:rStyle w:val="123"/>
                <w:rFonts w:hint="default"/>
                <w:color w:val="auto"/>
                <w:sz w:val="21"/>
                <w:szCs w:val="21"/>
              </w:rPr>
            </w:pPr>
            <w:r>
              <w:rPr>
                <w:rStyle w:val="123"/>
                <w:rFonts w:hint="default"/>
                <w:color w:val="auto"/>
                <w:sz w:val="21"/>
                <w:szCs w:val="21"/>
              </w:rPr>
              <w:t>5.最近对焦距离：约0.7米；</w:t>
            </w:r>
          </w:p>
          <w:p w14:paraId="73BD58B3">
            <w:pPr>
              <w:widowControl/>
              <w:spacing w:line="360" w:lineRule="auto"/>
              <w:jc w:val="left"/>
              <w:textAlignment w:val="center"/>
              <w:rPr>
                <w:rStyle w:val="123"/>
                <w:rFonts w:hint="default"/>
                <w:color w:val="auto"/>
                <w:sz w:val="21"/>
                <w:szCs w:val="21"/>
              </w:rPr>
            </w:pPr>
            <w:r>
              <w:rPr>
                <w:rStyle w:val="123"/>
                <w:rFonts w:hint="default"/>
                <w:color w:val="auto"/>
                <w:sz w:val="21"/>
                <w:szCs w:val="21"/>
              </w:rPr>
              <w:t>6.最大放大倍率：约0.23倍(200mm时)；</w:t>
            </w:r>
          </w:p>
          <w:p w14:paraId="327BD82F">
            <w:pPr>
              <w:widowControl/>
              <w:spacing w:line="360" w:lineRule="auto"/>
              <w:jc w:val="left"/>
              <w:textAlignment w:val="center"/>
              <w:rPr>
                <w:rStyle w:val="123"/>
                <w:rFonts w:hint="default"/>
                <w:color w:val="auto"/>
                <w:sz w:val="21"/>
                <w:szCs w:val="21"/>
              </w:rPr>
            </w:pPr>
            <w:r>
              <w:rPr>
                <w:rStyle w:val="123"/>
                <w:rFonts w:hint="default"/>
                <w:color w:val="auto"/>
                <w:sz w:val="21"/>
                <w:szCs w:val="21"/>
              </w:rPr>
              <w:t>7.驱动系统：NANO USM超声波马达；</w:t>
            </w:r>
          </w:p>
          <w:p w14:paraId="44A2281A">
            <w:pPr>
              <w:widowControl/>
              <w:spacing w:line="360" w:lineRule="auto"/>
              <w:jc w:val="left"/>
              <w:textAlignment w:val="center"/>
              <w:rPr>
                <w:rStyle w:val="123"/>
                <w:rFonts w:hint="default"/>
                <w:color w:val="auto"/>
                <w:sz w:val="21"/>
                <w:szCs w:val="21"/>
              </w:rPr>
            </w:pPr>
            <w:r>
              <w:rPr>
                <w:rStyle w:val="123"/>
                <w:rFonts w:hint="default"/>
                <w:color w:val="auto"/>
                <w:sz w:val="21"/>
                <w:szCs w:val="21"/>
              </w:rPr>
              <w:t>8.手抖动补偿效果：5级（基于CIPA测试标准，200mm焦距端，使用EOS R时）；</w:t>
            </w:r>
          </w:p>
          <w:p w14:paraId="533EC1B1">
            <w:pPr>
              <w:widowControl/>
              <w:spacing w:line="360" w:lineRule="auto"/>
              <w:jc w:val="left"/>
              <w:textAlignment w:val="center"/>
              <w:rPr>
                <w:rStyle w:val="123"/>
                <w:rFonts w:hint="default"/>
                <w:color w:val="auto"/>
                <w:sz w:val="21"/>
                <w:szCs w:val="21"/>
              </w:rPr>
            </w:pPr>
            <w:r>
              <w:rPr>
                <w:rStyle w:val="123"/>
                <w:rFonts w:hint="default"/>
                <w:color w:val="auto"/>
                <w:sz w:val="21"/>
                <w:szCs w:val="21"/>
              </w:rPr>
              <w:t>9.滤镜直径：约77毫米；</w:t>
            </w:r>
          </w:p>
          <w:p w14:paraId="76490C1B">
            <w:pPr>
              <w:widowControl/>
              <w:spacing w:line="360" w:lineRule="auto"/>
              <w:jc w:val="left"/>
              <w:textAlignment w:val="center"/>
              <w:rPr>
                <w:rStyle w:val="123"/>
                <w:rFonts w:hint="default"/>
                <w:color w:val="auto"/>
                <w:sz w:val="21"/>
                <w:szCs w:val="21"/>
              </w:rPr>
            </w:pPr>
            <w:r>
              <w:rPr>
                <w:rStyle w:val="123"/>
                <w:rFonts w:hint="default"/>
                <w:color w:val="auto"/>
                <w:sz w:val="21"/>
                <w:szCs w:val="21"/>
              </w:rPr>
              <w:t>10.最大直径及长度：约Φ89.9×146毫米；</w:t>
            </w:r>
          </w:p>
          <w:p w14:paraId="0F2D2773">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11.重量：约1070克(不含三脚架座)；</w:t>
            </w:r>
          </w:p>
        </w:tc>
      </w:tr>
      <w:tr w14:paraId="509EE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149337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9</w:t>
            </w:r>
          </w:p>
        </w:tc>
        <w:tc>
          <w:tcPr>
            <w:tcW w:w="850" w:type="dxa"/>
            <w:vAlign w:val="center"/>
          </w:tcPr>
          <w:p w14:paraId="1255D921">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照相机配件</w:t>
            </w:r>
          </w:p>
        </w:tc>
        <w:tc>
          <w:tcPr>
            <w:tcW w:w="851" w:type="dxa"/>
            <w:vAlign w:val="center"/>
          </w:tcPr>
          <w:p w14:paraId="51F73B23">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49D2AD02">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4048F20A">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将机顶闪光灯1/1档功率提升至100Ws；具备81级调光范围（1/1~1/256），配备2.3寸全彩高清、高灵敏度触控屏，搭配交互逻辑及全新中文菜单，可快速实现调节功率、开启高速同步、切换TTL/M模式、一键同步配对等操作，可匹配搭载全域快门的相机机型，快门速度最高可达1/80000秒，且支持TTL模式，100Ws功率下，连续闪光次数可达70~100次。</w:t>
            </w:r>
          </w:p>
        </w:tc>
      </w:tr>
      <w:tr w14:paraId="5EE94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0FEB68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10</w:t>
            </w:r>
          </w:p>
        </w:tc>
        <w:tc>
          <w:tcPr>
            <w:tcW w:w="850" w:type="dxa"/>
            <w:vAlign w:val="center"/>
          </w:tcPr>
          <w:p w14:paraId="58DA9D8D">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4K数字摄像机</w:t>
            </w:r>
          </w:p>
        </w:tc>
        <w:tc>
          <w:tcPr>
            <w:tcW w:w="851" w:type="dxa"/>
            <w:vAlign w:val="center"/>
          </w:tcPr>
          <w:p w14:paraId="1052E374">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71143E1E">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台</w:t>
            </w:r>
          </w:p>
        </w:tc>
        <w:tc>
          <w:tcPr>
            <w:tcW w:w="6928" w:type="dxa"/>
            <w:gridSpan w:val="3"/>
            <w:vAlign w:val="center"/>
          </w:tcPr>
          <w:p w14:paraId="42C7092F">
            <w:pPr>
              <w:widowControl/>
              <w:spacing w:line="360" w:lineRule="auto"/>
              <w:jc w:val="left"/>
              <w:textAlignment w:val="center"/>
            </w:pPr>
            <w:r>
              <w:rPr>
                <w:rStyle w:val="123"/>
                <w:rFonts w:hint="default"/>
                <w:color w:val="auto"/>
                <w:sz w:val="21"/>
                <w:szCs w:val="21"/>
              </w:rPr>
              <w:t>1.支持4K 60P/50P 4:2:2 10bit 高画质，支持4K 59.94/50P Intra-frame: 600/500Mbps，支持Full HD 120P/100P 4:2:2 10bit 高画质，支持4K HDR（HLG＆PQ），15×光学变焦/30×优化变焦；支持基于MXF广电规格的XF-AVC和高通用性MP4格式，支持H.264/HEVC编码格式及 Intra/Long GOP压缩方式，搭载双SD（UHS-II）存储卡槽，支持多种组合记录模式，支持FHD 4:2:2 10bit 120P/100P高帧率记录，同时记录声音，支持预记录、逐帧记录、间隔记录。</w:t>
            </w:r>
          </w:p>
          <w:p w14:paraId="111F7E1F">
            <w:pPr>
              <w:widowControl/>
              <w:spacing w:line="360" w:lineRule="auto"/>
              <w:jc w:val="left"/>
              <w:textAlignment w:val="center"/>
              <w:rPr>
                <w:rStyle w:val="123"/>
                <w:rFonts w:hint="default"/>
                <w:color w:val="auto"/>
                <w:sz w:val="21"/>
                <w:szCs w:val="21"/>
              </w:rPr>
            </w:pPr>
            <w:r>
              <w:rPr>
                <w:rStyle w:val="123"/>
                <w:rFonts w:hint="default"/>
                <w:color w:val="auto"/>
                <w:sz w:val="21"/>
                <w:szCs w:val="21"/>
              </w:rPr>
              <w:t>2.支持眼部对焦/头部检测对焦，支持直接触控操作，EVF/LCD/HDMI/SDI 同步输出，3个独立控制环，≤2000克机身。</w:t>
            </w:r>
          </w:p>
          <w:p w14:paraId="4109A9DA">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3.配备两张UHS-ISD 256G高速存储卡及读卡器，2块配套副厂电池。</w:t>
            </w:r>
          </w:p>
        </w:tc>
      </w:tr>
      <w:tr w14:paraId="056EF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9C143CF">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11</w:t>
            </w:r>
          </w:p>
        </w:tc>
        <w:tc>
          <w:tcPr>
            <w:tcW w:w="850" w:type="dxa"/>
            <w:vAlign w:val="center"/>
          </w:tcPr>
          <w:p w14:paraId="734A38EE">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高速卡</w:t>
            </w:r>
          </w:p>
        </w:tc>
        <w:tc>
          <w:tcPr>
            <w:tcW w:w="851" w:type="dxa"/>
            <w:vAlign w:val="center"/>
          </w:tcPr>
          <w:p w14:paraId="5357A2D3">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6</w:t>
            </w:r>
          </w:p>
        </w:tc>
        <w:tc>
          <w:tcPr>
            <w:tcW w:w="708" w:type="dxa"/>
            <w:vAlign w:val="center"/>
          </w:tcPr>
          <w:p w14:paraId="6891A14E">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79CEAE8F">
            <w:pPr>
              <w:widowControl/>
              <w:spacing w:line="360" w:lineRule="auto"/>
              <w:jc w:val="left"/>
              <w:textAlignment w:val="center"/>
              <w:rPr>
                <w:rStyle w:val="123"/>
                <w:rFonts w:hint="default"/>
                <w:color w:val="auto"/>
                <w:sz w:val="21"/>
                <w:szCs w:val="21"/>
              </w:rPr>
            </w:pPr>
            <w:r>
              <w:rPr>
                <w:rStyle w:val="123"/>
                <w:rFonts w:hint="default"/>
                <w:color w:val="auto"/>
                <w:sz w:val="21"/>
                <w:szCs w:val="21"/>
              </w:rPr>
              <w:t>1.类型：SD卡；</w:t>
            </w:r>
          </w:p>
          <w:p w14:paraId="358145EE">
            <w:pPr>
              <w:widowControl/>
              <w:spacing w:line="360" w:lineRule="auto"/>
              <w:jc w:val="left"/>
              <w:textAlignment w:val="center"/>
              <w:rPr>
                <w:rStyle w:val="123"/>
                <w:rFonts w:hint="default"/>
                <w:color w:val="auto"/>
                <w:sz w:val="21"/>
                <w:szCs w:val="21"/>
              </w:rPr>
            </w:pPr>
            <w:r>
              <w:rPr>
                <w:rStyle w:val="123"/>
                <w:rFonts w:hint="default"/>
                <w:color w:val="auto"/>
                <w:sz w:val="21"/>
                <w:szCs w:val="21"/>
              </w:rPr>
              <w:t>2.容量：≥512GB；</w:t>
            </w:r>
          </w:p>
          <w:p w14:paraId="557BD526">
            <w:pPr>
              <w:widowControl/>
              <w:spacing w:line="360" w:lineRule="auto"/>
              <w:jc w:val="left"/>
              <w:textAlignment w:val="center"/>
              <w:rPr>
                <w:rStyle w:val="123"/>
                <w:rFonts w:hint="default"/>
                <w:color w:val="auto"/>
                <w:sz w:val="21"/>
                <w:szCs w:val="21"/>
              </w:rPr>
            </w:pPr>
            <w:r>
              <w:rPr>
                <w:rStyle w:val="123"/>
                <w:rFonts w:hint="default"/>
                <w:color w:val="auto"/>
                <w:sz w:val="21"/>
                <w:szCs w:val="21"/>
              </w:rPr>
              <w:t>3.读取速度：≥300MB/s；</w:t>
            </w:r>
          </w:p>
          <w:p w14:paraId="058D3918">
            <w:pPr>
              <w:widowControl/>
              <w:spacing w:line="360" w:lineRule="auto"/>
              <w:jc w:val="left"/>
              <w:textAlignment w:val="center"/>
              <w:rPr>
                <w:rStyle w:val="123"/>
                <w:rFonts w:hint="default"/>
                <w:color w:val="auto"/>
                <w:sz w:val="21"/>
                <w:szCs w:val="21"/>
              </w:rPr>
            </w:pPr>
            <w:r>
              <w:rPr>
                <w:rStyle w:val="123"/>
                <w:rFonts w:hint="default"/>
                <w:color w:val="auto"/>
                <w:sz w:val="21"/>
                <w:szCs w:val="21"/>
              </w:rPr>
              <w:t>4.写入速度：≥280MB/s；</w:t>
            </w:r>
          </w:p>
          <w:p w14:paraId="0A93FD97">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5.含读卡器；</w:t>
            </w:r>
          </w:p>
        </w:tc>
      </w:tr>
      <w:tr w14:paraId="39F0E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F03CDE3">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12</w:t>
            </w:r>
          </w:p>
        </w:tc>
        <w:tc>
          <w:tcPr>
            <w:tcW w:w="850" w:type="dxa"/>
            <w:vAlign w:val="center"/>
          </w:tcPr>
          <w:p w14:paraId="631E68A1">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小功率LED影视灯</w:t>
            </w:r>
          </w:p>
        </w:tc>
        <w:tc>
          <w:tcPr>
            <w:tcW w:w="851" w:type="dxa"/>
            <w:vAlign w:val="center"/>
          </w:tcPr>
          <w:p w14:paraId="3843A94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3</w:t>
            </w:r>
          </w:p>
        </w:tc>
        <w:tc>
          <w:tcPr>
            <w:tcW w:w="708" w:type="dxa"/>
            <w:vAlign w:val="center"/>
          </w:tcPr>
          <w:p w14:paraId="48F93277">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1064A276">
            <w:pPr>
              <w:widowControl/>
              <w:spacing w:line="360" w:lineRule="auto"/>
              <w:jc w:val="left"/>
              <w:textAlignment w:val="center"/>
              <w:rPr>
                <w:rStyle w:val="123"/>
                <w:rFonts w:hint="default"/>
                <w:color w:val="auto"/>
                <w:sz w:val="21"/>
                <w:szCs w:val="21"/>
              </w:rPr>
            </w:pPr>
            <w:r>
              <w:rPr>
                <w:rStyle w:val="123"/>
                <w:rFonts w:hint="default"/>
                <w:color w:val="auto"/>
                <w:sz w:val="21"/>
                <w:szCs w:val="21"/>
              </w:rPr>
              <w:t>一、摄影灯套装要求</w:t>
            </w:r>
          </w:p>
          <w:p w14:paraId="759E5FCE">
            <w:pPr>
              <w:widowControl/>
              <w:spacing w:line="360" w:lineRule="auto"/>
              <w:jc w:val="left"/>
              <w:textAlignment w:val="center"/>
              <w:rPr>
                <w:rStyle w:val="123"/>
                <w:rFonts w:hint="default"/>
                <w:color w:val="auto"/>
                <w:sz w:val="21"/>
                <w:szCs w:val="21"/>
              </w:rPr>
            </w:pPr>
            <w:r>
              <w:rPr>
                <w:rStyle w:val="123"/>
                <w:rFonts w:hint="default"/>
                <w:color w:val="auto"/>
                <w:sz w:val="21"/>
                <w:szCs w:val="21"/>
              </w:rPr>
              <w:t>1.额定功率：350W；</w:t>
            </w:r>
          </w:p>
          <w:p w14:paraId="7E133B27">
            <w:pPr>
              <w:widowControl/>
              <w:spacing w:line="360" w:lineRule="auto"/>
              <w:jc w:val="left"/>
              <w:textAlignment w:val="center"/>
              <w:rPr>
                <w:rStyle w:val="123"/>
                <w:rFonts w:hint="default"/>
                <w:color w:val="auto"/>
                <w:sz w:val="21"/>
                <w:szCs w:val="21"/>
              </w:rPr>
            </w:pPr>
            <w:r>
              <w:rPr>
                <w:rStyle w:val="123"/>
                <w:rFonts w:hint="default"/>
                <w:color w:val="auto"/>
                <w:sz w:val="21"/>
                <w:szCs w:val="21"/>
              </w:rPr>
              <w:t>2.输出功率：300W；</w:t>
            </w:r>
          </w:p>
          <w:p w14:paraId="47366504">
            <w:pPr>
              <w:widowControl/>
              <w:spacing w:line="360" w:lineRule="auto"/>
              <w:jc w:val="left"/>
              <w:textAlignment w:val="center"/>
              <w:rPr>
                <w:rStyle w:val="123"/>
                <w:rFonts w:hint="default"/>
                <w:color w:val="auto"/>
                <w:sz w:val="21"/>
                <w:szCs w:val="21"/>
              </w:rPr>
            </w:pPr>
            <w:r>
              <w:rPr>
                <w:rStyle w:val="123"/>
                <w:rFonts w:hint="default"/>
                <w:color w:val="auto"/>
                <w:sz w:val="21"/>
                <w:szCs w:val="21"/>
              </w:rPr>
              <w:t>3.输入电压/电流：DC(Battery)14.4V-14.8V/12A/AC100-240V 50/60Hz；</w:t>
            </w:r>
          </w:p>
          <w:p w14:paraId="445570A6">
            <w:pPr>
              <w:widowControl/>
              <w:spacing w:line="360" w:lineRule="auto"/>
              <w:jc w:val="left"/>
              <w:textAlignment w:val="center"/>
              <w:rPr>
                <w:rStyle w:val="123"/>
                <w:rFonts w:hint="default"/>
                <w:color w:val="auto"/>
                <w:sz w:val="21"/>
                <w:szCs w:val="21"/>
              </w:rPr>
            </w:pPr>
            <w:r>
              <w:rPr>
                <w:rStyle w:val="123"/>
                <w:rFonts w:hint="default"/>
                <w:color w:val="auto"/>
                <w:sz w:val="21"/>
                <w:szCs w:val="21"/>
              </w:rPr>
              <w:t>4.发光角度：100°；</w:t>
            </w:r>
          </w:p>
          <w:p w14:paraId="6AF9B781">
            <w:pPr>
              <w:widowControl/>
              <w:spacing w:line="360" w:lineRule="auto"/>
              <w:jc w:val="left"/>
              <w:textAlignment w:val="center"/>
              <w:rPr>
                <w:rStyle w:val="123"/>
                <w:rFonts w:hint="default"/>
                <w:color w:val="auto"/>
                <w:sz w:val="21"/>
                <w:szCs w:val="21"/>
              </w:rPr>
            </w:pPr>
            <w:r>
              <w:rPr>
                <w:rStyle w:val="123"/>
                <w:rFonts w:hint="default"/>
                <w:color w:val="auto"/>
                <w:sz w:val="21"/>
                <w:szCs w:val="21"/>
              </w:rPr>
              <w:t>5.色温：2700K-6500K；</w:t>
            </w:r>
          </w:p>
          <w:p w14:paraId="154F5AB9">
            <w:pPr>
              <w:widowControl/>
              <w:spacing w:line="360" w:lineRule="auto"/>
              <w:jc w:val="left"/>
              <w:textAlignment w:val="center"/>
              <w:rPr>
                <w:rStyle w:val="123"/>
                <w:rFonts w:hint="default"/>
                <w:color w:val="auto"/>
                <w:sz w:val="21"/>
                <w:szCs w:val="21"/>
              </w:rPr>
            </w:pPr>
            <w:r>
              <w:rPr>
                <w:rStyle w:val="123"/>
                <w:rFonts w:hint="default"/>
                <w:color w:val="auto"/>
                <w:sz w:val="21"/>
                <w:szCs w:val="21"/>
              </w:rPr>
              <w:t>6.红绿平衡：G/M ±80；</w:t>
            </w:r>
          </w:p>
          <w:p w14:paraId="50228045">
            <w:pPr>
              <w:widowControl/>
              <w:spacing w:line="360" w:lineRule="auto"/>
              <w:jc w:val="left"/>
              <w:textAlignment w:val="center"/>
              <w:rPr>
                <w:rStyle w:val="123"/>
                <w:rFonts w:hint="default"/>
                <w:color w:val="auto"/>
                <w:sz w:val="21"/>
                <w:szCs w:val="21"/>
              </w:rPr>
            </w:pPr>
            <w:r>
              <w:rPr>
                <w:rStyle w:val="123"/>
                <w:rFonts w:hint="default"/>
                <w:color w:val="auto"/>
                <w:sz w:val="21"/>
                <w:szCs w:val="21"/>
              </w:rPr>
              <w:t>7.CRI：平均96；</w:t>
            </w:r>
          </w:p>
          <w:p w14:paraId="2A50F257">
            <w:pPr>
              <w:widowControl/>
              <w:spacing w:line="360" w:lineRule="auto"/>
              <w:jc w:val="left"/>
              <w:textAlignment w:val="center"/>
              <w:rPr>
                <w:rStyle w:val="123"/>
                <w:rFonts w:hint="default"/>
                <w:color w:val="auto"/>
                <w:sz w:val="21"/>
                <w:szCs w:val="21"/>
              </w:rPr>
            </w:pPr>
            <w:r>
              <w:rPr>
                <w:rStyle w:val="123"/>
                <w:rFonts w:hint="default"/>
                <w:color w:val="auto"/>
                <w:sz w:val="21"/>
                <w:szCs w:val="21"/>
              </w:rPr>
              <w:t>8.TLCI：平均97；</w:t>
            </w:r>
          </w:p>
          <w:p w14:paraId="6D5650D5">
            <w:pPr>
              <w:widowControl/>
              <w:spacing w:line="360" w:lineRule="auto"/>
              <w:jc w:val="left"/>
              <w:textAlignment w:val="center"/>
              <w:rPr>
                <w:rStyle w:val="123"/>
                <w:rFonts w:hint="default"/>
                <w:color w:val="auto"/>
                <w:sz w:val="21"/>
                <w:szCs w:val="21"/>
              </w:rPr>
            </w:pPr>
            <w:r>
              <w:rPr>
                <w:rStyle w:val="123"/>
                <w:rFonts w:hint="default"/>
                <w:color w:val="auto"/>
                <w:sz w:val="21"/>
                <w:szCs w:val="21"/>
              </w:rPr>
              <w:t>9.TM-30 Rf：平均94；</w:t>
            </w:r>
          </w:p>
          <w:p w14:paraId="02AE5100">
            <w:pPr>
              <w:widowControl/>
              <w:spacing w:line="360" w:lineRule="auto"/>
              <w:jc w:val="left"/>
              <w:textAlignment w:val="center"/>
              <w:rPr>
                <w:rStyle w:val="123"/>
                <w:rFonts w:hint="default"/>
                <w:color w:val="auto"/>
                <w:sz w:val="21"/>
                <w:szCs w:val="21"/>
              </w:rPr>
            </w:pPr>
            <w:r>
              <w:rPr>
                <w:rStyle w:val="123"/>
                <w:rFonts w:hint="default"/>
                <w:color w:val="auto"/>
                <w:sz w:val="21"/>
                <w:szCs w:val="21"/>
              </w:rPr>
              <w:t>10.TM-30 Rg：平均102；</w:t>
            </w:r>
          </w:p>
          <w:p w14:paraId="1DA4DDF3">
            <w:pPr>
              <w:widowControl/>
              <w:spacing w:line="360" w:lineRule="auto"/>
              <w:jc w:val="left"/>
              <w:textAlignment w:val="center"/>
              <w:rPr>
                <w:rStyle w:val="123"/>
                <w:rFonts w:hint="default"/>
                <w:color w:val="auto"/>
                <w:sz w:val="21"/>
                <w:szCs w:val="21"/>
              </w:rPr>
            </w:pPr>
            <w:r>
              <w:rPr>
                <w:rStyle w:val="123"/>
                <w:rFonts w:hint="default"/>
                <w:color w:val="auto"/>
                <w:sz w:val="21"/>
                <w:szCs w:val="21"/>
              </w:rPr>
              <w:t>11.包含：灯体、控制器、6M AC电源线、3M DC连接线、快卸大力夹、反光罩、含柔光罩，灯架；</w:t>
            </w:r>
          </w:p>
          <w:p w14:paraId="19227A6D">
            <w:pPr>
              <w:widowControl/>
              <w:spacing w:line="360" w:lineRule="auto"/>
              <w:jc w:val="left"/>
              <w:textAlignment w:val="center"/>
              <w:rPr>
                <w:rStyle w:val="123"/>
                <w:rFonts w:hint="default"/>
                <w:color w:val="auto"/>
                <w:sz w:val="21"/>
                <w:szCs w:val="21"/>
              </w:rPr>
            </w:pPr>
            <w:r>
              <w:rPr>
                <w:rStyle w:val="123"/>
                <w:rFonts w:hint="default"/>
                <w:color w:val="auto"/>
                <w:sz w:val="21"/>
                <w:szCs w:val="21"/>
              </w:rPr>
              <w:t>二、配置智能插座</w:t>
            </w:r>
          </w:p>
          <w:p w14:paraId="1C9B51E1">
            <w:pPr>
              <w:widowControl/>
              <w:spacing w:line="360" w:lineRule="auto"/>
              <w:jc w:val="left"/>
              <w:textAlignment w:val="center"/>
              <w:rPr>
                <w:rStyle w:val="123"/>
                <w:rFonts w:hint="default"/>
                <w:color w:val="auto"/>
                <w:sz w:val="21"/>
                <w:szCs w:val="21"/>
              </w:rPr>
            </w:pPr>
            <w:r>
              <w:rPr>
                <w:rStyle w:val="123"/>
                <w:rFonts w:hint="default"/>
                <w:color w:val="auto"/>
                <w:sz w:val="21"/>
                <w:szCs w:val="21"/>
              </w:rPr>
              <w:t>1.不少于 5 孔 5 位 10A 插孔；</w:t>
            </w:r>
          </w:p>
          <w:p w14:paraId="1F0277E9">
            <w:pPr>
              <w:widowControl/>
              <w:spacing w:line="360" w:lineRule="auto"/>
              <w:jc w:val="left"/>
              <w:textAlignment w:val="center"/>
              <w:rPr>
                <w:rStyle w:val="123"/>
                <w:rFonts w:hint="default"/>
                <w:color w:val="auto"/>
                <w:sz w:val="21"/>
                <w:szCs w:val="21"/>
              </w:rPr>
            </w:pPr>
            <w:r>
              <w:rPr>
                <w:rStyle w:val="123"/>
                <w:rFonts w:hint="default"/>
                <w:color w:val="auto"/>
                <w:sz w:val="21"/>
                <w:szCs w:val="21"/>
              </w:rPr>
              <w:t>2.支持 100-240VAC 供电，最大额定负载不低于 2500W；</w:t>
            </w:r>
          </w:p>
          <w:p w14:paraId="6460B9D4">
            <w:pPr>
              <w:widowControl/>
              <w:spacing w:line="360" w:lineRule="auto"/>
              <w:jc w:val="left"/>
              <w:textAlignment w:val="center"/>
              <w:rPr>
                <w:rStyle w:val="123"/>
                <w:rFonts w:hint="default"/>
                <w:color w:val="auto"/>
                <w:sz w:val="21"/>
                <w:szCs w:val="21"/>
              </w:rPr>
            </w:pPr>
            <w:r>
              <w:rPr>
                <w:rStyle w:val="123"/>
                <w:rFonts w:hint="default"/>
                <w:color w:val="auto"/>
                <w:sz w:val="21"/>
                <w:szCs w:val="21"/>
              </w:rPr>
              <w:t>3.通过功能键可进入或退出拒绝远程断电状态、控制通断电；</w:t>
            </w:r>
          </w:p>
          <w:p w14:paraId="6CEE9EF3">
            <w:pPr>
              <w:widowControl/>
              <w:spacing w:line="360" w:lineRule="auto"/>
              <w:jc w:val="left"/>
              <w:textAlignment w:val="center"/>
              <w:rPr>
                <w:rStyle w:val="123"/>
                <w:rFonts w:hint="default"/>
                <w:color w:val="auto"/>
                <w:sz w:val="21"/>
                <w:szCs w:val="21"/>
              </w:rPr>
            </w:pPr>
            <w:r>
              <w:rPr>
                <w:rStyle w:val="123"/>
                <w:rFonts w:hint="default"/>
                <w:color w:val="auto"/>
                <w:sz w:val="21"/>
                <w:szCs w:val="21"/>
              </w:rPr>
              <w:t>4.通过指示灯能直观判断是否通电、是否连接云平台、是否拒绝远程通断电；</w:t>
            </w:r>
          </w:p>
          <w:p w14:paraId="3AE5E5B7">
            <w:pPr>
              <w:widowControl/>
              <w:spacing w:line="360" w:lineRule="auto"/>
              <w:jc w:val="left"/>
              <w:textAlignment w:val="center"/>
              <w:rPr>
                <w:rStyle w:val="123"/>
                <w:rFonts w:hint="default"/>
                <w:color w:val="auto"/>
                <w:sz w:val="21"/>
                <w:szCs w:val="21"/>
              </w:rPr>
            </w:pPr>
            <w:r>
              <w:rPr>
                <w:rStyle w:val="123"/>
                <w:rFonts w:hint="default"/>
                <w:color w:val="auto"/>
                <w:sz w:val="21"/>
                <w:szCs w:val="21"/>
              </w:rPr>
              <w:t>5.支持 LoRa 低功率远距离无线协议，实现远程控制、数据传输；</w:t>
            </w:r>
          </w:p>
          <w:p w14:paraId="569618DB">
            <w:pPr>
              <w:widowControl/>
              <w:spacing w:line="360" w:lineRule="auto"/>
              <w:jc w:val="left"/>
              <w:textAlignment w:val="center"/>
              <w:rPr>
                <w:rStyle w:val="123"/>
                <w:rFonts w:hint="default"/>
                <w:color w:val="auto"/>
                <w:sz w:val="21"/>
                <w:szCs w:val="21"/>
              </w:rPr>
            </w:pPr>
            <w:r>
              <w:rPr>
                <w:rStyle w:val="123"/>
                <w:rFonts w:hint="default"/>
                <w:color w:val="auto"/>
                <w:sz w:val="21"/>
                <w:szCs w:val="21"/>
              </w:rPr>
              <w:t>6.支持电量计量、远程控制、通断电控制、传感器间相互联动等特性；</w:t>
            </w:r>
          </w:p>
          <w:p w14:paraId="18008DCD">
            <w:pPr>
              <w:widowControl/>
              <w:spacing w:line="360" w:lineRule="auto"/>
              <w:jc w:val="left"/>
              <w:textAlignment w:val="center"/>
              <w:rPr>
                <w:rStyle w:val="123"/>
                <w:rFonts w:hint="default"/>
                <w:color w:val="auto"/>
                <w:sz w:val="21"/>
                <w:szCs w:val="21"/>
              </w:rPr>
            </w:pPr>
            <w:r>
              <w:rPr>
                <w:rStyle w:val="123"/>
                <w:rFonts w:hint="default"/>
                <w:color w:val="auto"/>
                <w:sz w:val="21"/>
                <w:szCs w:val="21"/>
              </w:rPr>
              <w:t>7.设备支持接入物联网平台统一集中管理，支持查看电压、电流、实时功率、最新数据上报时间、设备日志；</w:t>
            </w:r>
            <w:r>
              <w:rPr>
                <w:rStyle w:val="123"/>
                <w:rFonts w:hint="default"/>
                <w:b/>
                <w:bCs/>
                <w:color w:val="auto"/>
                <w:sz w:val="21"/>
                <w:szCs w:val="21"/>
              </w:rPr>
              <w:t>（投标文件中提供功能截图证明，并加盖投标人公章）</w:t>
            </w:r>
          </w:p>
          <w:p w14:paraId="1080BDED">
            <w:pPr>
              <w:widowControl/>
              <w:spacing w:line="360" w:lineRule="auto"/>
              <w:jc w:val="left"/>
              <w:textAlignment w:val="center"/>
              <w:rPr>
                <w:rStyle w:val="123"/>
                <w:rFonts w:hint="default"/>
                <w:color w:val="auto"/>
                <w:sz w:val="21"/>
                <w:szCs w:val="21"/>
              </w:rPr>
            </w:pPr>
            <w:r>
              <w:rPr>
                <w:rStyle w:val="123"/>
                <w:rFonts w:hint="default"/>
                <w:color w:val="auto"/>
                <w:sz w:val="21"/>
                <w:szCs w:val="21"/>
              </w:rPr>
              <w:t>8.支持通过 APP 方式查看插座状态，包括功率、电压、电流、电量、开关状态、拒绝平台通断电状态等；</w:t>
            </w:r>
          </w:p>
          <w:p w14:paraId="6F2B3C13">
            <w:pPr>
              <w:widowControl/>
              <w:spacing w:line="360" w:lineRule="auto"/>
              <w:jc w:val="left"/>
              <w:textAlignment w:val="center"/>
              <w:rPr>
                <w:rStyle w:val="123"/>
                <w:rFonts w:hint="default"/>
                <w:color w:val="auto"/>
                <w:sz w:val="21"/>
                <w:szCs w:val="21"/>
              </w:rPr>
            </w:pPr>
            <w:r>
              <w:rPr>
                <w:rStyle w:val="123"/>
                <w:rFonts w:hint="default"/>
                <w:color w:val="auto"/>
                <w:sz w:val="21"/>
                <w:szCs w:val="21"/>
              </w:rPr>
              <w:t>9.支持通过 APP 方式对插座状态进行配置，可配置的状态包括开关状态、拒绝平台通断电状态、按键指示灯状态、蜂鸣器报警状态等；</w:t>
            </w:r>
            <w:r>
              <w:rPr>
                <w:rStyle w:val="123"/>
                <w:rFonts w:hint="default"/>
                <w:b/>
                <w:bCs/>
                <w:color w:val="auto"/>
                <w:sz w:val="21"/>
                <w:szCs w:val="21"/>
              </w:rPr>
              <w:t>（投标文件中提供功能截图证明，并加盖投标人公章）</w:t>
            </w:r>
          </w:p>
          <w:p w14:paraId="5495C1C8">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10.支持功率告警设置，超过设定阈值时进行现场蜂鸣、断电、APP 通知，并联动摄像头现场抓拍，启动异常巡检任务。</w:t>
            </w:r>
          </w:p>
        </w:tc>
      </w:tr>
      <w:tr w14:paraId="708A9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C6E137B">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13</w:t>
            </w:r>
          </w:p>
        </w:tc>
        <w:tc>
          <w:tcPr>
            <w:tcW w:w="850" w:type="dxa"/>
            <w:vAlign w:val="center"/>
          </w:tcPr>
          <w:p w14:paraId="08ED3F2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V口电池</w:t>
            </w:r>
          </w:p>
        </w:tc>
        <w:tc>
          <w:tcPr>
            <w:tcW w:w="851" w:type="dxa"/>
            <w:vAlign w:val="center"/>
          </w:tcPr>
          <w:p w14:paraId="3353A39D">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08414E53">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35102FFC">
            <w:pPr>
              <w:widowControl/>
              <w:spacing w:line="360" w:lineRule="auto"/>
              <w:jc w:val="left"/>
              <w:textAlignment w:val="center"/>
              <w:rPr>
                <w:rStyle w:val="123"/>
                <w:rFonts w:hint="default"/>
                <w:color w:val="auto"/>
                <w:sz w:val="21"/>
                <w:szCs w:val="21"/>
                <w:highlight w:val="none"/>
              </w:rPr>
            </w:pPr>
            <w:r>
              <w:rPr>
                <w:rStyle w:val="123"/>
                <w:rFonts w:hint="default"/>
                <w:color w:val="auto"/>
                <w:sz w:val="21"/>
                <w:szCs w:val="21"/>
                <w:highlight w:val="none"/>
              </w:rPr>
              <w:t>1.容量：14.8V 20.4Ah 300Wh；</w:t>
            </w:r>
          </w:p>
          <w:p w14:paraId="46B1C15A">
            <w:pPr>
              <w:widowControl/>
              <w:spacing w:line="360" w:lineRule="auto"/>
              <w:jc w:val="left"/>
              <w:textAlignment w:val="center"/>
              <w:rPr>
                <w:rStyle w:val="123"/>
                <w:rFonts w:hint="default"/>
                <w:color w:val="auto"/>
                <w:sz w:val="21"/>
                <w:szCs w:val="21"/>
                <w:highlight w:val="none"/>
              </w:rPr>
            </w:pPr>
            <w:r>
              <w:rPr>
                <w:rStyle w:val="123"/>
                <w:rFonts w:hint="default"/>
                <w:color w:val="auto"/>
                <w:sz w:val="21"/>
                <w:szCs w:val="21"/>
                <w:highlight w:val="none"/>
              </w:rPr>
              <w:t>2.工作电流：18.0A(Max)；</w:t>
            </w:r>
          </w:p>
          <w:p w14:paraId="1C85620C">
            <w:pPr>
              <w:widowControl/>
              <w:spacing w:line="360" w:lineRule="auto"/>
              <w:jc w:val="left"/>
              <w:textAlignment w:val="center"/>
              <w:rPr>
                <w:rStyle w:val="123"/>
                <w:rFonts w:hint="default"/>
                <w:color w:val="auto"/>
                <w:sz w:val="21"/>
                <w:szCs w:val="21"/>
                <w:highlight w:val="none"/>
              </w:rPr>
            </w:pPr>
            <w:r>
              <w:rPr>
                <w:rStyle w:val="123"/>
                <w:rFonts w:hint="default"/>
                <w:color w:val="auto"/>
                <w:sz w:val="21"/>
                <w:szCs w:val="21"/>
                <w:highlight w:val="none"/>
              </w:rPr>
              <w:t>3.D-TAP 输出：10-16.8Vx4/15A(Max)；</w:t>
            </w:r>
          </w:p>
          <w:p w14:paraId="24E4579E">
            <w:pPr>
              <w:widowControl/>
              <w:spacing w:line="360" w:lineRule="auto"/>
              <w:jc w:val="left"/>
              <w:textAlignment w:val="center"/>
              <w:rPr>
                <w:rStyle w:val="123"/>
                <w:rFonts w:hint="default"/>
                <w:color w:val="auto"/>
                <w:sz w:val="21"/>
                <w:szCs w:val="21"/>
                <w:highlight w:val="none"/>
              </w:rPr>
            </w:pPr>
            <w:r>
              <w:rPr>
                <w:rStyle w:val="123"/>
                <w:rFonts w:hint="default"/>
                <w:color w:val="auto"/>
                <w:sz w:val="21"/>
                <w:szCs w:val="21"/>
                <w:highlight w:val="none"/>
              </w:rPr>
              <w:t>4.USB-A输出：5V/2.0A；</w:t>
            </w:r>
          </w:p>
          <w:p w14:paraId="26F05929">
            <w:pPr>
              <w:widowControl/>
              <w:spacing w:line="360" w:lineRule="auto"/>
              <w:jc w:val="left"/>
              <w:textAlignment w:val="center"/>
              <w:rPr>
                <w:rStyle w:val="123"/>
                <w:rFonts w:hint="default"/>
                <w:color w:val="auto"/>
                <w:sz w:val="21"/>
                <w:szCs w:val="21"/>
                <w:highlight w:val="none"/>
              </w:rPr>
            </w:pPr>
            <w:r>
              <w:rPr>
                <w:rStyle w:val="123"/>
                <w:rFonts w:hint="default"/>
                <w:color w:val="auto"/>
                <w:sz w:val="21"/>
                <w:szCs w:val="21"/>
                <w:highlight w:val="none"/>
              </w:rPr>
              <w:t>5.尺寸：约128.5(L)x99(W) x96(H)mm；</w:t>
            </w:r>
          </w:p>
          <w:p w14:paraId="1969664F">
            <w:pPr>
              <w:widowControl/>
              <w:spacing w:line="360" w:lineRule="auto"/>
              <w:jc w:val="left"/>
              <w:textAlignment w:val="center"/>
              <w:rPr>
                <w:rStyle w:val="123"/>
                <w:rFonts w:hint="default"/>
                <w:color w:val="auto"/>
                <w:sz w:val="21"/>
                <w:szCs w:val="21"/>
                <w:highlight w:val="none"/>
              </w:rPr>
            </w:pPr>
            <w:r>
              <w:rPr>
                <w:rStyle w:val="123"/>
                <w:rFonts w:hint="default"/>
                <w:color w:val="auto"/>
                <w:sz w:val="21"/>
                <w:szCs w:val="21"/>
                <w:highlight w:val="none"/>
              </w:rPr>
              <w:t>6.重量：约1660g；</w:t>
            </w:r>
          </w:p>
          <w:p w14:paraId="7168FDEF">
            <w:pPr>
              <w:tabs>
                <w:tab w:val="left" w:pos="180"/>
                <w:tab w:val="left" w:pos="1620"/>
              </w:tabs>
              <w:spacing w:line="360" w:lineRule="auto"/>
              <w:jc w:val="left"/>
              <w:rPr>
                <w:rFonts w:hint="eastAsia" w:ascii="宋体" w:hAnsi="宋体" w:cs="宋体"/>
                <w:szCs w:val="21"/>
                <w:highlight w:val="none"/>
              </w:rPr>
            </w:pPr>
            <w:r>
              <w:rPr>
                <w:rStyle w:val="123"/>
                <w:rFonts w:hint="default"/>
                <w:color w:val="auto"/>
                <w:sz w:val="21"/>
                <w:szCs w:val="21"/>
                <w:highlight w:val="none"/>
              </w:rPr>
              <w:t>7.包含：电池*8个，四合一充电器*1个，航空箱*1个；</w:t>
            </w:r>
          </w:p>
        </w:tc>
      </w:tr>
      <w:tr w14:paraId="642AD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217EDC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14</w:t>
            </w:r>
          </w:p>
        </w:tc>
        <w:tc>
          <w:tcPr>
            <w:tcW w:w="850" w:type="dxa"/>
            <w:vAlign w:val="center"/>
          </w:tcPr>
          <w:p w14:paraId="6C34A39E">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小反射板</w:t>
            </w:r>
          </w:p>
        </w:tc>
        <w:tc>
          <w:tcPr>
            <w:tcW w:w="851" w:type="dxa"/>
            <w:vAlign w:val="center"/>
          </w:tcPr>
          <w:p w14:paraId="1149202C">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708" w:type="dxa"/>
            <w:vAlign w:val="center"/>
          </w:tcPr>
          <w:p w14:paraId="59193CC8">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3506EDEB">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70mm*70mm尺寸：7D1 一块 /D2一块/D3一块/D4一块； 150mm*150mm尺寸：15D1一块/D2一块/D3一块/D4一块； 250mm*250mm尺寸：25D1一块/D2一块/D3一块/D4一块； 500mm*500mm尺寸：50D1一块/D2一块/D3一块/D4一块；收纳包 SC17一个；安全绳一根；滑槽座WMR一个，滑槽座WMS一个；手套2对；清洁液 100ml一瓶；清洁布一块；安装工具包一个，清洁工具包一个。</w:t>
            </w:r>
          </w:p>
        </w:tc>
      </w:tr>
      <w:tr w14:paraId="2BB32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18C906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15</w:t>
            </w:r>
          </w:p>
        </w:tc>
        <w:tc>
          <w:tcPr>
            <w:tcW w:w="850" w:type="dxa"/>
            <w:vAlign w:val="center"/>
          </w:tcPr>
          <w:p w14:paraId="4F2AC808">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大反射板</w:t>
            </w:r>
          </w:p>
        </w:tc>
        <w:tc>
          <w:tcPr>
            <w:tcW w:w="851" w:type="dxa"/>
            <w:vAlign w:val="center"/>
          </w:tcPr>
          <w:p w14:paraId="12FE72D8">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708" w:type="dxa"/>
            <w:vAlign w:val="center"/>
          </w:tcPr>
          <w:p w14:paraId="54067B9A">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36FB457A">
            <w:pPr>
              <w:widowControl/>
              <w:spacing w:line="360" w:lineRule="auto"/>
              <w:jc w:val="left"/>
              <w:textAlignment w:val="center"/>
              <w:rPr>
                <w:rStyle w:val="123"/>
                <w:rFonts w:hint="default"/>
                <w:color w:val="auto"/>
                <w:sz w:val="21"/>
                <w:szCs w:val="21"/>
              </w:rPr>
            </w:pPr>
            <w:r>
              <w:rPr>
                <w:rStyle w:val="123"/>
                <w:rFonts w:hint="default"/>
                <w:color w:val="auto"/>
                <w:sz w:val="21"/>
                <w:szCs w:val="21"/>
              </w:rPr>
              <w:t>1.尺寸：100cm；</w:t>
            </w:r>
          </w:p>
          <w:p w14:paraId="01EE4EA6">
            <w:pPr>
              <w:widowControl/>
              <w:spacing w:line="360" w:lineRule="auto"/>
              <w:jc w:val="left"/>
              <w:textAlignment w:val="center"/>
              <w:rPr>
                <w:rStyle w:val="123"/>
                <w:rFonts w:hint="default"/>
                <w:color w:val="auto"/>
                <w:sz w:val="21"/>
                <w:szCs w:val="21"/>
              </w:rPr>
            </w:pPr>
            <w:r>
              <w:rPr>
                <w:rStyle w:val="123"/>
                <w:rFonts w:hint="default"/>
                <w:color w:val="auto"/>
                <w:sz w:val="21"/>
                <w:szCs w:val="21"/>
              </w:rPr>
              <w:t>2.四种光效：硬质光线、轻柔光线、柔和光线、柔和条形光线；</w:t>
            </w:r>
          </w:p>
          <w:p w14:paraId="5BD1E0C7">
            <w:pPr>
              <w:widowControl/>
              <w:spacing w:line="360" w:lineRule="auto"/>
              <w:jc w:val="left"/>
              <w:textAlignment w:val="center"/>
              <w:rPr>
                <w:rStyle w:val="123"/>
                <w:rFonts w:hint="default"/>
                <w:color w:val="auto"/>
                <w:sz w:val="21"/>
                <w:szCs w:val="21"/>
              </w:rPr>
            </w:pPr>
            <w:r>
              <w:rPr>
                <w:rStyle w:val="123"/>
                <w:rFonts w:hint="default"/>
                <w:color w:val="auto"/>
                <w:sz w:val="21"/>
                <w:szCs w:val="21"/>
              </w:rPr>
              <w:t>3.材质：高质量材料，确保光线反射效果；</w:t>
            </w:r>
          </w:p>
          <w:p w14:paraId="5AB7A7E9">
            <w:pPr>
              <w:widowControl/>
              <w:spacing w:line="360" w:lineRule="auto"/>
              <w:jc w:val="left"/>
              <w:textAlignment w:val="center"/>
              <w:rPr>
                <w:rStyle w:val="123"/>
                <w:rFonts w:hint="default"/>
                <w:color w:val="auto"/>
                <w:sz w:val="21"/>
                <w:szCs w:val="21"/>
              </w:rPr>
            </w:pPr>
            <w:r>
              <w:rPr>
                <w:rStyle w:val="123"/>
                <w:rFonts w:hint="default"/>
                <w:color w:val="auto"/>
                <w:sz w:val="21"/>
                <w:szCs w:val="21"/>
              </w:rPr>
              <w:t>4.收纳：可折善收纳，方便携带；</w:t>
            </w:r>
          </w:p>
          <w:p w14:paraId="198555C6">
            <w:pPr>
              <w:widowControl/>
              <w:spacing w:line="360" w:lineRule="auto"/>
              <w:jc w:val="left"/>
              <w:textAlignment w:val="center"/>
              <w:rPr>
                <w:rStyle w:val="123"/>
                <w:rFonts w:hint="default"/>
                <w:color w:val="auto"/>
                <w:sz w:val="21"/>
                <w:szCs w:val="21"/>
              </w:rPr>
            </w:pPr>
            <w:r>
              <w:rPr>
                <w:rStyle w:val="123"/>
                <w:rFonts w:hint="default"/>
                <w:color w:val="auto"/>
                <w:sz w:val="21"/>
                <w:szCs w:val="21"/>
              </w:rPr>
              <w:t>5.适用场景：电影拍摄、摄影棚、直播等；</w:t>
            </w:r>
          </w:p>
          <w:p w14:paraId="17CE2569">
            <w:pPr>
              <w:widowControl/>
              <w:spacing w:line="360" w:lineRule="auto"/>
              <w:jc w:val="left"/>
              <w:textAlignment w:val="center"/>
              <w:rPr>
                <w:rStyle w:val="123"/>
                <w:rFonts w:hint="default"/>
                <w:color w:val="auto"/>
                <w:sz w:val="21"/>
                <w:szCs w:val="21"/>
              </w:rPr>
            </w:pPr>
            <w:r>
              <w:rPr>
                <w:rStyle w:val="123"/>
                <w:rFonts w:hint="default"/>
                <w:color w:val="auto"/>
                <w:sz w:val="21"/>
                <w:szCs w:val="21"/>
              </w:rPr>
              <w:t>6.配件：包括U架，便于安装和调整角度；</w:t>
            </w:r>
          </w:p>
          <w:p w14:paraId="1CECB16B">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7.套装内容：LiteFlow100D1&amp;D3U架(硬质光线/柔和光线)LiteFlow100D2&amp;D4U架(轻柔光线/柔和条形光线)；</w:t>
            </w:r>
          </w:p>
        </w:tc>
      </w:tr>
      <w:tr w14:paraId="70FF8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8EA2F1D">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16</w:t>
            </w:r>
          </w:p>
        </w:tc>
        <w:tc>
          <w:tcPr>
            <w:tcW w:w="850" w:type="dxa"/>
            <w:vAlign w:val="center"/>
          </w:tcPr>
          <w:p w14:paraId="3D22BD3D">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全彩大型柔性布灯</w:t>
            </w:r>
          </w:p>
        </w:tc>
        <w:tc>
          <w:tcPr>
            <w:tcW w:w="851" w:type="dxa"/>
            <w:vAlign w:val="center"/>
          </w:tcPr>
          <w:p w14:paraId="33254511">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4</w:t>
            </w:r>
          </w:p>
        </w:tc>
        <w:tc>
          <w:tcPr>
            <w:tcW w:w="708" w:type="dxa"/>
            <w:vAlign w:val="center"/>
          </w:tcPr>
          <w:p w14:paraId="33A6E433">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块</w:t>
            </w:r>
          </w:p>
        </w:tc>
        <w:tc>
          <w:tcPr>
            <w:tcW w:w="6928" w:type="dxa"/>
            <w:gridSpan w:val="3"/>
            <w:vAlign w:val="center"/>
          </w:tcPr>
          <w:p w14:paraId="21CC6856">
            <w:pPr>
              <w:widowControl/>
              <w:spacing w:line="360" w:lineRule="auto"/>
              <w:jc w:val="left"/>
              <w:textAlignment w:val="center"/>
              <w:rPr>
                <w:rStyle w:val="123"/>
                <w:rFonts w:hint="default"/>
                <w:color w:val="auto"/>
                <w:sz w:val="21"/>
                <w:szCs w:val="21"/>
              </w:rPr>
            </w:pPr>
            <w:r>
              <w:rPr>
                <w:rStyle w:val="123"/>
                <w:rFonts w:hint="default"/>
                <w:color w:val="auto"/>
                <w:sz w:val="21"/>
                <w:szCs w:val="21"/>
              </w:rPr>
              <w:t>1.尺寸：120cm×120cm；</w:t>
            </w:r>
          </w:p>
          <w:p w14:paraId="30946C0B">
            <w:pPr>
              <w:widowControl/>
              <w:spacing w:line="360" w:lineRule="auto"/>
              <w:jc w:val="left"/>
              <w:textAlignment w:val="center"/>
              <w:rPr>
                <w:rStyle w:val="123"/>
                <w:rFonts w:hint="default"/>
                <w:color w:val="auto"/>
                <w:sz w:val="21"/>
                <w:szCs w:val="21"/>
              </w:rPr>
            </w:pPr>
            <w:r>
              <w:rPr>
                <w:rStyle w:val="123"/>
                <w:rFonts w:hint="default"/>
                <w:color w:val="auto"/>
                <w:sz w:val="21"/>
                <w:szCs w:val="21"/>
              </w:rPr>
              <w:t>2.内置LumenRadio芯片，能够实现CRMX高效稳定无线调控；并可通过控制盒、蓝牙等其他方式便捷控灯；</w:t>
            </w:r>
          </w:p>
          <w:p w14:paraId="49DFE110">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3.支持Art-Net＆sACN协议，有相应尺寸的可拆卸柔光气垫，气垫采用科学的弧面角度设计，出光效果柔和、均匀；可拆卸设计可根据拍摄需求快速切换不同光效，提升灵活性；4.配有格栅、裙边等控光附件，适应不同场景需求；搭配电动气泵可快速充气放气，便于使用及收纳，含BP-01支撑杆，裙边，半球柔光箱，10米DC连接线灯架。</w:t>
            </w:r>
          </w:p>
        </w:tc>
      </w:tr>
      <w:tr w14:paraId="199C7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EC34720">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17</w:t>
            </w:r>
          </w:p>
        </w:tc>
        <w:tc>
          <w:tcPr>
            <w:tcW w:w="850" w:type="dxa"/>
            <w:vAlign w:val="center"/>
          </w:tcPr>
          <w:p w14:paraId="1319A5BB">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04灯腿</w:t>
            </w:r>
          </w:p>
        </w:tc>
        <w:tc>
          <w:tcPr>
            <w:tcW w:w="851" w:type="dxa"/>
            <w:vAlign w:val="center"/>
          </w:tcPr>
          <w:p w14:paraId="72ACA36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6</w:t>
            </w:r>
          </w:p>
        </w:tc>
        <w:tc>
          <w:tcPr>
            <w:tcW w:w="708" w:type="dxa"/>
            <w:vAlign w:val="center"/>
          </w:tcPr>
          <w:p w14:paraId="6F4B5B0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支</w:t>
            </w:r>
          </w:p>
        </w:tc>
        <w:tc>
          <w:tcPr>
            <w:tcW w:w="6928" w:type="dxa"/>
            <w:gridSpan w:val="3"/>
            <w:vAlign w:val="center"/>
          </w:tcPr>
          <w:p w14:paraId="44FBB316">
            <w:pPr>
              <w:widowControl/>
              <w:spacing w:line="360" w:lineRule="auto"/>
              <w:jc w:val="left"/>
              <w:textAlignment w:val="center"/>
              <w:rPr>
                <w:rStyle w:val="123"/>
                <w:rFonts w:hint="default"/>
                <w:color w:val="auto"/>
                <w:sz w:val="21"/>
                <w:szCs w:val="21"/>
              </w:rPr>
            </w:pPr>
            <w:r>
              <w:rPr>
                <w:rStyle w:val="123"/>
                <w:rFonts w:hint="default"/>
                <w:color w:val="auto"/>
                <w:sz w:val="21"/>
                <w:szCs w:val="21"/>
              </w:rPr>
              <w:t>1.钢制影视灯架；</w:t>
            </w:r>
          </w:p>
          <w:p w14:paraId="12E7C733">
            <w:pPr>
              <w:widowControl/>
              <w:spacing w:line="360" w:lineRule="auto"/>
              <w:jc w:val="left"/>
              <w:textAlignment w:val="center"/>
              <w:rPr>
                <w:rStyle w:val="123"/>
                <w:rFonts w:hint="default"/>
                <w:color w:val="auto"/>
                <w:sz w:val="21"/>
                <w:szCs w:val="21"/>
              </w:rPr>
            </w:pPr>
            <w:r>
              <w:rPr>
                <w:rStyle w:val="123"/>
                <w:rFonts w:hint="default"/>
                <w:color w:val="auto"/>
                <w:sz w:val="21"/>
                <w:szCs w:val="21"/>
              </w:rPr>
              <w:t>2.最高高度：345CM；</w:t>
            </w:r>
          </w:p>
          <w:p w14:paraId="7E6E9A4C">
            <w:pPr>
              <w:widowControl/>
              <w:spacing w:line="360" w:lineRule="auto"/>
              <w:jc w:val="left"/>
              <w:textAlignment w:val="center"/>
              <w:rPr>
                <w:rStyle w:val="123"/>
                <w:rFonts w:hint="default"/>
                <w:color w:val="auto"/>
                <w:sz w:val="21"/>
                <w:szCs w:val="21"/>
              </w:rPr>
            </w:pPr>
            <w:r>
              <w:rPr>
                <w:rStyle w:val="123"/>
                <w:rFonts w:hint="default"/>
                <w:color w:val="auto"/>
                <w:sz w:val="21"/>
                <w:szCs w:val="21"/>
              </w:rPr>
              <w:t>3.最低高度：142.5CM；</w:t>
            </w:r>
          </w:p>
          <w:p w14:paraId="361D5C2B">
            <w:pPr>
              <w:widowControl/>
              <w:spacing w:line="360" w:lineRule="auto"/>
              <w:jc w:val="left"/>
              <w:textAlignment w:val="center"/>
              <w:rPr>
                <w:rStyle w:val="123"/>
                <w:rFonts w:hint="default"/>
                <w:color w:val="auto"/>
                <w:sz w:val="21"/>
                <w:szCs w:val="21"/>
              </w:rPr>
            </w:pPr>
            <w:r>
              <w:rPr>
                <w:rStyle w:val="123"/>
                <w:rFonts w:hint="default"/>
                <w:color w:val="auto"/>
                <w:sz w:val="21"/>
                <w:szCs w:val="21"/>
              </w:rPr>
              <w:t>4.收缩高度：141.5CM；</w:t>
            </w:r>
          </w:p>
          <w:p w14:paraId="72C5DCD3">
            <w:pPr>
              <w:widowControl/>
              <w:spacing w:line="360" w:lineRule="auto"/>
              <w:jc w:val="left"/>
              <w:textAlignment w:val="center"/>
              <w:rPr>
                <w:rStyle w:val="123"/>
                <w:rFonts w:hint="default"/>
                <w:color w:val="auto"/>
                <w:sz w:val="21"/>
                <w:szCs w:val="21"/>
              </w:rPr>
            </w:pPr>
            <w:r>
              <w:rPr>
                <w:rStyle w:val="123"/>
                <w:rFonts w:hint="default"/>
                <w:color w:val="auto"/>
                <w:sz w:val="21"/>
                <w:szCs w:val="21"/>
              </w:rPr>
              <w:t>5.净重：约16KG；</w:t>
            </w:r>
          </w:p>
          <w:p w14:paraId="3A6D8CDA">
            <w:pPr>
              <w:widowControl/>
              <w:spacing w:line="360" w:lineRule="auto"/>
              <w:jc w:val="left"/>
              <w:textAlignment w:val="center"/>
              <w:rPr>
                <w:rStyle w:val="123"/>
                <w:rFonts w:hint="default"/>
                <w:color w:val="auto"/>
                <w:sz w:val="21"/>
                <w:szCs w:val="21"/>
              </w:rPr>
            </w:pPr>
            <w:r>
              <w:rPr>
                <w:rStyle w:val="123"/>
                <w:rFonts w:hint="default"/>
                <w:color w:val="auto"/>
                <w:sz w:val="21"/>
                <w:szCs w:val="21"/>
              </w:rPr>
              <w:t>6.节数：3；</w:t>
            </w:r>
          </w:p>
          <w:p w14:paraId="71004F00">
            <w:pPr>
              <w:widowControl/>
              <w:spacing w:line="360" w:lineRule="auto"/>
              <w:jc w:val="left"/>
              <w:textAlignment w:val="center"/>
              <w:rPr>
                <w:rStyle w:val="123"/>
                <w:rFonts w:hint="default"/>
                <w:color w:val="auto"/>
                <w:sz w:val="21"/>
                <w:szCs w:val="21"/>
              </w:rPr>
            </w:pPr>
            <w:r>
              <w:rPr>
                <w:rStyle w:val="123"/>
                <w:rFonts w:hint="default"/>
                <w:color w:val="auto"/>
                <w:sz w:val="21"/>
                <w:szCs w:val="21"/>
              </w:rPr>
              <w:t>7.管径：35，40，45；</w:t>
            </w:r>
          </w:p>
          <w:p w14:paraId="5467127B">
            <w:pPr>
              <w:widowControl/>
              <w:spacing w:line="360" w:lineRule="auto"/>
              <w:jc w:val="left"/>
              <w:textAlignment w:val="center"/>
              <w:rPr>
                <w:rStyle w:val="123"/>
                <w:rFonts w:hint="default"/>
                <w:color w:val="auto"/>
                <w:sz w:val="21"/>
                <w:szCs w:val="21"/>
              </w:rPr>
            </w:pPr>
            <w:r>
              <w:rPr>
                <w:rStyle w:val="123"/>
                <w:rFonts w:hint="default"/>
                <w:color w:val="auto"/>
                <w:sz w:val="21"/>
                <w:szCs w:val="21"/>
              </w:rPr>
              <w:t>8.脚管：25*25mm；</w:t>
            </w:r>
          </w:p>
          <w:p w14:paraId="5FB5E725">
            <w:pPr>
              <w:widowControl/>
              <w:spacing w:line="360" w:lineRule="auto"/>
              <w:jc w:val="left"/>
              <w:textAlignment w:val="center"/>
              <w:rPr>
                <w:rStyle w:val="123"/>
                <w:rFonts w:hint="default"/>
                <w:color w:val="auto"/>
                <w:sz w:val="21"/>
                <w:szCs w:val="21"/>
              </w:rPr>
            </w:pPr>
            <w:r>
              <w:rPr>
                <w:rStyle w:val="123"/>
                <w:rFonts w:hint="default"/>
                <w:color w:val="auto"/>
                <w:sz w:val="21"/>
                <w:szCs w:val="21"/>
              </w:rPr>
              <w:t>9.承重：≥40KG；</w:t>
            </w:r>
          </w:p>
          <w:p w14:paraId="5961E0FB">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10.展开圆：160CM；</w:t>
            </w:r>
          </w:p>
        </w:tc>
      </w:tr>
      <w:tr w14:paraId="7EE70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9309CF6">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18</w:t>
            </w:r>
          </w:p>
        </w:tc>
        <w:tc>
          <w:tcPr>
            <w:tcW w:w="850" w:type="dxa"/>
            <w:vAlign w:val="center"/>
          </w:tcPr>
          <w:p w14:paraId="12EECD8D">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低魔术腿</w:t>
            </w:r>
          </w:p>
        </w:tc>
        <w:tc>
          <w:tcPr>
            <w:tcW w:w="851" w:type="dxa"/>
            <w:vAlign w:val="center"/>
          </w:tcPr>
          <w:p w14:paraId="2FEFB2C3">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10</w:t>
            </w:r>
          </w:p>
        </w:tc>
        <w:tc>
          <w:tcPr>
            <w:tcW w:w="708" w:type="dxa"/>
            <w:vAlign w:val="center"/>
          </w:tcPr>
          <w:p w14:paraId="75B5FD30">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61C3AE7A">
            <w:pPr>
              <w:widowControl/>
              <w:spacing w:line="360" w:lineRule="auto"/>
              <w:jc w:val="left"/>
              <w:textAlignment w:val="center"/>
              <w:rPr>
                <w:rStyle w:val="123"/>
                <w:rFonts w:hint="default"/>
                <w:color w:val="auto"/>
                <w:sz w:val="21"/>
                <w:szCs w:val="21"/>
              </w:rPr>
            </w:pPr>
            <w:r>
              <w:rPr>
                <w:rStyle w:val="123"/>
                <w:rFonts w:hint="default"/>
                <w:color w:val="auto"/>
                <w:sz w:val="21"/>
                <w:szCs w:val="21"/>
              </w:rPr>
              <w:t>1.最大承重：10KG；</w:t>
            </w:r>
          </w:p>
          <w:p w14:paraId="52BC2423">
            <w:pPr>
              <w:widowControl/>
              <w:spacing w:line="360" w:lineRule="auto"/>
              <w:jc w:val="left"/>
              <w:textAlignment w:val="center"/>
              <w:rPr>
                <w:rStyle w:val="123"/>
                <w:rFonts w:hint="default"/>
                <w:color w:val="auto"/>
                <w:sz w:val="21"/>
                <w:szCs w:val="21"/>
              </w:rPr>
            </w:pPr>
            <w:r>
              <w:rPr>
                <w:rStyle w:val="123"/>
                <w:rFonts w:hint="default"/>
                <w:color w:val="auto"/>
                <w:sz w:val="21"/>
                <w:szCs w:val="21"/>
              </w:rPr>
              <w:t>2.自重：约6.1KG；</w:t>
            </w:r>
          </w:p>
          <w:p w14:paraId="35FB47E4">
            <w:pPr>
              <w:widowControl/>
              <w:spacing w:line="360" w:lineRule="auto"/>
              <w:jc w:val="left"/>
              <w:textAlignment w:val="center"/>
              <w:rPr>
                <w:rStyle w:val="123"/>
                <w:rFonts w:hint="default"/>
                <w:color w:val="auto"/>
                <w:sz w:val="21"/>
                <w:szCs w:val="21"/>
              </w:rPr>
            </w:pPr>
            <w:r>
              <w:rPr>
                <w:rStyle w:val="123"/>
                <w:rFonts w:hint="default"/>
                <w:color w:val="auto"/>
                <w:sz w:val="21"/>
                <w:szCs w:val="21"/>
              </w:rPr>
              <w:t>3.最大高度：244CM；</w:t>
            </w:r>
          </w:p>
          <w:p w14:paraId="60AB67C3">
            <w:pPr>
              <w:widowControl/>
              <w:spacing w:line="360" w:lineRule="auto"/>
              <w:jc w:val="left"/>
              <w:textAlignment w:val="center"/>
              <w:rPr>
                <w:rStyle w:val="123"/>
                <w:rFonts w:hint="default"/>
                <w:color w:val="auto"/>
                <w:sz w:val="21"/>
                <w:szCs w:val="21"/>
              </w:rPr>
            </w:pPr>
            <w:r>
              <w:rPr>
                <w:rStyle w:val="123"/>
                <w:rFonts w:hint="default"/>
                <w:color w:val="auto"/>
                <w:sz w:val="21"/>
                <w:szCs w:val="21"/>
              </w:rPr>
              <w:t>4.最小使用高度：108.5CM；</w:t>
            </w:r>
          </w:p>
          <w:p w14:paraId="14BF5759">
            <w:pPr>
              <w:widowControl/>
              <w:spacing w:line="360" w:lineRule="auto"/>
              <w:jc w:val="left"/>
              <w:textAlignment w:val="center"/>
              <w:rPr>
                <w:rStyle w:val="123"/>
                <w:rFonts w:hint="default"/>
                <w:color w:val="auto"/>
                <w:sz w:val="21"/>
                <w:szCs w:val="21"/>
              </w:rPr>
            </w:pPr>
            <w:r>
              <w:rPr>
                <w:rStyle w:val="123"/>
                <w:rFonts w:hint="default"/>
                <w:color w:val="auto"/>
                <w:sz w:val="21"/>
                <w:szCs w:val="21"/>
              </w:rPr>
              <w:t>5.收纳长度：约108.5CM；</w:t>
            </w:r>
          </w:p>
          <w:p w14:paraId="2CA18BFD">
            <w:pPr>
              <w:widowControl/>
              <w:spacing w:line="360" w:lineRule="auto"/>
              <w:jc w:val="left"/>
              <w:textAlignment w:val="center"/>
              <w:rPr>
                <w:rStyle w:val="123"/>
                <w:rFonts w:hint="default"/>
                <w:color w:val="auto"/>
                <w:sz w:val="21"/>
                <w:szCs w:val="21"/>
              </w:rPr>
            </w:pPr>
            <w:r>
              <w:rPr>
                <w:rStyle w:val="123"/>
                <w:rFonts w:hint="default"/>
                <w:color w:val="auto"/>
                <w:sz w:val="21"/>
                <w:szCs w:val="21"/>
              </w:rPr>
              <w:t>6.开脚直径：约95CM；</w:t>
            </w:r>
          </w:p>
          <w:p w14:paraId="309DD350">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7.接头类型：16MM公头；</w:t>
            </w:r>
          </w:p>
        </w:tc>
      </w:tr>
      <w:tr w14:paraId="021FA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B427AB2">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19</w:t>
            </w:r>
          </w:p>
        </w:tc>
        <w:tc>
          <w:tcPr>
            <w:tcW w:w="850" w:type="dxa"/>
            <w:vAlign w:val="center"/>
          </w:tcPr>
          <w:p w14:paraId="53CDE953">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特技抠像绿布</w:t>
            </w:r>
          </w:p>
        </w:tc>
        <w:tc>
          <w:tcPr>
            <w:tcW w:w="851" w:type="dxa"/>
            <w:vAlign w:val="center"/>
          </w:tcPr>
          <w:p w14:paraId="0466946B">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708" w:type="dxa"/>
            <w:vAlign w:val="center"/>
          </w:tcPr>
          <w:p w14:paraId="626DA8F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5344F571">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12米*6米两块，7米*8米两块，布需要带打孔，含弹力绳。</w:t>
            </w:r>
          </w:p>
        </w:tc>
      </w:tr>
      <w:tr w14:paraId="7C2B9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8268FF0">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20</w:t>
            </w:r>
          </w:p>
        </w:tc>
        <w:tc>
          <w:tcPr>
            <w:tcW w:w="850" w:type="dxa"/>
            <w:vAlign w:val="center"/>
          </w:tcPr>
          <w:p w14:paraId="2B502E18">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航拍无人机</w:t>
            </w:r>
          </w:p>
        </w:tc>
        <w:tc>
          <w:tcPr>
            <w:tcW w:w="851" w:type="dxa"/>
            <w:vAlign w:val="center"/>
          </w:tcPr>
          <w:p w14:paraId="6151B418">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708" w:type="dxa"/>
            <w:vAlign w:val="center"/>
          </w:tcPr>
          <w:p w14:paraId="1E5A7264">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1CE838BD">
            <w:pPr>
              <w:widowControl/>
              <w:spacing w:line="360" w:lineRule="auto"/>
              <w:jc w:val="left"/>
              <w:textAlignment w:val="center"/>
              <w:rPr>
                <w:rStyle w:val="123"/>
                <w:rFonts w:hint="default"/>
                <w:color w:val="auto"/>
                <w:sz w:val="21"/>
                <w:szCs w:val="21"/>
              </w:rPr>
            </w:pPr>
            <w:r>
              <w:rPr>
                <w:rStyle w:val="123"/>
                <w:rFonts w:hint="default"/>
                <w:color w:val="auto"/>
                <w:sz w:val="21"/>
                <w:szCs w:val="21"/>
              </w:rPr>
              <w:t>1.起飞重量：约 1063 克；</w:t>
            </w:r>
          </w:p>
          <w:p w14:paraId="406CFDE9">
            <w:pPr>
              <w:widowControl/>
              <w:spacing w:line="360" w:lineRule="auto"/>
              <w:jc w:val="left"/>
              <w:textAlignment w:val="center"/>
              <w:rPr>
                <w:rStyle w:val="123"/>
                <w:rFonts w:hint="default"/>
                <w:color w:val="auto"/>
                <w:sz w:val="21"/>
                <w:szCs w:val="21"/>
              </w:rPr>
            </w:pPr>
            <w:r>
              <w:rPr>
                <w:rStyle w:val="123"/>
                <w:rFonts w:hint="default"/>
                <w:color w:val="auto"/>
                <w:sz w:val="21"/>
                <w:szCs w:val="21"/>
              </w:rPr>
              <w:t>2.最大起飞重量：约 1263.5 克（机身安装桨叶保护罩、增强图传模块 3 及 microSD 卡）；</w:t>
            </w:r>
          </w:p>
          <w:p w14:paraId="27761052">
            <w:pPr>
              <w:widowControl/>
              <w:spacing w:line="360" w:lineRule="auto"/>
              <w:jc w:val="left"/>
              <w:textAlignment w:val="center"/>
              <w:rPr>
                <w:rStyle w:val="123"/>
                <w:rFonts w:hint="default"/>
                <w:color w:val="auto"/>
                <w:sz w:val="21"/>
                <w:szCs w:val="21"/>
              </w:rPr>
            </w:pPr>
            <w:r>
              <w:rPr>
                <w:rStyle w:val="123"/>
                <w:rFonts w:hint="default"/>
                <w:color w:val="auto"/>
                <w:sz w:val="21"/>
                <w:szCs w:val="21"/>
              </w:rPr>
              <w:t>3.尺寸</w:t>
            </w:r>
          </w:p>
          <w:p w14:paraId="15854738">
            <w:pPr>
              <w:widowControl/>
              <w:spacing w:line="360" w:lineRule="auto"/>
              <w:jc w:val="left"/>
              <w:textAlignment w:val="center"/>
              <w:rPr>
                <w:rStyle w:val="123"/>
                <w:rFonts w:hint="default"/>
                <w:color w:val="auto"/>
                <w:sz w:val="21"/>
                <w:szCs w:val="21"/>
              </w:rPr>
            </w:pPr>
            <w:r>
              <w:rPr>
                <w:rStyle w:val="123"/>
                <w:rFonts w:hint="default"/>
                <w:color w:val="auto"/>
                <w:sz w:val="21"/>
                <w:szCs w:val="21"/>
              </w:rPr>
              <w:t>（1）折叠（带桨）：长257.6毫米，宽124.8毫米，高106.6毫米；</w:t>
            </w:r>
          </w:p>
          <w:p w14:paraId="25AC4F4D">
            <w:pPr>
              <w:widowControl/>
              <w:spacing w:line="360" w:lineRule="auto"/>
              <w:jc w:val="left"/>
              <w:textAlignment w:val="center"/>
              <w:rPr>
                <w:rStyle w:val="123"/>
                <w:rFonts w:hint="default"/>
                <w:color w:val="auto"/>
                <w:sz w:val="21"/>
                <w:szCs w:val="21"/>
              </w:rPr>
            </w:pPr>
            <w:r>
              <w:rPr>
                <w:rStyle w:val="123"/>
                <w:rFonts w:hint="default"/>
                <w:color w:val="auto"/>
                <w:sz w:val="21"/>
                <w:szCs w:val="21"/>
              </w:rPr>
              <w:t>（2）折叠（不带桨）：长257.6毫米，宽124.8毫米，高103.4毫米；</w:t>
            </w:r>
          </w:p>
          <w:p w14:paraId="7F44A38A">
            <w:pPr>
              <w:widowControl/>
              <w:spacing w:line="360" w:lineRule="auto"/>
              <w:jc w:val="left"/>
              <w:textAlignment w:val="center"/>
              <w:rPr>
                <w:rStyle w:val="123"/>
                <w:rFonts w:hint="default"/>
                <w:color w:val="auto"/>
                <w:sz w:val="21"/>
                <w:szCs w:val="21"/>
              </w:rPr>
            </w:pPr>
            <w:r>
              <w:rPr>
                <w:rStyle w:val="123"/>
                <w:rFonts w:hint="default"/>
                <w:color w:val="auto"/>
                <w:sz w:val="21"/>
                <w:szCs w:val="21"/>
              </w:rPr>
              <w:t>（3）展开（不带桨）：长328.7毫米，宽390.5毫米，高135.2毫米；</w:t>
            </w:r>
          </w:p>
          <w:p w14:paraId="39EB9F79">
            <w:pPr>
              <w:widowControl/>
              <w:spacing w:line="360" w:lineRule="auto"/>
              <w:jc w:val="left"/>
              <w:textAlignment w:val="center"/>
              <w:rPr>
                <w:rStyle w:val="123"/>
                <w:rFonts w:hint="default"/>
                <w:color w:val="auto"/>
                <w:sz w:val="21"/>
                <w:szCs w:val="21"/>
              </w:rPr>
            </w:pPr>
            <w:r>
              <w:rPr>
                <w:rStyle w:val="123"/>
                <w:rFonts w:hint="default"/>
                <w:color w:val="auto"/>
                <w:sz w:val="21"/>
                <w:szCs w:val="21"/>
              </w:rPr>
              <w:t>4.最大上升速度</w:t>
            </w:r>
          </w:p>
          <w:p w14:paraId="0A42E349">
            <w:pPr>
              <w:widowControl/>
              <w:spacing w:line="360" w:lineRule="auto"/>
              <w:jc w:val="left"/>
              <w:textAlignment w:val="center"/>
              <w:rPr>
                <w:rStyle w:val="123"/>
                <w:rFonts w:hint="default"/>
                <w:color w:val="auto"/>
                <w:sz w:val="21"/>
                <w:szCs w:val="21"/>
              </w:rPr>
            </w:pPr>
            <w:r>
              <w:rPr>
                <w:rStyle w:val="123"/>
                <w:rFonts w:hint="default"/>
                <w:color w:val="auto"/>
                <w:sz w:val="21"/>
                <w:szCs w:val="21"/>
              </w:rPr>
              <w:t>10 米/秒（运动挡）；</w:t>
            </w:r>
          </w:p>
          <w:p w14:paraId="20D93D53">
            <w:pPr>
              <w:widowControl/>
              <w:spacing w:line="360" w:lineRule="auto"/>
              <w:jc w:val="left"/>
              <w:textAlignment w:val="center"/>
              <w:rPr>
                <w:rStyle w:val="123"/>
                <w:rFonts w:hint="default"/>
                <w:color w:val="auto"/>
                <w:sz w:val="21"/>
                <w:szCs w:val="21"/>
              </w:rPr>
            </w:pPr>
            <w:r>
              <w:rPr>
                <w:rStyle w:val="123"/>
                <w:rFonts w:hint="default"/>
                <w:color w:val="auto"/>
                <w:sz w:val="21"/>
                <w:szCs w:val="21"/>
              </w:rPr>
              <w:t>6 米/秒（普通挡）；</w:t>
            </w:r>
          </w:p>
          <w:p w14:paraId="674FBCBB">
            <w:pPr>
              <w:widowControl/>
              <w:spacing w:line="360" w:lineRule="auto"/>
              <w:jc w:val="left"/>
              <w:textAlignment w:val="center"/>
              <w:rPr>
                <w:rStyle w:val="123"/>
                <w:rFonts w:hint="default"/>
                <w:color w:val="auto"/>
                <w:sz w:val="21"/>
                <w:szCs w:val="21"/>
              </w:rPr>
            </w:pPr>
            <w:r>
              <w:rPr>
                <w:rStyle w:val="123"/>
                <w:rFonts w:hint="default"/>
                <w:color w:val="auto"/>
                <w:sz w:val="21"/>
                <w:szCs w:val="21"/>
              </w:rPr>
              <w:t>6 米/秒（平稳挡）；</w:t>
            </w:r>
          </w:p>
          <w:p w14:paraId="7BF5E89B">
            <w:pPr>
              <w:widowControl/>
              <w:spacing w:line="360" w:lineRule="auto"/>
              <w:jc w:val="left"/>
              <w:textAlignment w:val="center"/>
              <w:rPr>
                <w:rStyle w:val="123"/>
                <w:rFonts w:hint="default"/>
                <w:color w:val="auto"/>
                <w:sz w:val="21"/>
                <w:szCs w:val="21"/>
              </w:rPr>
            </w:pPr>
            <w:r>
              <w:rPr>
                <w:rStyle w:val="123"/>
                <w:rFonts w:hint="default"/>
                <w:color w:val="auto"/>
                <w:sz w:val="21"/>
                <w:szCs w:val="21"/>
              </w:rPr>
              <w:t>5.最大下降速度</w:t>
            </w:r>
          </w:p>
          <w:p w14:paraId="133A1483">
            <w:pPr>
              <w:widowControl/>
              <w:spacing w:line="360" w:lineRule="auto"/>
              <w:jc w:val="left"/>
              <w:textAlignment w:val="center"/>
              <w:rPr>
                <w:rStyle w:val="123"/>
                <w:rFonts w:hint="default"/>
                <w:color w:val="auto"/>
                <w:sz w:val="21"/>
                <w:szCs w:val="21"/>
              </w:rPr>
            </w:pPr>
            <w:r>
              <w:rPr>
                <w:rStyle w:val="123"/>
                <w:rFonts w:hint="default"/>
                <w:color w:val="auto"/>
                <w:sz w:val="21"/>
                <w:szCs w:val="21"/>
              </w:rPr>
              <w:t>10 米/秒（运动挡）；</w:t>
            </w:r>
          </w:p>
          <w:p w14:paraId="7B5E0BFE">
            <w:pPr>
              <w:widowControl/>
              <w:spacing w:line="360" w:lineRule="auto"/>
              <w:jc w:val="left"/>
              <w:textAlignment w:val="center"/>
              <w:rPr>
                <w:rStyle w:val="123"/>
                <w:rFonts w:hint="default"/>
                <w:color w:val="auto"/>
                <w:sz w:val="21"/>
                <w:szCs w:val="21"/>
              </w:rPr>
            </w:pPr>
            <w:r>
              <w:rPr>
                <w:rStyle w:val="123"/>
                <w:rFonts w:hint="default"/>
                <w:color w:val="auto"/>
                <w:sz w:val="21"/>
                <w:szCs w:val="21"/>
              </w:rPr>
              <w:t>6 米/秒（普通挡）；</w:t>
            </w:r>
          </w:p>
          <w:p w14:paraId="4F65F903">
            <w:pPr>
              <w:widowControl/>
              <w:spacing w:line="360" w:lineRule="auto"/>
              <w:jc w:val="left"/>
              <w:textAlignment w:val="center"/>
              <w:rPr>
                <w:rStyle w:val="123"/>
                <w:rFonts w:hint="default"/>
                <w:color w:val="auto"/>
                <w:sz w:val="21"/>
                <w:szCs w:val="21"/>
              </w:rPr>
            </w:pPr>
            <w:r>
              <w:rPr>
                <w:rStyle w:val="123"/>
                <w:rFonts w:hint="default"/>
                <w:color w:val="auto"/>
                <w:sz w:val="21"/>
                <w:szCs w:val="21"/>
              </w:rPr>
              <w:t>6 米/秒（平稳挡）；</w:t>
            </w:r>
          </w:p>
          <w:p w14:paraId="7036F7CE">
            <w:pPr>
              <w:widowControl/>
              <w:spacing w:line="360" w:lineRule="auto"/>
              <w:jc w:val="left"/>
              <w:textAlignment w:val="center"/>
              <w:rPr>
                <w:rStyle w:val="123"/>
                <w:rFonts w:hint="default"/>
                <w:color w:val="auto"/>
                <w:sz w:val="21"/>
                <w:szCs w:val="21"/>
              </w:rPr>
            </w:pPr>
            <w:r>
              <w:rPr>
                <w:rStyle w:val="123"/>
                <w:rFonts w:hint="default"/>
                <w:color w:val="auto"/>
                <w:sz w:val="21"/>
                <w:szCs w:val="21"/>
              </w:rPr>
              <w:t>6.最大水平飞行速度</w:t>
            </w:r>
          </w:p>
          <w:p w14:paraId="4355C3BB">
            <w:pPr>
              <w:widowControl/>
              <w:spacing w:line="360" w:lineRule="auto"/>
              <w:jc w:val="left"/>
              <w:textAlignment w:val="center"/>
              <w:rPr>
                <w:rStyle w:val="123"/>
                <w:rFonts w:hint="default"/>
                <w:color w:val="auto"/>
                <w:sz w:val="21"/>
                <w:szCs w:val="21"/>
              </w:rPr>
            </w:pPr>
            <w:r>
              <w:rPr>
                <w:rStyle w:val="123"/>
                <w:rFonts w:hint="default"/>
                <w:color w:val="auto"/>
                <w:sz w:val="21"/>
                <w:szCs w:val="21"/>
              </w:rPr>
              <w:t>（1）海平面高度，无风环境：</w:t>
            </w:r>
          </w:p>
          <w:p w14:paraId="730B9401">
            <w:pPr>
              <w:widowControl/>
              <w:spacing w:line="360" w:lineRule="auto"/>
              <w:jc w:val="left"/>
              <w:textAlignment w:val="center"/>
              <w:rPr>
                <w:rStyle w:val="123"/>
                <w:rFonts w:hint="default"/>
                <w:color w:val="auto"/>
                <w:sz w:val="21"/>
                <w:szCs w:val="21"/>
              </w:rPr>
            </w:pPr>
            <w:r>
              <w:rPr>
                <w:rStyle w:val="123"/>
                <w:rFonts w:hint="default"/>
                <w:color w:val="auto"/>
                <w:sz w:val="21"/>
                <w:szCs w:val="21"/>
              </w:rPr>
              <w:t>25 米/秒*（运动挡）；</w:t>
            </w:r>
          </w:p>
          <w:p w14:paraId="6BDBD30D">
            <w:pPr>
              <w:widowControl/>
              <w:spacing w:line="360" w:lineRule="auto"/>
              <w:jc w:val="left"/>
              <w:textAlignment w:val="center"/>
              <w:rPr>
                <w:rStyle w:val="123"/>
                <w:rFonts w:hint="default"/>
                <w:color w:val="auto"/>
                <w:sz w:val="21"/>
                <w:szCs w:val="21"/>
              </w:rPr>
            </w:pPr>
            <w:r>
              <w:rPr>
                <w:rStyle w:val="123"/>
                <w:rFonts w:hint="default"/>
                <w:color w:val="auto"/>
                <w:sz w:val="21"/>
                <w:szCs w:val="21"/>
              </w:rPr>
              <w:t>15 米/秒（跟随模式）；</w:t>
            </w:r>
          </w:p>
          <w:p w14:paraId="5FFA5434">
            <w:pPr>
              <w:widowControl/>
              <w:spacing w:line="360" w:lineRule="auto"/>
              <w:jc w:val="left"/>
              <w:textAlignment w:val="center"/>
              <w:rPr>
                <w:rStyle w:val="123"/>
                <w:rFonts w:hint="default"/>
                <w:color w:val="auto"/>
                <w:sz w:val="21"/>
                <w:szCs w:val="21"/>
              </w:rPr>
            </w:pPr>
            <w:r>
              <w:rPr>
                <w:rStyle w:val="123"/>
                <w:rFonts w:hint="default"/>
                <w:color w:val="auto"/>
                <w:sz w:val="21"/>
                <w:szCs w:val="21"/>
              </w:rPr>
              <w:t>（2）海平面高度，2 米/秒顺风环境，无人机飞行方向与风向一致：</w:t>
            </w:r>
          </w:p>
          <w:p w14:paraId="2E3C1C6E">
            <w:pPr>
              <w:widowControl/>
              <w:spacing w:line="360" w:lineRule="auto"/>
              <w:jc w:val="left"/>
              <w:textAlignment w:val="center"/>
              <w:rPr>
                <w:rStyle w:val="123"/>
                <w:rFonts w:hint="default"/>
                <w:color w:val="auto"/>
                <w:sz w:val="21"/>
                <w:szCs w:val="21"/>
              </w:rPr>
            </w:pPr>
            <w:r>
              <w:rPr>
                <w:rStyle w:val="123"/>
                <w:rFonts w:hint="default"/>
                <w:color w:val="auto"/>
                <w:sz w:val="21"/>
                <w:szCs w:val="21"/>
              </w:rPr>
              <w:t>27 米/秒*（运动挡）；</w:t>
            </w:r>
          </w:p>
          <w:p w14:paraId="09B3A5EB">
            <w:pPr>
              <w:widowControl/>
              <w:spacing w:line="360" w:lineRule="auto"/>
              <w:jc w:val="left"/>
              <w:textAlignment w:val="center"/>
              <w:rPr>
                <w:rStyle w:val="123"/>
                <w:rFonts w:hint="default"/>
                <w:color w:val="auto"/>
                <w:sz w:val="21"/>
                <w:szCs w:val="21"/>
              </w:rPr>
            </w:pPr>
            <w:r>
              <w:rPr>
                <w:rStyle w:val="123"/>
                <w:rFonts w:hint="default"/>
                <w:color w:val="auto"/>
                <w:sz w:val="21"/>
                <w:szCs w:val="21"/>
              </w:rPr>
              <w:t>15 米/秒（跟随模式）；</w:t>
            </w:r>
          </w:p>
          <w:p w14:paraId="4E1D801E">
            <w:pPr>
              <w:widowControl/>
              <w:spacing w:line="360" w:lineRule="auto"/>
              <w:jc w:val="left"/>
              <w:textAlignment w:val="center"/>
              <w:rPr>
                <w:rStyle w:val="123"/>
                <w:rFonts w:hint="default"/>
                <w:color w:val="auto"/>
                <w:sz w:val="21"/>
                <w:szCs w:val="21"/>
              </w:rPr>
            </w:pPr>
            <w:r>
              <w:rPr>
                <w:rStyle w:val="123"/>
                <w:rFonts w:hint="default"/>
                <w:color w:val="auto"/>
                <w:sz w:val="21"/>
                <w:szCs w:val="21"/>
              </w:rPr>
              <w:t>7.最长飞行时间：51 分钟；</w:t>
            </w:r>
          </w:p>
          <w:p w14:paraId="79623863">
            <w:pPr>
              <w:widowControl/>
              <w:spacing w:line="360" w:lineRule="auto"/>
              <w:jc w:val="left"/>
              <w:textAlignment w:val="center"/>
              <w:rPr>
                <w:rStyle w:val="123"/>
                <w:rFonts w:hint="default"/>
                <w:color w:val="auto"/>
                <w:sz w:val="21"/>
                <w:szCs w:val="21"/>
              </w:rPr>
            </w:pPr>
            <w:r>
              <w:rPr>
                <w:rStyle w:val="123"/>
                <w:rFonts w:hint="default"/>
                <w:color w:val="auto"/>
                <w:sz w:val="21"/>
                <w:szCs w:val="21"/>
              </w:rPr>
              <w:t>8.最长悬停时间：45 分钟；</w:t>
            </w:r>
          </w:p>
          <w:p w14:paraId="3426919F">
            <w:pPr>
              <w:widowControl/>
              <w:spacing w:line="360" w:lineRule="auto"/>
              <w:jc w:val="left"/>
              <w:textAlignment w:val="center"/>
              <w:rPr>
                <w:rStyle w:val="123"/>
                <w:rFonts w:hint="default"/>
                <w:color w:val="auto"/>
                <w:sz w:val="21"/>
                <w:szCs w:val="21"/>
              </w:rPr>
            </w:pPr>
            <w:r>
              <w:rPr>
                <w:rStyle w:val="123"/>
                <w:rFonts w:hint="default"/>
                <w:color w:val="auto"/>
                <w:sz w:val="21"/>
                <w:szCs w:val="21"/>
              </w:rPr>
              <w:t>9.最大续航里程：41 公里；</w:t>
            </w:r>
          </w:p>
          <w:p w14:paraId="5B32D1AE">
            <w:pPr>
              <w:widowControl/>
              <w:spacing w:line="360" w:lineRule="auto"/>
              <w:jc w:val="left"/>
              <w:textAlignment w:val="center"/>
              <w:rPr>
                <w:rStyle w:val="123"/>
                <w:rFonts w:hint="default"/>
                <w:color w:val="auto"/>
                <w:sz w:val="21"/>
                <w:szCs w:val="21"/>
              </w:rPr>
            </w:pPr>
            <w:r>
              <w:rPr>
                <w:rStyle w:val="123"/>
                <w:rFonts w:hint="default"/>
                <w:color w:val="auto"/>
                <w:sz w:val="21"/>
                <w:szCs w:val="21"/>
              </w:rPr>
              <w:t>10.最大抗风速度：12 米/秒；</w:t>
            </w:r>
          </w:p>
          <w:p w14:paraId="6728F683">
            <w:pPr>
              <w:widowControl/>
              <w:spacing w:line="360" w:lineRule="auto"/>
              <w:jc w:val="left"/>
              <w:textAlignment w:val="center"/>
              <w:rPr>
                <w:rStyle w:val="123"/>
                <w:rFonts w:hint="default"/>
                <w:color w:val="auto"/>
                <w:sz w:val="21"/>
                <w:szCs w:val="21"/>
              </w:rPr>
            </w:pPr>
            <w:r>
              <w:rPr>
                <w:rStyle w:val="123"/>
                <w:rFonts w:hint="default"/>
                <w:color w:val="auto"/>
                <w:sz w:val="21"/>
                <w:szCs w:val="21"/>
              </w:rPr>
              <w:t>11.卫星导航系统：GPS + Galileo + BeiDou</w:t>
            </w:r>
          </w:p>
          <w:p w14:paraId="5F0BAF2B">
            <w:pPr>
              <w:widowControl/>
              <w:spacing w:line="360" w:lineRule="auto"/>
              <w:jc w:val="left"/>
              <w:textAlignment w:val="center"/>
              <w:rPr>
                <w:rStyle w:val="123"/>
                <w:rFonts w:hint="default"/>
                <w:color w:val="auto"/>
                <w:sz w:val="21"/>
                <w:szCs w:val="21"/>
              </w:rPr>
            </w:pPr>
            <w:r>
              <w:rPr>
                <w:rStyle w:val="123"/>
                <w:rFonts w:hint="default"/>
                <w:color w:val="auto"/>
                <w:sz w:val="21"/>
                <w:szCs w:val="21"/>
              </w:rPr>
              <w:t>12.相机影像传感器</w:t>
            </w:r>
          </w:p>
          <w:p w14:paraId="100F1033">
            <w:pPr>
              <w:widowControl/>
              <w:spacing w:line="360" w:lineRule="auto"/>
              <w:jc w:val="left"/>
              <w:textAlignment w:val="center"/>
              <w:rPr>
                <w:rStyle w:val="123"/>
                <w:rFonts w:hint="default"/>
                <w:color w:val="auto"/>
                <w:sz w:val="21"/>
                <w:szCs w:val="21"/>
              </w:rPr>
            </w:pPr>
            <w:r>
              <w:rPr>
                <w:rStyle w:val="123"/>
                <w:rFonts w:hint="default"/>
                <w:color w:val="auto"/>
                <w:sz w:val="21"/>
                <w:szCs w:val="21"/>
              </w:rPr>
              <w:t>相机：4/3 CMOS，有效像素 1 亿</w:t>
            </w:r>
          </w:p>
          <w:p w14:paraId="183134E9">
            <w:pPr>
              <w:widowControl/>
              <w:spacing w:line="360" w:lineRule="auto"/>
              <w:jc w:val="left"/>
              <w:textAlignment w:val="center"/>
              <w:rPr>
                <w:rStyle w:val="123"/>
                <w:rFonts w:hint="default"/>
                <w:color w:val="auto"/>
                <w:sz w:val="21"/>
                <w:szCs w:val="21"/>
              </w:rPr>
            </w:pPr>
            <w:r>
              <w:rPr>
                <w:rStyle w:val="123"/>
                <w:rFonts w:hint="default"/>
                <w:color w:val="auto"/>
                <w:sz w:val="21"/>
                <w:szCs w:val="21"/>
              </w:rPr>
              <w:t>中长焦相机：1/1.3 英寸 CMOS，有效像素 4800 万</w:t>
            </w:r>
          </w:p>
          <w:p w14:paraId="4434E758">
            <w:pPr>
              <w:widowControl/>
              <w:spacing w:line="360" w:lineRule="auto"/>
              <w:jc w:val="left"/>
              <w:textAlignment w:val="center"/>
              <w:rPr>
                <w:rStyle w:val="123"/>
                <w:rFonts w:hint="default"/>
                <w:color w:val="auto"/>
                <w:sz w:val="21"/>
                <w:szCs w:val="21"/>
              </w:rPr>
            </w:pPr>
            <w:r>
              <w:rPr>
                <w:rStyle w:val="123"/>
                <w:rFonts w:hint="default"/>
                <w:color w:val="auto"/>
                <w:sz w:val="21"/>
                <w:szCs w:val="21"/>
              </w:rPr>
              <w:t>长焦相机：1/1.5 英寸 CMOS，有效像素 5000 万</w:t>
            </w:r>
          </w:p>
          <w:p w14:paraId="759A835D">
            <w:pPr>
              <w:widowControl/>
              <w:spacing w:line="360" w:lineRule="auto"/>
              <w:jc w:val="left"/>
              <w:textAlignment w:val="center"/>
              <w:rPr>
                <w:rStyle w:val="123"/>
                <w:rFonts w:hint="default"/>
                <w:color w:val="auto"/>
                <w:sz w:val="21"/>
                <w:szCs w:val="21"/>
              </w:rPr>
            </w:pPr>
            <w:r>
              <w:rPr>
                <w:rStyle w:val="123"/>
                <w:rFonts w:hint="default"/>
                <w:color w:val="auto"/>
                <w:sz w:val="21"/>
                <w:szCs w:val="21"/>
              </w:rPr>
              <w:t>13.最大照片尺寸</w:t>
            </w:r>
          </w:p>
          <w:p w14:paraId="0ACB8B78">
            <w:pPr>
              <w:widowControl/>
              <w:spacing w:line="360" w:lineRule="auto"/>
              <w:jc w:val="left"/>
              <w:textAlignment w:val="center"/>
              <w:rPr>
                <w:rStyle w:val="123"/>
                <w:rFonts w:hint="default"/>
                <w:color w:val="auto"/>
                <w:sz w:val="21"/>
                <w:szCs w:val="21"/>
              </w:rPr>
            </w:pPr>
            <w:r>
              <w:rPr>
                <w:rStyle w:val="123"/>
                <w:rFonts w:hint="default"/>
                <w:color w:val="auto"/>
                <w:sz w:val="21"/>
                <w:szCs w:val="21"/>
              </w:rPr>
              <w:t>相机：12288 × 8192</w:t>
            </w:r>
          </w:p>
          <w:p w14:paraId="04F1E5A2">
            <w:pPr>
              <w:widowControl/>
              <w:spacing w:line="360" w:lineRule="auto"/>
              <w:jc w:val="left"/>
              <w:textAlignment w:val="center"/>
              <w:rPr>
                <w:rStyle w:val="123"/>
                <w:rFonts w:hint="default"/>
                <w:color w:val="auto"/>
                <w:sz w:val="21"/>
                <w:szCs w:val="21"/>
              </w:rPr>
            </w:pPr>
            <w:r>
              <w:rPr>
                <w:rStyle w:val="123"/>
                <w:rFonts w:hint="default"/>
                <w:color w:val="auto"/>
                <w:sz w:val="21"/>
                <w:szCs w:val="21"/>
              </w:rPr>
              <w:t>中长焦相机： 8064 × 6048</w:t>
            </w:r>
          </w:p>
          <w:p w14:paraId="1A1689F7">
            <w:pPr>
              <w:widowControl/>
              <w:spacing w:line="360" w:lineRule="auto"/>
              <w:jc w:val="left"/>
              <w:textAlignment w:val="center"/>
              <w:rPr>
                <w:rStyle w:val="123"/>
                <w:rFonts w:hint="default"/>
                <w:color w:val="auto"/>
                <w:sz w:val="21"/>
                <w:szCs w:val="21"/>
              </w:rPr>
            </w:pPr>
            <w:r>
              <w:rPr>
                <w:rStyle w:val="123"/>
                <w:rFonts w:hint="default"/>
                <w:color w:val="auto"/>
                <w:sz w:val="21"/>
                <w:szCs w:val="21"/>
              </w:rPr>
              <w:t>长焦相机：8192 × 6144</w:t>
            </w:r>
          </w:p>
          <w:p w14:paraId="250EA18B">
            <w:pPr>
              <w:widowControl/>
              <w:spacing w:line="360" w:lineRule="auto"/>
              <w:jc w:val="left"/>
              <w:textAlignment w:val="center"/>
              <w:rPr>
                <w:rStyle w:val="123"/>
                <w:rFonts w:hint="default"/>
                <w:color w:val="auto"/>
                <w:sz w:val="21"/>
                <w:szCs w:val="21"/>
              </w:rPr>
            </w:pPr>
            <w:r>
              <w:rPr>
                <w:rStyle w:val="123"/>
                <w:rFonts w:hint="default"/>
                <w:color w:val="auto"/>
                <w:sz w:val="21"/>
                <w:szCs w:val="21"/>
              </w:rPr>
              <w:t>14.录像分辨率</w:t>
            </w:r>
          </w:p>
          <w:p w14:paraId="1512B12A">
            <w:pPr>
              <w:widowControl/>
              <w:spacing w:line="360" w:lineRule="auto"/>
              <w:jc w:val="left"/>
              <w:textAlignment w:val="center"/>
              <w:rPr>
                <w:rStyle w:val="123"/>
                <w:rFonts w:hint="default"/>
                <w:color w:val="auto"/>
                <w:sz w:val="21"/>
                <w:szCs w:val="21"/>
              </w:rPr>
            </w:pPr>
            <w:r>
              <w:rPr>
                <w:rStyle w:val="123"/>
                <w:rFonts w:hint="default"/>
                <w:color w:val="auto"/>
                <w:sz w:val="21"/>
                <w:szCs w:val="21"/>
              </w:rPr>
              <w:t>H.264 ALL-I/H.265 标准</w:t>
            </w:r>
          </w:p>
          <w:p w14:paraId="6038C363">
            <w:pPr>
              <w:widowControl/>
              <w:spacing w:line="360" w:lineRule="auto"/>
              <w:jc w:val="left"/>
              <w:textAlignment w:val="center"/>
              <w:rPr>
                <w:rStyle w:val="123"/>
                <w:rFonts w:hint="default"/>
                <w:color w:val="auto"/>
                <w:sz w:val="21"/>
                <w:szCs w:val="21"/>
              </w:rPr>
            </w:pPr>
            <w:r>
              <w:rPr>
                <w:rStyle w:val="123"/>
                <w:rFonts w:hint="default"/>
                <w:color w:val="auto"/>
                <w:sz w:val="21"/>
                <w:szCs w:val="21"/>
              </w:rPr>
              <w:t>6K：6016×3384@24/25/30/48/50/60fps</w:t>
            </w:r>
          </w:p>
          <w:p w14:paraId="0FC43420">
            <w:pPr>
              <w:widowControl/>
              <w:spacing w:line="360" w:lineRule="auto"/>
              <w:jc w:val="left"/>
              <w:textAlignment w:val="center"/>
              <w:rPr>
                <w:rStyle w:val="123"/>
                <w:rFonts w:hint="default"/>
                <w:color w:val="auto"/>
                <w:sz w:val="21"/>
                <w:szCs w:val="21"/>
              </w:rPr>
            </w:pPr>
            <w:r>
              <w:rPr>
                <w:rStyle w:val="123"/>
                <w:rFonts w:hint="default"/>
                <w:color w:val="auto"/>
                <w:sz w:val="21"/>
                <w:szCs w:val="21"/>
              </w:rPr>
              <w:t>DCI 4K：4096×2160@24/25/30/48/50/60/120**fps</w:t>
            </w:r>
          </w:p>
          <w:p w14:paraId="0AFCE0C6">
            <w:pPr>
              <w:widowControl/>
              <w:spacing w:line="360" w:lineRule="auto"/>
              <w:jc w:val="left"/>
              <w:textAlignment w:val="center"/>
              <w:rPr>
                <w:rStyle w:val="123"/>
                <w:rFonts w:hint="default"/>
                <w:color w:val="auto"/>
                <w:sz w:val="21"/>
                <w:szCs w:val="21"/>
              </w:rPr>
            </w:pPr>
            <w:r>
              <w:rPr>
                <w:rStyle w:val="123"/>
                <w:rFonts w:hint="default"/>
                <w:color w:val="auto"/>
                <w:sz w:val="21"/>
                <w:szCs w:val="21"/>
              </w:rPr>
              <w:t>4K：3840×2160@24/25/30/48/50/60/120**fps</w:t>
            </w:r>
          </w:p>
          <w:p w14:paraId="13AA2F3C">
            <w:pPr>
              <w:widowControl/>
              <w:spacing w:line="360" w:lineRule="auto"/>
              <w:jc w:val="left"/>
              <w:textAlignment w:val="center"/>
              <w:rPr>
                <w:rStyle w:val="123"/>
                <w:rFonts w:hint="default"/>
                <w:color w:val="auto"/>
                <w:sz w:val="21"/>
                <w:szCs w:val="21"/>
              </w:rPr>
            </w:pPr>
            <w:r>
              <w:rPr>
                <w:rStyle w:val="123"/>
                <w:rFonts w:hint="default"/>
                <w:color w:val="auto"/>
                <w:sz w:val="21"/>
                <w:szCs w:val="21"/>
              </w:rPr>
              <w:t>FHD：1920×1080@24/25/30/48/50/60fps</w:t>
            </w:r>
          </w:p>
          <w:p w14:paraId="71F343F0">
            <w:pPr>
              <w:widowControl/>
              <w:spacing w:line="360" w:lineRule="auto"/>
              <w:jc w:val="left"/>
              <w:textAlignment w:val="center"/>
              <w:rPr>
                <w:rStyle w:val="123"/>
                <w:rFonts w:hint="default"/>
                <w:color w:val="auto"/>
                <w:sz w:val="21"/>
                <w:szCs w:val="21"/>
              </w:rPr>
            </w:pPr>
            <w:r>
              <w:rPr>
                <w:rStyle w:val="123"/>
                <w:rFonts w:hint="default"/>
                <w:color w:val="auto"/>
                <w:sz w:val="21"/>
                <w:szCs w:val="21"/>
              </w:rPr>
              <w:t>4K 竖拍：2160×3840@24/25/30/48/50/60fps</w:t>
            </w:r>
          </w:p>
          <w:p w14:paraId="22F7DEFE">
            <w:pPr>
              <w:widowControl/>
              <w:spacing w:line="360" w:lineRule="auto"/>
              <w:jc w:val="left"/>
              <w:textAlignment w:val="center"/>
              <w:rPr>
                <w:rStyle w:val="123"/>
                <w:rFonts w:hint="default"/>
                <w:color w:val="auto"/>
                <w:sz w:val="21"/>
                <w:szCs w:val="21"/>
              </w:rPr>
            </w:pPr>
            <w:r>
              <w:rPr>
                <w:rStyle w:val="123"/>
                <w:rFonts w:hint="default"/>
                <w:color w:val="auto"/>
                <w:sz w:val="21"/>
                <w:szCs w:val="21"/>
              </w:rPr>
              <w:t>H.264 标准</w:t>
            </w:r>
          </w:p>
          <w:p w14:paraId="1B83D6DB">
            <w:pPr>
              <w:widowControl/>
              <w:spacing w:line="360" w:lineRule="auto"/>
              <w:jc w:val="left"/>
              <w:textAlignment w:val="center"/>
              <w:rPr>
                <w:rStyle w:val="123"/>
                <w:rFonts w:hint="default"/>
                <w:color w:val="auto"/>
                <w:sz w:val="21"/>
                <w:szCs w:val="21"/>
              </w:rPr>
            </w:pPr>
            <w:r>
              <w:rPr>
                <w:rStyle w:val="123"/>
                <w:rFonts w:hint="default"/>
                <w:color w:val="auto"/>
                <w:sz w:val="21"/>
                <w:szCs w:val="21"/>
              </w:rPr>
              <w:t>FHD：1920×1080@24/25/30/48/50/60fps</w:t>
            </w:r>
          </w:p>
          <w:p w14:paraId="0CA019A5">
            <w:pPr>
              <w:widowControl/>
              <w:spacing w:line="360" w:lineRule="auto"/>
              <w:jc w:val="left"/>
              <w:textAlignment w:val="center"/>
              <w:rPr>
                <w:rStyle w:val="123"/>
                <w:rFonts w:hint="default"/>
                <w:color w:val="auto"/>
                <w:sz w:val="21"/>
                <w:szCs w:val="21"/>
              </w:rPr>
            </w:pPr>
            <w:r>
              <w:rPr>
                <w:rStyle w:val="123"/>
                <w:rFonts w:hint="default"/>
                <w:color w:val="auto"/>
                <w:sz w:val="21"/>
                <w:szCs w:val="21"/>
              </w:rPr>
              <w:t>中长焦相机</w:t>
            </w:r>
          </w:p>
          <w:p w14:paraId="64CA8C04">
            <w:pPr>
              <w:widowControl/>
              <w:spacing w:line="360" w:lineRule="auto"/>
              <w:jc w:val="left"/>
              <w:textAlignment w:val="center"/>
              <w:rPr>
                <w:rStyle w:val="123"/>
                <w:rFonts w:hint="default"/>
                <w:color w:val="auto"/>
                <w:sz w:val="21"/>
                <w:szCs w:val="21"/>
              </w:rPr>
            </w:pPr>
            <w:r>
              <w:rPr>
                <w:rStyle w:val="123"/>
                <w:rFonts w:hint="default"/>
                <w:color w:val="auto"/>
                <w:sz w:val="21"/>
                <w:szCs w:val="21"/>
              </w:rPr>
              <w:t>H.264 ALL-I/H.265 标准</w:t>
            </w:r>
          </w:p>
          <w:p w14:paraId="7F6183F6">
            <w:pPr>
              <w:widowControl/>
              <w:spacing w:line="360" w:lineRule="auto"/>
              <w:jc w:val="left"/>
              <w:textAlignment w:val="center"/>
              <w:rPr>
                <w:rStyle w:val="123"/>
                <w:rFonts w:hint="default"/>
                <w:color w:val="auto"/>
                <w:sz w:val="21"/>
                <w:szCs w:val="21"/>
              </w:rPr>
            </w:pPr>
            <w:r>
              <w:rPr>
                <w:rStyle w:val="123"/>
                <w:rFonts w:hint="default"/>
                <w:color w:val="auto"/>
                <w:sz w:val="21"/>
                <w:szCs w:val="21"/>
              </w:rPr>
              <w:t>4K：3840×2160@24/25/30/48/50/60/120**fps</w:t>
            </w:r>
          </w:p>
          <w:p w14:paraId="2D9C734A">
            <w:pPr>
              <w:widowControl/>
              <w:spacing w:line="360" w:lineRule="auto"/>
              <w:jc w:val="left"/>
              <w:textAlignment w:val="center"/>
              <w:rPr>
                <w:rStyle w:val="123"/>
                <w:rFonts w:hint="default"/>
                <w:color w:val="auto"/>
                <w:sz w:val="21"/>
                <w:szCs w:val="21"/>
              </w:rPr>
            </w:pPr>
            <w:r>
              <w:rPr>
                <w:rStyle w:val="123"/>
                <w:rFonts w:hint="default"/>
                <w:color w:val="auto"/>
                <w:sz w:val="21"/>
                <w:szCs w:val="21"/>
              </w:rPr>
              <w:t>FHD：1920×1080@24/25/30/48/50/60fps</w:t>
            </w:r>
          </w:p>
          <w:p w14:paraId="6125262D">
            <w:pPr>
              <w:widowControl/>
              <w:spacing w:line="360" w:lineRule="auto"/>
              <w:jc w:val="left"/>
              <w:textAlignment w:val="center"/>
              <w:rPr>
                <w:rStyle w:val="123"/>
                <w:rFonts w:hint="default"/>
                <w:color w:val="auto"/>
                <w:sz w:val="21"/>
                <w:szCs w:val="21"/>
              </w:rPr>
            </w:pPr>
            <w:r>
              <w:rPr>
                <w:rStyle w:val="123"/>
                <w:rFonts w:hint="default"/>
                <w:color w:val="auto"/>
                <w:sz w:val="21"/>
                <w:szCs w:val="21"/>
              </w:rPr>
              <w:t>2.7K 竖拍：1512×2688@24/25/30/48/50/60fps</w:t>
            </w:r>
          </w:p>
          <w:p w14:paraId="564AC7F9">
            <w:pPr>
              <w:widowControl/>
              <w:spacing w:line="360" w:lineRule="auto"/>
              <w:jc w:val="left"/>
              <w:textAlignment w:val="center"/>
              <w:rPr>
                <w:rStyle w:val="123"/>
                <w:rFonts w:hint="default"/>
                <w:color w:val="auto"/>
                <w:sz w:val="21"/>
                <w:szCs w:val="21"/>
              </w:rPr>
            </w:pPr>
            <w:r>
              <w:rPr>
                <w:rStyle w:val="123"/>
                <w:rFonts w:hint="default"/>
                <w:color w:val="auto"/>
                <w:sz w:val="21"/>
                <w:szCs w:val="21"/>
              </w:rPr>
              <w:t>H.264 标准</w:t>
            </w:r>
          </w:p>
          <w:p w14:paraId="00C9A892">
            <w:pPr>
              <w:widowControl/>
              <w:spacing w:line="360" w:lineRule="auto"/>
              <w:jc w:val="left"/>
              <w:textAlignment w:val="center"/>
              <w:rPr>
                <w:rStyle w:val="123"/>
                <w:rFonts w:hint="default"/>
                <w:color w:val="auto"/>
                <w:sz w:val="21"/>
                <w:szCs w:val="21"/>
              </w:rPr>
            </w:pPr>
            <w:r>
              <w:rPr>
                <w:rStyle w:val="123"/>
                <w:rFonts w:hint="default"/>
                <w:color w:val="auto"/>
                <w:sz w:val="21"/>
                <w:szCs w:val="21"/>
              </w:rPr>
              <w:t>FHD：1920×1080@24/25/30/48/50/60fps</w:t>
            </w:r>
          </w:p>
          <w:p w14:paraId="3F4594A8">
            <w:pPr>
              <w:widowControl/>
              <w:spacing w:line="360" w:lineRule="auto"/>
              <w:jc w:val="left"/>
              <w:textAlignment w:val="center"/>
              <w:rPr>
                <w:rStyle w:val="123"/>
                <w:rFonts w:hint="default"/>
                <w:color w:val="auto"/>
                <w:sz w:val="21"/>
                <w:szCs w:val="21"/>
              </w:rPr>
            </w:pPr>
            <w:r>
              <w:rPr>
                <w:rStyle w:val="123"/>
                <w:rFonts w:hint="default"/>
                <w:color w:val="auto"/>
                <w:sz w:val="21"/>
                <w:szCs w:val="21"/>
              </w:rPr>
              <w:t>2.7K 竖拍：1512×2688@24/25/30/48/50/60fps</w:t>
            </w:r>
          </w:p>
          <w:p w14:paraId="544C5E9D">
            <w:pPr>
              <w:widowControl/>
              <w:spacing w:line="360" w:lineRule="auto"/>
              <w:jc w:val="left"/>
              <w:textAlignment w:val="center"/>
              <w:rPr>
                <w:rStyle w:val="123"/>
                <w:rFonts w:hint="default"/>
                <w:color w:val="auto"/>
                <w:sz w:val="21"/>
                <w:szCs w:val="21"/>
              </w:rPr>
            </w:pPr>
            <w:r>
              <w:rPr>
                <w:rStyle w:val="123"/>
                <w:rFonts w:hint="default"/>
                <w:color w:val="auto"/>
                <w:sz w:val="21"/>
                <w:szCs w:val="21"/>
              </w:rPr>
              <w:t>长焦相机</w:t>
            </w:r>
          </w:p>
          <w:p w14:paraId="3CA404D3">
            <w:pPr>
              <w:widowControl/>
              <w:spacing w:line="360" w:lineRule="auto"/>
              <w:jc w:val="left"/>
              <w:textAlignment w:val="center"/>
              <w:rPr>
                <w:rStyle w:val="123"/>
                <w:rFonts w:hint="default"/>
                <w:color w:val="auto"/>
                <w:sz w:val="21"/>
                <w:szCs w:val="21"/>
              </w:rPr>
            </w:pPr>
            <w:r>
              <w:rPr>
                <w:rStyle w:val="123"/>
                <w:rFonts w:hint="default"/>
                <w:color w:val="auto"/>
                <w:sz w:val="21"/>
                <w:szCs w:val="21"/>
              </w:rPr>
              <w:t>H.264 ALL-I/H.265 标准</w:t>
            </w:r>
          </w:p>
          <w:p w14:paraId="32512DED">
            <w:pPr>
              <w:widowControl/>
              <w:spacing w:line="360" w:lineRule="auto"/>
              <w:jc w:val="left"/>
              <w:textAlignment w:val="center"/>
              <w:rPr>
                <w:rStyle w:val="123"/>
                <w:rFonts w:hint="default"/>
                <w:color w:val="auto"/>
                <w:sz w:val="21"/>
                <w:szCs w:val="21"/>
              </w:rPr>
            </w:pPr>
            <w:r>
              <w:rPr>
                <w:rStyle w:val="123"/>
                <w:rFonts w:hint="default"/>
                <w:color w:val="auto"/>
                <w:sz w:val="21"/>
                <w:szCs w:val="21"/>
              </w:rPr>
              <w:t>4K：3840×2160@24/25/30/48/50/60/100**fps</w:t>
            </w:r>
          </w:p>
          <w:p w14:paraId="2BB94466">
            <w:pPr>
              <w:widowControl/>
              <w:spacing w:line="360" w:lineRule="auto"/>
              <w:jc w:val="left"/>
              <w:textAlignment w:val="center"/>
              <w:rPr>
                <w:rStyle w:val="123"/>
                <w:rFonts w:hint="default"/>
                <w:color w:val="auto"/>
                <w:sz w:val="21"/>
                <w:szCs w:val="21"/>
              </w:rPr>
            </w:pPr>
            <w:r>
              <w:rPr>
                <w:rStyle w:val="123"/>
                <w:rFonts w:hint="default"/>
                <w:color w:val="auto"/>
                <w:sz w:val="21"/>
                <w:szCs w:val="21"/>
              </w:rPr>
              <w:t>FHD：1920×1080@24/25/30/48/50/60fps</w:t>
            </w:r>
          </w:p>
          <w:p w14:paraId="65B66563">
            <w:pPr>
              <w:widowControl/>
              <w:spacing w:line="360" w:lineRule="auto"/>
              <w:jc w:val="left"/>
              <w:textAlignment w:val="center"/>
              <w:rPr>
                <w:rStyle w:val="123"/>
                <w:rFonts w:hint="default"/>
                <w:color w:val="auto"/>
                <w:sz w:val="21"/>
                <w:szCs w:val="21"/>
              </w:rPr>
            </w:pPr>
            <w:r>
              <w:rPr>
                <w:rStyle w:val="123"/>
                <w:rFonts w:hint="default"/>
                <w:color w:val="auto"/>
                <w:sz w:val="21"/>
                <w:szCs w:val="21"/>
              </w:rPr>
              <w:t>2.7K 竖拍：1512×2688@24/25/30/48/50/60fps</w:t>
            </w:r>
          </w:p>
          <w:p w14:paraId="5F32BE60">
            <w:pPr>
              <w:widowControl/>
              <w:spacing w:line="360" w:lineRule="auto"/>
              <w:jc w:val="left"/>
              <w:textAlignment w:val="center"/>
              <w:rPr>
                <w:rStyle w:val="123"/>
                <w:rFonts w:hint="default"/>
                <w:color w:val="auto"/>
                <w:sz w:val="21"/>
                <w:szCs w:val="21"/>
              </w:rPr>
            </w:pPr>
            <w:r>
              <w:rPr>
                <w:rStyle w:val="123"/>
                <w:rFonts w:hint="default"/>
                <w:color w:val="auto"/>
                <w:sz w:val="21"/>
                <w:szCs w:val="21"/>
              </w:rPr>
              <w:t>H.264 标准</w:t>
            </w:r>
          </w:p>
          <w:p w14:paraId="52037AC1">
            <w:pPr>
              <w:widowControl/>
              <w:spacing w:line="360" w:lineRule="auto"/>
              <w:jc w:val="left"/>
              <w:textAlignment w:val="center"/>
              <w:rPr>
                <w:rStyle w:val="123"/>
                <w:rFonts w:hint="default"/>
                <w:color w:val="auto"/>
                <w:sz w:val="21"/>
                <w:szCs w:val="21"/>
              </w:rPr>
            </w:pPr>
            <w:r>
              <w:rPr>
                <w:rStyle w:val="123"/>
                <w:rFonts w:hint="default"/>
                <w:color w:val="auto"/>
                <w:sz w:val="21"/>
                <w:szCs w:val="21"/>
              </w:rPr>
              <w:t>FHD：1920×1080@24/25/30/48/50/60fps</w:t>
            </w:r>
          </w:p>
          <w:p w14:paraId="555F0FD5">
            <w:pPr>
              <w:widowControl/>
              <w:spacing w:line="360" w:lineRule="auto"/>
              <w:jc w:val="left"/>
              <w:textAlignment w:val="center"/>
              <w:rPr>
                <w:rStyle w:val="123"/>
                <w:rFonts w:hint="default"/>
                <w:color w:val="auto"/>
                <w:sz w:val="21"/>
                <w:szCs w:val="21"/>
              </w:rPr>
            </w:pPr>
            <w:r>
              <w:rPr>
                <w:rStyle w:val="123"/>
                <w:rFonts w:hint="default"/>
                <w:color w:val="auto"/>
                <w:sz w:val="21"/>
                <w:szCs w:val="21"/>
              </w:rPr>
              <w:t>2.7K 竖拍：1512×2688@24/25/30/48/50/60fps</w:t>
            </w:r>
          </w:p>
          <w:p w14:paraId="3CF70984">
            <w:pPr>
              <w:widowControl/>
              <w:spacing w:line="360" w:lineRule="auto"/>
              <w:jc w:val="left"/>
              <w:textAlignment w:val="center"/>
              <w:rPr>
                <w:rStyle w:val="123"/>
                <w:rFonts w:hint="default"/>
                <w:color w:val="auto"/>
                <w:sz w:val="21"/>
                <w:szCs w:val="21"/>
              </w:rPr>
            </w:pPr>
            <w:r>
              <w:rPr>
                <w:rStyle w:val="123"/>
                <w:rFonts w:hint="default"/>
                <w:color w:val="auto"/>
                <w:sz w:val="21"/>
                <w:szCs w:val="21"/>
              </w:rPr>
              <w:t>15.云台稳定系统</w:t>
            </w:r>
          </w:p>
          <w:p w14:paraId="4AD78EB6">
            <w:pPr>
              <w:widowControl/>
              <w:spacing w:line="360" w:lineRule="auto"/>
              <w:jc w:val="left"/>
              <w:textAlignment w:val="center"/>
              <w:rPr>
                <w:rStyle w:val="123"/>
                <w:rFonts w:hint="default"/>
                <w:color w:val="auto"/>
                <w:sz w:val="21"/>
                <w:szCs w:val="21"/>
              </w:rPr>
            </w:pPr>
            <w:r>
              <w:rPr>
                <w:rStyle w:val="123"/>
                <w:rFonts w:hint="default"/>
                <w:color w:val="auto"/>
                <w:sz w:val="21"/>
                <w:szCs w:val="21"/>
              </w:rPr>
              <w:t>三轴机械云台（俯仰、横滚、偏航）</w:t>
            </w:r>
          </w:p>
          <w:p w14:paraId="64983792">
            <w:pPr>
              <w:widowControl/>
              <w:spacing w:line="360" w:lineRule="auto"/>
              <w:jc w:val="left"/>
              <w:textAlignment w:val="center"/>
              <w:rPr>
                <w:rStyle w:val="123"/>
                <w:rFonts w:hint="default"/>
                <w:color w:val="auto"/>
                <w:sz w:val="21"/>
                <w:szCs w:val="21"/>
              </w:rPr>
            </w:pPr>
            <w:r>
              <w:rPr>
                <w:rStyle w:val="123"/>
                <w:rFonts w:hint="default"/>
                <w:color w:val="auto"/>
                <w:sz w:val="21"/>
                <w:szCs w:val="21"/>
              </w:rPr>
              <w:t>16.结构设计范围</w:t>
            </w:r>
          </w:p>
          <w:p w14:paraId="1E645AB2">
            <w:pPr>
              <w:widowControl/>
              <w:spacing w:line="360" w:lineRule="auto"/>
              <w:jc w:val="left"/>
              <w:textAlignment w:val="center"/>
              <w:rPr>
                <w:rStyle w:val="123"/>
                <w:rFonts w:hint="default"/>
                <w:color w:val="auto"/>
                <w:sz w:val="21"/>
                <w:szCs w:val="21"/>
              </w:rPr>
            </w:pPr>
            <w:r>
              <w:rPr>
                <w:rStyle w:val="123"/>
                <w:rFonts w:hint="default"/>
                <w:color w:val="auto"/>
                <w:sz w:val="21"/>
                <w:szCs w:val="21"/>
              </w:rPr>
              <w:t>俯仰：-164° 至 160°；</w:t>
            </w:r>
          </w:p>
          <w:p w14:paraId="5D14E26E">
            <w:pPr>
              <w:widowControl/>
              <w:spacing w:line="360" w:lineRule="auto"/>
              <w:jc w:val="left"/>
              <w:textAlignment w:val="center"/>
              <w:rPr>
                <w:rStyle w:val="123"/>
                <w:rFonts w:hint="default"/>
                <w:color w:val="auto"/>
                <w:sz w:val="21"/>
                <w:szCs w:val="21"/>
              </w:rPr>
            </w:pPr>
            <w:r>
              <w:rPr>
                <w:rStyle w:val="123"/>
                <w:rFonts w:hint="default"/>
                <w:color w:val="auto"/>
                <w:sz w:val="21"/>
                <w:szCs w:val="21"/>
              </w:rPr>
              <w:t>横滚：-90° 至 450°；</w:t>
            </w:r>
          </w:p>
          <w:p w14:paraId="64A31CFA">
            <w:pPr>
              <w:widowControl/>
              <w:spacing w:line="360" w:lineRule="auto"/>
              <w:jc w:val="left"/>
              <w:textAlignment w:val="center"/>
              <w:rPr>
                <w:rStyle w:val="123"/>
                <w:rFonts w:hint="default"/>
                <w:color w:val="auto"/>
                <w:sz w:val="21"/>
                <w:szCs w:val="21"/>
              </w:rPr>
            </w:pPr>
            <w:r>
              <w:rPr>
                <w:rStyle w:val="123"/>
                <w:rFonts w:hint="default"/>
                <w:color w:val="auto"/>
                <w:sz w:val="21"/>
                <w:szCs w:val="21"/>
              </w:rPr>
              <w:t>偏航：-22° 至 22°；</w:t>
            </w:r>
          </w:p>
          <w:p w14:paraId="53BAC5FB">
            <w:pPr>
              <w:widowControl/>
              <w:spacing w:line="360" w:lineRule="auto"/>
              <w:jc w:val="left"/>
              <w:textAlignment w:val="center"/>
              <w:rPr>
                <w:rStyle w:val="123"/>
                <w:rFonts w:hint="default"/>
                <w:color w:val="auto"/>
                <w:sz w:val="21"/>
                <w:szCs w:val="21"/>
              </w:rPr>
            </w:pPr>
            <w:r>
              <w:rPr>
                <w:rStyle w:val="123"/>
                <w:rFonts w:hint="default"/>
                <w:color w:val="auto"/>
                <w:sz w:val="21"/>
                <w:szCs w:val="21"/>
              </w:rPr>
              <w:t>17.可控转动范围</w:t>
            </w:r>
          </w:p>
          <w:p w14:paraId="240BD356">
            <w:pPr>
              <w:widowControl/>
              <w:spacing w:line="360" w:lineRule="auto"/>
              <w:jc w:val="left"/>
              <w:textAlignment w:val="center"/>
              <w:rPr>
                <w:rStyle w:val="123"/>
                <w:rFonts w:hint="default"/>
                <w:color w:val="auto"/>
                <w:sz w:val="21"/>
                <w:szCs w:val="21"/>
              </w:rPr>
            </w:pPr>
            <w:r>
              <w:rPr>
                <w:rStyle w:val="123"/>
                <w:rFonts w:hint="default"/>
                <w:color w:val="auto"/>
                <w:sz w:val="21"/>
                <w:szCs w:val="21"/>
              </w:rPr>
              <w:t>俯仰：-90° 至 70°；</w:t>
            </w:r>
          </w:p>
          <w:p w14:paraId="4BA22755">
            <w:pPr>
              <w:widowControl/>
              <w:spacing w:line="360" w:lineRule="auto"/>
              <w:jc w:val="left"/>
              <w:textAlignment w:val="center"/>
              <w:rPr>
                <w:rStyle w:val="123"/>
                <w:rFonts w:hint="default"/>
                <w:color w:val="auto"/>
                <w:sz w:val="21"/>
                <w:szCs w:val="21"/>
              </w:rPr>
            </w:pPr>
            <w:r>
              <w:rPr>
                <w:rStyle w:val="123"/>
                <w:rFonts w:hint="default"/>
                <w:color w:val="auto"/>
                <w:sz w:val="21"/>
                <w:szCs w:val="21"/>
              </w:rPr>
              <w:t>横滚：-40° 至 400°；</w:t>
            </w:r>
          </w:p>
          <w:p w14:paraId="5B0D178B">
            <w:pPr>
              <w:widowControl/>
              <w:spacing w:line="360" w:lineRule="auto"/>
              <w:jc w:val="left"/>
              <w:textAlignment w:val="center"/>
              <w:rPr>
                <w:rStyle w:val="123"/>
                <w:rFonts w:hint="default"/>
                <w:color w:val="auto"/>
                <w:sz w:val="21"/>
                <w:szCs w:val="21"/>
              </w:rPr>
            </w:pPr>
            <w:r>
              <w:rPr>
                <w:rStyle w:val="123"/>
                <w:rFonts w:hint="default"/>
                <w:color w:val="auto"/>
                <w:sz w:val="21"/>
                <w:szCs w:val="21"/>
              </w:rPr>
              <w:t>18.最大控制转速</w:t>
            </w:r>
          </w:p>
          <w:p w14:paraId="4D91E13D">
            <w:pPr>
              <w:widowControl/>
              <w:spacing w:line="360" w:lineRule="auto"/>
              <w:jc w:val="left"/>
              <w:textAlignment w:val="center"/>
              <w:rPr>
                <w:rStyle w:val="123"/>
                <w:rFonts w:hint="default"/>
                <w:color w:val="auto"/>
                <w:sz w:val="21"/>
                <w:szCs w:val="21"/>
              </w:rPr>
            </w:pPr>
            <w:r>
              <w:rPr>
                <w:rStyle w:val="123"/>
                <w:rFonts w:hint="default"/>
                <w:color w:val="auto"/>
                <w:sz w:val="21"/>
                <w:szCs w:val="21"/>
              </w:rPr>
              <w:t>俯仰轴：100°/秒；</w:t>
            </w:r>
          </w:p>
          <w:p w14:paraId="58A80084">
            <w:pPr>
              <w:widowControl/>
              <w:spacing w:line="360" w:lineRule="auto"/>
              <w:jc w:val="left"/>
              <w:textAlignment w:val="center"/>
              <w:rPr>
                <w:rStyle w:val="123"/>
                <w:rFonts w:hint="default"/>
                <w:color w:val="auto"/>
                <w:sz w:val="21"/>
                <w:szCs w:val="21"/>
              </w:rPr>
            </w:pPr>
            <w:r>
              <w:rPr>
                <w:rStyle w:val="123"/>
                <w:rFonts w:hint="default"/>
                <w:color w:val="auto"/>
                <w:sz w:val="21"/>
                <w:szCs w:val="21"/>
              </w:rPr>
              <w:t>横滚轴：100°/秒；</w:t>
            </w:r>
          </w:p>
          <w:p w14:paraId="083EBDF8">
            <w:pPr>
              <w:widowControl/>
              <w:spacing w:line="360" w:lineRule="auto"/>
              <w:jc w:val="left"/>
              <w:textAlignment w:val="center"/>
              <w:rPr>
                <w:rStyle w:val="123"/>
                <w:rFonts w:hint="default"/>
                <w:color w:val="auto"/>
                <w:sz w:val="21"/>
                <w:szCs w:val="21"/>
              </w:rPr>
            </w:pPr>
            <w:r>
              <w:rPr>
                <w:rStyle w:val="123"/>
                <w:rFonts w:hint="default"/>
                <w:color w:val="auto"/>
                <w:sz w:val="21"/>
                <w:szCs w:val="21"/>
              </w:rPr>
              <w:t>19.角度抖动量</w:t>
            </w:r>
          </w:p>
          <w:p w14:paraId="64F7DEBA">
            <w:pPr>
              <w:widowControl/>
              <w:spacing w:line="360" w:lineRule="auto"/>
              <w:jc w:val="left"/>
              <w:textAlignment w:val="center"/>
              <w:rPr>
                <w:rStyle w:val="123"/>
                <w:rFonts w:hint="default"/>
                <w:color w:val="auto"/>
                <w:sz w:val="21"/>
                <w:szCs w:val="21"/>
              </w:rPr>
            </w:pPr>
            <w:r>
              <w:rPr>
                <w:rStyle w:val="123"/>
                <w:rFonts w:hint="default"/>
                <w:color w:val="auto"/>
                <w:sz w:val="21"/>
                <w:szCs w:val="21"/>
              </w:rPr>
              <w:t>无风悬停：±0.001°；</w:t>
            </w:r>
          </w:p>
          <w:p w14:paraId="10E48C53">
            <w:pPr>
              <w:widowControl/>
              <w:spacing w:line="360" w:lineRule="auto"/>
              <w:jc w:val="left"/>
              <w:textAlignment w:val="center"/>
              <w:rPr>
                <w:rStyle w:val="123"/>
                <w:rFonts w:hint="default"/>
                <w:color w:val="auto"/>
                <w:sz w:val="21"/>
                <w:szCs w:val="21"/>
              </w:rPr>
            </w:pPr>
            <w:r>
              <w:rPr>
                <w:rStyle w:val="123"/>
                <w:rFonts w:hint="default"/>
                <w:color w:val="auto"/>
                <w:sz w:val="21"/>
                <w:szCs w:val="21"/>
              </w:rPr>
              <w:t>普通挡：±0.003°；</w:t>
            </w:r>
          </w:p>
          <w:p w14:paraId="2966E077">
            <w:pPr>
              <w:widowControl/>
              <w:spacing w:line="360" w:lineRule="auto"/>
              <w:jc w:val="left"/>
              <w:textAlignment w:val="center"/>
              <w:rPr>
                <w:rStyle w:val="123"/>
                <w:rFonts w:hint="default"/>
                <w:color w:val="auto"/>
                <w:sz w:val="21"/>
                <w:szCs w:val="21"/>
              </w:rPr>
            </w:pPr>
            <w:r>
              <w:rPr>
                <w:rStyle w:val="123"/>
                <w:rFonts w:hint="default"/>
                <w:color w:val="auto"/>
                <w:sz w:val="21"/>
                <w:szCs w:val="21"/>
              </w:rPr>
              <w:t>运动挡：±0.005°；</w:t>
            </w:r>
          </w:p>
          <w:p w14:paraId="3AFB53C9">
            <w:pPr>
              <w:widowControl/>
              <w:spacing w:line="360" w:lineRule="auto"/>
              <w:jc w:val="left"/>
              <w:textAlignment w:val="center"/>
              <w:rPr>
                <w:rStyle w:val="123"/>
                <w:rFonts w:hint="default"/>
                <w:color w:val="auto"/>
                <w:sz w:val="21"/>
                <w:szCs w:val="21"/>
              </w:rPr>
            </w:pPr>
            <w:r>
              <w:rPr>
                <w:rStyle w:val="123"/>
                <w:rFonts w:hint="default"/>
                <w:color w:val="auto"/>
                <w:sz w:val="21"/>
                <w:szCs w:val="21"/>
              </w:rPr>
              <w:t>20.感知系统类型：全向双目视觉系统，辅以机身前视激光雷达和底部红外传感器。</w:t>
            </w:r>
          </w:p>
          <w:p w14:paraId="10DE25C2">
            <w:pPr>
              <w:widowControl/>
              <w:spacing w:line="360" w:lineRule="auto"/>
              <w:jc w:val="left"/>
              <w:textAlignment w:val="center"/>
              <w:rPr>
                <w:rStyle w:val="123"/>
                <w:rFonts w:hint="default"/>
                <w:color w:val="auto"/>
                <w:sz w:val="21"/>
                <w:szCs w:val="21"/>
              </w:rPr>
            </w:pPr>
            <w:r>
              <w:rPr>
                <w:rStyle w:val="123"/>
                <w:rFonts w:hint="default"/>
                <w:color w:val="auto"/>
                <w:sz w:val="21"/>
                <w:szCs w:val="21"/>
              </w:rPr>
              <w:t>21.图传方案：O4+</w:t>
            </w:r>
          </w:p>
          <w:p w14:paraId="522E6C76">
            <w:pPr>
              <w:widowControl/>
              <w:spacing w:line="360" w:lineRule="auto"/>
              <w:jc w:val="left"/>
              <w:textAlignment w:val="center"/>
              <w:rPr>
                <w:rStyle w:val="123"/>
                <w:rFonts w:hint="default"/>
                <w:color w:val="auto"/>
                <w:sz w:val="21"/>
                <w:szCs w:val="21"/>
              </w:rPr>
            </w:pPr>
            <w:r>
              <w:rPr>
                <w:rStyle w:val="123"/>
                <w:rFonts w:hint="default"/>
                <w:color w:val="auto"/>
                <w:sz w:val="21"/>
                <w:szCs w:val="21"/>
              </w:rPr>
              <w:t>22.最大信号有效距离（无干扰、无遮挡）</w:t>
            </w:r>
          </w:p>
          <w:p w14:paraId="26AD4937">
            <w:pPr>
              <w:widowControl/>
              <w:spacing w:line="360" w:lineRule="auto"/>
              <w:jc w:val="left"/>
              <w:textAlignment w:val="center"/>
              <w:rPr>
                <w:rStyle w:val="123"/>
                <w:rFonts w:hint="default"/>
                <w:color w:val="auto"/>
                <w:sz w:val="21"/>
                <w:szCs w:val="21"/>
              </w:rPr>
            </w:pPr>
            <w:r>
              <w:rPr>
                <w:rStyle w:val="123"/>
                <w:rFonts w:hint="default"/>
                <w:color w:val="auto"/>
                <w:sz w:val="21"/>
                <w:szCs w:val="21"/>
              </w:rPr>
              <w:t>FCC：30 公里；</w:t>
            </w:r>
          </w:p>
          <w:p w14:paraId="640FAA7D">
            <w:pPr>
              <w:widowControl/>
              <w:spacing w:line="360" w:lineRule="auto"/>
              <w:jc w:val="left"/>
              <w:textAlignment w:val="center"/>
              <w:rPr>
                <w:rStyle w:val="123"/>
                <w:rFonts w:hint="default"/>
                <w:color w:val="auto"/>
                <w:sz w:val="21"/>
                <w:szCs w:val="21"/>
              </w:rPr>
            </w:pPr>
            <w:r>
              <w:rPr>
                <w:rStyle w:val="123"/>
                <w:rFonts w:hint="default"/>
                <w:color w:val="auto"/>
                <w:sz w:val="21"/>
                <w:szCs w:val="21"/>
              </w:rPr>
              <w:t>CE：15 公里；</w:t>
            </w:r>
          </w:p>
          <w:p w14:paraId="054DA336">
            <w:pPr>
              <w:widowControl/>
              <w:spacing w:line="360" w:lineRule="auto"/>
              <w:jc w:val="left"/>
              <w:textAlignment w:val="center"/>
              <w:rPr>
                <w:rStyle w:val="123"/>
                <w:rFonts w:hint="default"/>
                <w:color w:val="auto"/>
                <w:sz w:val="21"/>
                <w:szCs w:val="21"/>
              </w:rPr>
            </w:pPr>
            <w:r>
              <w:rPr>
                <w:rStyle w:val="123"/>
                <w:rFonts w:hint="default"/>
                <w:color w:val="auto"/>
                <w:sz w:val="21"/>
                <w:szCs w:val="21"/>
              </w:rPr>
              <w:t>SRRC：15 公里；</w:t>
            </w:r>
          </w:p>
          <w:p w14:paraId="6CE6F205">
            <w:pPr>
              <w:widowControl/>
              <w:spacing w:line="360" w:lineRule="auto"/>
              <w:jc w:val="left"/>
              <w:textAlignment w:val="center"/>
              <w:rPr>
                <w:rStyle w:val="123"/>
                <w:rFonts w:hint="default"/>
                <w:color w:val="auto"/>
                <w:sz w:val="21"/>
                <w:szCs w:val="21"/>
              </w:rPr>
            </w:pPr>
            <w:r>
              <w:rPr>
                <w:rStyle w:val="123"/>
                <w:rFonts w:hint="default"/>
                <w:color w:val="auto"/>
                <w:sz w:val="21"/>
                <w:szCs w:val="21"/>
              </w:rPr>
              <w:t>MIC：15 公里；</w:t>
            </w:r>
          </w:p>
          <w:p w14:paraId="7C524C4D">
            <w:pPr>
              <w:widowControl/>
              <w:spacing w:line="360" w:lineRule="auto"/>
              <w:jc w:val="left"/>
              <w:textAlignment w:val="center"/>
              <w:rPr>
                <w:rStyle w:val="123"/>
                <w:rFonts w:hint="default"/>
                <w:color w:val="auto"/>
                <w:sz w:val="21"/>
                <w:szCs w:val="21"/>
              </w:rPr>
            </w:pPr>
            <w:r>
              <w:rPr>
                <w:rStyle w:val="123"/>
                <w:rFonts w:hint="default"/>
                <w:color w:val="auto"/>
                <w:sz w:val="21"/>
                <w:szCs w:val="21"/>
              </w:rPr>
              <w:t>23.电池容量：6654 毫安时</w:t>
            </w:r>
          </w:p>
          <w:p w14:paraId="50CE47C8">
            <w:pPr>
              <w:widowControl/>
              <w:spacing w:line="360" w:lineRule="auto"/>
              <w:jc w:val="left"/>
              <w:textAlignment w:val="center"/>
              <w:rPr>
                <w:rStyle w:val="123"/>
                <w:rFonts w:hint="default"/>
                <w:color w:val="auto"/>
                <w:sz w:val="21"/>
                <w:szCs w:val="21"/>
              </w:rPr>
            </w:pPr>
            <w:r>
              <w:rPr>
                <w:rStyle w:val="123"/>
                <w:rFonts w:hint="default"/>
                <w:color w:val="auto"/>
                <w:sz w:val="21"/>
                <w:szCs w:val="21"/>
              </w:rPr>
              <w:t>使用 DJI 100W 桌面充电器</w:t>
            </w:r>
          </w:p>
          <w:p w14:paraId="41C2E96B">
            <w:pPr>
              <w:widowControl/>
              <w:spacing w:line="360" w:lineRule="auto"/>
              <w:jc w:val="left"/>
              <w:textAlignment w:val="center"/>
              <w:rPr>
                <w:rStyle w:val="123"/>
                <w:rFonts w:hint="default"/>
                <w:color w:val="auto"/>
                <w:sz w:val="21"/>
                <w:szCs w:val="21"/>
              </w:rPr>
            </w:pPr>
            <w:r>
              <w:rPr>
                <w:rStyle w:val="123"/>
                <w:rFonts w:hint="default"/>
                <w:color w:val="auto"/>
                <w:sz w:val="21"/>
                <w:szCs w:val="21"/>
              </w:rPr>
              <w:t>电池从零电量到满电：1 块电池约需80分钟；</w:t>
            </w:r>
          </w:p>
          <w:p w14:paraId="0A01C50C">
            <w:pPr>
              <w:widowControl/>
              <w:spacing w:line="360" w:lineRule="auto"/>
              <w:jc w:val="left"/>
              <w:textAlignment w:val="center"/>
              <w:rPr>
                <w:rStyle w:val="123"/>
                <w:rFonts w:hint="default"/>
                <w:color w:val="auto"/>
                <w:sz w:val="21"/>
                <w:szCs w:val="21"/>
              </w:rPr>
            </w:pPr>
            <w:r>
              <w:rPr>
                <w:rStyle w:val="123"/>
                <w:rFonts w:hint="default"/>
                <w:color w:val="auto"/>
                <w:sz w:val="21"/>
                <w:szCs w:val="21"/>
              </w:rPr>
              <w:t>通过机身充电（最大充电功率 65 瓦）</w:t>
            </w:r>
          </w:p>
          <w:p w14:paraId="73F9CE46">
            <w:pPr>
              <w:widowControl/>
              <w:spacing w:line="360" w:lineRule="auto"/>
              <w:jc w:val="left"/>
              <w:textAlignment w:val="center"/>
              <w:rPr>
                <w:rStyle w:val="123"/>
                <w:rFonts w:hint="default"/>
                <w:color w:val="auto"/>
                <w:sz w:val="21"/>
                <w:szCs w:val="21"/>
              </w:rPr>
            </w:pPr>
            <w:r>
              <w:rPr>
                <w:rStyle w:val="123"/>
                <w:rFonts w:hint="default"/>
                <w:color w:val="auto"/>
                <w:sz w:val="21"/>
                <w:szCs w:val="21"/>
              </w:rPr>
              <w:t>电池从零电量到满电：约115 分钟</w:t>
            </w:r>
          </w:p>
          <w:p w14:paraId="21FC80D6">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24.配置：飞行器*1、带屏遥控器*1、增强图传模块3*2、智能飞行电池*3、备用螺旋桨（对）*4、收纳保护罩*1、数据线*1、桌面充电器*1、单肩包*1、充电管家*1、内存卡*1、随心换2年*1。</w:t>
            </w:r>
          </w:p>
        </w:tc>
      </w:tr>
      <w:tr w14:paraId="5F2AA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1A80A63">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21</w:t>
            </w:r>
          </w:p>
        </w:tc>
        <w:tc>
          <w:tcPr>
            <w:tcW w:w="850" w:type="dxa"/>
            <w:vAlign w:val="center"/>
          </w:tcPr>
          <w:p w14:paraId="095C3F44">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稳定器系统</w:t>
            </w:r>
          </w:p>
        </w:tc>
        <w:tc>
          <w:tcPr>
            <w:tcW w:w="851" w:type="dxa"/>
            <w:vAlign w:val="center"/>
          </w:tcPr>
          <w:p w14:paraId="6CAE669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68A9B451">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0A0A943D">
            <w:pPr>
              <w:widowControl/>
              <w:spacing w:line="360" w:lineRule="auto"/>
              <w:jc w:val="left"/>
              <w:textAlignment w:val="center"/>
              <w:rPr>
                <w:rStyle w:val="123"/>
                <w:rFonts w:hint="default"/>
                <w:color w:val="auto"/>
                <w:sz w:val="21"/>
                <w:szCs w:val="21"/>
              </w:rPr>
            </w:pPr>
            <w:r>
              <w:rPr>
                <w:rStyle w:val="123"/>
                <w:rFonts w:hint="default"/>
                <w:color w:val="auto"/>
                <w:sz w:val="21"/>
                <w:szCs w:val="21"/>
              </w:rPr>
              <w:t>1.配件接口：RSA 配件扩展接口／NATO 接口、1/4"-20 安装孔、冷靴接口、图传／LiDAR 测距器接口（USB-C）、RSS 相机快门控制接口（USB-C）、跟焦电机接口（USB-C）；</w:t>
            </w:r>
          </w:p>
          <w:p w14:paraId="0B3D9F75">
            <w:pPr>
              <w:widowControl/>
              <w:spacing w:line="360" w:lineRule="auto"/>
              <w:jc w:val="left"/>
              <w:textAlignment w:val="center"/>
              <w:rPr>
                <w:rStyle w:val="123"/>
                <w:rFonts w:hint="default"/>
                <w:color w:val="auto"/>
                <w:sz w:val="21"/>
                <w:szCs w:val="21"/>
              </w:rPr>
            </w:pPr>
            <w:r>
              <w:rPr>
                <w:rStyle w:val="123"/>
                <w:rFonts w:hint="default"/>
                <w:color w:val="auto"/>
                <w:sz w:val="21"/>
                <w:szCs w:val="21"/>
              </w:rPr>
              <w:t>2.电池容量：≥1950 毫安时；</w:t>
            </w:r>
          </w:p>
          <w:p w14:paraId="2AF3E163">
            <w:pPr>
              <w:widowControl/>
              <w:spacing w:line="360" w:lineRule="auto"/>
              <w:jc w:val="left"/>
              <w:textAlignment w:val="center"/>
              <w:rPr>
                <w:rStyle w:val="123"/>
                <w:rFonts w:hint="default"/>
                <w:color w:val="auto"/>
                <w:sz w:val="21"/>
                <w:szCs w:val="21"/>
              </w:rPr>
            </w:pPr>
            <w:r>
              <w:rPr>
                <w:rStyle w:val="123"/>
                <w:rFonts w:hint="default"/>
                <w:color w:val="auto"/>
                <w:sz w:val="21"/>
                <w:szCs w:val="21"/>
              </w:rPr>
              <w:t>3.最长待机时间：13 小时（在云台调平且静置状态下测得。若云台处于运动状态，续航时间会缩短。）；</w:t>
            </w:r>
          </w:p>
          <w:p w14:paraId="5D104838">
            <w:pPr>
              <w:widowControl/>
              <w:spacing w:line="360" w:lineRule="auto"/>
              <w:jc w:val="left"/>
              <w:textAlignment w:val="center"/>
              <w:rPr>
                <w:rStyle w:val="123"/>
                <w:rFonts w:hint="default"/>
                <w:color w:val="auto"/>
                <w:sz w:val="21"/>
                <w:szCs w:val="21"/>
              </w:rPr>
            </w:pPr>
            <w:r>
              <w:rPr>
                <w:rStyle w:val="123"/>
                <w:rFonts w:hint="default"/>
                <w:color w:val="auto"/>
                <w:sz w:val="21"/>
                <w:szCs w:val="21"/>
              </w:rPr>
              <w:t>4.支持接口类型：蓝牙 5.1、充电接口（USB-C）；</w:t>
            </w:r>
          </w:p>
          <w:p w14:paraId="19F11BE6">
            <w:pPr>
              <w:widowControl/>
              <w:spacing w:line="360" w:lineRule="auto"/>
              <w:jc w:val="left"/>
              <w:textAlignment w:val="center"/>
              <w:rPr>
                <w:rStyle w:val="123"/>
                <w:rFonts w:hint="default"/>
                <w:color w:val="auto"/>
                <w:sz w:val="21"/>
                <w:szCs w:val="21"/>
              </w:rPr>
            </w:pPr>
            <w:r>
              <w:rPr>
                <w:rStyle w:val="123"/>
                <w:rFonts w:hint="default"/>
                <w:color w:val="auto"/>
                <w:sz w:val="21"/>
                <w:szCs w:val="21"/>
              </w:rPr>
              <w:t>5. App 安装要求：iOS 11.0 及以上、Android 8.0 及以上；</w:t>
            </w:r>
          </w:p>
          <w:p w14:paraId="0EDC6025">
            <w:pPr>
              <w:widowControl/>
              <w:spacing w:line="360" w:lineRule="auto"/>
              <w:jc w:val="left"/>
              <w:textAlignment w:val="center"/>
              <w:rPr>
                <w:rStyle w:val="123"/>
                <w:rFonts w:hint="default"/>
                <w:color w:val="auto"/>
                <w:sz w:val="21"/>
                <w:szCs w:val="21"/>
              </w:rPr>
            </w:pPr>
            <w:r>
              <w:rPr>
                <w:rStyle w:val="123"/>
                <w:rFonts w:hint="default"/>
                <w:color w:val="auto"/>
                <w:sz w:val="21"/>
                <w:szCs w:val="21"/>
              </w:rPr>
              <w:t>6.触摸彩屏支持语言：简体中文、英文、繁体中文、德语、法语、韩语、日语、西班牙语、葡萄牙语（巴西）、俄语、泰语等；</w:t>
            </w:r>
          </w:p>
          <w:p w14:paraId="07E6AD41">
            <w:pPr>
              <w:widowControl/>
              <w:spacing w:line="360" w:lineRule="auto"/>
              <w:jc w:val="left"/>
              <w:textAlignment w:val="center"/>
              <w:rPr>
                <w:rStyle w:val="123"/>
                <w:rFonts w:hint="default"/>
                <w:color w:val="auto"/>
                <w:sz w:val="21"/>
                <w:szCs w:val="21"/>
              </w:rPr>
            </w:pPr>
            <w:r>
              <w:rPr>
                <w:rStyle w:val="123"/>
                <w:rFonts w:hint="default"/>
                <w:color w:val="auto"/>
                <w:sz w:val="21"/>
                <w:szCs w:val="21"/>
              </w:rPr>
              <w:t>7.负载重量：约4.5 千克；</w:t>
            </w:r>
          </w:p>
          <w:p w14:paraId="077F4940">
            <w:pPr>
              <w:widowControl/>
              <w:spacing w:line="360" w:lineRule="auto"/>
              <w:jc w:val="left"/>
              <w:textAlignment w:val="center"/>
              <w:rPr>
                <w:rStyle w:val="123"/>
                <w:rFonts w:hint="default"/>
                <w:color w:val="auto"/>
                <w:sz w:val="21"/>
                <w:szCs w:val="21"/>
              </w:rPr>
            </w:pPr>
            <w:r>
              <w:rPr>
                <w:rStyle w:val="123"/>
                <w:rFonts w:hint="default"/>
                <w:color w:val="auto"/>
                <w:sz w:val="21"/>
                <w:szCs w:val="21"/>
              </w:rPr>
              <w:t>8.最大可控转速：平移方向：360°/秒、俯仰方向：360°/秒、横滚方向：360°/秒；</w:t>
            </w:r>
          </w:p>
          <w:p w14:paraId="0B669E1D">
            <w:pPr>
              <w:widowControl/>
              <w:spacing w:line="360" w:lineRule="auto"/>
              <w:jc w:val="left"/>
              <w:textAlignment w:val="center"/>
              <w:rPr>
                <w:rStyle w:val="123"/>
                <w:rFonts w:hint="default"/>
                <w:color w:val="auto"/>
                <w:sz w:val="21"/>
                <w:szCs w:val="21"/>
              </w:rPr>
            </w:pPr>
            <w:r>
              <w:rPr>
                <w:rStyle w:val="123"/>
                <w:rFonts w:hint="default"/>
                <w:color w:val="auto"/>
                <w:sz w:val="21"/>
                <w:szCs w:val="21"/>
              </w:rPr>
              <w:t>9.机械限位范围：平移轴无限位、横滚轴 -95°至240°、俯仰轴 -112°至 214°；</w:t>
            </w:r>
          </w:p>
          <w:p w14:paraId="1E034616">
            <w:pPr>
              <w:widowControl/>
              <w:spacing w:line="360" w:lineRule="auto"/>
              <w:jc w:val="left"/>
              <w:textAlignment w:val="center"/>
              <w:rPr>
                <w:rStyle w:val="123"/>
                <w:rFonts w:hint="default"/>
                <w:color w:val="auto"/>
                <w:sz w:val="21"/>
                <w:szCs w:val="21"/>
              </w:rPr>
            </w:pPr>
            <w:r>
              <w:rPr>
                <w:rStyle w:val="123"/>
                <w:rFonts w:hint="default"/>
                <w:color w:val="auto"/>
                <w:sz w:val="21"/>
                <w:szCs w:val="21"/>
              </w:rPr>
              <w:t>10.工作频率：2.400 GHz 至 2.4835 GHz；</w:t>
            </w:r>
          </w:p>
          <w:p w14:paraId="12DB100E">
            <w:pPr>
              <w:widowControl/>
              <w:spacing w:line="360" w:lineRule="auto"/>
              <w:jc w:val="left"/>
              <w:textAlignment w:val="center"/>
              <w:rPr>
                <w:rStyle w:val="123"/>
                <w:rFonts w:hint="default"/>
                <w:color w:val="auto"/>
                <w:sz w:val="21"/>
                <w:szCs w:val="21"/>
              </w:rPr>
            </w:pPr>
            <w:r>
              <w:rPr>
                <w:rStyle w:val="123"/>
                <w:rFonts w:hint="default"/>
                <w:color w:val="auto"/>
                <w:sz w:val="21"/>
                <w:szCs w:val="21"/>
              </w:rPr>
              <w:t>11.尺寸：云台收纳：长 约271 毫米，宽约 283 毫米，高约 75 毫米（不含相机、手柄、手柄延长脚架）；</w:t>
            </w:r>
          </w:p>
          <w:p w14:paraId="5EA92EEC">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工作状态：长约 416 毫米，宽约 223 毫米，高约 202 毫米（高度包含手柄，不含手柄延长脚架）。</w:t>
            </w:r>
          </w:p>
        </w:tc>
      </w:tr>
      <w:tr w14:paraId="34A73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153DE08">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22</w:t>
            </w:r>
          </w:p>
        </w:tc>
        <w:tc>
          <w:tcPr>
            <w:tcW w:w="850" w:type="dxa"/>
            <w:vAlign w:val="center"/>
          </w:tcPr>
          <w:p w14:paraId="6EA45750">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4K硬盘录像机</w:t>
            </w:r>
          </w:p>
        </w:tc>
        <w:tc>
          <w:tcPr>
            <w:tcW w:w="851" w:type="dxa"/>
            <w:vAlign w:val="center"/>
          </w:tcPr>
          <w:p w14:paraId="74763DC0">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4754C51E">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台</w:t>
            </w:r>
          </w:p>
        </w:tc>
        <w:tc>
          <w:tcPr>
            <w:tcW w:w="6928" w:type="dxa"/>
            <w:gridSpan w:val="3"/>
            <w:vAlign w:val="center"/>
          </w:tcPr>
          <w:p w14:paraId="20FE3242">
            <w:pPr>
              <w:widowControl/>
              <w:spacing w:line="360" w:lineRule="auto"/>
              <w:jc w:val="left"/>
              <w:textAlignment w:val="center"/>
              <w:rPr>
                <w:rStyle w:val="123"/>
                <w:rFonts w:hint="default"/>
                <w:color w:val="auto"/>
                <w:sz w:val="21"/>
                <w:szCs w:val="21"/>
              </w:rPr>
            </w:pPr>
            <w:r>
              <w:rPr>
                <w:rStyle w:val="123"/>
                <w:rFonts w:hint="default"/>
                <w:color w:val="auto"/>
                <w:sz w:val="21"/>
                <w:szCs w:val="21"/>
              </w:rPr>
              <w:t>1.4K/HD硬盘录像机，12G-SDI和HDMI 2.0接口；</w:t>
            </w:r>
          </w:p>
          <w:p w14:paraId="5AF6CB5F">
            <w:pPr>
              <w:widowControl/>
              <w:spacing w:line="360" w:lineRule="auto"/>
              <w:jc w:val="left"/>
              <w:textAlignment w:val="center"/>
              <w:rPr>
                <w:rStyle w:val="123"/>
                <w:rFonts w:hint="default"/>
                <w:color w:val="auto"/>
                <w:sz w:val="21"/>
                <w:szCs w:val="21"/>
              </w:rPr>
            </w:pPr>
            <w:r>
              <w:rPr>
                <w:rStyle w:val="123"/>
                <w:rFonts w:hint="default"/>
                <w:color w:val="auto"/>
                <w:sz w:val="21"/>
                <w:szCs w:val="21"/>
              </w:rPr>
              <w:t>2.支持记录和播放SD、HD以及高达2160p60 Ultra HD在内的所有格式；</w:t>
            </w:r>
          </w:p>
          <w:p w14:paraId="3654E221">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3.存储介质：2 x SSD用于SD、HD和Ultra HD记录；</w:t>
            </w:r>
          </w:p>
        </w:tc>
      </w:tr>
      <w:tr w14:paraId="52A22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76FDAD4">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23</w:t>
            </w:r>
          </w:p>
        </w:tc>
        <w:tc>
          <w:tcPr>
            <w:tcW w:w="850" w:type="dxa"/>
            <w:vAlign w:val="center"/>
          </w:tcPr>
          <w:p w14:paraId="6D4369D6">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无线话筒</w:t>
            </w:r>
          </w:p>
        </w:tc>
        <w:tc>
          <w:tcPr>
            <w:tcW w:w="851" w:type="dxa"/>
            <w:vAlign w:val="center"/>
          </w:tcPr>
          <w:p w14:paraId="1E9DF98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4</w:t>
            </w:r>
          </w:p>
        </w:tc>
        <w:tc>
          <w:tcPr>
            <w:tcW w:w="708" w:type="dxa"/>
            <w:vAlign w:val="center"/>
          </w:tcPr>
          <w:p w14:paraId="553C0CCE">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249E6E0D">
            <w:pPr>
              <w:widowControl/>
              <w:spacing w:line="360" w:lineRule="auto"/>
              <w:jc w:val="left"/>
              <w:textAlignment w:val="center"/>
              <w:rPr>
                <w:rStyle w:val="123"/>
                <w:rFonts w:hint="default"/>
                <w:color w:val="auto"/>
                <w:sz w:val="21"/>
                <w:szCs w:val="21"/>
              </w:rPr>
            </w:pPr>
            <w:r>
              <w:rPr>
                <w:rStyle w:val="123"/>
                <w:rFonts w:hint="default"/>
                <w:color w:val="auto"/>
                <w:sz w:val="21"/>
                <w:szCs w:val="21"/>
              </w:rPr>
              <w:t>1.射频范围550~960 MHz(根据不同地区分配符合当地的合法频段)；</w:t>
            </w:r>
          </w:p>
          <w:p w14:paraId="6E743248">
            <w:pPr>
              <w:widowControl/>
              <w:spacing w:line="360" w:lineRule="auto"/>
              <w:jc w:val="left"/>
              <w:textAlignment w:val="center"/>
              <w:rPr>
                <w:rStyle w:val="123"/>
                <w:rFonts w:hint="default"/>
                <w:color w:val="auto"/>
                <w:sz w:val="21"/>
                <w:szCs w:val="21"/>
              </w:rPr>
            </w:pPr>
            <w:r>
              <w:rPr>
                <w:rStyle w:val="123"/>
                <w:rFonts w:hint="default"/>
                <w:color w:val="auto"/>
                <w:sz w:val="21"/>
                <w:szCs w:val="21"/>
              </w:rPr>
              <w:t>2.射频输出功率10/25/50/100 mW；</w:t>
            </w:r>
          </w:p>
          <w:p w14:paraId="29D3DEEF">
            <w:pPr>
              <w:widowControl/>
              <w:spacing w:line="360" w:lineRule="auto"/>
              <w:jc w:val="left"/>
              <w:textAlignment w:val="center"/>
              <w:rPr>
                <w:rStyle w:val="123"/>
                <w:rFonts w:hint="default"/>
                <w:color w:val="auto"/>
                <w:sz w:val="21"/>
                <w:szCs w:val="21"/>
              </w:rPr>
            </w:pPr>
            <w:r>
              <w:rPr>
                <w:rStyle w:val="123"/>
                <w:rFonts w:hint="default"/>
                <w:color w:val="auto"/>
                <w:sz w:val="21"/>
                <w:szCs w:val="21"/>
              </w:rPr>
              <w:t>3.射频步进100 kHz；</w:t>
            </w:r>
          </w:p>
          <w:p w14:paraId="6E92FBD2">
            <w:pPr>
              <w:widowControl/>
              <w:spacing w:line="360" w:lineRule="auto"/>
              <w:jc w:val="left"/>
              <w:textAlignment w:val="center"/>
              <w:rPr>
                <w:rStyle w:val="123"/>
                <w:rFonts w:hint="default"/>
                <w:color w:val="auto"/>
                <w:sz w:val="21"/>
                <w:szCs w:val="21"/>
              </w:rPr>
            </w:pPr>
            <w:r>
              <w:rPr>
                <w:rStyle w:val="123"/>
                <w:rFonts w:hint="default"/>
                <w:color w:val="auto"/>
                <w:sz w:val="21"/>
                <w:szCs w:val="21"/>
              </w:rPr>
              <w:t>4.射频带宽200 kHz；</w:t>
            </w:r>
          </w:p>
          <w:p w14:paraId="1EFA14F9">
            <w:pPr>
              <w:widowControl/>
              <w:spacing w:line="360" w:lineRule="auto"/>
              <w:jc w:val="left"/>
              <w:textAlignment w:val="center"/>
              <w:rPr>
                <w:rStyle w:val="123"/>
                <w:rFonts w:hint="default"/>
                <w:color w:val="auto"/>
                <w:sz w:val="21"/>
                <w:szCs w:val="21"/>
              </w:rPr>
            </w:pPr>
            <w:r>
              <w:rPr>
                <w:rStyle w:val="123"/>
                <w:rFonts w:hint="default"/>
                <w:color w:val="auto"/>
                <w:sz w:val="21"/>
                <w:szCs w:val="21"/>
              </w:rPr>
              <w:t>5.通道射频间隔700 kHz；</w:t>
            </w:r>
          </w:p>
          <w:p w14:paraId="25BDA999">
            <w:pPr>
              <w:widowControl/>
              <w:spacing w:line="360" w:lineRule="auto"/>
              <w:jc w:val="left"/>
              <w:textAlignment w:val="center"/>
              <w:rPr>
                <w:rStyle w:val="123"/>
                <w:rFonts w:hint="default"/>
                <w:color w:val="auto"/>
                <w:sz w:val="21"/>
                <w:szCs w:val="21"/>
              </w:rPr>
            </w:pPr>
            <w:r>
              <w:rPr>
                <w:rStyle w:val="123"/>
                <w:rFonts w:hint="default"/>
                <w:color w:val="auto"/>
                <w:sz w:val="21"/>
                <w:szCs w:val="21"/>
              </w:rPr>
              <w:t>6.自动/手动扫频/优选频道：通过接收器激活</w:t>
            </w:r>
          </w:p>
          <w:p w14:paraId="7BA60B1B">
            <w:pPr>
              <w:widowControl/>
              <w:spacing w:line="360" w:lineRule="auto"/>
              <w:jc w:val="left"/>
              <w:textAlignment w:val="center"/>
              <w:rPr>
                <w:rStyle w:val="123"/>
                <w:rFonts w:hint="default"/>
                <w:color w:val="auto"/>
                <w:sz w:val="21"/>
                <w:szCs w:val="21"/>
              </w:rPr>
            </w:pPr>
            <w:r>
              <w:rPr>
                <w:rStyle w:val="123"/>
                <w:rFonts w:hint="default"/>
                <w:color w:val="auto"/>
                <w:sz w:val="21"/>
                <w:szCs w:val="21"/>
              </w:rPr>
              <w:t>7.内录+32bit：32位浮点板载记录，最大内存支持256GB；</w:t>
            </w:r>
          </w:p>
          <w:p w14:paraId="68105D38">
            <w:pPr>
              <w:widowControl/>
              <w:spacing w:line="360" w:lineRule="auto"/>
              <w:jc w:val="left"/>
              <w:textAlignment w:val="center"/>
              <w:rPr>
                <w:rStyle w:val="123"/>
                <w:rFonts w:hint="default"/>
                <w:color w:val="auto"/>
                <w:sz w:val="21"/>
                <w:szCs w:val="21"/>
              </w:rPr>
            </w:pPr>
            <w:r>
              <w:rPr>
                <w:rStyle w:val="123"/>
                <w:rFonts w:hint="default"/>
                <w:color w:val="auto"/>
                <w:sz w:val="21"/>
                <w:szCs w:val="21"/>
              </w:rPr>
              <w:t>8.支持时码功能；</w:t>
            </w:r>
          </w:p>
          <w:p w14:paraId="46149B79">
            <w:pPr>
              <w:widowControl/>
              <w:spacing w:line="360" w:lineRule="auto"/>
              <w:jc w:val="left"/>
              <w:textAlignment w:val="center"/>
              <w:rPr>
                <w:rStyle w:val="123"/>
                <w:rFonts w:hint="default"/>
                <w:color w:val="auto"/>
                <w:sz w:val="21"/>
                <w:szCs w:val="21"/>
              </w:rPr>
            </w:pPr>
            <w:r>
              <w:rPr>
                <w:rStyle w:val="123"/>
                <w:rFonts w:hint="default"/>
                <w:color w:val="auto"/>
                <w:sz w:val="21"/>
                <w:szCs w:val="21"/>
              </w:rPr>
              <w:t>9.动态范围发射器输入：130dB，接收器模拟输出：120dB；</w:t>
            </w:r>
          </w:p>
          <w:p w14:paraId="7E36B8C3">
            <w:pPr>
              <w:widowControl/>
              <w:spacing w:line="360" w:lineRule="auto"/>
              <w:jc w:val="left"/>
              <w:textAlignment w:val="center"/>
              <w:rPr>
                <w:rStyle w:val="123"/>
                <w:rFonts w:hint="default"/>
                <w:color w:val="auto"/>
                <w:sz w:val="21"/>
                <w:szCs w:val="21"/>
              </w:rPr>
            </w:pPr>
            <w:r>
              <w:rPr>
                <w:rStyle w:val="123"/>
                <w:rFonts w:hint="default"/>
                <w:color w:val="auto"/>
                <w:sz w:val="21"/>
                <w:szCs w:val="21"/>
              </w:rPr>
              <w:t>10.输出类型</w:t>
            </w:r>
          </w:p>
          <w:p w14:paraId="55719667">
            <w:pPr>
              <w:widowControl/>
              <w:spacing w:line="360" w:lineRule="auto"/>
              <w:jc w:val="left"/>
              <w:textAlignment w:val="center"/>
              <w:rPr>
                <w:rStyle w:val="123"/>
                <w:rFonts w:hint="default"/>
                <w:color w:val="auto"/>
                <w:sz w:val="21"/>
                <w:szCs w:val="21"/>
              </w:rPr>
            </w:pPr>
            <w:r>
              <w:rPr>
                <w:rStyle w:val="123"/>
                <w:rFonts w:hint="default"/>
                <w:color w:val="auto"/>
                <w:sz w:val="21"/>
                <w:szCs w:val="21"/>
              </w:rPr>
              <w:t>发射器：TFT接收鈧劂仰穆议</w:t>
            </w:r>
            <w:r>
              <w:rPr>
                <w:rFonts w:hint="eastAsia"/>
              </w:rPr>
              <w:t>：</w:t>
            </w:r>
            <w:r>
              <w:rPr>
                <w:rStyle w:val="123"/>
                <w:rFonts w:hint="default"/>
                <w:color w:val="auto"/>
                <w:sz w:val="21"/>
                <w:szCs w:val="21"/>
              </w:rPr>
              <w:t>TFT(正面)+OLED(顶部)</w:t>
            </w:r>
          </w:p>
          <w:p w14:paraId="32CCCE77">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单声道/立体声/耳机；</w:t>
            </w:r>
          </w:p>
        </w:tc>
      </w:tr>
      <w:tr w14:paraId="79621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AF4F86A">
            <w:pPr>
              <w:widowControl/>
              <w:spacing w:line="360" w:lineRule="auto"/>
              <w:jc w:val="center"/>
              <w:textAlignment w:val="center"/>
              <w:rPr>
                <w:rFonts w:hint="eastAsia" w:ascii="宋体" w:hAnsi="宋体" w:cs="宋体"/>
                <w:szCs w:val="21"/>
              </w:rPr>
            </w:pPr>
            <w:r>
              <w:rPr>
                <w:rFonts w:hint="eastAsia" w:ascii="宋体" w:hAnsi="宋体" w:cs="宋体"/>
                <w:color w:val="000000"/>
                <w:kern w:val="0"/>
                <w:szCs w:val="21"/>
                <w:lang w:bidi="ar"/>
              </w:rPr>
              <w:t>24</w:t>
            </w:r>
          </w:p>
        </w:tc>
        <w:tc>
          <w:tcPr>
            <w:tcW w:w="850" w:type="dxa"/>
            <w:vAlign w:val="center"/>
          </w:tcPr>
          <w:p w14:paraId="673BC738">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指向性话筒</w:t>
            </w:r>
          </w:p>
        </w:tc>
        <w:tc>
          <w:tcPr>
            <w:tcW w:w="851" w:type="dxa"/>
            <w:vAlign w:val="center"/>
          </w:tcPr>
          <w:p w14:paraId="4C3423B3">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7E0D0647">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52B8B15D">
            <w:pPr>
              <w:widowControl/>
              <w:spacing w:line="360" w:lineRule="auto"/>
              <w:jc w:val="left"/>
              <w:rPr>
                <w:rStyle w:val="123"/>
                <w:rFonts w:hint="default"/>
                <w:color w:val="auto"/>
                <w:sz w:val="21"/>
                <w:szCs w:val="21"/>
              </w:rPr>
            </w:pPr>
            <w:r>
              <w:rPr>
                <w:rStyle w:val="123"/>
                <w:rFonts w:hint="default"/>
                <w:color w:val="auto"/>
                <w:sz w:val="21"/>
                <w:szCs w:val="21"/>
              </w:rPr>
              <w:t>1.超心形指向麦克风；</w:t>
            </w:r>
          </w:p>
          <w:p w14:paraId="0304B7EA">
            <w:pPr>
              <w:widowControl/>
              <w:spacing w:line="360" w:lineRule="auto"/>
              <w:jc w:val="left"/>
              <w:rPr>
                <w:rStyle w:val="123"/>
                <w:rFonts w:hint="default"/>
                <w:color w:val="auto"/>
                <w:sz w:val="21"/>
                <w:szCs w:val="21"/>
              </w:rPr>
            </w:pPr>
            <w:r>
              <w:rPr>
                <w:rStyle w:val="123"/>
                <w:rFonts w:hint="default"/>
                <w:color w:val="auto"/>
                <w:sz w:val="21"/>
                <w:szCs w:val="21"/>
              </w:rPr>
              <w:t>2. 48kHz采样率/32bit位深度</w:t>
            </w:r>
          </w:p>
          <w:p w14:paraId="3A9E3F77">
            <w:pPr>
              <w:widowControl/>
              <w:spacing w:line="360" w:lineRule="auto"/>
              <w:jc w:val="left"/>
              <w:rPr>
                <w:rStyle w:val="123"/>
                <w:rFonts w:hint="default"/>
                <w:color w:val="auto"/>
                <w:sz w:val="21"/>
                <w:szCs w:val="21"/>
              </w:rPr>
            </w:pPr>
            <w:r>
              <w:rPr>
                <w:rStyle w:val="123"/>
                <w:rFonts w:hint="default"/>
                <w:color w:val="auto"/>
                <w:sz w:val="21"/>
                <w:szCs w:val="21"/>
              </w:rPr>
              <w:t>3.有线/无线双摸式；</w:t>
            </w:r>
          </w:p>
          <w:p w14:paraId="67A56922">
            <w:pPr>
              <w:widowControl/>
              <w:spacing w:line="360" w:lineRule="auto"/>
              <w:jc w:val="left"/>
              <w:rPr>
                <w:rStyle w:val="123"/>
                <w:rFonts w:hint="default"/>
                <w:color w:val="auto"/>
                <w:sz w:val="21"/>
                <w:szCs w:val="21"/>
              </w:rPr>
            </w:pPr>
            <w:r>
              <w:rPr>
                <w:rStyle w:val="123"/>
                <w:rFonts w:hint="default"/>
                <w:color w:val="auto"/>
                <w:sz w:val="21"/>
                <w:szCs w:val="21"/>
              </w:rPr>
              <w:t>4.≥32G内部存储；</w:t>
            </w:r>
          </w:p>
          <w:p w14:paraId="1DA16BD4">
            <w:pPr>
              <w:widowControl/>
              <w:spacing w:line="360" w:lineRule="auto"/>
              <w:jc w:val="left"/>
              <w:rPr>
                <w:rStyle w:val="123"/>
                <w:rFonts w:hint="default"/>
                <w:color w:val="auto"/>
                <w:sz w:val="21"/>
                <w:szCs w:val="21"/>
              </w:rPr>
            </w:pPr>
            <w:r>
              <w:rPr>
                <w:rStyle w:val="123"/>
                <w:rFonts w:hint="default"/>
                <w:color w:val="auto"/>
                <w:sz w:val="21"/>
                <w:szCs w:val="21"/>
              </w:rPr>
              <w:t>5.支持APP便捷操控；</w:t>
            </w:r>
          </w:p>
          <w:p w14:paraId="4937AB3F">
            <w:pPr>
              <w:widowControl/>
              <w:spacing w:line="360" w:lineRule="auto"/>
              <w:jc w:val="left"/>
              <w:rPr>
                <w:rStyle w:val="123"/>
                <w:rFonts w:hint="default"/>
                <w:color w:val="auto"/>
                <w:sz w:val="21"/>
                <w:szCs w:val="21"/>
              </w:rPr>
            </w:pPr>
            <w:r>
              <w:rPr>
                <w:rStyle w:val="123"/>
                <w:rFonts w:hint="default"/>
                <w:color w:val="auto"/>
                <w:sz w:val="21"/>
                <w:szCs w:val="21"/>
              </w:rPr>
              <w:t>6.一键降噪/静音；</w:t>
            </w:r>
          </w:p>
          <w:p w14:paraId="32BE3C9D">
            <w:pPr>
              <w:widowControl/>
              <w:spacing w:line="360" w:lineRule="auto"/>
              <w:jc w:val="left"/>
              <w:rPr>
                <w:rStyle w:val="123"/>
                <w:rFonts w:hint="default"/>
                <w:color w:val="auto"/>
                <w:sz w:val="21"/>
                <w:szCs w:val="21"/>
              </w:rPr>
            </w:pPr>
            <w:r>
              <w:rPr>
                <w:rStyle w:val="123"/>
                <w:rFonts w:hint="default"/>
                <w:color w:val="auto"/>
                <w:sz w:val="21"/>
                <w:szCs w:val="21"/>
              </w:rPr>
              <w:t>7.数字/模拟双输出；</w:t>
            </w:r>
          </w:p>
          <w:p w14:paraId="1B757511">
            <w:pPr>
              <w:widowControl/>
              <w:spacing w:line="360" w:lineRule="auto"/>
              <w:jc w:val="left"/>
              <w:rPr>
                <w:rStyle w:val="123"/>
                <w:rFonts w:hint="default"/>
                <w:color w:val="auto"/>
                <w:sz w:val="21"/>
                <w:szCs w:val="21"/>
              </w:rPr>
            </w:pPr>
            <w:r>
              <w:rPr>
                <w:rStyle w:val="123"/>
                <w:rFonts w:hint="default"/>
                <w:color w:val="auto"/>
                <w:sz w:val="21"/>
                <w:szCs w:val="21"/>
              </w:rPr>
              <w:t>8. 32H/10H长续航；</w:t>
            </w:r>
          </w:p>
          <w:p w14:paraId="7D1A4A14">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9.传输距离≥200米；</w:t>
            </w:r>
          </w:p>
        </w:tc>
      </w:tr>
      <w:tr w14:paraId="0583A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CA62EF0">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25</w:t>
            </w:r>
          </w:p>
        </w:tc>
        <w:tc>
          <w:tcPr>
            <w:tcW w:w="850" w:type="dxa"/>
            <w:vAlign w:val="center"/>
          </w:tcPr>
          <w:p w14:paraId="56F8A4A2">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便携录音机</w:t>
            </w:r>
          </w:p>
        </w:tc>
        <w:tc>
          <w:tcPr>
            <w:tcW w:w="851" w:type="dxa"/>
            <w:vAlign w:val="center"/>
          </w:tcPr>
          <w:p w14:paraId="34D02747">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708" w:type="dxa"/>
            <w:vAlign w:val="center"/>
          </w:tcPr>
          <w:p w14:paraId="7CC78839">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台</w:t>
            </w:r>
          </w:p>
        </w:tc>
        <w:tc>
          <w:tcPr>
            <w:tcW w:w="6928" w:type="dxa"/>
            <w:gridSpan w:val="3"/>
            <w:vAlign w:val="center"/>
          </w:tcPr>
          <w:p w14:paraId="40BA6CCD">
            <w:pPr>
              <w:widowControl/>
              <w:spacing w:line="360" w:lineRule="auto"/>
              <w:jc w:val="left"/>
              <w:rPr>
                <w:rStyle w:val="123"/>
                <w:rFonts w:hint="default"/>
                <w:color w:val="auto"/>
                <w:sz w:val="21"/>
                <w:szCs w:val="21"/>
              </w:rPr>
            </w:pPr>
            <w:r>
              <w:rPr>
                <w:rStyle w:val="123"/>
                <w:rFonts w:hint="default"/>
                <w:color w:val="auto"/>
                <w:sz w:val="21"/>
                <w:szCs w:val="21"/>
              </w:rPr>
              <w:t>1. 3.5英寸彩色触摸屏，操作简单，可读性强；</w:t>
            </w:r>
          </w:p>
          <w:p w14:paraId="7BBA3511">
            <w:pPr>
              <w:widowControl/>
              <w:spacing w:line="360" w:lineRule="auto"/>
              <w:jc w:val="left"/>
              <w:rPr>
                <w:rStyle w:val="123"/>
                <w:rFonts w:hint="default"/>
                <w:color w:val="auto"/>
                <w:sz w:val="21"/>
                <w:szCs w:val="21"/>
              </w:rPr>
            </w:pPr>
            <w:r>
              <w:rPr>
                <w:rStyle w:val="123"/>
                <w:rFonts w:hint="default"/>
                <w:color w:val="auto"/>
                <w:sz w:val="21"/>
                <w:szCs w:val="21"/>
              </w:rPr>
              <w:t>2.不低于192kHz的采样率和32bit浮点分辨率；</w:t>
            </w:r>
          </w:p>
          <w:p w14:paraId="0A81C9F0">
            <w:pPr>
              <w:widowControl/>
              <w:spacing w:line="360" w:lineRule="auto"/>
              <w:jc w:val="left"/>
              <w:rPr>
                <w:rStyle w:val="123"/>
                <w:rFonts w:hint="default"/>
                <w:color w:val="auto"/>
                <w:sz w:val="21"/>
                <w:szCs w:val="21"/>
              </w:rPr>
            </w:pPr>
            <w:r>
              <w:rPr>
                <w:rStyle w:val="123"/>
                <w:rFonts w:hint="default"/>
                <w:color w:val="auto"/>
                <w:sz w:val="21"/>
                <w:szCs w:val="21"/>
              </w:rPr>
              <w:t>3. 支持6种直观应用程序，适用于各种录音场景；</w:t>
            </w:r>
          </w:p>
          <w:p w14:paraId="21C53AAE">
            <w:pPr>
              <w:widowControl/>
              <w:spacing w:line="360" w:lineRule="auto"/>
              <w:jc w:val="left"/>
              <w:rPr>
                <w:rStyle w:val="123"/>
                <w:rFonts w:hint="default"/>
                <w:color w:val="auto"/>
                <w:sz w:val="21"/>
                <w:szCs w:val="21"/>
              </w:rPr>
            </w:pPr>
            <w:r>
              <w:rPr>
                <w:rStyle w:val="123"/>
                <w:rFonts w:hint="default"/>
                <w:color w:val="auto"/>
                <w:sz w:val="21"/>
                <w:szCs w:val="21"/>
              </w:rPr>
              <w:t>4. 内置2个可拆卸大振膜（14.6毫米）电容话筒（可设置为AB或XY配置）；</w:t>
            </w:r>
          </w:p>
          <w:p w14:paraId="609CD311">
            <w:pPr>
              <w:widowControl/>
              <w:spacing w:line="360" w:lineRule="auto"/>
              <w:jc w:val="left"/>
              <w:rPr>
                <w:rStyle w:val="123"/>
                <w:rFonts w:hint="default"/>
                <w:color w:val="auto"/>
                <w:sz w:val="21"/>
                <w:szCs w:val="21"/>
              </w:rPr>
            </w:pPr>
            <w:r>
              <w:rPr>
                <w:rStyle w:val="123"/>
                <w:rFonts w:hint="default"/>
                <w:color w:val="auto"/>
                <w:sz w:val="21"/>
                <w:szCs w:val="21"/>
              </w:rPr>
              <w:t>5.内置8路输入和2路输出的USB音频接口；</w:t>
            </w:r>
          </w:p>
          <w:p w14:paraId="5C8F5841">
            <w:pPr>
              <w:widowControl/>
              <w:spacing w:line="360" w:lineRule="auto"/>
              <w:jc w:val="left"/>
              <w:rPr>
                <w:rStyle w:val="123"/>
                <w:rFonts w:hint="default"/>
                <w:color w:val="auto"/>
                <w:sz w:val="21"/>
                <w:szCs w:val="21"/>
              </w:rPr>
            </w:pPr>
            <w:r>
              <w:rPr>
                <w:rStyle w:val="123"/>
                <w:rFonts w:hint="default"/>
                <w:color w:val="auto"/>
                <w:sz w:val="21"/>
                <w:szCs w:val="21"/>
              </w:rPr>
              <w:t>6.支持4路麦克风/线路输入；</w:t>
            </w:r>
          </w:p>
          <w:p w14:paraId="524E93BA">
            <w:pPr>
              <w:widowControl/>
              <w:spacing w:line="360" w:lineRule="auto"/>
              <w:jc w:val="left"/>
              <w:rPr>
                <w:rStyle w:val="123"/>
                <w:rFonts w:hint="default"/>
                <w:color w:val="auto"/>
                <w:sz w:val="21"/>
                <w:szCs w:val="21"/>
              </w:rPr>
            </w:pPr>
            <w:r>
              <w:rPr>
                <w:rStyle w:val="123"/>
                <w:rFonts w:hint="default"/>
                <w:color w:val="auto"/>
                <w:sz w:val="21"/>
                <w:szCs w:val="21"/>
              </w:rPr>
              <w:t>7.最大8轨录音（6轨+立体声混音)；</w:t>
            </w:r>
          </w:p>
          <w:p w14:paraId="28AE96B0">
            <w:pPr>
              <w:widowControl/>
              <w:spacing w:line="360" w:lineRule="auto"/>
              <w:jc w:val="left"/>
              <w:rPr>
                <w:rStyle w:val="123"/>
                <w:rFonts w:hint="default"/>
                <w:color w:val="auto"/>
                <w:sz w:val="21"/>
                <w:szCs w:val="21"/>
              </w:rPr>
            </w:pPr>
            <w:r>
              <w:rPr>
                <w:rStyle w:val="123"/>
                <w:rFonts w:hint="default"/>
                <w:color w:val="auto"/>
                <w:sz w:val="21"/>
                <w:szCs w:val="21"/>
              </w:rPr>
              <w:t>8.MS解码器，混响效果（六种房间效果)；</w:t>
            </w:r>
          </w:p>
          <w:p w14:paraId="6DA35B2A">
            <w:pPr>
              <w:widowControl/>
              <w:spacing w:line="360" w:lineRule="auto"/>
              <w:jc w:val="left"/>
              <w:rPr>
                <w:rStyle w:val="123"/>
                <w:rFonts w:hint="default"/>
                <w:color w:val="auto"/>
                <w:sz w:val="21"/>
                <w:szCs w:val="21"/>
              </w:rPr>
            </w:pPr>
            <w:r>
              <w:rPr>
                <w:rStyle w:val="123"/>
                <w:rFonts w:hint="default"/>
                <w:color w:val="auto"/>
                <w:sz w:val="21"/>
                <w:szCs w:val="21"/>
              </w:rPr>
              <w:t>9.支持预录音功能，自动录音功能，双录音功能；</w:t>
            </w:r>
          </w:p>
          <w:p w14:paraId="3A8CD099">
            <w:pPr>
              <w:widowControl/>
              <w:spacing w:line="360" w:lineRule="auto"/>
              <w:jc w:val="left"/>
              <w:rPr>
                <w:rStyle w:val="123"/>
                <w:rFonts w:hint="default"/>
                <w:color w:val="auto"/>
                <w:sz w:val="21"/>
                <w:szCs w:val="21"/>
              </w:rPr>
            </w:pPr>
            <w:r>
              <w:rPr>
                <w:rStyle w:val="123"/>
                <w:rFonts w:hint="default"/>
                <w:color w:val="auto"/>
                <w:sz w:val="21"/>
                <w:szCs w:val="21"/>
              </w:rPr>
              <w:t>10.可自动或手动添加录音打板，简化编辑时视频文件的同步；</w:t>
            </w:r>
          </w:p>
          <w:p w14:paraId="665E5750">
            <w:pPr>
              <w:widowControl/>
              <w:spacing w:line="360" w:lineRule="auto"/>
              <w:jc w:val="left"/>
              <w:rPr>
                <w:rStyle w:val="123"/>
                <w:rFonts w:hint="default"/>
                <w:color w:val="auto"/>
                <w:sz w:val="21"/>
                <w:szCs w:val="21"/>
              </w:rPr>
            </w:pPr>
            <w:r>
              <w:rPr>
                <w:rStyle w:val="123"/>
                <w:rFonts w:hint="default"/>
                <w:color w:val="auto"/>
                <w:sz w:val="21"/>
                <w:szCs w:val="21"/>
              </w:rPr>
              <w:t>11.内置音频处理混音器，包括均衡器、低切滤波器、压缩器、限幅器、自动增益控制、噪声门等处理；</w:t>
            </w:r>
          </w:p>
          <w:p w14:paraId="5BF6247A">
            <w:pPr>
              <w:widowControl/>
              <w:spacing w:line="360" w:lineRule="auto"/>
              <w:jc w:val="left"/>
              <w:rPr>
                <w:rStyle w:val="123"/>
                <w:rFonts w:hint="default"/>
                <w:color w:val="auto"/>
                <w:sz w:val="21"/>
                <w:szCs w:val="21"/>
              </w:rPr>
            </w:pPr>
            <w:r>
              <w:rPr>
                <w:rStyle w:val="123"/>
                <w:rFonts w:hint="default"/>
                <w:color w:val="auto"/>
                <w:sz w:val="21"/>
                <w:szCs w:val="21"/>
              </w:rPr>
              <w:t>12.支持Camera/Line输入和Camera/Line输出；</w:t>
            </w:r>
          </w:p>
          <w:p w14:paraId="44E8B166">
            <w:pPr>
              <w:widowControl/>
              <w:spacing w:line="360" w:lineRule="auto"/>
              <w:jc w:val="left"/>
              <w:rPr>
                <w:rStyle w:val="123"/>
                <w:rFonts w:hint="default"/>
                <w:color w:val="auto"/>
                <w:sz w:val="21"/>
                <w:szCs w:val="21"/>
              </w:rPr>
            </w:pPr>
            <w:r>
              <w:rPr>
                <w:rStyle w:val="123"/>
                <w:rFonts w:hint="default"/>
                <w:color w:val="auto"/>
                <w:sz w:val="21"/>
                <w:szCs w:val="21"/>
              </w:rPr>
              <w:t>13.蓝牙适配器和专用遥控应用程序（免费下载）；</w:t>
            </w:r>
          </w:p>
          <w:p w14:paraId="4F4C73CE">
            <w:pPr>
              <w:widowControl/>
              <w:spacing w:line="360" w:lineRule="auto"/>
              <w:jc w:val="left"/>
              <w:rPr>
                <w:rStyle w:val="123"/>
                <w:rFonts w:hint="default"/>
                <w:color w:val="auto"/>
                <w:sz w:val="21"/>
                <w:szCs w:val="21"/>
              </w:rPr>
            </w:pPr>
            <w:r>
              <w:rPr>
                <w:rStyle w:val="123"/>
                <w:rFonts w:hint="default"/>
                <w:color w:val="auto"/>
                <w:sz w:val="21"/>
                <w:szCs w:val="21"/>
              </w:rPr>
              <w:t>14.支持智能手机/平板电脑进行无线操作；</w:t>
            </w:r>
          </w:p>
          <w:p w14:paraId="173D88BF">
            <w:pPr>
              <w:widowControl/>
              <w:spacing w:line="360" w:lineRule="auto"/>
              <w:jc w:val="left"/>
              <w:rPr>
                <w:rStyle w:val="123"/>
                <w:rFonts w:hint="default"/>
                <w:color w:val="auto"/>
                <w:sz w:val="21"/>
                <w:szCs w:val="21"/>
              </w:rPr>
            </w:pPr>
            <w:r>
              <w:rPr>
                <w:rStyle w:val="123"/>
                <w:rFonts w:hint="default"/>
                <w:color w:val="auto"/>
                <w:sz w:val="21"/>
                <w:szCs w:val="21"/>
              </w:rPr>
              <w:t>15.支持最大512GB的 Micro SD存储卡；</w:t>
            </w:r>
          </w:p>
          <w:p w14:paraId="271B840C">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16.支持四节AA电池、USB总线电源或选配的交流适配器供电；</w:t>
            </w:r>
          </w:p>
        </w:tc>
      </w:tr>
      <w:tr w14:paraId="11C86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1CC040A">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26</w:t>
            </w:r>
          </w:p>
        </w:tc>
        <w:tc>
          <w:tcPr>
            <w:tcW w:w="850" w:type="dxa"/>
            <w:vAlign w:val="center"/>
          </w:tcPr>
          <w:p w14:paraId="42B4165C">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桌面话筒</w:t>
            </w:r>
          </w:p>
        </w:tc>
        <w:tc>
          <w:tcPr>
            <w:tcW w:w="851" w:type="dxa"/>
            <w:vAlign w:val="center"/>
          </w:tcPr>
          <w:p w14:paraId="7C361C98">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184F8A84">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套</w:t>
            </w:r>
          </w:p>
        </w:tc>
        <w:tc>
          <w:tcPr>
            <w:tcW w:w="6928" w:type="dxa"/>
            <w:gridSpan w:val="3"/>
            <w:vAlign w:val="center"/>
          </w:tcPr>
          <w:p w14:paraId="5985FED2">
            <w:pPr>
              <w:widowControl/>
              <w:spacing w:line="360" w:lineRule="auto"/>
              <w:jc w:val="left"/>
              <w:rPr>
                <w:rStyle w:val="123"/>
                <w:rFonts w:hint="default"/>
                <w:color w:val="auto"/>
                <w:sz w:val="21"/>
                <w:szCs w:val="21"/>
              </w:rPr>
            </w:pPr>
            <w:r>
              <w:rPr>
                <w:rStyle w:val="123"/>
                <w:rFonts w:hint="default"/>
                <w:color w:val="auto"/>
                <w:sz w:val="21"/>
                <w:szCs w:val="21"/>
              </w:rPr>
              <w:t>1.类型：动圈；</w:t>
            </w:r>
          </w:p>
          <w:p w14:paraId="3D73ED69">
            <w:pPr>
              <w:widowControl/>
              <w:spacing w:line="360" w:lineRule="auto"/>
              <w:jc w:val="left"/>
              <w:rPr>
                <w:rStyle w:val="123"/>
                <w:rFonts w:hint="default"/>
                <w:color w:val="auto"/>
                <w:sz w:val="21"/>
                <w:szCs w:val="21"/>
              </w:rPr>
            </w:pPr>
            <w:r>
              <w:rPr>
                <w:rStyle w:val="123"/>
                <w:rFonts w:hint="default"/>
                <w:color w:val="auto"/>
                <w:sz w:val="21"/>
                <w:szCs w:val="21"/>
              </w:rPr>
              <w:t>2.频率响应：50 Hz至20 kHz；</w:t>
            </w:r>
          </w:p>
          <w:p w14:paraId="34E13DD8">
            <w:pPr>
              <w:widowControl/>
              <w:spacing w:line="360" w:lineRule="auto"/>
              <w:jc w:val="left"/>
              <w:rPr>
                <w:rStyle w:val="123"/>
                <w:rFonts w:hint="default"/>
                <w:color w:val="auto"/>
                <w:sz w:val="21"/>
                <w:szCs w:val="21"/>
              </w:rPr>
            </w:pPr>
            <w:r>
              <w:rPr>
                <w:rStyle w:val="123"/>
                <w:rFonts w:hint="default"/>
                <w:color w:val="auto"/>
                <w:sz w:val="21"/>
                <w:szCs w:val="21"/>
              </w:rPr>
              <w:t>3.拾音模式：心形；</w:t>
            </w:r>
          </w:p>
          <w:p w14:paraId="70B27F86">
            <w:pPr>
              <w:widowControl/>
              <w:spacing w:line="360" w:lineRule="auto"/>
              <w:jc w:val="left"/>
              <w:rPr>
                <w:rStyle w:val="123"/>
                <w:rFonts w:hint="default"/>
                <w:color w:val="auto"/>
                <w:sz w:val="21"/>
                <w:szCs w:val="21"/>
              </w:rPr>
            </w:pPr>
            <w:r>
              <w:rPr>
                <w:rStyle w:val="123"/>
                <w:rFonts w:hint="default"/>
                <w:color w:val="auto"/>
                <w:sz w:val="21"/>
                <w:szCs w:val="21"/>
              </w:rPr>
              <w:t>4.输出阻抗</w:t>
            </w:r>
          </w:p>
          <w:p w14:paraId="71F239B8">
            <w:pPr>
              <w:widowControl/>
              <w:spacing w:line="360" w:lineRule="auto"/>
              <w:jc w:val="left"/>
              <w:rPr>
                <w:rStyle w:val="123"/>
                <w:rFonts w:hint="default"/>
                <w:color w:val="auto"/>
                <w:sz w:val="21"/>
                <w:szCs w:val="21"/>
              </w:rPr>
            </w:pPr>
            <w:r>
              <w:rPr>
                <w:rStyle w:val="123"/>
                <w:rFonts w:hint="default"/>
                <w:color w:val="auto"/>
                <w:sz w:val="21"/>
                <w:szCs w:val="21"/>
              </w:rPr>
              <w:t>旁通模式为150 Ω；</w:t>
            </w:r>
          </w:p>
          <w:p w14:paraId="3D2306B4">
            <w:pPr>
              <w:widowControl/>
              <w:spacing w:line="360" w:lineRule="auto"/>
              <w:jc w:val="left"/>
              <w:rPr>
                <w:rStyle w:val="123"/>
                <w:rFonts w:hint="default"/>
                <w:color w:val="auto"/>
                <w:sz w:val="21"/>
                <w:szCs w:val="21"/>
              </w:rPr>
            </w:pPr>
            <w:r>
              <w:rPr>
                <w:rStyle w:val="123"/>
                <w:rFonts w:hint="default"/>
                <w:color w:val="auto"/>
                <w:sz w:val="21"/>
                <w:szCs w:val="21"/>
              </w:rPr>
              <w:t>话放模式为27Ω；</w:t>
            </w:r>
          </w:p>
          <w:p w14:paraId="76C33685">
            <w:pPr>
              <w:widowControl/>
              <w:spacing w:line="360" w:lineRule="auto"/>
              <w:jc w:val="left"/>
              <w:rPr>
                <w:rStyle w:val="123"/>
                <w:rFonts w:hint="default"/>
                <w:color w:val="auto"/>
                <w:sz w:val="21"/>
                <w:szCs w:val="21"/>
              </w:rPr>
            </w:pPr>
            <w:r>
              <w:rPr>
                <w:rStyle w:val="123"/>
                <w:rFonts w:hint="default"/>
                <w:color w:val="auto"/>
                <w:sz w:val="21"/>
                <w:szCs w:val="21"/>
              </w:rPr>
              <w:t>5.灵敏度(1kHz时，开路电压)[1]1Pa=94 dB SPL，</w:t>
            </w:r>
          </w:p>
          <w:p w14:paraId="71C9452F">
            <w:pPr>
              <w:widowControl/>
              <w:spacing w:line="360" w:lineRule="auto"/>
              <w:jc w:val="left"/>
              <w:rPr>
                <w:rStyle w:val="123"/>
                <w:rFonts w:hint="default"/>
                <w:color w:val="auto"/>
                <w:sz w:val="21"/>
                <w:szCs w:val="21"/>
              </w:rPr>
            </w:pPr>
            <w:r>
              <w:rPr>
                <w:rStyle w:val="123"/>
                <w:rFonts w:hint="default"/>
                <w:color w:val="auto"/>
                <w:sz w:val="21"/>
                <w:szCs w:val="21"/>
              </w:rPr>
              <w:t>-59 dBV/Pa[1](1.12 mV)平坦响应旁通模式，-41 dBV/Pa[1](1.12 mV)平坦响应+18话放模式，-31 dBV/Pa[1](1.12 mV)平坦响应+28话放模式；</w:t>
            </w:r>
          </w:p>
          <w:p w14:paraId="3D097790">
            <w:pPr>
              <w:widowControl/>
              <w:spacing w:line="360" w:lineRule="auto"/>
              <w:jc w:val="left"/>
              <w:rPr>
                <w:rStyle w:val="123"/>
                <w:rFonts w:hint="default"/>
                <w:color w:val="auto"/>
                <w:sz w:val="21"/>
                <w:szCs w:val="21"/>
              </w:rPr>
            </w:pPr>
            <w:r>
              <w:rPr>
                <w:rStyle w:val="123"/>
                <w:rFonts w:hint="default"/>
                <w:color w:val="auto"/>
                <w:sz w:val="21"/>
                <w:szCs w:val="21"/>
              </w:rPr>
              <w:t>6.极性：相对于插针3振膜上的正声压会在插针2上产生正电压；</w:t>
            </w:r>
          </w:p>
          <w:p w14:paraId="45D58BB2">
            <w:pPr>
              <w:widowControl/>
              <w:spacing w:line="360" w:lineRule="auto"/>
              <w:jc w:val="left"/>
              <w:rPr>
                <w:rStyle w:val="123"/>
                <w:rFonts w:hint="default"/>
                <w:color w:val="auto"/>
                <w:sz w:val="21"/>
                <w:szCs w:val="21"/>
              </w:rPr>
            </w:pPr>
            <w:r>
              <w:rPr>
                <w:rStyle w:val="123"/>
                <w:rFonts w:hint="default"/>
                <w:color w:val="auto"/>
                <w:sz w:val="21"/>
                <w:szCs w:val="21"/>
              </w:rPr>
              <w:t>7.净重：约837克；</w:t>
            </w:r>
          </w:p>
          <w:p w14:paraId="4318E27A">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8.外壳：黑色瓷釉铝质和钢质外壳带有黑色海绵防风罩，配桌面型支架及加重型悬臂支架。</w:t>
            </w:r>
          </w:p>
        </w:tc>
      </w:tr>
      <w:tr w14:paraId="717E4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F1CBF33">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27</w:t>
            </w:r>
          </w:p>
        </w:tc>
        <w:tc>
          <w:tcPr>
            <w:tcW w:w="850" w:type="dxa"/>
            <w:vAlign w:val="center"/>
          </w:tcPr>
          <w:p w14:paraId="49FF6AEB">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专业声卡</w:t>
            </w:r>
          </w:p>
        </w:tc>
        <w:tc>
          <w:tcPr>
            <w:tcW w:w="851" w:type="dxa"/>
            <w:vAlign w:val="center"/>
          </w:tcPr>
          <w:p w14:paraId="3321E2A7">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5E9947F1">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台</w:t>
            </w:r>
          </w:p>
        </w:tc>
        <w:tc>
          <w:tcPr>
            <w:tcW w:w="6928" w:type="dxa"/>
            <w:gridSpan w:val="3"/>
            <w:vAlign w:val="center"/>
          </w:tcPr>
          <w:p w14:paraId="38764BFF">
            <w:pPr>
              <w:widowControl/>
              <w:spacing w:line="360" w:lineRule="auto"/>
              <w:jc w:val="left"/>
              <w:rPr>
                <w:rStyle w:val="123"/>
                <w:rFonts w:hint="default"/>
                <w:color w:val="auto"/>
                <w:sz w:val="21"/>
                <w:szCs w:val="21"/>
              </w:rPr>
            </w:pPr>
            <w:r>
              <w:rPr>
                <w:rStyle w:val="123"/>
                <w:rFonts w:hint="default"/>
                <w:color w:val="auto"/>
                <w:sz w:val="21"/>
                <w:szCs w:val="21"/>
              </w:rPr>
              <w:t>1.等效输入噪声：-128dBu-A；</w:t>
            </w:r>
          </w:p>
          <w:p w14:paraId="778EAA7E">
            <w:pPr>
              <w:widowControl/>
              <w:spacing w:line="360" w:lineRule="auto"/>
              <w:jc w:val="left"/>
              <w:rPr>
                <w:rStyle w:val="123"/>
                <w:rFonts w:hint="default"/>
                <w:color w:val="auto"/>
                <w:sz w:val="21"/>
                <w:szCs w:val="21"/>
              </w:rPr>
            </w:pPr>
            <w:r>
              <w:rPr>
                <w:rStyle w:val="123"/>
                <w:rFonts w:hint="default"/>
                <w:color w:val="auto"/>
                <w:sz w:val="21"/>
                <w:szCs w:val="21"/>
              </w:rPr>
              <w:t>2.增益范围：12~+78dB；</w:t>
            </w:r>
          </w:p>
          <w:p w14:paraId="70D77B33">
            <w:pPr>
              <w:widowControl/>
              <w:spacing w:line="360" w:lineRule="auto"/>
              <w:jc w:val="left"/>
              <w:rPr>
                <w:rStyle w:val="123"/>
                <w:rFonts w:hint="default"/>
                <w:color w:val="auto"/>
                <w:sz w:val="21"/>
                <w:szCs w:val="21"/>
              </w:rPr>
            </w:pPr>
            <w:r>
              <w:rPr>
                <w:rStyle w:val="123"/>
                <w:rFonts w:hint="default"/>
                <w:color w:val="auto"/>
                <w:sz w:val="21"/>
                <w:szCs w:val="21"/>
              </w:rPr>
              <w:t>3.步进：0.5/0.1dB；</w:t>
            </w:r>
          </w:p>
          <w:p w14:paraId="1363F3C2">
            <w:pPr>
              <w:widowControl/>
              <w:spacing w:line="360" w:lineRule="auto"/>
              <w:jc w:val="left"/>
              <w:rPr>
                <w:rStyle w:val="123"/>
                <w:rFonts w:hint="default"/>
                <w:color w:val="auto"/>
                <w:sz w:val="21"/>
                <w:szCs w:val="21"/>
              </w:rPr>
            </w:pPr>
            <w:r>
              <w:rPr>
                <w:rStyle w:val="123"/>
                <w:rFonts w:hint="default"/>
                <w:color w:val="auto"/>
                <w:sz w:val="21"/>
                <w:szCs w:val="21"/>
              </w:rPr>
              <w:t>4.动态范围：136DB；</w:t>
            </w:r>
          </w:p>
          <w:p w14:paraId="63343AF4">
            <w:pPr>
              <w:widowControl/>
              <w:spacing w:line="360" w:lineRule="auto"/>
              <w:jc w:val="left"/>
              <w:rPr>
                <w:rStyle w:val="123"/>
                <w:rFonts w:hint="default"/>
                <w:color w:val="auto"/>
                <w:sz w:val="21"/>
                <w:szCs w:val="21"/>
              </w:rPr>
            </w:pPr>
            <w:r>
              <w:rPr>
                <w:rStyle w:val="123"/>
                <w:rFonts w:hint="default"/>
                <w:color w:val="auto"/>
                <w:sz w:val="21"/>
                <w:szCs w:val="21"/>
              </w:rPr>
              <w:t>5.AD/DA转换器；</w:t>
            </w:r>
          </w:p>
          <w:p w14:paraId="647AFBA4">
            <w:pPr>
              <w:widowControl/>
              <w:spacing w:line="360" w:lineRule="auto"/>
              <w:jc w:val="left"/>
              <w:rPr>
                <w:rStyle w:val="123"/>
                <w:rFonts w:hint="default"/>
                <w:color w:val="auto"/>
                <w:sz w:val="21"/>
                <w:szCs w:val="21"/>
              </w:rPr>
            </w:pPr>
            <w:r>
              <w:rPr>
                <w:rStyle w:val="123"/>
                <w:rFonts w:hint="default"/>
                <w:color w:val="auto"/>
                <w:sz w:val="21"/>
                <w:szCs w:val="21"/>
              </w:rPr>
              <w:t>6.支持4路集成对讲的独立混音功能；</w:t>
            </w:r>
          </w:p>
          <w:p w14:paraId="4716A8BF">
            <w:pPr>
              <w:widowControl/>
              <w:spacing w:line="360" w:lineRule="auto"/>
              <w:jc w:val="left"/>
              <w:rPr>
                <w:rStyle w:val="123"/>
                <w:rFonts w:hint="default"/>
                <w:color w:val="auto"/>
                <w:sz w:val="21"/>
                <w:szCs w:val="21"/>
              </w:rPr>
            </w:pPr>
            <w:r>
              <w:rPr>
                <w:rStyle w:val="123"/>
                <w:rFonts w:hint="default"/>
                <w:color w:val="auto"/>
                <w:sz w:val="21"/>
                <w:szCs w:val="21"/>
              </w:rPr>
              <w:t>7.可使用USB/ADAT/AES67连接；</w:t>
            </w:r>
          </w:p>
          <w:p w14:paraId="797EB6DD">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8.支持4个模拟输入、8个立体声模拟输出；</w:t>
            </w:r>
          </w:p>
        </w:tc>
      </w:tr>
      <w:tr w14:paraId="12924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3475B44">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28</w:t>
            </w:r>
          </w:p>
        </w:tc>
        <w:tc>
          <w:tcPr>
            <w:tcW w:w="850" w:type="dxa"/>
            <w:vAlign w:val="center"/>
          </w:tcPr>
          <w:p w14:paraId="33B3D11E">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有源音箱</w:t>
            </w:r>
          </w:p>
        </w:tc>
        <w:tc>
          <w:tcPr>
            <w:tcW w:w="851" w:type="dxa"/>
            <w:vAlign w:val="center"/>
          </w:tcPr>
          <w:p w14:paraId="0ABE9C74">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1DA18DF0">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对</w:t>
            </w:r>
          </w:p>
        </w:tc>
        <w:tc>
          <w:tcPr>
            <w:tcW w:w="6928" w:type="dxa"/>
            <w:gridSpan w:val="3"/>
            <w:vAlign w:val="center"/>
          </w:tcPr>
          <w:p w14:paraId="355E8AAC">
            <w:pPr>
              <w:widowControl/>
              <w:spacing w:line="360" w:lineRule="auto"/>
              <w:jc w:val="left"/>
              <w:rPr>
                <w:rStyle w:val="123"/>
                <w:rFonts w:hint="default"/>
                <w:color w:val="auto"/>
                <w:sz w:val="21"/>
                <w:szCs w:val="21"/>
              </w:rPr>
            </w:pPr>
            <w:r>
              <w:rPr>
                <w:rStyle w:val="123"/>
                <w:rFonts w:hint="default"/>
                <w:color w:val="auto"/>
                <w:sz w:val="21"/>
                <w:szCs w:val="21"/>
              </w:rPr>
              <w:t>1.最大声压级：104dB；</w:t>
            </w:r>
          </w:p>
          <w:p w14:paraId="23FF7D9D">
            <w:pPr>
              <w:widowControl/>
              <w:spacing w:line="360" w:lineRule="auto"/>
              <w:jc w:val="left"/>
              <w:rPr>
                <w:rStyle w:val="123"/>
                <w:rFonts w:hint="default"/>
                <w:color w:val="auto"/>
                <w:sz w:val="21"/>
                <w:szCs w:val="21"/>
              </w:rPr>
            </w:pPr>
            <w:r>
              <w:rPr>
                <w:rStyle w:val="123"/>
                <w:rFonts w:hint="default"/>
                <w:color w:val="auto"/>
                <w:sz w:val="21"/>
                <w:szCs w:val="21"/>
              </w:rPr>
              <w:t>2.频率响应范围：50Hz-20kHz（±2dB）；</w:t>
            </w:r>
          </w:p>
          <w:p w14:paraId="1A04855A">
            <w:pPr>
              <w:widowControl/>
              <w:spacing w:line="360" w:lineRule="auto"/>
              <w:jc w:val="left"/>
              <w:rPr>
                <w:rStyle w:val="123"/>
                <w:rFonts w:hint="default"/>
                <w:color w:val="auto"/>
                <w:sz w:val="21"/>
                <w:szCs w:val="21"/>
              </w:rPr>
            </w:pPr>
            <w:r>
              <w:rPr>
                <w:rStyle w:val="123"/>
                <w:rFonts w:hint="default"/>
                <w:color w:val="auto"/>
                <w:sz w:val="21"/>
                <w:szCs w:val="21"/>
              </w:rPr>
              <w:t>3.单元尺寸：5英寸低频单元+3/4英寸高频单元；</w:t>
            </w:r>
          </w:p>
          <w:p w14:paraId="06B8DDEA">
            <w:pPr>
              <w:widowControl/>
              <w:spacing w:line="360" w:lineRule="auto"/>
              <w:jc w:val="left"/>
              <w:rPr>
                <w:rStyle w:val="123"/>
                <w:rFonts w:hint="default"/>
                <w:color w:val="auto"/>
                <w:sz w:val="21"/>
                <w:szCs w:val="21"/>
              </w:rPr>
            </w:pPr>
            <w:r>
              <w:rPr>
                <w:rStyle w:val="123"/>
                <w:rFonts w:hint="default"/>
                <w:color w:val="auto"/>
                <w:sz w:val="21"/>
                <w:szCs w:val="21"/>
              </w:rPr>
              <w:t>4.分频点：3kHz；</w:t>
            </w:r>
          </w:p>
          <w:p w14:paraId="0E10DD03">
            <w:pPr>
              <w:widowControl/>
              <w:spacing w:line="360" w:lineRule="auto"/>
              <w:jc w:val="left"/>
              <w:rPr>
                <w:rStyle w:val="123"/>
                <w:rFonts w:hint="default"/>
                <w:color w:val="auto"/>
                <w:sz w:val="21"/>
                <w:szCs w:val="21"/>
              </w:rPr>
            </w:pPr>
            <w:r>
              <w:rPr>
                <w:rStyle w:val="123"/>
                <w:rFonts w:hint="default"/>
                <w:color w:val="auto"/>
                <w:sz w:val="21"/>
                <w:szCs w:val="21"/>
              </w:rPr>
              <w:t>5.功放类型：低频50w高频50w；</w:t>
            </w:r>
          </w:p>
          <w:p w14:paraId="7CD72BE3">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6.接口类型：1*XLR模拟输入；</w:t>
            </w:r>
          </w:p>
        </w:tc>
      </w:tr>
      <w:tr w14:paraId="73459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EDD1E6F">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29</w:t>
            </w:r>
          </w:p>
        </w:tc>
        <w:tc>
          <w:tcPr>
            <w:tcW w:w="850" w:type="dxa"/>
            <w:vAlign w:val="center"/>
          </w:tcPr>
          <w:p w14:paraId="10481917">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监听耳机</w:t>
            </w:r>
          </w:p>
        </w:tc>
        <w:tc>
          <w:tcPr>
            <w:tcW w:w="851" w:type="dxa"/>
            <w:vAlign w:val="center"/>
          </w:tcPr>
          <w:p w14:paraId="3288D9F7">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5</w:t>
            </w:r>
          </w:p>
        </w:tc>
        <w:tc>
          <w:tcPr>
            <w:tcW w:w="708" w:type="dxa"/>
            <w:vAlign w:val="center"/>
          </w:tcPr>
          <w:p w14:paraId="753D6A68">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只</w:t>
            </w:r>
          </w:p>
        </w:tc>
        <w:tc>
          <w:tcPr>
            <w:tcW w:w="6928" w:type="dxa"/>
            <w:gridSpan w:val="3"/>
            <w:vAlign w:val="center"/>
          </w:tcPr>
          <w:p w14:paraId="7E390CB7">
            <w:pPr>
              <w:widowControl/>
              <w:spacing w:line="360" w:lineRule="auto"/>
              <w:jc w:val="left"/>
              <w:rPr>
                <w:rStyle w:val="123"/>
                <w:rFonts w:hint="default"/>
                <w:color w:val="auto"/>
                <w:sz w:val="21"/>
                <w:szCs w:val="21"/>
              </w:rPr>
            </w:pPr>
            <w:r>
              <w:rPr>
                <w:rStyle w:val="123"/>
                <w:rFonts w:hint="default"/>
                <w:color w:val="auto"/>
                <w:sz w:val="21"/>
                <w:szCs w:val="21"/>
              </w:rPr>
              <w:t>1.佩戴方式：头戴式；</w:t>
            </w:r>
          </w:p>
          <w:p w14:paraId="2BA58F1E">
            <w:pPr>
              <w:widowControl/>
              <w:spacing w:line="360" w:lineRule="auto"/>
              <w:jc w:val="left"/>
              <w:rPr>
                <w:rStyle w:val="123"/>
                <w:rFonts w:hint="default"/>
                <w:color w:val="auto"/>
                <w:sz w:val="21"/>
                <w:szCs w:val="21"/>
              </w:rPr>
            </w:pPr>
            <w:r>
              <w:rPr>
                <w:rStyle w:val="123"/>
                <w:rFonts w:hint="default"/>
                <w:color w:val="auto"/>
                <w:sz w:val="21"/>
                <w:szCs w:val="21"/>
              </w:rPr>
              <w:t>2.换能原理：动圈开放式；</w:t>
            </w:r>
          </w:p>
          <w:p w14:paraId="57B054E9">
            <w:pPr>
              <w:widowControl/>
              <w:spacing w:line="360" w:lineRule="auto"/>
              <w:jc w:val="left"/>
              <w:rPr>
                <w:rStyle w:val="123"/>
                <w:rFonts w:hint="default"/>
                <w:color w:val="auto"/>
                <w:sz w:val="21"/>
                <w:szCs w:val="21"/>
              </w:rPr>
            </w:pPr>
            <w:r>
              <w:rPr>
                <w:rStyle w:val="123"/>
                <w:rFonts w:hint="default"/>
                <w:color w:val="auto"/>
                <w:sz w:val="21"/>
                <w:szCs w:val="21"/>
              </w:rPr>
              <w:t>3.颜色：黑色；</w:t>
            </w:r>
          </w:p>
          <w:p w14:paraId="21B6AF89">
            <w:pPr>
              <w:widowControl/>
              <w:spacing w:line="360" w:lineRule="auto"/>
              <w:jc w:val="left"/>
              <w:rPr>
                <w:rStyle w:val="123"/>
                <w:rFonts w:hint="default"/>
                <w:color w:val="auto"/>
                <w:sz w:val="21"/>
                <w:szCs w:val="21"/>
              </w:rPr>
            </w:pPr>
            <w:r>
              <w:rPr>
                <w:rStyle w:val="123"/>
                <w:rFonts w:hint="default"/>
                <w:color w:val="auto"/>
                <w:sz w:val="21"/>
                <w:szCs w:val="21"/>
              </w:rPr>
              <w:t>4.频率响应：6Hz到38 KHZ；</w:t>
            </w:r>
          </w:p>
          <w:p w14:paraId="7037170F">
            <w:pPr>
              <w:widowControl/>
              <w:spacing w:line="360" w:lineRule="auto"/>
              <w:jc w:val="left"/>
              <w:rPr>
                <w:rStyle w:val="123"/>
                <w:rFonts w:hint="default"/>
                <w:color w:val="auto"/>
                <w:sz w:val="21"/>
                <w:szCs w:val="21"/>
              </w:rPr>
            </w:pPr>
            <w:r>
              <w:rPr>
                <w:rStyle w:val="123"/>
                <w:rFonts w:hint="default"/>
                <w:color w:val="auto"/>
                <w:sz w:val="21"/>
                <w:szCs w:val="21"/>
              </w:rPr>
              <w:t>5.高噪声抑制能力：-32dB；</w:t>
            </w:r>
          </w:p>
          <w:p w14:paraId="4C778C78">
            <w:pPr>
              <w:widowControl/>
              <w:spacing w:line="360" w:lineRule="auto"/>
              <w:jc w:val="left"/>
              <w:rPr>
                <w:rStyle w:val="123"/>
                <w:rFonts w:hint="default"/>
                <w:color w:val="auto"/>
                <w:sz w:val="21"/>
                <w:szCs w:val="21"/>
              </w:rPr>
            </w:pPr>
            <w:r>
              <w:rPr>
                <w:rStyle w:val="123"/>
                <w:rFonts w:hint="default"/>
                <w:color w:val="auto"/>
                <w:sz w:val="21"/>
                <w:szCs w:val="21"/>
              </w:rPr>
              <w:t>6.插头：3.5/6.3mm立体声；</w:t>
            </w:r>
          </w:p>
          <w:p w14:paraId="468FCB11">
            <w:pPr>
              <w:widowControl/>
              <w:spacing w:line="360" w:lineRule="auto"/>
              <w:jc w:val="left"/>
              <w:rPr>
                <w:rStyle w:val="123"/>
                <w:rFonts w:hint="default"/>
                <w:color w:val="auto"/>
                <w:sz w:val="21"/>
                <w:szCs w:val="21"/>
              </w:rPr>
            </w:pPr>
            <w:r>
              <w:rPr>
                <w:rStyle w:val="123"/>
                <w:rFonts w:hint="default"/>
                <w:color w:val="auto"/>
                <w:sz w:val="21"/>
                <w:szCs w:val="21"/>
              </w:rPr>
              <w:t>7.声压级：110 dB；</w:t>
            </w:r>
          </w:p>
          <w:p w14:paraId="3B4FEFCA">
            <w:pPr>
              <w:widowControl/>
              <w:spacing w:line="360" w:lineRule="auto"/>
              <w:jc w:val="left"/>
              <w:rPr>
                <w:rStyle w:val="123"/>
                <w:rFonts w:hint="default"/>
                <w:color w:val="auto"/>
                <w:sz w:val="21"/>
                <w:szCs w:val="21"/>
              </w:rPr>
            </w:pPr>
            <w:r>
              <w:rPr>
                <w:rStyle w:val="123"/>
                <w:rFonts w:hint="default"/>
                <w:color w:val="auto"/>
                <w:sz w:val="21"/>
                <w:szCs w:val="21"/>
              </w:rPr>
              <w:t>8.标称阻抗：120Q；</w:t>
            </w:r>
          </w:p>
          <w:p w14:paraId="7D09ED9B">
            <w:pPr>
              <w:widowControl/>
              <w:spacing w:line="360" w:lineRule="auto"/>
              <w:jc w:val="left"/>
              <w:rPr>
                <w:rStyle w:val="123"/>
                <w:rFonts w:hint="default"/>
                <w:color w:val="auto"/>
                <w:sz w:val="21"/>
                <w:szCs w:val="21"/>
              </w:rPr>
            </w:pPr>
            <w:r>
              <w:rPr>
                <w:rStyle w:val="123"/>
                <w:rFonts w:hint="default"/>
                <w:color w:val="auto"/>
                <w:sz w:val="21"/>
                <w:szCs w:val="21"/>
              </w:rPr>
              <w:t>9.总谐波失真：0.05%；</w:t>
            </w:r>
          </w:p>
          <w:p w14:paraId="54620E83">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10.重量(无线缆)：约240g；</w:t>
            </w:r>
          </w:p>
        </w:tc>
      </w:tr>
      <w:tr w14:paraId="413F8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0E4376E">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30</w:t>
            </w:r>
          </w:p>
        </w:tc>
        <w:tc>
          <w:tcPr>
            <w:tcW w:w="850" w:type="dxa"/>
            <w:vAlign w:val="center"/>
          </w:tcPr>
          <w:p w14:paraId="537EB8F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视频制作工作站</w:t>
            </w:r>
          </w:p>
        </w:tc>
        <w:tc>
          <w:tcPr>
            <w:tcW w:w="851" w:type="dxa"/>
            <w:vAlign w:val="center"/>
          </w:tcPr>
          <w:p w14:paraId="317CFC76">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124EBA1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台</w:t>
            </w:r>
          </w:p>
        </w:tc>
        <w:tc>
          <w:tcPr>
            <w:tcW w:w="6928" w:type="dxa"/>
            <w:gridSpan w:val="3"/>
            <w:vAlign w:val="center"/>
          </w:tcPr>
          <w:p w14:paraId="4440E655">
            <w:pPr>
              <w:widowControl/>
              <w:spacing w:line="360" w:lineRule="auto"/>
              <w:jc w:val="left"/>
              <w:rPr>
                <w:rStyle w:val="123"/>
                <w:rFonts w:hint="default"/>
                <w:color w:val="auto"/>
                <w:sz w:val="21"/>
                <w:szCs w:val="21"/>
              </w:rPr>
            </w:pPr>
            <w:r>
              <w:rPr>
                <w:rStyle w:val="123"/>
                <w:rFonts w:hint="default"/>
                <w:color w:val="auto"/>
                <w:sz w:val="21"/>
                <w:szCs w:val="21"/>
              </w:rPr>
              <w:t>一、硬件要求：</w:t>
            </w:r>
          </w:p>
          <w:p w14:paraId="20C564B3">
            <w:pPr>
              <w:widowControl/>
              <w:spacing w:line="360" w:lineRule="auto"/>
              <w:jc w:val="left"/>
              <w:rPr>
                <w:rStyle w:val="123"/>
                <w:rFonts w:hint="default"/>
                <w:color w:val="auto"/>
                <w:sz w:val="21"/>
                <w:szCs w:val="21"/>
              </w:rPr>
            </w:pPr>
            <w:r>
              <w:rPr>
                <w:rStyle w:val="123"/>
                <w:rFonts w:hint="default"/>
                <w:color w:val="auto"/>
                <w:sz w:val="21"/>
                <w:szCs w:val="21"/>
              </w:rPr>
              <w:t>▲1.处理器：不低于AMD 线程撕裂者PRO（Threadripper PRO）7955WX CPU (基频：4.50 GHz，睿频5.30GHz，16核32线程，全大核CPU，64 MB三级缓存，350W)；</w:t>
            </w:r>
          </w:p>
          <w:p w14:paraId="17328604">
            <w:pPr>
              <w:widowControl/>
              <w:spacing w:line="360" w:lineRule="auto"/>
              <w:jc w:val="left"/>
              <w:rPr>
                <w:rStyle w:val="123"/>
                <w:rFonts w:hint="default"/>
                <w:color w:val="auto"/>
                <w:sz w:val="21"/>
                <w:szCs w:val="21"/>
              </w:rPr>
            </w:pPr>
            <w:r>
              <w:rPr>
                <w:rStyle w:val="123"/>
                <w:rFonts w:hint="default"/>
                <w:color w:val="auto"/>
                <w:sz w:val="21"/>
                <w:szCs w:val="21"/>
              </w:rPr>
              <w:t>2.主板芯片组：不低于AMD WRX90大主板，8个内存槽；</w:t>
            </w:r>
          </w:p>
          <w:p w14:paraId="5FA6A323">
            <w:pPr>
              <w:widowControl/>
              <w:spacing w:line="360" w:lineRule="auto"/>
              <w:jc w:val="left"/>
              <w:rPr>
                <w:rStyle w:val="123"/>
                <w:rFonts w:hint="default"/>
                <w:color w:val="auto"/>
                <w:sz w:val="21"/>
                <w:szCs w:val="21"/>
              </w:rPr>
            </w:pPr>
            <w:r>
              <w:rPr>
                <w:rStyle w:val="123"/>
                <w:rFonts w:hint="default"/>
                <w:color w:val="auto"/>
                <w:sz w:val="21"/>
                <w:szCs w:val="21"/>
              </w:rPr>
              <w:t>▲3.内存：≥128G（2*64G）DDR5 ECC RDIMM；</w:t>
            </w:r>
          </w:p>
          <w:p w14:paraId="6C6C440D">
            <w:pPr>
              <w:widowControl/>
              <w:spacing w:line="360" w:lineRule="auto"/>
              <w:jc w:val="left"/>
              <w:rPr>
                <w:rStyle w:val="123"/>
                <w:rFonts w:hint="default"/>
                <w:color w:val="auto"/>
                <w:sz w:val="21"/>
                <w:szCs w:val="21"/>
              </w:rPr>
            </w:pPr>
            <w:r>
              <w:rPr>
                <w:rStyle w:val="123"/>
                <w:rFonts w:hint="default"/>
                <w:color w:val="auto"/>
                <w:sz w:val="21"/>
                <w:szCs w:val="21"/>
              </w:rPr>
              <w:t>4.硬盘：≥M.2 4TB SSD PCIE4.0固态；</w:t>
            </w:r>
          </w:p>
          <w:p w14:paraId="1D5B1A5D">
            <w:pPr>
              <w:widowControl/>
              <w:spacing w:line="360" w:lineRule="auto"/>
              <w:jc w:val="left"/>
              <w:rPr>
                <w:rStyle w:val="123"/>
                <w:rFonts w:hint="default"/>
                <w:color w:val="auto"/>
                <w:sz w:val="21"/>
                <w:szCs w:val="21"/>
              </w:rPr>
            </w:pPr>
            <w:r>
              <w:rPr>
                <w:rStyle w:val="123"/>
                <w:rFonts w:hint="default"/>
                <w:color w:val="auto"/>
                <w:sz w:val="21"/>
                <w:szCs w:val="21"/>
              </w:rPr>
              <w:t>5.硬盘位：支持扩展4块3.5寸机械盘；</w:t>
            </w:r>
          </w:p>
          <w:p w14:paraId="467F87DE">
            <w:pPr>
              <w:widowControl/>
              <w:spacing w:line="360" w:lineRule="auto"/>
              <w:jc w:val="left"/>
              <w:rPr>
                <w:rStyle w:val="123"/>
                <w:rFonts w:hint="default"/>
                <w:color w:val="auto"/>
                <w:sz w:val="21"/>
                <w:szCs w:val="21"/>
              </w:rPr>
            </w:pPr>
            <w:r>
              <w:rPr>
                <w:rStyle w:val="123"/>
                <w:rFonts w:hint="default"/>
                <w:color w:val="auto"/>
                <w:sz w:val="21"/>
                <w:szCs w:val="21"/>
              </w:rPr>
              <w:t xml:space="preserve">6.阵列功能：有，支持RAID 0/1/10/5； </w:t>
            </w:r>
          </w:p>
          <w:p w14:paraId="076B3C85">
            <w:pPr>
              <w:widowControl/>
              <w:spacing w:line="360" w:lineRule="auto"/>
              <w:jc w:val="left"/>
              <w:rPr>
                <w:rStyle w:val="123"/>
                <w:rFonts w:hint="default"/>
                <w:color w:val="auto"/>
                <w:sz w:val="21"/>
                <w:szCs w:val="21"/>
              </w:rPr>
            </w:pPr>
            <w:r>
              <w:rPr>
                <w:rStyle w:val="123"/>
                <w:rFonts w:hint="default"/>
                <w:color w:val="auto"/>
                <w:sz w:val="21"/>
                <w:szCs w:val="21"/>
              </w:rPr>
              <w:t>7.显卡：不低于Nvidia RTX5080 24G；</w:t>
            </w:r>
          </w:p>
          <w:p w14:paraId="1E94CF36">
            <w:pPr>
              <w:widowControl/>
              <w:spacing w:line="360" w:lineRule="auto"/>
              <w:jc w:val="left"/>
              <w:rPr>
                <w:rStyle w:val="123"/>
                <w:rFonts w:hint="default"/>
                <w:color w:val="auto"/>
                <w:sz w:val="21"/>
                <w:szCs w:val="21"/>
              </w:rPr>
            </w:pPr>
            <w:r>
              <w:rPr>
                <w:rStyle w:val="123"/>
                <w:rFonts w:hint="default"/>
                <w:color w:val="auto"/>
                <w:sz w:val="21"/>
                <w:szCs w:val="21"/>
              </w:rPr>
              <w:t>8.显示器：不低于27寸4K显示器，色域99%；</w:t>
            </w:r>
          </w:p>
          <w:p w14:paraId="3AB8F37A">
            <w:pPr>
              <w:widowControl/>
              <w:spacing w:line="360" w:lineRule="auto"/>
              <w:jc w:val="left"/>
              <w:rPr>
                <w:rStyle w:val="123"/>
                <w:rFonts w:hint="default"/>
                <w:color w:val="auto"/>
                <w:sz w:val="21"/>
                <w:szCs w:val="21"/>
              </w:rPr>
            </w:pPr>
            <w:r>
              <w:rPr>
                <w:rStyle w:val="123"/>
                <w:rFonts w:hint="default"/>
                <w:color w:val="auto"/>
                <w:sz w:val="21"/>
                <w:szCs w:val="21"/>
              </w:rPr>
              <w:t>9.前置端口：≥2个USB3.2，≥2个USB-C，≥1个读卡器，1个音频口；</w:t>
            </w:r>
          </w:p>
          <w:p w14:paraId="76D3B78D">
            <w:pPr>
              <w:widowControl/>
              <w:spacing w:line="360" w:lineRule="auto"/>
              <w:jc w:val="left"/>
              <w:rPr>
                <w:rStyle w:val="123"/>
                <w:rFonts w:hint="default"/>
                <w:color w:val="auto"/>
                <w:sz w:val="21"/>
                <w:szCs w:val="21"/>
              </w:rPr>
            </w:pPr>
            <w:r>
              <w:rPr>
                <w:rStyle w:val="123"/>
                <w:rFonts w:hint="default"/>
                <w:color w:val="auto"/>
                <w:sz w:val="21"/>
                <w:szCs w:val="21"/>
              </w:rPr>
              <w:t>10.后置端口：≥3个USB Tyepe-C 3.2G口，≥3个USB-A 3.2G，≥1个万兆+1个千兆网口；1个音频口；</w:t>
            </w:r>
          </w:p>
          <w:p w14:paraId="7CD652AB">
            <w:pPr>
              <w:widowControl/>
              <w:spacing w:line="360" w:lineRule="auto"/>
              <w:jc w:val="left"/>
              <w:rPr>
                <w:rStyle w:val="123"/>
                <w:rFonts w:hint="default"/>
                <w:color w:val="auto"/>
                <w:sz w:val="21"/>
                <w:szCs w:val="21"/>
              </w:rPr>
            </w:pPr>
            <w:r>
              <w:rPr>
                <w:rStyle w:val="123"/>
                <w:rFonts w:hint="default"/>
                <w:color w:val="auto"/>
                <w:sz w:val="21"/>
                <w:szCs w:val="21"/>
              </w:rPr>
              <w:t>11.扩展槽：PCIe 5.0插槽；</w:t>
            </w:r>
          </w:p>
          <w:p w14:paraId="5A8CD95C">
            <w:pPr>
              <w:widowControl/>
              <w:spacing w:line="360" w:lineRule="auto"/>
              <w:jc w:val="left"/>
              <w:rPr>
                <w:rStyle w:val="123"/>
                <w:rFonts w:hint="default"/>
                <w:color w:val="auto"/>
                <w:sz w:val="21"/>
                <w:szCs w:val="21"/>
              </w:rPr>
            </w:pPr>
            <w:r>
              <w:rPr>
                <w:rStyle w:val="123"/>
                <w:rFonts w:hint="default"/>
                <w:color w:val="auto"/>
                <w:sz w:val="21"/>
                <w:szCs w:val="21"/>
              </w:rPr>
              <w:t>12.电源：≥1350W 80PLUS认证电源；</w:t>
            </w:r>
          </w:p>
          <w:p w14:paraId="66659D63">
            <w:pPr>
              <w:widowControl/>
              <w:spacing w:line="360" w:lineRule="auto"/>
              <w:jc w:val="left"/>
              <w:rPr>
                <w:rStyle w:val="123"/>
                <w:rFonts w:hint="default"/>
                <w:color w:val="auto"/>
                <w:sz w:val="21"/>
                <w:szCs w:val="21"/>
              </w:rPr>
            </w:pPr>
            <w:r>
              <w:rPr>
                <w:rStyle w:val="123"/>
                <w:rFonts w:hint="default"/>
                <w:color w:val="auto"/>
                <w:sz w:val="21"/>
                <w:szCs w:val="21"/>
              </w:rPr>
              <w:t>13.机箱：33升大机箱，塔式，内置专用散热设计；</w:t>
            </w:r>
          </w:p>
          <w:p w14:paraId="75F91496">
            <w:pPr>
              <w:widowControl/>
              <w:spacing w:line="360" w:lineRule="auto"/>
              <w:jc w:val="left"/>
              <w:rPr>
                <w:rStyle w:val="123"/>
                <w:rFonts w:hint="default"/>
                <w:color w:val="auto"/>
                <w:sz w:val="21"/>
                <w:szCs w:val="21"/>
              </w:rPr>
            </w:pPr>
            <w:r>
              <w:rPr>
                <w:rStyle w:val="123"/>
                <w:rFonts w:hint="default"/>
                <w:color w:val="auto"/>
                <w:sz w:val="21"/>
                <w:szCs w:val="21"/>
              </w:rPr>
              <w:t>二、安全配置要求:</w:t>
            </w:r>
          </w:p>
          <w:p w14:paraId="59F4BAF8">
            <w:pPr>
              <w:widowControl/>
              <w:spacing w:line="360" w:lineRule="auto"/>
              <w:jc w:val="left"/>
              <w:rPr>
                <w:rStyle w:val="123"/>
                <w:rFonts w:hint="default"/>
                <w:color w:val="auto"/>
                <w:sz w:val="21"/>
                <w:szCs w:val="21"/>
              </w:rPr>
            </w:pPr>
            <w:r>
              <w:rPr>
                <w:rStyle w:val="123"/>
                <w:rFonts w:hint="default"/>
                <w:color w:val="auto"/>
                <w:sz w:val="21"/>
                <w:szCs w:val="21"/>
              </w:rPr>
              <w:t>1.软件形式交付，包含控制中心和客户端软件。控制中心能够实现对客户端的集中管理，包括终端统一部署、策略配置、任务分发、集中监控、日志报表等功能；支持根据客户端点数的增加进行横向扩展；具备防病毒、补丁管理、主机防火墙、终端管控等功能。</w:t>
            </w:r>
          </w:p>
          <w:p w14:paraId="0FABF5D4">
            <w:pPr>
              <w:widowControl/>
              <w:spacing w:line="360" w:lineRule="auto"/>
              <w:jc w:val="left"/>
              <w:rPr>
                <w:rStyle w:val="123"/>
                <w:rFonts w:hint="default"/>
                <w:color w:val="auto"/>
                <w:sz w:val="21"/>
                <w:szCs w:val="21"/>
              </w:rPr>
            </w:pPr>
            <w:r>
              <w:rPr>
                <w:rStyle w:val="123"/>
                <w:rFonts w:hint="default"/>
                <w:color w:val="auto"/>
                <w:sz w:val="21"/>
                <w:szCs w:val="21"/>
              </w:rPr>
              <w:t>2.支持终端用户和管理员是一套账号管理系统，简化账号管理复杂度，一个账号解决所有身份认证，既可以用于终端登录，也可以用于管理管理中心。</w:t>
            </w:r>
          </w:p>
          <w:p w14:paraId="54D736BD">
            <w:pPr>
              <w:widowControl/>
              <w:spacing w:line="360" w:lineRule="auto"/>
              <w:jc w:val="left"/>
              <w:rPr>
                <w:rStyle w:val="123"/>
                <w:rFonts w:hint="default"/>
                <w:color w:val="auto"/>
                <w:sz w:val="21"/>
                <w:szCs w:val="21"/>
              </w:rPr>
            </w:pPr>
            <w:r>
              <w:rPr>
                <w:rStyle w:val="123"/>
                <w:rFonts w:hint="default"/>
                <w:color w:val="auto"/>
                <w:sz w:val="21"/>
                <w:szCs w:val="21"/>
              </w:rPr>
              <w:t>▲3.管理控制中心当登录账号输入密码错误次数超过锁定阈值后账号将被锁定，且可设置锁定时间，该时间内账号登录请求不被接受。同时应支持双因子认证登录方式，提高安全性。</w:t>
            </w:r>
            <w:r>
              <w:rPr>
                <w:rStyle w:val="123"/>
                <w:rFonts w:hint="default"/>
                <w:b/>
                <w:bCs/>
                <w:color w:val="auto"/>
                <w:sz w:val="21"/>
                <w:szCs w:val="21"/>
              </w:rPr>
              <w:t>（投标文件中提供功能截图证明并加盖投标人公章）</w:t>
            </w:r>
          </w:p>
          <w:p w14:paraId="68D732EE">
            <w:pPr>
              <w:widowControl/>
              <w:spacing w:line="360" w:lineRule="auto"/>
              <w:jc w:val="left"/>
              <w:rPr>
                <w:rStyle w:val="123"/>
                <w:rFonts w:hint="default"/>
                <w:color w:val="auto"/>
                <w:sz w:val="21"/>
                <w:szCs w:val="21"/>
              </w:rPr>
            </w:pPr>
            <w:r>
              <w:rPr>
                <w:rStyle w:val="123"/>
                <w:rFonts w:hint="default"/>
                <w:color w:val="auto"/>
                <w:sz w:val="21"/>
                <w:szCs w:val="21"/>
              </w:rPr>
              <w:t>▲4.支持对压缩包内的病毒扫描，支持多层压缩包的扫描，可自定义配置压缩包的扫描层数，至少10层模式下的扫描。</w:t>
            </w:r>
            <w:r>
              <w:rPr>
                <w:rStyle w:val="123"/>
                <w:rFonts w:hint="default"/>
                <w:b/>
                <w:bCs/>
                <w:color w:val="auto"/>
                <w:sz w:val="21"/>
                <w:szCs w:val="21"/>
              </w:rPr>
              <w:t>（投标文件中提供功能截图证明并加盖投标人公章）</w:t>
            </w:r>
          </w:p>
          <w:p w14:paraId="065B255F">
            <w:pPr>
              <w:widowControl/>
              <w:spacing w:line="360" w:lineRule="auto"/>
              <w:jc w:val="left"/>
              <w:rPr>
                <w:rStyle w:val="123"/>
                <w:rFonts w:hint="default"/>
                <w:color w:val="auto"/>
                <w:sz w:val="21"/>
                <w:szCs w:val="21"/>
              </w:rPr>
            </w:pPr>
            <w:r>
              <w:rPr>
                <w:rStyle w:val="123"/>
                <w:rFonts w:hint="default"/>
                <w:color w:val="auto"/>
                <w:sz w:val="21"/>
                <w:szCs w:val="21"/>
              </w:rPr>
              <w:t>5.支持对终端当扫描到感染型病毒、顽固木马时，自动进入深度查模式，可设置禁止终端用户管理路径或文件白名单、禁止终端用户管理扩展名白名单、扫描时不允许终端用户暂停或停止扫描任务。</w:t>
            </w:r>
          </w:p>
          <w:p w14:paraId="580F640E">
            <w:pPr>
              <w:widowControl/>
              <w:spacing w:line="360" w:lineRule="auto"/>
              <w:jc w:val="left"/>
              <w:rPr>
                <w:rStyle w:val="123"/>
                <w:rFonts w:hint="default"/>
                <w:color w:val="auto"/>
                <w:sz w:val="21"/>
                <w:szCs w:val="21"/>
              </w:rPr>
            </w:pPr>
            <w:r>
              <w:rPr>
                <w:rStyle w:val="123"/>
                <w:rFonts w:hint="default"/>
                <w:color w:val="auto"/>
                <w:sz w:val="21"/>
                <w:szCs w:val="21"/>
              </w:rPr>
              <w:t>▲6.支持预先设置好补丁灰度发布批次漏洞修复策略，每当控制台更新补丁库，根据企业环境自动先推送给第一个小批次分组，如无问题自动推送给下一个批次，直到推送给全网。</w:t>
            </w:r>
            <w:r>
              <w:rPr>
                <w:rStyle w:val="123"/>
                <w:rFonts w:hint="default"/>
                <w:b/>
                <w:bCs/>
                <w:color w:val="auto"/>
                <w:sz w:val="21"/>
                <w:szCs w:val="21"/>
              </w:rPr>
              <w:t>（投标文件中提供功能截图证明并加盖投标人公章）</w:t>
            </w:r>
          </w:p>
          <w:p w14:paraId="25CE7334">
            <w:pPr>
              <w:widowControl/>
              <w:spacing w:line="360" w:lineRule="auto"/>
              <w:jc w:val="left"/>
              <w:rPr>
                <w:rStyle w:val="123"/>
                <w:rFonts w:hint="default"/>
                <w:color w:val="auto"/>
                <w:sz w:val="21"/>
                <w:szCs w:val="21"/>
              </w:rPr>
            </w:pPr>
            <w:r>
              <w:rPr>
                <w:rStyle w:val="123"/>
                <w:rFonts w:hint="default"/>
                <w:color w:val="auto"/>
                <w:sz w:val="21"/>
                <w:szCs w:val="21"/>
              </w:rPr>
              <w:t>7.支持主机防火墙功能，通过添加IP、域名规则、支持允许/拒绝规则、支持任意流向拦截和允许，支持TCP、UDP、TCP+UDP、ICMP、多播和组播，支持自定义端口范围、支持自定义目标IP，支持输入IP范围。</w:t>
            </w:r>
          </w:p>
          <w:p w14:paraId="7DA5037E">
            <w:pPr>
              <w:widowControl/>
              <w:spacing w:line="360" w:lineRule="auto"/>
              <w:jc w:val="left"/>
              <w:rPr>
                <w:rStyle w:val="123"/>
                <w:rFonts w:hint="default"/>
                <w:color w:val="auto"/>
                <w:sz w:val="21"/>
                <w:szCs w:val="21"/>
              </w:rPr>
            </w:pPr>
            <w:r>
              <w:rPr>
                <w:rStyle w:val="123"/>
                <w:rFonts w:hint="default"/>
                <w:color w:val="auto"/>
                <w:sz w:val="21"/>
                <w:szCs w:val="21"/>
              </w:rPr>
              <w:t>▲8.支持对外设进行多维度的放行，包括设备名称、PID/VID、实例路径，通过添加实现例外或加黑。</w:t>
            </w:r>
            <w:r>
              <w:rPr>
                <w:rStyle w:val="123"/>
                <w:rFonts w:hint="default"/>
                <w:b/>
                <w:bCs/>
                <w:color w:val="auto"/>
                <w:sz w:val="21"/>
                <w:szCs w:val="21"/>
              </w:rPr>
              <w:t>（投标文件中提供功能截图证明并加盖投标人公章）</w:t>
            </w:r>
          </w:p>
          <w:p w14:paraId="0656CD2F">
            <w:pPr>
              <w:widowControl/>
              <w:spacing w:line="360" w:lineRule="auto"/>
              <w:jc w:val="left"/>
              <w:rPr>
                <w:rStyle w:val="123"/>
                <w:rFonts w:hint="default"/>
                <w:color w:val="auto"/>
                <w:sz w:val="21"/>
                <w:szCs w:val="21"/>
              </w:rPr>
            </w:pPr>
            <w:r>
              <w:rPr>
                <w:rStyle w:val="123"/>
                <w:rFonts w:hint="default"/>
                <w:color w:val="auto"/>
                <w:sz w:val="21"/>
                <w:szCs w:val="21"/>
              </w:rPr>
              <w:t>9.支持对网卡进行防护，支持阻止终端修改IP地址、使用动态IP地址、热点创建和IPV6地址使用等，可自定义提示内容和生效时间。</w:t>
            </w:r>
          </w:p>
          <w:p w14:paraId="68D4F76D">
            <w:pPr>
              <w:widowControl/>
              <w:spacing w:line="360" w:lineRule="auto"/>
              <w:jc w:val="left"/>
              <w:rPr>
                <w:rStyle w:val="123"/>
                <w:rFonts w:hint="default"/>
                <w:color w:val="auto"/>
                <w:sz w:val="21"/>
                <w:szCs w:val="21"/>
              </w:rPr>
            </w:pPr>
            <w:r>
              <w:rPr>
                <w:rStyle w:val="123"/>
                <w:rFonts w:hint="default"/>
                <w:color w:val="auto"/>
                <w:sz w:val="21"/>
                <w:szCs w:val="21"/>
              </w:rPr>
              <w:t>三、同屏传输要求</w:t>
            </w:r>
          </w:p>
          <w:p w14:paraId="1FCB509C">
            <w:pPr>
              <w:widowControl/>
              <w:spacing w:line="360" w:lineRule="auto"/>
              <w:jc w:val="left"/>
              <w:rPr>
                <w:rStyle w:val="123"/>
                <w:rFonts w:hint="default"/>
                <w:color w:val="auto"/>
                <w:sz w:val="21"/>
                <w:szCs w:val="21"/>
              </w:rPr>
            </w:pPr>
            <w:r>
              <w:rPr>
                <w:rStyle w:val="123"/>
                <w:rFonts w:hint="default"/>
                <w:color w:val="auto"/>
                <w:sz w:val="21"/>
                <w:szCs w:val="21"/>
              </w:rPr>
              <w:t>1.支持IPV4、IPV6网络环境下安装和正常使用，支持windows 7 32位/64位，windows10 64位、windows11 64位操作系统；</w:t>
            </w:r>
          </w:p>
          <w:p w14:paraId="5B3587CC">
            <w:pPr>
              <w:widowControl/>
              <w:spacing w:line="360" w:lineRule="auto"/>
              <w:jc w:val="left"/>
              <w:rPr>
                <w:rStyle w:val="123"/>
                <w:rFonts w:hint="default"/>
                <w:color w:val="auto"/>
                <w:sz w:val="21"/>
                <w:szCs w:val="21"/>
              </w:rPr>
            </w:pPr>
            <w:r>
              <w:rPr>
                <w:rStyle w:val="123"/>
                <w:rFonts w:hint="default"/>
                <w:color w:val="auto"/>
                <w:sz w:val="21"/>
                <w:szCs w:val="21"/>
              </w:rPr>
              <w:t>2.教师自带笔记本可通过mac绑定和ip绑定两种方式快速连接服务器和学生端，实现多媒体互动教学；</w:t>
            </w:r>
          </w:p>
          <w:p w14:paraId="12D081E6">
            <w:pPr>
              <w:widowControl/>
              <w:spacing w:line="360" w:lineRule="auto"/>
              <w:jc w:val="left"/>
              <w:rPr>
                <w:rStyle w:val="123"/>
                <w:rFonts w:hint="default"/>
                <w:color w:val="auto"/>
                <w:sz w:val="21"/>
                <w:szCs w:val="21"/>
              </w:rPr>
            </w:pPr>
            <w:r>
              <w:rPr>
                <w:rStyle w:val="123"/>
                <w:rFonts w:hint="default"/>
                <w:color w:val="auto"/>
                <w:sz w:val="21"/>
                <w:szCs w:val="21"/>
              </w:rPr>
              <w:t>3.支持班级管理，可将频道和班级进行绑定，用于不同的教室登录不同的频道进行上课；支持对学生视图自定义命令和排序，便于学生未点名时，通过座位信息快速找到学生；</w:t>
            </w:r>
          </w:p>
          <w:p w14:paraId="22DD6642">
            <w:pPr>
              <w:widowControl/>
              <w:spacing w:line="360" w:lineRule="auto"/>
              <w:jc w:val="left"/>
              <w:rPr>
                <w:rStyle w:val="123"/>
                <w:rFonts w:hint="default"/>
                <w:color w:val="auto"/>
                <w:sz w:val="21"/>
                <w:szCs w:val="21"/>
              </w:rPr>
            </w:pPr>
            <w:r>
              <w:rPr>
                <w:rStyle w:val="123"/>
                <w:rFonts w:hint="default"/>
                <w:color w:val="auto"/>
                <w:sz w:val="21"/>
                <w:szCs w:val="21"/>
              </w:rPr>
              <w:t>4.支持屏幕广播功能，能够实现两种接收模式，包括学生全屏/窗口模式接收教师机广播的画面，全屏状态锁定学生鼠标和键盘；</w:t>
            </w:r>
          </w:p>
          <w:p w14:paraId="5E46984D">
            <w:pPr>
              <w:widowControl/>
              <w:spacing w:line="360" w:lineRule="auto"/>
              <w:jc w:val="left"/>
              <w:rPr>
                <w:rStyle w:val="123"/>
                <w:rFonts w:hint="default"/>
                <w:color w:val="auto"/>
                <w:sz w:val="21"/>
                <w:szCs w:val="21"/>
              </w:rPr>
            </w:pPr>
            <w:r>
              <w:rPr>
                <w:rStyle w:val="123"/>
                <w:rFonts w:hint="default"/>
                <w:color w:val="auto"/>
                <w:sz w:val="21"/>
                <w:szCs w:val="21"/>
              </w:rPr>
              <w:t>▲5.屏幕广播支持区域广播方式，教师端可选取一块区域广播给学生机；</w:t>
            </w:r>
            <w:r>
              <w:rPr>
                <w:rStyle w:val="123"/>
                <w:rFonts w:hint="default"/>
                <w:b/>
                <w:bCs/>
                <w:color w:val="auto"/>
                <w:sz w:val="21"/>
                <w:szCs w:val="21"/>
              </w:rPr>
              <w:t>（投标时提供第三方检测机构出具的具备CNAS或CMA标识的产品功能测试报告复印件或扫描件，并加盖投标人公章）</w:t>
            </w:r>
            <w:r>
              <w:rPr>
                <w:rStyle w:val="123"/>
                <w:rFonts w:hint="default"/>
                <w:color w:val="auto"/>
                <w:sz w:val="21"/>
                <w:szCs w:val="21"/>
              </w:rPr>
              <w:t xml:space="preserve">  </w:t>
            </w:r>
          </w:p>
          <w:p w14:paraId="4D473F2A">
            <w:pPr>
              <w:widowControl/>
              <w:spacing w:line="360" w:lineRule="auto"/>
              <w:jc w:val="left"/>
              <w:rPr>
                <w:rStyle w:val="123"/>
                <w:rFonts w:hint="default"/>
                <w:color w:val="auto"/>
                <w:sz w:val="21"/>
                <w:szCs w:val="21"/>
              </w:rPr>
            </w:pPr>
            <w:r>
              <w:rPr>
                <w:rStyle w:val="123"/>
                <w:rFonts w:hint="default"/>
                <w:color w:val="auto"/>
                <w:sz w:val="21"/>
                <w:szCs w:val="21"/>
              </w:rPr>
              <w:t>6.屏幕广播状态下，教师可开启语音连麦，学生端可以通过耳机接听教师语音，同时支持屏幕笔功能，教师可通过屏幕笔将屏幕当做画板进行绘制，便于教学互动；</w:t>
            </w:r>
          </w:p>
          <w:p w14:paraId="31F780D4">
            <w:pPr>
              <w:widowControl/>
              <w:spacing w:line="360" w:lineRule="auto"/>
              <w:jc w:val="left"/>
              <w:rPr>
                <w:rStyle w:val="123"/>
                <w:rFonts w:hint="default"/>
                <w:color w:val="auto"/>
                <w:sz w:val="21"/>
                <w:szCs w:val="21"/>
              </w:rPr>
            </w:pPr>
            <w:r>
              <w:rPr>
                <w:rStyle w:val="123"/>
                <w:rFonts w:hint="default"/>
                <w:color w:val="auto"/>
                <w:sz w:val="21"/>
                <w:szCs w:val="21"/>
              </w:rPr>
              <w:t>7.屏幕广播支持弹幕，教师机开启弹幕后，教师机和学生机可发送弹幕信息，便于及时交流、增强教学互动性；屏幕广播支持笔记截屏，教师机开启笔记截屏后，全屏广播时学生机可一键截取屏幕，保存上课重点信息；</w:t>
            </w:r>
          </w:p>
          <w:p w14:paraId="18CF435B">
            <w:pPr>
              <w:widowControl/>
              <w:spacing w:line="360" w:lineRule="auto"/>
              <w:jc w:val="left"/>
              <w:rPr>
                <w:rStyle w:val="123"/>
                <w:rFonts w:hint="default"/>
                <w:color w:val="auto"/>
                <w:sz w:val="21"/>
                <w:szCs w:val="21"/>
              </w:rPr>
            </w:pPr>
            <w:r>
              <w:rPr>
                <w:rStyle w:val="123"/>
                <w:rFonts w:hint="default"/>
                <w:color w:val="auto"/>
                <w:sz w:val="21"/>
                <w:szCs w:val="21"/>
              </w:rPr>
              <w:t>8.支持影音广播，即使在终端未进入桌面的状态，也能够实现全体学生的影音广播，影音广播下支持视频的切换、暂停，并支持点击进度条任意地方以改变视频播放进度；</w:t>
            </w:r>
          </w:p>
          <w:p w14:paraId="6B49A9DA">
            <w:pPr>
              <w:widowControl/>
              <w:spacing w:line="360" w:lineRule="auto"/>
              <w:jc w:val="left"/>
              <w:rPr>
                <w:rStyle w:val="123"/>
                <w:rFonts w:hint="default"/>
                <w:color w:val="auto"/>
                <w:sz w:val="21"/>
                <w:szCs w:val="21"/>
              </w:rPr>
            </w:pPr>
            <w:r>
              <w:rPr>
                <w:rStyle w:val="123"/>
                <w:rFonts w:hint="default"/>
                <w:color w:val="auto"/>
                <w:sz w:val="21"/>
                <w:szCs w:val="21"/>
              </w:rPr>
              <w:t>9.在屏幕广播之后连接上来的终端可直接接收屏幕广播内容，不影响互动学习，</w:t>
            </w:r>
            <w:r>
              <w:rPr>
                <w:rStyle w:val="123"/>
                <w:rFonts w:hint="default"/>
                <w:b/>
                <w:bCs/>
                <w:color w:val="auto"/>
                <w:sz w:val="21"/>
                <w:szCs w:val="21"/>
              </w:rPr>
              <w:t>供货时提供对针对多台电脑/桌面的软件激活方法及激活系统技术的国家主管行政机关认可的技术证明证书复印件并加盖投标人公章</w:t>
            </w:r>
            <w:r>
              <w:rPr>
                <w:rStyle w:val="123"/>
                <w:rFonts w:hint="default"/>
                <w:color w:val="auto"/>
                <w:sz w:val="21"/>
                <w:szCs w:val="21"/>
              </w:rPr>
              <w:t>；</w:t>
            </w:r>
          </w:p>
          <w:p w14:paraId="07CBA6D4">
            <w:pPr>
              <w:widowControl/>
              <w:spacing w:line="360" w:lineRule="auto"/>
              <w:jc w:val="left"/>
              <w:rPr>
                <w:rStyle w:val="123"/>
                <w:rFonts w:hint="default"/>
                <w:color w:val="auto"/>
                <w:sz w:val="21"/>
                <w:szCs w:val="21"/>
              </w:rPr>
            </w:pPr>
            <w:r>
              <w:rPr>
                <w:rStyle w:val="123"/>
                <w:rFonts w:hint="default"/>
                <w:color w:val="auto"/>
                <w:sz w:val="21"/>
                <w:szCs w:val="21"/>
              </w:rPr>
              <w:t>10.教师可选定一个学生操作本机或操作教师机进行教学演示，并将该学生演示的画面广播给每一个学生；被广播的学生将全屏/窗口接收演示学生的画面，全屏状态键盘和鼠标被锁定；</w:t>
            </w:r>
          </w:p>
          <w:p w14:paraId="03C76118">
            <w:pPr>
              <w:widowControl/>
              <w:spacing w:line="360" w:lineRule="auto"/>
              <w:jc w:val="left"/>
              <w:rPr>
                <w:rStyle w:val="123"/>
                <w:rFonts w:hint="default"/>
                <w:color w:val="auto"/>
                <w:sz w:val="21"/>
                <w:szCs w:val="21"/>
              </w:rPr>
            </w:pPr>
            <w:r>
              <w:rPr>
                <w:rStyle w:val="123"/>
                <w:rFonts w:hint="default"/>
                <w:color w:val="auto"/>
                <w:sz w:val="21"/>
                <w:szCs w:val="21"/>
              </w:rPr>
              <w:t>▲11.支持遥控转播，教师端可对单个学生机进行遥控并转播到其它学生机桌面；</w:t>
            </w:r>
            <w:r>
              <w:rPr>
                <w:rStyle w:val="123"/>
                <w:rFonts w:hint="default"/>
                <w:b/>
                <w:bCs/>
                <w:color w:val="auto"/>
                <w:sz w:val="21"/>
                <w:szCs w:val="21"/>
              </w:rPr>
              <w:t>（投标时提供第三方检测机构出具的具备CNAS或CMA标识的产品功能测试报告复印件或扫描件，并加盖投标人公章）</w:t>
            </w:r>
            <w:r>
              <w:rPr>
                <w:rStyle w:val="123"/>
                <w:rFonts w:hint="default"/>
                <w:color w:val="auto"/>
                <w:sz w:val="21"/>
                <w:szCs w:val="21"/>
              </w:rPr>
              <w:t xml:space="preserve">  </w:t>
            </w:r>
          </w:p>
          <w:p w14:paraId="3F852165">
            <w:pPr>
              <w:widowControl/>
              <w:spacing w:line="360" w:lineRule="auto"/>
              <w:jc w:val="left"/>
              <w:rPr>
                <w:rStyle w:val="123"/>
                <w:rFonts w:hint="default"/>
                <w:color w:val="auto"/>
                <w:sz w:val="21"/>
                <w:szCs w:val="21"/>
              </w:rPr>
            </w:pPr>
            <w:r>
              <w:rPr>
                <w:rStyle w:val="123"/>
                <w:rFonts w:hint="default"/>
                <w:color w:val="auto"/>
                <w:sz w:val="21"/>
                <w:szCs w:val="21"/>
              </w:rPr>
              <w:t xml:space="preserve">12.支持遥控监看，教师可实时监看学生端的学生桌面，并可远程遥控学生端桌面，支持单屏控制和全体控制，控制时可锁定学生机；  </w:t>
            </w:r>
          </w:p>
          <w:p w14:paraId="1AE208F2">
            <w:pPr>
              <w:widowControl/>
              <w:spacing w:line="360" w:lineRule="auto"/>
              <w:jc w:val="left"/>
              <w:rPr>
                <w:rStyle w:val="123"/>
                <w:rFonts w:hint="default"/>
                <w:color w:val="auto"/>
                <w:sz w:val="21"/>
                <w:szCs w:val="21"/>
              </w:rPr>
            </w:pPr>
            <w:r>
              <w:rPr>
                <w:rStyle w:val="123"/>
                <w:rFonts w:hint="default"/>
                <w:color w:val="auto"/>
                <w:sz w:val="21"/>
                <w:szCs w:val="21"/>
              </w:rPr>
              <w:t>▲13.教师机可以连续监看所选学生机屏幕，每屏可监视多个学生，可设置每屏学生机的数量以及学生机屏幕轮循的时间间隔；</w:t>
            </w:r>
            <w:r>
              <w:rPr>
                <w:rStyle w:val="123"/>
                <w:rFonts w:hint="default"/>
                <w:b/>
                <w:bCs/>
                <w:color w:val="auto"/>
                <w:sz w:val="21"/>
                <w:szCs w:val="21"/>
              </w:rPr>
              <w:t>（投标时提供第三方检测机构出具的具备CNAS或CMA标识的产品功能测试报告复印件或扫描件，并加盖投标人公章）</w:t>
            </w:r>
            <w:r>
              <w:rPr>
                <w:rStyle w:val="123"/>
                <w:rFonts w:hint="default"/>
                <w:color w:val="auto"/>
                <w:sz w:val="21"/>
                <w:szCs w:val="21"/>
              </w:rPr>
              <w:t xml:space="preserve"> </w:t>
            </w:r>
          </w:p>
          <w:p w14:paraId="5F6B09C2">
            <w:pPr>
              <w:widowControl/>
              <w:spacing w:line="360" w:lineRule="auto"/>
              <w:jc w:val="left"/>
              <w:rPr>
                <w:rStyle w:val="123"/>
                <w:rFonts w:hint="default"/>
                <w:color w:val="auto"/>
                <w:sz w:val="21"/>
                <w:szCs w:val="21"/>
              </w:rPr>
            </w:pPr>
            <w:r>
              <w:rPr>
                <w:rStyle w:val="123"/>
                <w:rFonts w:hint="default"/>
                <w:color w:val="auto"/>
                <w:sz w:val="21"/>
                <w:szCs w:val="21"/>
              </w:rPr>
              <w:t>14.具备游戏互动教学功能，支持击鼓传花，电子抢答等互动方式；</w:t>
            </w:r>
          </w:p>
          <w:p w14:paraId="318C486F">
            <w:pPr>
              <w:widowControl/>
              <w:spacing w:line="360" w:lineRule="auto"/>
              <w:jc w:val="left"/>
              <w:rPr>
                <w:rStyle w:val="123"/>
                <w:rFonts w:hint="default"/>
                <w:color w:val="auto"/>
                <w:sz w:val="21"/>
                <w:szCs w:val="21"/>
              </w:rPr>
            </w:pPr>
            <w:r>
              <w:rPr>
                <w:rStyle w:val="123"/>
                <w:rFonts w:hint="default"/>
                <w:color w:val="auto"/>
                <w:sz w:val="21"/>
                <w:szCs w:val="21"/>
              </w:rPr>
              <w:t>15.上课过程中，老师可对学生奖励小红花，教师机可显示小红花奖励排行榜，显示每个学生的奖励数量，并可向学生发布奖励排行榜，提升学生参与感和学习兴趣；</w:t>
            </w:r>
          </w:p>
          <w:p w14:paraId="2BC7E67A">
            <w:pPr>
              <w:widowControl/>
              <w:spacing w:line="360" w:lineRule="auto"/>
              <w:jc w:val="left"/>
              <w:rPr>
                <w:rStyle w:val="123"/>
                <w:rFonts w:hint="default"/>
                <w:color w:val="auto"/>
                <w:sz w:val="21"/>
                <w:szCs w:val="21"/>
              </w:rPr>
            </w:pPr>
            <w:r>
              <w:rPr>
                <w:rStyle w:val="123"/>
                <w:rFonts w:hint="default"/>
                <w:color w:val="auto"/>
                <w:sz w:val="21"/>
                <w:szCs w:val="21"/>
              </w:rPr>
              <w:t>16.教师机可控制学生机是否可开启麦克风进行对话，开启语音连麦后，教师和学生可通过麦克风对话，语音交流可被班级其它所有学生听到，便于课堂语音互动；</w:t>
            </w:r>
          </w:p>
          <w:p w14:paraId="591AD672">
            <w:pPr>
              <w:widowControl/>
              <w:spacing w:line="360" w:lineRule="auto"/>
              <w:jc w:val="left"/>
              <w:rPr>
                <w:rStyle w:val="123"/>
                <w:rFonts w:hint="default"/>
                <w:color w:val="auto"/>
                <w:sz w:val="21"/>
                <w:szCs w:val="21"/>
              </w:rPr>
            </w:pPr>
            <w:r>
              <w:rPr>
                <w:rStyle w:val="123"/>
                <w:rFonts w:hint="default"/>
                <w:color w:val="auto"/>
                <w:sz w:val="21"/>
                <w:szCs w:val="21"/>
              </w:rPr>
              <w:t>17.教师可对学生进行电子点名，可以自定义院系、专业、班级等单位类别，可导入导出学生信息，可设置迟到时间，可显示签到人数；支持保存电子点名信息为班级座位信息，老师可导入班级座位信息，将机房上机机位与学生信息进行绑定，便于学生来机房后使用固定位置上机；</w:t>
            </w:r>
          </w:p>
          <w:p w14:paraId="0F588C04">
            <w:pPr>
              <w:widowControl/>
              <w:spacing w:line="360" w:lineRule="auto"/>
              <w:jc w:val="left"/>
              <w:rPr>
                <w:rStyle w:val="123"/>
                <w:rFonts w:hint="default"/>
                <w:color w:val="auto"/>
                <w:sz w:val="21"/>
                <w:szCs w:val="21"/>
              </w:rPr>
            </w:pPr>
            <w:r>
              <w:rPr>
                <w:rStyle w:val="123"/>
                <w:rFonts w:hint="default"/>
                <w:color w:val="auto"/>
                <w:sz w:val="21"/>
                <w:szCs w:val="21"/>
              </w:rPr>
              <w:t>18.支持作业下发，教师机可将自己机器上的文件传输到学生机，支持一对多传输，当选中多台学生机执行下发文件时，教师端需选择其中一台学生机作为样本机，并选择存放路径，支持发送文件或文件夹；</w:t>
            </w:r>
          </w:p>
          <w:p w14:paraId="12AF5D13">
            <w:pPr>
              <w:widowControl/>
              <w:spacing w:line="360" w:lineRule="auto"/>
              <w:jc w:val="left"/>
              <w:rPr>
                <w:rStyle w:val="123"/>
                <w:rFonts w:hint="default"/>
                <w:color w:val="auto"/>
                <w:sz w:val="21"/>
                <w:szCs w:val="21"/>
              </w:rPr>
            </w:pPr>
            <w:r>
              <w:rPr>
                <w:rStyle w:val="123"/>
                <w:rFonts w:hint="default"/>
                <w:color w:val="auto"/>
                <w:sz w:val="21"/>
                <w:szCs w:val="21"/>
              </w:rPr>
              <w:t>19.支持收取作业，教师可发起作业提交，学生提交作业后自动收取，默认将收取上来的作业存放在桌面，该路径可自定义更换；作业命名方式支持学生自定义和教师自定义，教师自定义命名支持加入学生姓名、学号、学生机器名或学生机IP地址中的一种方式；</w:t>
            </w:r>
          </w:p>
          <w:p w14:paraId="412ED7BF">
            <w:pPr>
              <w:widowControl/>
              <w:spacing w:line="360" w:lineRule="auto"/>
              <w:jc w:val="left"/>
              <w:rPr>
                <w:rStyle w:val="123"/>
                <w:rFonts w:hint="default"/>
                <w:color w:val="auto"/>
                <w:sz w:val="21"/>
                <w:szCs w:val="21"/>
              </w:rPr>
            </w:pPr>
            <w:r>
              <w:rPr>
                <w:rStyle w:val="123"/>
                <w:rFonts w:hint="default"/>
                <w:color w:val="auto"/>
                <w:sz w:val="21"/>
                <w:szCs w:val="21"/>
              </w:rPr>
              <w:t>20.支持一键收取指定路径的学生作业，弥补学生忘交作业和不会提交作业的缺点，提升老师收取作业的时效性；支持远程命令（包括一键关闭应用程序，一键关闭学生打开的Windows类窗口）、远程开机，远程关机等功能；支持屏幕录制与回放，教师机可以将本机的操作过程、讲解录制为一个文件，内容可回放，并可通过屏幕广播给学生；</w:t>
            </w:r>
          </w:p>
          <w:p w14:paraId="7F731D77">
            <w:pPr>
              <w:widowControl/>
              <w:spacing w:line="360" w:lineRule="auto"/>
              <w:jc w:val="left"/>
              <w:rPr>
                <w:rStyle w:val="123"/>
                <w:rFonts w:hint="default"/>
                <w:color w:val="auto"/>
                <w:sz w:val="21"/>
                <w:szCs w:val="21"/>
              </w:rPr>
            </w:pPr>
            <w:r>
              <w:rPr>
                <w:rStyle w:val="123"/>
                <w:rFonts w:hint="default"/>
                <w:color w:val="auto"/>
                <w:sz w:val="21"/>
                <w:szCs w:val="21"/>
              </w:rPr>
              <w:t>21.支持电子白板功能，可用电子白版进行绘制演示，并可共享到学生机，支持教师和学生协作共同通过电子白版进行知识总结、画面制作等；</w:t>
            </w:r>
          </w:p>
          <w:p w14:paraId="49E1A9BF">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22.支持黑屏肃静，教师可对学生执行黑屏肃静操作，能够自定义黑屏肃静的提示信息，支持手动解锁、按时解锁、按时长解锁；</w:t>
            </w:r>
            <w:r>
              <w:rPr>
                <w:rStyle w:val="123"/>
                <w:rFonts w:hint="default"/>
                <w:b/>
                <w:bCs/>
                <w:color w:val="auto"/>
                <w:sz w:val="21"/>
                <w:szCs w:val="21"/>
              </w:rPr>
              <w:t>（投标时提供第三方检测机构出具的具备CNAS或CMA标识的产品功能测试报告复印件或扫描件，并加盖投标人公章）</w:t>
            </w:r>
            <w:r>
              <w:rPr>
                <w:rStyle w:val="123"/>
                <w:rFonts w:hint="default"/>
                <w:color w:val="auto"/>
                <w:sz w:val="21"/>
                <w:szCs w:val="21"/>
              </w:rPr>
              <w:t xml:space="preserve">  </w:t>
            </w:r>
          </w:p>
          <w:p w14:paraId="3B5CDE1A">
            <w:pPr>
              <w:widowControl/>
              <w:spacing w:line="360" w:lineRule="auto"/>
              <w:jc w:val="left"/>
              <w:rPr>
                <w:rStyle w:val="123"/>
                <w:rFonts w:hint="default"/>
                <w:color w:val="auto"/>
                <w:sz w:val="21"/>
                <w:szCs w:val="21"/>
              </w:rPr>
            </w:pPr>
            <w:r>
              <w:rPr>
                <w:rStyle w:val="123"/>
                <w:rFonts w:hint="default"/>
                <w:color w:val="auto"/>
                <w:sz w:val="21"/>
                <w:szCs w:val="21"/>
              </w:rPr>
              <w:t>23.教师机对学生执行黑屏肃静后，支持追加学生执行黑屏肃静，也支持对单个学生机取消黑屏肃静，上课管理更灵活；</w:t>
            </w:r>
          </w:p>
          <w:p w14:paraId="504D6EDE">
            <w:pPr>
              <w:widowControl/>
              <w:spacing w:line="360" w:lineRule="auto"/>
              <w:jc w:val="left"/>
              <w:rPr>
                <w:rStyle w:val="123"/>
                <w:rFonts w:hint="default"/>
                <w:color w:val="auto"/>
                <w:sz w:val="21"/>
                <w:szCs w:val="21"/>
              </w:rPr>
            </w:pPr>
            <w:r>
              <w:rPr>
                <w:rStyle w:val="123"/>
                <w:rFonts w:hint="default"/>
                <w:color w:val="auto"/>
                <w:sz w:val="21"/>
                <w:szCs w:val="21"/>
              </w:rPr>
              <w:t>24.支持班级学生使用固定位置上机，开机后学生机显示该座位绑定的学生信息，学生可根据自己的姓名找到上一次上机的位置进行上机，并可直接上机签到；</w:t>
            </w:r>
          </w:p>
          <w:p w14:paraId="3C2C74E0">
            <w:pPr>
              <w:widowControl/>
              <w:spacing w:line="360" w:lineRule="auto"/>
              <w:jc w:val="left"/>
              <w:rPr>
                <w:rStyle w:val="123"/>
                <w:rFonts w:hint="default"/>
                <w:color w:val="auto"/>
                <w:sz w:val="21"/>
                <w:szCs w:val="21"/>
              </w:rPr>
            </w:pPr>
            <w:r>
              <w:rPr>
                <w:rStyle w:val="123"/>
                <w:rFonts w:hint="default"/>
                <w:color w:val="auto"/>
                <w:sz w:val="21"/>
                <w:szCs w:val="21"/>
              </w:rPr>
              <w:t xml:space="preserve">25.提供行为管控模块，支持程序黑白名单限制，支持禁用外网，禁用USB设备，教师端主界面可展示USB设备、程序、网络禁用状态；  </w:t>
            </w:r>
          </w:p>
          <w:p w14:paraId="685E97D5">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26.支持对学生的网络搜索进行关键字屏蔽，教师机设置限制搜索的关键词后，学生机通过浏览器搜索禁用的关键词，会自动弹出提示信息，或直接关闭学生机浏览器；</w:t>
            </w:r>
          </w:p>
          <w:p w14:paraId="5DB1DBC1">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27.支持考试功能，包括试题编辑、下发试卷、成绩统计。可添加单选题、多选题、判断题、填空题、问答题；可设置考试时长，倒计时结束后自动结束考试。阅卷时，单选题、多选题、判断题支持自动评分和统计正确率。</w:t>
            </w:r>
            <w:r>
              <w:rPr>
                <w:rStyle w:val="123"/>
                <w:rFonts w:hint="default"/>
                <w:b/>
                <w:bCs/>
                <w:color w:val="auto"/>
                <w:sz w:val="21"/>
                <w:szCs w:val="21"/>
              </w:rPr>
              <w:t>（投标文件中提供功能截图证明并加盖投标人公章）</w:t>
            </w:r>
          </w:p>
          <w:p w14:paraId="5F8D97CE">
            <w:pPr>
              <w:tabs>
                <w:tab w:val="left" w:pos="180"/>
                <w:tab w:val="left" w:pos="1620"/>
              </w:tabs>
              <w:spacing w:line="360" w:lineRule="auto"/>
              <w:jc w:val="left"/>
              <w:rPr>
                <w:rFonts w:hint="eastAsia" w:ascii="宋体" w:hAnsi="宋体" w:cs="宋体"/>
                <w:szCs w:val="21"/>
              </w:rPr>
            </w:pPr>
            <w:r>
              <w:rPr>
                <w:rFonts w:hint="eastAsia"/>
              </w:rPr>
              <w:t>▲</w:t>
            </w:r>
            <w:r>
              <w:rPr>
                <w:rStyle w:val="123"/>
                <w:rFonts w:hint="default"/>
                <w:color w:val="auto"/>
                <w:sz w:val="21"/>
                <w:szCs w:val="21"/>
              </w:rPr>
              <w:t xml:space="preserve">28.提供试题编制小工具，可下载小工具到教师自己的机器上，便于随时进行试卷编辑，编辑好的试卷可直接在教师机界面导入和下发；支持学生面板功能，学生端通过学生面板可使用电子举手，提交作业，查看消息等常用功能；教师端和学生端支持添加本地应用程序快捷功能按钮，便于一键打开需要使用的应用程序； </w:t>
            </w:r>
          </w:p>
        </w:tc>
      </w:tr>
      <w:tr w14:paraId="098FD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AB9BDBB">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31</w:t>
            </w:r>
          </w:p>
        </w:tc>
        <w:tc>
          <w:tcPr>
            <w:tcW w:w="850" w:type="dxa"/>
            <w:vAlign w:val="center"/>
          </w:tcPr>
          <w:p w14:paraId="7EA60F4C">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融媒体移动工作站</w:t>
            </w:r>
          </w:p>
        </w:tc>
        <w:tc>
          <w:tcPr>
            <w:tcW w:w="851" w:type="dxa"/>
            <w:vAlign w:val="center"/>
          </w:tcPr>
          <w:p w14:paraId="46E1CAEF">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53EAE3C4">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台</w:t>
            </w:r>
          </w:p>
        </w:tc>
        <w:tc>
          <w:tcPr>
            <w:tcW w:w="6928" w:type="dxa"/>
            <w:gridSpan w:val="3"/>
            <w:vAlign w:val="center"/>
          </w:tcPr>
          <w:p w14:paraId="5A9BE959">
            <w:pPr>
              <w:widowControl/>
              <w:spacing w:line="360" w:lineRule="auto"/>
              <w:jc w:val="left"/>
              <w:rPr>
                <w:rStyle w:val="123"/>
                <w:rFonts w:hint="default"/>
                <w:color w:val="auto"/>
                <w:sz w:val="21"/>
                <w:szCs w:val="21"/>
              </w:rPr>
            </w:pPr>
            <w:r>
              <w:rPr>
                <w:rStyle w:val="123"/>
                <w:rFonts w:hint="default"/>
                <w:color w:val="auto"/>
                <w:sz w:val="21"/>
                <w:szCs w:val="21"/>
              </w:rPr>
              <w:t>一、硬件要求</w:t>
            </w:r>
          </w:p>
          <w:p w14:paraId="6AB0656A">
            <w:pPr>
              <w:widowControl/>
              <w:spacing w:line="360" w:lineRule="auto"/>
              <w:jc w:val="left"/>
              <w:rPr>
                <w:rStyle w:val="123"/>
                <w:rFonts w:hint="default"/>
                <w:color w:val="auto"/>
                <w:sz w:val="21"/>
                <w:szCs w:val="21"/>
              </w:rPr>
            </w:pPr>
            <w:r>
              <w:rPr>
                <w:rStyle w:val="123"/>
                <w:rFonts w:hint="default"/>
                <w:color w:val="auto"/>
                <w:sz w:val="21"/>
                <w:szCs w:val="21"/>
              </w:rPr>
              <w:t>1.处理器：≥i9-14900HX24核32线程 睿频可至5.8GHZ；</w:t>
            </w:r>
          </w:p>
          <w:p w14:paraId="6F87F05B">
            <w:pPr>
              <w:widowControl/>
              <w:spacing w:line="360" w:lineRule="auto"/>
              <w:jc w:val="left"/>
              <w:rPr>
                <w:rStyle w:val="123"/>
                <w:rFonts w:hint="default"/>
                <w:color w:val="auto"/>
                <w:sz w:val="21"/>
                <w:szCs w:val="21"/>
              </w:rPr>
            </w:pPr>
            <w:r>
              <w:rPr>
                <w:rStyle w:val="123"/>
                <w:rFonts w:hint="default"/>
                <w:color w:val="auto"/>
                <w:sz w:val="21"/>
                <w:szCs w:val="21"/>
              </w:rPr>
              <w:t>2.内存：≥128G；</w:t>
            </w:r>
          </w:p>
          <w:p w14:paraId="354D5C8C">
            <w:pPr>
              <w:widowControl/>
              <w:spacing w:line="360" w:lineRule="auto"/>
              <w:jc w:val="left"/>
              <w:rPr>
                <w:rStyle w:val="123"/>
                <w:rFonts w:hint="default"/>
                <w:color w:val="auto"/>
                <w:sz w:val="21"/>
                <w:szCs w:val="21"/>
              </w:rPr>
            </w:pPr>
            <w:r>
              <w:rPr>
                <w:rStyle w:val="123"/>
                <w:rFonts w:hint="default"/>
                <w:color w:val="auto"/>
                <w:sz w:val="21"/>
                <w:szCs w:val="21"/>
              </w:rPr>
              <w:t>3.硬盘：≥8T固态硬盘；</w:t>
            </w:r>
          </w:p>
          <w:p w14:paraId="08DF9403">
            <w:pPr>
              <w:widowControl/>
              <w:spacing w:line="360" w:lineRule="auto"/>
              <w:jc w:val="left"/>
              <w:rPr>
                <w:rStyle w:val="123"/>
                <w:rFonts w:hint="default"/>
                <w:color w:val="auto"/>
                <w:sz w:val="21"/>
                <w:szCs w:val="21"/>
              </w:rPr>
            </w:pPr>
            <w:r>
              <w:rPr>
                <w:rStyle w:val="123"/>
                <w:rFonts w:hint="default"/>
                <w:color w:val="auto"/>
                <w:sz w:val="21"/>
                <w:szCs w:val="21"/>
              </w:rPr>
              <w:t>4.显卡：≥RTX 4000 Ada 12G独显；</w:t>
            </w:r>
          </w:p>
          <w:p w14:paraId="1A14D810">
            <w:pPr>
              <w:widowControl/>
              <w:spacing w:line="360" w:lineRule="auto"/>
              <w:jc w:val="left"/>
              <w:rPr>
                <w:rStyle w:val="123"/>
                <w:rFonts w:hint="default"/>
                <w:color w:val="auto"/>
                <w:sz w:val="21"/>
                <w:szCs w:val="21"/>
              </w:rPr>
            </w:pPr>
            <w:r>
              <w:rPr>
                <w:rStyle w:val="123"/>
                <w:rFonts w:hint="default"/>
                <w:color w:val="auto"/>
                <w:sz w:val="21"/>
                <w:szCs w:val="21"/>
              </w:rPr>
              <w:t>5.屏幕：不低于16寸4K屏 3840*2400 100%DC1-P3色域 120HZDreamcolor500尼特；</w:t>
            </w:r>
          </w:p>
          <w:p w14:paraId="20D8607A">
            <w:pPr>
              <w:widowControl/>
              <w:spacing w:line="360" w:lineRule="auto"/>
              <w:jc w:val="left"/>
              <w:rPr>
                <w:rStyle w:val="123"/>
                <w:rFonts w:hint="default"/>
                <w:color w:val="auto"/>
                <w:sz w:val="21"/>
                <w:szCs w:val="21"/>
              </w:rPr>
            </w:pPr>
            <w:r>
              <w:rPr>
                <w:rStyle w:val="123"/>
                <w:rFonts w:hint="default"/>
                <w:color w:val="auto"/>
                <w:sz w:val="21"/>
                <w:szCs w:val="21"/>
              </w:rPr>
              <w:t>二、数据传输要求</w:t>
            </w:r>
          </w:p>
          <w:p w14:paraId="40B6B681">
            <w:pPr>
              <w:widowControl/>
              <w:spacing w:line="360" w:lineRule="auto"/>
              <w:jc w:val="left"/>
              <w:rPr>
                <w:rStyle w:val="123"/>
                <w:rFonts w:hint="default"/>
                <w:color w:val="auto"/>
                <w:sz w:val="21"/>
                <w:szCs w:val="21"/>
              </w:rPr>
            </w:pPr>
            <w:r>
              <w:rPr>
                <w:rStyle w:val="123"/>
                <w:rFonts w:hint="default"/>
                <w:color w:val="auto"/>
                <w:sz w:val="21"/>
                <w:szCs w:val="21"/>
              </w:rPr>
              <w:t>1.支持在一台计算机上安装Windows2012、Windows7、Windows8、Windows10、Windows11等多种桌面操作系统并进行引导和立即还原；</w:t>
            </w:r>
          </w:p>
          <w:p w14:paraId="2A3D62EC">
            <w:pPr>
              <w:widowControl/>
              <w:spacing w:line="360" w:lineRule="auto"/>
              <w:jc w:val="left"/>
              <w:rPr>
                <w:rStyle w:val="123"/>
                <w:rFonts w:hint="default"/>
                <w:color w:val="auto"/>
                <w:sz w:val="21"/>
                <w:szCs w:val="21"/>
              </w:rPr>
            </w:pPr>
            <w:r>
              <w:rPr>
                <w:rStyle w:val="123"/>
                <w:rFonts w:hint="default"/>
                <w:color w:val="auto"/>
                <w:sz w:val="21"/>
                <w:szCs w:val="21"/>
              </w:rPr>
              <w:t>2.支持CentOS、Ubuntu、RedHat、Fedora非信创Linux桌面操作系统立即还原，实现Linux系统的差异拷贝、创建频道、虚拟系统、还原点功能；</w:t>
            </w:r>
          </w:p>
          <w:p w14:paraId="36BF0575">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3.支持统信UOS、麒麟KylinOS信创国产化操作系统的立即还原、每天还原、每周还原、每月还原等方式并支持还原点的创建；</w:t>
            </w:r>
            <w:r>
              <w:rPr>
                <w:rStyle w:val="123"/>
                <w:rFonts w:hint="default"/>
                <w:b/>
                <w:bCs/>
                <w:color w:val="auto"/>
                <w:sz w:val="21"/>
                <w:szCs w:val="21"/>
              </w:rPr>
              <w:t>（投标时提供第三方检测机构出具的具备CNAS或CMA标识的产品功能测试报告复印件，并加盖投标人公章）</w:t>
            </w:r>
          </w:p>
          <w:p w14:paraId="256FA29A">
            <w:pPr>
              <w:widowControl/>
              <w:spacing w:line="360" w:lineRule="auto"/>
              <w:jc w:val="left"/>
              <w:rPr>
                <w:rStyle w:val="123"/>
                <w:rFonts w:hint="default"/>
                <w:color w:val="auto"/>
                <w:sz w:val="21"/>
                <w:szCs w:val="21"/>
              </w:rPr>
            </w:pPr>
            <w:r>
              <w:rPr>
                <w:rStyle w:val="123"/>
                <w:rFonts w:hint="default"/>
                <w:color w:val="auto"/>
                <w:sz w:val="21"/>
                <w:szCs w:val="21"/>
              </w:rPr>
              <w:t>4.分区类型支持设置为立即还原型启动分区、备份还原型启动分区、专属分区、共享分区、Linux交换分区及其他分区；</w:t>
            </w:r>
          </w:p>
          <w:p w14:paraId="3075AE43">
            <w:pPr>
              <w:widowControl/>
              <w:spacing w:line="360" w:lineRule="auto"/>
              <w:jc w:val="left"/>
              <w:rPr>
                <w:rStyle w:val="123"/>
                <w:rFonts w:hint="default"/>
                <w:color w:val="auto"/>
                <w:sz w:val="21"/>
                <w:szCs w:val="21"/>
              </w:rPr>
            </w:pPr>
            <w:r>
              <w:rPr>
                <w:rStyle w:val="123"/>
                <w:rFonts w:hint="default"/>
                <w:color w:val="auto"/>
                <w:sz w:val="21"/>
                <w:szCs w:val="21"/>
              </w:rPr>
              <w:t>5.支持信创终端电脑MBR分区系统和GPT分区系统混合安装，可支持60个以上的不同操作系统；</w:t>
            </w:r>
          </w:p>
          <w:p w14:paraId="4096F38F">
            <w:pPr>
              <w:widowControl/>
              <w:spacing w:line="360" w:lineRule="auto"/>
              <w:jc w:val="left"/>
              <w:rPr>
                <w:rStyle w:val="123"/>
                <w:rFonts w:hint="default"/>
                <w:color w:val="auto"/>
                <w:sz w:val="21"/>
                <w:szCs w:val="21"/>
              </w:rPr>
            </w:pPr>
            <w:r>
              <w:rPr>
                <w:rStyle w:val="123"/>
                <w:rFonts w:hint="default"/>
                <w:color w:val="auto"/>
                <w:sz w:val="21"/>
                <w:szCs w:val="21"/>
              </w:rPr>
              <w:t>6.支持海光、兆芯国产终端电脑额外安装WINDOWS操作系统，满足特殊场景应用，用户可以随时隐藏该系统的选单界面；</w:t>
            </w:r>
          </w:p>
          <w:p w14:paraId="7B0B715E">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7.支持国产终端电脑SSD硬盘和机械硬盘双硬盘保护模式和同传；</w:t>
            </w:r>
            <w:r>
              <w:rPr>
                <w:rStyle w:val="123"/>
                <w:rFonts w:hint="default"/>
                <w:b/>
                <w:bCs/>
                <w:color w:val="auto"/>
                <w:sz w:val="21"/>
                <w:szCs w:val="21"/>
              </w:rPr>
              <w:t>（投标时提供第三方检测机构出具的具备CNAS或CMA标识的产品功能测试报告复印件，并加盖投标人公章）</w:t>
            </w:r>
          </w:p>
          <w:p w14:paraId="0AD1F86E">
            <w:pPr>
              <w:widowControl/>
              <w:spacing w:line="360" w:lineRule="auto"/>
              <w:jc w:val="left"/>
              <w:rPr>
                <w:rStyle w:val="123"/>
                <w:rFonts w:hint="default"/>
                <w:color w:val="auto"/>
                <w:sz w:val="21"/>
                <w:szCs w:val="21"/>
              </w:rPr>
            </w:pPr>
            <w:r>
              <w:rPr>
                <w:rStyle w:val="123"/>
                <w:rFonts w:hint="default"/>
                <w:color w:val="auto"/>
                <w:sz w:val="21"/>
                <w:szCs w:val="21"/>
              </w:rPr>
              <w:t>8.针对系统或者频道创建多个状态的还原点，恢复还原点、删除还原点。系统维护时，新增软件，软件冲突等软件导致系统损坏，可快速恢复到上一次保存的状态；</w:t>
            </w:r>
          </w:p>
          <w:p w14:paraId="3B4EAC08">
            <w:pPr>
              <w:widowControl/>
              <w:spacing w:line="360" w:lineRule="auto"/>
              <w:jc w:val="left"/>
              <w:rPr>
                <w:rStyle w:val="123"/>
                <w:rFonts w:hint="default"/>
                <w:color w:val="auto"/>
                <w:sz w:val="21"/>
                <w:szCs w:val="21"/>
              </w:rPr>
            </w:pPr>
            <w:r>
              <w:rPr>
                <w:rStyle w:val="123"/>
                <w:rFonts w:hint="default"/>
                <w:color w:val="auto"/>
                <w:sz w:val="21"/>
                <w:szCs w:val="21"/>
              </w:rPr>
              <w:t>9.支持隐藏底层操作系统选单，当有多个操作系统时，可设置默认进入某个操作系统，可以以秒为自定义进入系统的时间；</w:t>
            </w:r>
          </w:p>
          <w:p w14:paraId="4461E1FE">
            <w:pPr>
              <w:widowControl/>
              <w:spacing w:line="360" w:lineRule="auto"/>
              <w:jc w:val="left"/>
              <w:rPr>
                <w:rStyle w:val="123"/>
                <w:rFonts w:hint="default"/>
                <w:color w:val="auto"/>
                <w:sz w:val="21"/>
                <w:szCs w:val="21"/>
              </w:rPr>
            </w:pPr>
            <w:r>
              <w:rPr>
                <w:rStyle w:val="123"/>
                <w:rFonts w:hint="default"/>
                <w:color w:val="auto"/>
                <w:sz w:val="21"/>
                <w:szCs w:val="21"/>
              </w:rPr>
              <w:t>10.支持自定义选择是否显示开机背景和开机画面；</w:t>
            </w:r>
          </w:p>
          <w:p w14:paraId="2987BEEC">
            <w:pPr>
              <w:widowControl/>
              <w:spacing w:line="360" w:lineRule="auto"/>
              <w:jc w:val="left"/>
              <w:rPr>
                <w:rStyle w:val="123"/>
                <w:rFonts w:hint="default"/>
                <w:color w:val="auto"/>
                <w:sz w:val="21"/>
                <w:szCs w:val="21"/>
              </w:rPr>
            </w:pPr>
            <w:r>
              <w:rPr>
                <w:rStyle w:val="123"/>
                <w:rFonts w:hint="default"/>
                <w:color w:val="auto"/>
                <w:sz w:val="21"/>
                <w:szCs w:val="21"/>
              </w:rPr>
              <w:t>11.可对多个操作系统自动分配不同网段的IP地址，用于不同的内外网使用环境或实验环境；</w:t>
            </w:r>
          </w:p>
          <w:p w14:paraId="27C2361C">
            <w:pPr>
              <w:widowControl/>
              <w:spacing w:line="360" w:lineRule="auto"/>
              <w:jc w:val="left"/>
              <w:rPr>
                <w:rStyle w:val="123"/>
                <w:rFonts w:hint="default"/>
                <w:color w:val="auto"/>
                <w:sz w:val="21"/>
                <w:szCs w:val="21"/>
              </w:rPr>
            </w:pPr>
            <w:r>
              <w:rPr>
                <w:rStyle w:val="123"/>
                <w:rFonts w:hint="default"/>
                <w:color w:val="auto"/>
                <w:sz w:val="21"/>
                <w:szCs w:val="21"/>
              </w:rPr>
              <w:t>12.在保留现有操作系统情况下，支持对磁盘进行新增分区、删除分区、设置分区还原方式；</w:t>
            </w:r>
          </w:p>
          <w:p w14:paraId="57E22631">
            <w:pPr>
              <w:widowControl/>
              <w:spacing w:line="360" w:lineRule="auto"/>
              <w:jc w:val="left"/>
              <w:rPr>
                <w:rStyle w:val="123"/>
                <w:rFonts w:hint="default"/>
                <w:color w:val="auto"/>
                <w:sz w:val="21"/>
                <w:szCs w:val="21"/>
              </w:rPr>
            </w:pPr>
            <w:r>
              <w:rPr>
                <w:rStyle w:val="123"/>
                <w:rFonts w:hint="default"/>
                <w:color w:val="auto"/>
                <w:sz w:val="21"/>
                <w:szCs w:val="21"/>
              </w:rPr>
              <w:t>13.在无网络情况下，终端上可挂多硬盘，支持将本机硬盘数据复制出给其它硬盘，其它终端要以挂载复制好的硬盘直接使用；</w:t>
            </w:r>
          </w:p>
          <w:p w14:paraId="2A7C22D8">
            <w:pPr>
              <w:widowControl/>
              <w:spacing w:line="360" w:lineRule="auto"/>
              <w:jc w:val="left"/>
              <w:rPr>
                <w:rStyle w:val="123"/>
                <w:rFonts w:hint="default"/>
                <w:color w:val="auto"/>
                <w:sz w:val="21"/>
                <w:szCs w:val="21"/>
              </w:rPr>
            </w:pPr>
            <w:r>
              <w:rPr>
                <w:rStyle w:val="123"/>
                <w:rFonts w:hint="default"/>
                <w:color w:val="auto"/>
                <w:sz w:val="21"/>
                <w:szCs w:val="21"/>
              </w:rPr>
              <w:t>14.可分配用户权限，自主在现有安装好的统信UOS、麒麟KylinOS信创国产化操作系统下面快速（3秒内）创建属于自己的专用虚拟系统，所安装的软件和保存的数据仅自己可以使用，其他用户无法查看、修改或删除；</w:t>
            </w:r>
            <w:r>
              <w:rPr>
                <w:rStyle w:val="123"/>
                <w:rFonts w:hint="default"/>
                <w:b/>
                <w:bCs/>
                <w:color w:val="auto"/>
                <w:sz w:val="21"/>
                <w:szCs w:val="21"/>
              </w:rPr>
              <w:t>（投标时提供第三方检测机构出具的具备CNAS或CMA标识的产品功能测试报告复印件，并加盖投标人公章</w:t>
            </w:r>
            <w:r>
              <w:rPr>
                <w:rStyle w:val="123"/>
                <w:rFonts w:hint="default"/>
                <w:color w:val="auto"/>
                <w:sz w:val="21"/>
                <w:szCs w:val="21"/>
              </w:rPr>
              <w:t>）</w:t>
            </w:r>
          </w:p>
          <w:p w14:paraId="27FE2E80">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15.可在现有安装好的统信UOS、麒麟KylinOS国产化操作系统下面快速（3秒内）复制出一个同样的频道系统，无需重新分区；该频道系统可以安装不同的应用软件，实现一机多用；</w:t>
            </w:r>
            <w:r>
              <w:rPr>
                <w:rStyle w:val="123"/>
                <w:rFonts w:hint="default"/>
                <w:b/>
                <w:bCs/>
                <w:color w:val="auto"/>
                <w:sz w:val="21"/>
                <w:szCs w:val="21"/>
              </w:rPr>
              <w:t>（投标时提供第三方检测机构出具的具备CNAS或CMA标识的产品功能测试报告复印件，并加盖投标人公章）</w:t>
            </w:r>
          </w:p>
          <w:p w14:paraId="35B6C900">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16.可同时对1000台以上的信创终端电脑采用差异拷贝的方式对系统和软件进行更新部署，并同时对UOS、KOS信创国产化操作系统的计算机名和IP地址进行自动分配；</w:t>
            </w:r>
            <w:r>
              <w:rPr>
                <w:rStyle w:val="123"/>
                <w:rFonts w:hint="default"/>
                <w:b/>
                <w:bCs/>
                <w:color w:val="auto"/>
                <w:sz w:val="21"/>
                <w:szCs w:val="21"/>
              </w:rPr>
              <w:t>（投标时提供支持1000台机位的界面截图并加盖投标人公章）</w:t>
            </w:r>
          </w:p>
          <w:p w14:paraId="26A5E8C4">
            <w:pPr>
              <w:widowControl/>
              <w:spacing w:line="360" w:lineRule="auto"/>
              <w:jc w:val="left"/>
              <w:rPr>
                <w:rStyle w:val="123"/>
                <w:rFonts w:hint="default"/>
                <w:color w:val="auto"/>
                <w:sz w:val="21"/>
                <w:szCs w:val="21"/>
              </w:rPr>
            </w:pPr>
            <w:r>
              <w:rPr>
                <w:rStyle w:val="123"/>
                <w:rFonts w:hint="default"/>
                <w:color w:val="auto"/>
                <w:sz w:val="21"/>
                <w:szCs w:val="21"/>
              </w:rPr>
              <w:t>17.当国产终端电脑因特殊需要安装使用WINDOWS操作系统，管理人员可以远程监控使用者的桌面，并可限制桌面使用的程序、U盘外设和访问的网址，防止资料泄密；</w:t>
            </w:r>
          </w:p>
          <w:p w14:paraId="246ADE2E">
            <w:pPr>
              <w:widowControl/>
              <w:spacing w:line="360" w:lineRule="auto"/>
              <w:jc w:val="left"/>
              <w:rPr>
                <w:rStyle w:val="123"/>
                <w:rFonts w:hint="default"/>
                <w:color w:val="auto"/>
                <w:sz w:val="21"/>
                <w:szCs w:val="21"/>
              </w:rPr>
            </w:pPr>
            <w:r>
              <w:rPr>
                <w:rStyle w:val="123"/>
                <w:rFonts w:hint="default"/>
                <w:color w:val="auto"/>
                <w:sz w:val="21"/>
                <w:szCs w:val="21"/>
              </w:rPr>
              <w:t>18.在使用WINDOWS系统时可统计每台信创终端电脑的硬件配置，当硬件配置发生变更时可对管理人员发出报警提示。并可统计硬件资产信息并导出报表；</w:t>
            </w:r>
          </w:p>
          <w:p w14:paraId="7281457A">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19.为保证产品兼容性、便于维护与管理，要求以上功能为同一品牌；</w:t>
            </w:r>
          </w:p>
          <w:p w14:paraId="17D8DC2B">
            <w:pPr>
              <w:widowControl/>
              <w:spacing w:line="360" w:lineRule="auto"/>
              <w:jc w:val="left"/>
              <w:rPr>
                <w:rStyle w:val="123"/>
                <w:rFonts w:hint="default"/>
                <w:color w:val="auto"/>
                <w:sz w:val="21"/>
                <w:szCs w:val="21"/>
              </w:rPr>
            </w:pPr>
            <w:r>
              <w:rPr>
                <w:rStyle w:val="123"/>
                <w:rFonts w:hint="default"/>
                <w:color w:val="auto"/>
                <w:sz w:val="21"/>
                <w:szCs w:val="21"/>
              </w:rPr>
              <w:t>20.支持将保护分区中的指定文件备份至不保护分区中，可设置备份文件的存放路径，支持的文件格式至少涵盖.docx、.ppt、.pptx、.txt、.xls、.xlsx及.rar七类，用户可以自行添加想要备份的文件格式；</w:t>
            </w:r>
          </w:p>
          <w:p w14:paraId="5654FF01">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21.支持设置客户端的网络访问权限、白名单网址、白名单IP地址、白名单端口、网络限制生效时间，限制范围可设置面向外网或内网与外网的全部网络，限制解除后，网页管理端对应限制记录字段清空显示；</w:t>
            </w:r>
          </w:p>
        </w:tc>
      </w:tr>
      <w:tr w14:paraId="02847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D7200ED">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32</w:t>
            </w:r>
          </w:p>
        </w:tc>
        <w:tc>
          <w:tcPr>
            <w:tcW w:w="850" w:type="dxa"/>
            <w:vAlign w:val="center"/>
          </w:tcPr>
          <w:p w14:paraId="4A8693E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便携工作站</w:t>
            </w:r>
          </w:p>
        </w:tc>
        <w:tc>
          <w:tcPr>
            <w:tcW w:w="851" w:type="dxa"/>
            <w:vAlign w:val="center"/>
          </w:tcPr>
          <w:p w14:paraId="3BCD7085">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73DC1796">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台</w:t>
            </w:r>
          </w:p>
        </w:tc>
        <w:tc>
          <w:tcPr>
            <w:tcW w:w="6928" w:type="dxa"/>
            <w:gridSpan w:val="3"/>
            <w:vAlign w:val="center"/>
          </w:tcPr>
          <w:p w14:paraId="1FF82FAF">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14英寸OLED屏；</w:t>
            </w:r>
            <w:r>
              <w:rPr>
                <w:rStyle w:val="123"/>
                <w:rFonts w:hint="default"/>
                <w:color w:val="auto"/>
                <w:sz w:val="21"/>
                <w:szCs w:val="21"/>
              </w:rPr>
              <w:br w:type="textWrapping"/>
            </w:r>
            <w:r>
              <w:rPr>
                <w:rStyle w:val="123"/>
                <w:rFonts w:hint="default"/>
                <w:color w:val="auto"/>
                <w:sz w:val="21"/>
                <w:szCs w:val="21"/>
              </w:rPr>
              <w:t>2.CPU不低于Ultra 7。</w:t>
            </w:r>
            <w:r>
              <w:rPr>
                <w:rStyle w:val="123"/>
                <w:rFonts w:hint="default"/>
                <w:color w:val="auto"/>
                <w:sz w:val="21"/>
                <w:szCs w:val="21"/>
              </w:rPr>
              <w:br w:type="textWrapping"/>
            </w:r>
            <w:r>
              <w:rPr>
                <w:rStyle w:val="123"/>
                <w:rFonts w:hint="default"/>
                <w:color w:val="auto"/>
                <w:sz w:val="21"/>
                <w:szCs w:val="21"/>
              </w:rPr>
              <w:t>3.内存不低于32G内存；</w:t>
            </w:r>
            <w:r>
              <w:rPr>
                <w:rStyle w:val="123"/>
                <w:rFonts w:hint="default"/>
                <w:color w:val="auto"/>
                <w:sz w:val="21"/>
                <w:szCs w:val="21"/>
              </w:rPr>
              <w:br w:type="textWrapping"/>
            </w:r>
            <w:r>
              <w:rPr>
                <w:rStyle w:val="123"/>
                <w:rFonts w:hint="default"/>
                <w:color w:val="auto"/>
                <w:sz w:val="21"/>
                <w:szCs w:val="21"/>
              </w:rPr>
              <w:t>4.硬盘不低于1T；</w:t>
            </w:r>
            <w:r>
              <w:rPr>
                <w:rStyle w:val="123"/>
                <w:rFonts w:hint="default"/>
                <w:color w:val="auto"/>
                <w:sz w:val="21"/>
                <w:szCs w:val="21"/>
              </w:rPr>
              <w:br w:type="textWrapping"/>
            </w:r>
            <w:r>
              <w:rPr>
                <w:rStyle w:val="123"/>
                <w:rFonts w:hint="default"/>
                <w:color w:val="auto"/>
                <w:sz w:val="21"/>
                <w:szCs w:val="21"/>
              </w:rPr>
              <w:t>5.电池容量不低于70Wh；</w:t>
            </w:r>
            <w:r>
              <w:rPr>
                <w:rStyle w:val="123"/>
                <w:rFonts w:hint="default"/>
                <w:color w:val="auto"/>
                <w:sz w:val="21"/>
                <w:szCs w:val="21"/>
              </w:rPr>
              <w:br w:type="textWrapping"/>
            </w:r>
            <w:r>
              <w:rPr>
                <w:rStyle w:val="123"/>
                <w:rFonts w:hint="default"/>
                <w:color w:val="auto"/>
                <w:sz w:val="21"/>
                <w:szCs w:val="21"/>
              </w:rPr>
              <w:t>6.重量不高于1.32KG；</w:t>
            </w:r>
          </w:p>
        </w:tc>
      </w:tr>
      <w:tr w14:paraId="43740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3A6C451">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33</w:t>
            </w:r>
          </w:p>
        </w:tc>
        <w:tc>
          <w:tcPr>
            <w:tcW w:w="850" w:type="dxa"/>
            <w:vAlign w:val="center"/>
          </w:tcPr>
          <w:p w14:paraId="0598E4D6">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NAS存储</w:t>
            </w:r>
          </w:p>
        </w:tc>
        <w:tc>
          <w:tcPr>
            <w:tcW w:w="851" w:type="dxa"/>
            <w:vAlign w:val="center"/>
          </w:tcPr>
          <w:p w14:paraId="47CD0816">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2</w:t>
            </w:r>
          </w:p>
        </w:tc>
        <w:tc>
          <w:tcPr>
            <w:tcW w:w="708" w:type="dxa"/>
            <w:vAlign w:val="center"/>
          </w:tcPr>
          <w:p w14:paraId="04607C2C">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台</w:t>
            </w:r>
          </w:p>
        </w:tc>
        <w:tc>
          <w:tcPr>
            <w:tcW w:w="6928" w:type="dxa"/>
            <w:gridSpan w:val="3"/>
            <w:vAlign w:val="center"/>
          </w:tcPr>
          <w:p w14:paraId="56C0883A">
            <w:pPr>
              <w:widowControl/>
              <w:spacing w:line="360" w:lineRule="auto"/>
              <w:jc w:val="left"/>
              <w:rPr>
                <w:rStyle w:val="123"/>
                <w:rFonts w:hint="default"/>
                <w:color w:val="auto"/>
                <w:sz w:val="21"/>
                <w:szCs w:val="21"/>
              </w:rPr>
            </w:pPr>
            <w:r>
              <w:rPr>
                <w:rStyle w:val="123"/>
                <w:rFonts w:hint="default"/>
                <w:color w:val="auto"/>
                <w:sz w:val="21"/>
                <w:szCs w:val="21"/>
              </w:rPr>
              <w:t>一、硬件参数要求：</w:t>
            </w:r>
          </w:p>
          <w:p w14:paraId="4D673F68">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1.存储用量：不低于16T*12块，raid5方案；</w:t>
            </w:r>
          </w:p>
          <w:p w14:paraId="044DF29A">
            <w:pPr>
              <w:widowControl/>
              <w:spacing w:line="360" w:lineRule="auto"/>
              <w:jc w:val="left"/>
              <w:rPr>
                <w:rStyle w:val="123"/>
                <w:rFonts w:hint="default"/>
                <w:color w:val="auto"/>
                <w:sz w:val="21"/>
                <w:szCs w:val="21"/>
              </w:rPr>
            </w:pPr>
            <w:r>
              <w:rPr>
                <w:rStyle w:val="123"/>
                <w:rFonts w:hint="default"/>
                <w:color w:val="auto"/>
                <w:sz w:val="21"/>
                <w:szCs w:val="21"/>
              </w:rPr>
              <w:t>2.intel Xoen CPU 不低于14核心28线程；</w:t>
            </w:r>
          </w:p>
          <w:p w14:paraId="2EE8B17D">
            <w:pPr>
              <w:widowControl/>
              <w:spacing w:line="360" w:lineRule="auto"/>
              <w:jc w:val="left"/>
              <w:rPr>
                <w:rStyle w:val="123"/>
                <w:rFonts w:hint="default"/>
                <w:color w:val="auto"/>
                <w:sz w:val="21"/>
                <w:szCs w:val="21"/>
              </w:rPr>
            </w:pPr>
            <w:r>
              <w:rPr>
                <w:rStyle w:val="123"/>
                <w:rFonts w:hint="default"/>
                <w:color w:val="auto"/>
                <w:sz w:val="21"/>
                <w:szCs w:val="21"/>
              </w:rPr>
              <w:t>3.不低于32G DDR4 ECC内存 ；</w:t>
            </w:r>
          </w:p>
          <w:p w14:paraId="14154C46">
            <w:pPr>
              <w:widowControl/>
              <w:spacing w:line="360" w:lineRule="auto"/>
              <w:jc w:val="left"/>
              <w:rPr>
                <w:rStyle w:val="123"/>
                <w:rFonts w:hint="default"/>
                <w:color w:val="auto"/>
                <w:sz w:val="21"/>
                <w:szCs w:val="21"/>
              </w:rPr>
            </w:pPr>
            <w:r>
              <w:rPr>
                <w:rStyle w:val="123"/>
                <w:rFonts w:hint="default"/>
                <w:color w:val="auto"/>
                <w:sz w:val="21"/>
                <w:szCs w:val="21"/>
              </w:rPr>
              <w:t>4.前置16盘位热拔插3.5/2.5寸 SATA硬盘</w:t>
            </w:r>
          </w:p>
          <w:p w14:paraId="563910C4">
            <w:pPr>
              <w:widowControl/>
              <w:spacing w:line="360" w:lineRule="auto"/>
              <w:jc w:val="left"/>
              <w:rPr>
                <w:rStyle w:val="123"/>
                <w:rFonts w:hint="default"/>
                <w:color w:val="auto"/>
                <w:sz w:val="21"/>
                <w:szCs w:val="21"/>
              </w:rPr>
            </w:pPr>
            <w:r>
              <w:rPr>
                <w:rStyle w:val="123"/>
                <w:rFonts w:hint="default"/>
                <w:color w:val="auto"/>
                <w:sz w:val="21"/>
                <w:szCs w:val="21"/>
              </w:rPr>
              <w:t>5.内置2 x intel 1Gb网络电口</w:t>
            </w:r>
          </w:p>
          <w:p w14:paraId="1A043720">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6.内置不低于2个内置10Gb 光口；</w:t>
            </w:r>
          </w:p>
          <w:p w14:paraId="0AF2094F">
            <w:pPr>
              <w:widowControl/>
              <w:spacing w:line="360" w:lineRule="auto"/>
              <w:jc w:val="left"/>
              <w:rPr>
                <w:rStyle w:val="123"/>
                <w:rFonts w:hint="default"/>
                <w:color w:val="auto"/>
                <w:sz w:val="21"/>
                <w:szCs w:val="21"/>
              </w:rPr>
            </w:pPr>
            <w:r>
              <w:rPr>
                <w:rStyle w:val="123"/>
                <w:rFonts w:hint="default"/>
                <w:color w:val="auto"/>
                <w:sz w:val="21"/>
                <w:szCs w:val="21"/>
              </w:rPr>
              <w:t>7.内置1 x千兆管理网络接口；</w:t>
            </w:r>
          </w:p>
          <w:p w14:paraId="48C2005D">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8.支持不低于3条pcie3.0 可扩展插槽，用于支持25Gb 40Gb网络光纤接口，磁盘扩展柜，冷备份存储柜、JBOD SAS串联扩展口等；</w:t>
            </w:r>
          </w:p>
          <w:p w14:paraId="264698CF">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9.支持安装U.2企业级高速SSD，用于数据读写加速；</w:t>
            </w:r>
          </w:p>
          <w:p w14:paraId="302A4305">
            <w:pPr>
              <w:widowControl/>
              <w:spacing w:line="360" w:lineRule="auto"/>
              <w:jc w:val="left"/>
              <w:rPr>
                <w:rStyle w:val="123"/>
                <w:rFonts w:hint="default"/>
                <w:color w:val="auto"/>
                <w:sz w:val="21"/>
                <w:szCs w:val="21"/>
              </w:rPr>
            </w:pPr>
            <w:r>
              <w:rPr>
                <w:rStyle w:val="123"/>
                <w:rFonts w:hint="default"/>
                <w:color w:val="auto"/>
                <w:sz w:val="21"/>
                <w:szCs w:val="21"/>
              </w:rPr>
              <w:t>10.支持不低于550w电源 双电冗余；</w:t>
            </w:r>
          </w:p>
          <w:p w14:paraId="7748C9DF">
            <w:pPr>
              <w:widowControl/>
              <w:spacing w:line="360" w:lineRule="auto"/>
              <w:jc w:val="left"/>
              <w:rPr>
                <w:rStyle w:val="123"/>
                <w:rFonts w:hint="default"/>
                <w:color w:val="auto"/>
                <w:sz w:val="21"/>
                <w:szCs w:val="21"/>
              </w:rPr>
            </w:pPr>
            <w:r>
              <w:rPr>
                <w:rStyle w:val="123"/>
                <w:rFonts w:hint="default"/>
                <w:color w:val="auto"/>
                <w:sz w:val="21"/>
                <w:szCs w:val="21"/>
              </w:rPr>
              <w:t>二、功能参数要求：</w:t>
            </w:r>
          </w:p>
          <w:p w14:paraId="65DFCF14">
            <w:pPr>
              <w:widowControl/>
              <w:spacing w:line="360" w:lineRule="auto"/>
              <w:jc w:val="left"/>
              <w:rPr>
                <w:rStyle w:val="123"/>
                <w:rFonts w:hint="default"/>
                <w:color w:val="auto"/>
                <w:sz w:val="21"/>
                <w:szCs w:val="21"/>
              </w:rPr>
            </w:pPr>
            <w:r>
              <w:rPr>
                <w:rStyle w:val="123"/>
                <w:rFonts w:hint="default"/>
                <w:color w:val="auto"/>
                <w:sz w:val="21"/>
                <w:szCs w:val="21"/>
              </w:rPr>
              <w:t>1.支持的客户端操作系统：Windows 2000、Windows Server 2003、Windows Server 2008、Windows Server 2012、Windows XP、Linux®、Oracle Solaris、AIX、HP-UX、Mac® OS、VMware® ESXi、Citrix® XenServer；</w:t>
            </w:r>
          </w:p>
          <w:p w14:paraId="4EF2B91F">
            <w:pPr>
              <w:widowControl/>
              <w:spacing w:line="360" w:lineRule="auto"/>
              <w:jc w:val="left"/>
              <w:rPr>
                <w:rStyle w:val="123"/>
                <w:rFonts w:hint="default"/>
                <w:color w:val="auto"/>
                <w:sz w:val="21"/>
                <w:szCs w:val="21"/>
              </w:rPr>
            </w:pPr>
            <w:r>
              <w:rPr>
                <w:rStyle w:val="123"/>
                <w:rFonts w:hint="default"/>
                <w:color w:val="auto"/>
                <w:sz w:val="21"/>
                <w:szCs w:val="21"/>
              </w:rPr>
              <w:t>2.系统基于事务性文件系统，提供不低于EB级别单卷容量支持，可以在线动态伸缩卷尺寸，并且支持对任意卷进行用户和组配额管理。</w:t>
            </w:r>
          </w:p>
          <w:p w14:paraId="262AD4B8">
            <w:pPr>
              <w:widowControl/>
              <w:spacing w:line="360" w:lineRule="auto"/>
              <w:jc w:val="left"/>
              <w:rPr>
                <w:rStyle w:val="123"/>
                <w:rFonts w:hint="default"/>
                <w:color w:val="auto"/>
                <w:sz w:val="21"/>
                <w:szCs w:val="21"/>
              </w:rPr>
            </w:pPr>
            <w:r>
              <w:rPr>
                <w:rStyle w:val="123"/>
                <w:rFonts w:hint="default"/>
                <w:color w:val="auto"/>
                <w:sz w:val="21"/>
                <w:szCs w:val="21"/>
              </w:rPr>
              <w:t>3.支持精简配置功能。</w:t>
            </w:r>
          </w:p>
          <w:p w14:paraId="70377941">
            <w:pPr>
              <w:widowControl/>
              <w:spacing w:line="360" w:lineRule="auto"/>
              <w:jc w:val="left"/>
              <w:rPr>
                <w:rStyle w:val="123"/>
                <w:rFonts w:hint="default"/>
                <w:color w:val="auto"/>
                <w:sz w:val="21"/>
                <w:szCs w:val="21"/>
              </w:rPr>
            </w:pPr>
            <w:r>
              <w:rPr>
                <w:rStyle w:val="123"/>
                <w:rFonts w:hint="default"/>
                <w:color w:val="auto"/>
                <w:sz w:val="21"/>
                <w:szCs w:val="21"/>
              </w:rPr>
              <w:t>4.支持RAID0，RAID1，RAID10，RAID Z1(RAID5)，RAID Z2(RAID6)，RAID Z3( 三重校验 )；</w:t>
            </w:r>
          </w:p>
          <w:p w14:paraId="069B14CA">
            <w:pPr>
              <w:widowControl/>
              <w:spacing w:line="360" w:lineRule="auto"/>
              <w:jc w:val="left"/>
              <w:rPr>
                <w:rStyle w:val="123"/>
                <w:rFonts w:hint="default"/>
                <w:color w:val="auto"/>
                <w:sz w:val="21"/>
                <w:szCs w:val="21"/>
              </w:rPr>
            </w:pPr>
            <w:r>
              <w:rPr>
                <w:rStyle w:val="123"/>
                <w:rFonts w:hint="default"/>
                <w:color w:val="auto"/>
                <w:sz w:val="21"/>
                <w:szCs w:val="21"/>
              </w:rPr>
              <w:t>5.支持多副本模式，降低数据逻辑损坏，保障数据安全；</w:t>
            </w:r>
          </w:p>
          <w:p w14:paraId="7CFA746B">
            <w:pPr>
              <w:widowControl/>
              <w:spacing w:line="360" w:lineRule="auto"/>
              <w:jc w:val="left"/>
              <w:rPr>
                <w:rStyle w:val="123"/>
                <w:rFonts w:hint="default"/>
                <w:color w:val="auto"/>
                <w:sz w:val="21"/>
                <w:szCs w:val="21"/>
              </w:rPr>
            </w:pPr>
            <w:r>
              <w:rPr>
                <w:rStyle w:val="123"/>
                <w:rFonts w:hint="default"/>
                <w:color w:val="auto"/>
                <w:sz w:val="21"/>
                <w:szCs w:val="21"/>
              </w:rPr>
              <w:t>6.系统支持以下网络存储协议iSCSI、NFS、CIFS/SMB、FTP、S3、WebDAV等。</w:t>
            </w:r>
          </w:p>
          <w:p w14:paraId="4540BA64">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7.系统基于内置权限管理系统，提供基于Posix ACL、NFSv4 ACL的访问权限控制功能，能对用户访问存储文件进行读取、写入、浏览等权限进行访问控制。</w:t>
            </w:r>
          </w:p>
          <w:p w14:paraId="5719F474">
            <w:pPr>
              <w:widowControl/>
              <w:spacing w:line="360" w:lineRule="auto"/>
              <w:jc w:val="left"/>
              <w:rPr>
                <w:rStyle w:val="123"/>
                <w:rFonts w:hint="default"/>
                <w:color w:val="auto"/>
                <w:sz w:val="21"/>
                <w:szCs w:val="21"/>
              </w:rPr>
            </w:pPr>
            <w:r>
              <w:rPr>
                <w:rStyle w:val="123"/>
                <w:rFonts w:hint="default"/>
                <w:color w:val="auto"/>
                <w:sz w:val="21"/>
                <w:szCs w:val="21"/>
              </w:rPr>
              <w:t>8.系统提供多种系统故障监控模式，包括Email自动故障报警、SNMP监控、微信小程序监控、公众号自动故障报警等。</w:t>
            </w:r>
          </w:p>
          <w:p w14:paraId="0295FC6C">
            <w:pPr>
              <w:widowControl/>
              <w:spacing w:line="360" w:lineRule="auto"/>
              <w:jc w:val="left"/>
              <w:rPr>
                <w:rStyle w:val="123"/>
                <w:rFonts w:hint="default"/>
                <w:color w:val="auto"/>
                <w:sz w:val="21"/>
                <w:szCs w:val="21"/>
              </w:rPr>
            </w:pPr>
            <w:r>
              <w:rPr>
                <w:rStyle w:val="123"/>
                <w:rFonts w:hint="default"/>
                <w:color w:val="auto"/>
                <w:sz w:val="21"/>
                <w:szCs w:val="21"/>
              </w:rPr>
              <w:t>9.系统提供易用的图形化操作界面与命令行操作管理模式。</w:t>
            </w:r>
          </w:p>
          <w:p w14:paraId="68351089">
            <w:pPr>
              <w:widowControl/>
              <w:spacing w:line="360" w:lineRule="auto"/>
              <w:jc w:val="left"/>
              <w:rPr>
                <w:rStyle w:val="123"/>
                <w:rFonts w:hint="default"/>
                <w:color w:val="auto"/>
                <w:sz w:val="21"/>
                <w:szCs w:val="21"/>
              </w:rPr>
            </w:pPr>
            <w:r>
              <w:rPr>
                <w:rStyle w:val="123"/>
                <w:rFonts w:hint="default"/>
                <w:color w:val="auto"/>
                <w:sz w:val="21"/>
                <w:szCs w:val="21"/>
              </w:rPr>
              <w:t>10.系统支持重复数据删除，同时支持iSCSI、SMB、NFS等架构下，采用基于存储底层数据块级的方式进行重复数据删除，而非基于文件的方式，极大提高了存储的空间利用率。</w:t>
            </w:r>
          </w:p>
          <w:p w14:paraId="4A8B8B0D">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11.系统支持多种数据压缩模式，能极大的提高对文本、位图、数据文件的存储效率，支持的至少包括LZ4高速模式、GZIP综合模式、ZSTD超大压缩率模式等。</w:t>
            </w:r>
          </w:p>
          <w:p w14:paraId="657EA42D">
            <w:pPr>
              <w:widowControl/>
              <w:spacing w:line="360" w:lineRule="auto"/>
              <w:jc w:val="left"/>
              <w:rPr>
                <w:rStyle w:val="123"/>
                <w:rFonts w:hint="default"/>
                <w:color w:val="auto"/>
                <w:sz w:val="21"/>
                <w:szCs w:val="21"/>
              </w:rPr>
            </w:pPr>
            <w:r>
              <w:rPr>
                <w:rStyle w:val="123"/>
                <w:rFonts w:hint="default"/>
                <w:color w:val="auto"/>
                <w:sz w:val="21"/>
                <w:szCs w:val="21"/>
              </w:rPr>
              <w:t>12.系统支持快速卷克隆功能，克隆后的卷不占用额外空间，当有新数据产生时才占用相应的空间。</w:t>
            </w:r>
          </w:p>
          <w:p w14:paraId="11D6A8B9">
            <w:pPr>
              <w:widowControl/>
              <w:spacing w:line="360" w:lineRule="auto"/>
              <w:jc w:val="left"/>
              <w:rPr>
                <w:rStyle w:val="123"/>
                <w:rFonts w:hint="default"/>
                <w:color w:val="auto"/>
                <w:sz w:val="21"/>
                <w:szCs w:val="21"/>
              </w:rPr>
            </w:pPr>
            <w:r>
              <w:rPr>
                <w:rStyle w:val="123"/>
                <w:rFonts w:hint="default"/>
                <w:color w:val="auto"/>
                <w:sz w:val="21"/>
                <w:szCs w:val="21"/>
              </w:rPr>
              <w:t>13.系统支持手动和定时数据快照功能，快照创建时间与间隔均可达到秒级，且不少于100000个快照。</w:t>
            </w:r>
          </w:p>
          <w:p w14:paraId="6A3A9A9F">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14.系统支持静默数据损坏检查，能定期的对阵列底层数据进行校验和自修复。</w:t>
            </w:r>
          </w:p>
          <w:p w14:paraId="7AF7A56E">
            <w:pPr>
              <w:widowControl/>
              <w:spacing w:line="360" w:lineRule="auto"/>
              <w:jc w:val="left"/>
              <w:rPr>
                <w:rStyle w:val="123"/>
                <w:rFonts w:hint="default"/>
                <w:color w:val="auto"/>
                <w:sz w:val="21"/>
                <w:szCs w:val="21"/>
              </w:rPr>
            </w:pPr>
            <w:r>
              <w:rPr>
                <w:rStyle w:val="123"/>
                <w:rFonts w:hint="default"/>
                <w:color w:val="auto"/>
                <w:sz w:val="21"/>
                <w:szCs w:val="21"/>
              </w:rPr>
              <w:t>15.系统支持文件级同步功能，能将文件进行本地或异地数据同步，且支持在数据同步过程中进行数据压缩，降低带宽占用。</w:t>
            </w:r>
          </w:p>
          <w:p w14:paraId="04970780">
            <w:pPr>
              <w:widowControl/>
              <w:spacing w:line="360" w:lineRule="auto"/>
              <w:jc w:val="left"/>
              <w:rPr>
                <w:rStyle w:val="123"/>
                <w:rFonts w:hint="default"/>
                <w:color w:val="auto"/>
                <w:sz w:val="21"/>
                <w:szCs w:val="21"/>
              </w:rPr>
            </w:pPr>
            <w:r>
              <w:rPr>
                <w:rStyle w:val="123"/>
                <w:rFonts w:hint="default"/>
                <w:color w:val="auto"/>
                <w:sz w:val="21"/>
                <w:szCs w:val="21"/>
              </w:rPr>
              <w:t>16.系统支持卷级别复制，能将卷进行本地或异地数据复制，且复制时支持快照复制，并自动管理快照生命周期。</w:t>
            </w:r>
          </w:p>
          <w:p w14:paraId="52AC6A9B">
            <w:pPr>
              <w:widowControl/>
              <w:spacing w:line="360" w:lineRule="auto"/>
              <w:jc w:val="left"/>
              <w:rPr>
                <w:rStyle w:val="123"/>
                <w:rFonts w:hint="default"/>
                <w:color w:val="auto"/>
                <w:sz w:val="21"/>
                <w:szCs w:val="21"/>
              </w:rPr>
            </w:pPr>
            <w:r>
              <w:rPr>
                <w:rStyle w:val="123"/>
                <w:rFonts w:hint="default"/>
                <w:color w:val="auto"/>
                <w:sz w:val="21"/>
                <w:szCs w:val="21"/>
              </w:rPr>
              <w:t>17.文件级同步和卷级别复制功能可以支持跨级别设备，能在低端-中端-高端平台，用于不同型号、不同档次的存储设备之间进行。</w:t>
            </w:r>
          </w:p>
          <w:p w14:paraId="3C0BA2A6">
            <w:pPr>
              <w:widowControl/>
              <w:spacing w:line="360" w:lineRule="auto"/>
              <w:jc w:val="left"/>
              <w:rPr>
                <w:rStyle w:val="123"/>
                <w:rFonts w:hint="default"/>
                <w:color w:val="auto"/>
                <w:sz w:val="21"/>
                <w:szCs w:val="21"/>
              </w:rPr>
            </w:pPr>
            <w:r>
              <w:rPr>
                <w:rStyle w:val="123"/>
                <w:rFonts w:hint="default"/>
                <w:color w:val="auto"/>
                <w:sz w:val="21"/>
                <w:szCs w:val="21"/>
              </w:rPr>
              <w:t>18.系统支持硬盘自动S.M.A.R.T.检测，能及时发现不稳定硬盘，并提示用户进行检查。</w:t>
            </w:r>
          </w:p>
          <w:p w14:paraId="0350BF25">
            <w:pPr>
              <w:widowControl/>
              <w:spacing w:line="360" w:lineRule="auto"/>
              <w:jc w:val="left"/>
              <w:rPr>
                <w:rStyle w:val="123"/>
                <w:rFonts w:hint="default"/>
                <w:color w:val="auto"/>
                <w:sz w:val="21"/>
                <w:szCs w:val="21"/>
              </w:rPr>
            </w:pPr>
            <w:r>
              <w:rPr>
                <w:rStyle w:val="123"/>
                <w:rFonts w:hint="default"/>
                <w:color w:val="auto"/>
                <w:sz w:val="21"/>
                <w:szCs w:val="21"/>
              </w:rPr>
              <w:t>19.系统支持同步数据写缓存，极大的提供小IO的同步写数据性能。</w:t>
            </w:r>
          </w:p>
          <w:p w14:paraId="444E258F">
            <w:pPr>
              <w:widowControl/>
              <w:spacing w:line="360" w:lineRule="auto"/>
              <w:jc w:val="left"/>
              <w:rPr>
                <w:rStyle w:val="123"/>
                <w:rFonts w:hint="default"/>
                <w:color w:val="auto"/>
                <w:sz w:val="21"/>
                <w:szCs w:val="21"/>
              </w:rPr>
            </w:pPr>
            <w:r>
              <w:rPr>
                <w:rStyle w:val="123"/>
                <w:rFonts w:hint="default"/>
                <w:color w:val="auto"/>
                <w:sz w:val="21"/>
                <w:szCs w:val="21"/>
              </w:rPr>
              <w:t>20.系统支持数据读缓存，极大的提高热点数据的读性能。</w:t>
            </w:r>
          </w:p>
          <w:p w14:paraId="62985D7A">
            <w:pPr>
              <w:widowControl/>
              <w:spacing w:line="360" w:lineRule="auto"/>
              <w:jc w:val="left"/>
              <w:rPr>
                <w:rStyle w:val="123"/>
                <w:rFonts w:hint="default"/>
                <w:color w:val="auto"/>
                <w:sz w:val="21"/>
                <w:szCs w:val="21"/>
              </w:rPr>
            </w:pPr>
            <w:r>
              <w:rPr>
                <w:rStyle w:val="123"/>
                <w:rFonts w:hint="default"/>
                <w:color w:val="auto"/>
                <w:sz w:val="21"/>
                <w:szCs w:val="21"/>
              </w:rPr>
              <w:t>21.系统支持去重缓存，提供高速空间用于保存重复数据删除索引数据。</w:t>
            </w:r>
          </w:p>
          <w:p w14:paraId="1409B7E5">
            <w:pPr>
              <w:widowControl/>
              <w:spacing w:line="360" w:lineRule="auto"/>
              <w:jc w:val="left"/>
              <w:rPr>
                <w:rStyle w:val="123"/>
                <w:rFonts w:hint="default"/>
                <w:color w:val="auto"/>
                <w:sz w:val="21"/>
                <w:szCs w:val="21"/>
              </w:rPr>
            </w:pPr>
            <w:r>
              <w:rPr>
                <w:rStyle w:val="123"/>
                <w:rFonts w:hint="default"/>
                <w:color w:val="auto"/>
                <w:sz w:val="21"/>
                <w:szCs w:val="21"/>
              </w:rPr>
              <w:t>22.系统支持基于处理器提供的AES功能提高SMB协议封包速度。</w:t>
            </w:r>
          </w:p>
          <w:p w14:paraId="0D47D76B">
            <w:pPr>
              <w:widowControl/>
              <w:spacing w:line="360" w:lineRule="auto"/>
              <w:jc w:val="left"/>
              <w:rPr>
                <w:rStyle w:val="123"/>
                <w:rFonts w:hint="default"/>
                <w:color w:val="auto"/>
                <w:sz w:val="21"/>
                <w:szCs w:val="21"/>
              </w:rPr>
            </w:pPr>
            <w:r>
              <w:rPr>
                <w:rStyle w:val="123"/>
                <w:rFonts w:hint="default"/>
                <w:color w:val="auto"/>
                <w:sz w:val="21"/>
                <w:szCs w:val="21"/>
              </w:rPr>
              <w:t>23.系统支持对驱动器、数据池进行自定义加密，保证用户的数据安全。</w:t>
            </w:r>
          </w:p>
          <w:p w14:paraId="6B2447C5">
            <w:pPr>
              <w:widowControl/>
              <w:spacing w:line="360" w:lineRule="auto"/>
              <w:jc w:val="left"/>
              <w:rPr>
                <w:rStyle w:val="123"/>
                <w:rFonts w:hint="default"/>
                <w:color w:val="auto"/>
                <w:sz w:val="21"/>
                <w:szCs w:val="21"/>
              </w:rPr>
            </w:pPr>
            <w:r>
              <w:rPr>
                <w:rStyle w:val="123"/>
                <w:rFonts w:hint="default"/>
                <w:color w:val="auto"/>
                <w:sz w:val="21"/>
                <w:szCs w:val="21"/>
              </w:rPr>
              <w:t>24.系统内置OpenVPN，支持基于VPN的安全网络接入。</w:t>
            </w:r>
          </w:p>
          <w:p w14:paraId="552AFC9A">
            <w:pPr>
              <w:widowControl/>
              <w:spacing w:line="360" w:lineRule="auto"/>
              <w:jc w:val="left"/>
              <w:rPr>
                <w:rStyle w:val="123"/>
                <w:rFonts w:hint="default"/>
                <w:color w:val="auto"/>
                <w:sz w:val="21"/>
                <w:szCs w:val="21"/>
              </w:rPr>
            </w:pPr>
            <w:r>
              <w:rPr>
                <w:rStyle w:val="123"/>
                <w:rFonts w:hint="default"/>
                <w:color w:val="auto"/>
                <w:sz w:val="21"/>
                <w:szCs w:val="21"/>
              </w:rPr>
              <w:t>25.系统内置UPS断电保护模块，能根据UPS状态或网络状态进行自动安全关机。</w:t>
            </w:r>
          </w:p>
          <w:p w14:paraId="77E960E7">
            <w:pPr>
              <w:widowControl/>
              <w:spacing w:line="360" w:lineRule="auto"/>
              <w:jc w:val="left"/>
              <w:rPr>
                <w:rStyle w:val="123"/>
                <w:rFonts w:hint="default"/>
                <w:color w:val="auto"/>
                <w:sz w:val="21"/>
                <w:szCs w:val="21"/>
              </w:rPr>
            </w:pPr>
            <w:r>
              <w:rPr>
                <w:rStyle w:val="123"/>
                <w:rFonts w:hint="default"/>
                <w:color w:val="auto"/>
                <w:sz w:val="21"/>
                <w:szCs w:val="21"/>
              </w:rPr>
              <w:t>26.系统内置蜂鸣器报警，支持出现告警时进行蜂鸣报警。</w:t>
            </w:r>
          </w:p>
          <w:p w14:paraId="37C2CF11">
            <w:pPr>
              <w:widowControl/>
              <w:spacing w:line="360" w:lineRule="auto"/>
              <w:jc w:val="left"/>
              <w:rPr>
                <w:rStyle w:val="123"/>
                <w:rFonts w:hint="default"/>
                <w:color w:val="auto"/>
                <w:sz w:val="21"/>
                <w:szCs w:val="21"/>
              </w:rPr>
            </w:pPr>
            <w:r>
              <w:rPr>
                <w:rStyle w:val="123"/>
                <w:rFonts w:hint="default"/>
                <w:color w:val="auto"/>
                <w:sz w:val="21"/>
                <w:szCs w:val="21"/>
              </w:rPr>
              <w:t>27.系统内置syslog日志推送，支持将系统日志推送到外部日志系统。</w:t>
            </w:r>
          </w:p>
          <w:p w14:paraId="5E6FBFE9">
            <w:pPr>
              <w:widowControl/>
              <w:spacing w:line="360" w:lineRule="auto"/>
              <w:jc w:val="left"/>
              <w:rPr>
                <w:rStyle w:val="123"/>
                <w:rFonts w:hint="default"/>
                <w:color w:val="auto"/>
                <w:sz w:val="21"/>
                <w:szCs w:val="21"/>
              </w:rPr>
            </w:pPr>
            <w:r>
              <w:rPr>
                <w:rStyle w:val="123"/>
                <w:rFonts w:hint="default"/>
                <w:color w:val="auto"/>
                <w:sz w:val="21"/>
                <w:szCs w:val="21"/>
              </w:rPr>
              <w:t>28.系统支持多用户数据云盘，提供了强大的文件管理及上传组件，支持对云盘文件进行分享、移动、复制、压缩等操作。功能丰富的上传任务管理器，支持目录上传、断点续传、并行上传、拖拽文件上传。</w:t>
            </w:r>
          </w:p>
          <w:p w14:paraId="606C5283">
            <w:pPr>
              <w:widowControl/>
              <w:spacing w:line="360" w:lineRule="auto"/>
              <w:jc w:val="left"/>
              <w:rPr>
                <w:rStyle w:val="123"/>
                <w:rFonts w:hint="default"/>
                <w:color w:val="auto"/>
                <w:sz w:val="21"/>
                <w:szCs w:val="21"/>
              </w:rPr>
            </w:pPr>
            <w:r>
              <w:rPr>
                <w:rStyle w:val="123"/>
                <w:rFonts w:hint="default"/>
                <w:color w:val="auto"/>
                <w:sz w:val="21"/>
                <w:szCs w:val="21"/>
              </w:rPr>
              <w:t>29.系统支持功能强大的虚拟化软件，能运行多种操作系统且支持GPU应用，能在单一硬件平台上整合运算、存储和网络资源，易于植入第三方的应用平台。</w:t>
            </w:r>
          </w:p>
          <w:p w14:paraId="7486D875">
            <w:pPr>
              <w:widowControl/>
              <w:spacing w:line="360" w:lineRule="auto"/>
              <w:jc w:val="left"/>
              <w:rPr>
                <w:rStyle w:val="123"/>
                <w:rFonts w:hint="default"/>
                <w:color w:val="auto"/>
                <w:sz w:val="21"/>
                <w:szCs w:val="21"/>
              </w:rPr>
            </w:pPr>
            <w:r>
              <w:rPr>
                <w:rStyle w:val="123"/>
                <w:rFonts w:hint="default"/>
                <w:color w:val="auto"/>
                <w:sz w:val="21"/>
                <w:szCs w:val="21"/>
              </w:rPr>
              <w:t>30.系统支持轻量级软件容器化解决方案，可提供如Nginx、Mysql、Gitlab等几乎无数的免费套件在 NAS 上无缝部署，易于接入第三方的容器平台；</w:t>
            </w:r>
          </w:p>
          <w:p w14:paraId="633E189B">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31.系统内置网盘程序。</w:t>
            </w:r>
          </w:p>
          <w:p w14:paraId="6FE9F567">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32.系统内置虚拟化程序，支持开虚拟机跑应用（如OA、数据库等）。</w:t>
            </w:r>
          </w:p>
          <w:p w14:paraId="03B69E6E">
            <w:pPr>
              <w:widowControl/>
              <w:spacing w:line="360" w:lineRule="auto"/>
              <w:jc w:val="left"/>
              <w:rPr>
                <w:rStyle w:val="123"/>
                <w:rFonts w:hint="default"/>
                <w:color w:val="auto"/>
                <w:sz w:val="21"/>
                <w:szCs w:val="21"/>
              </w:rPr>
            </w:pPr>
            <w:r>
              <w:rPr>
                <w:rFonts w:hint="eastAsia"/>
              </w:rPr>
              <w:t>▲</w:t>
            </w:r>
            <w:r>
              <w:rPr>
                <w:rStyle w:val="123"/>
                <w:rFonts w:hint="default"/>
                <w:color w:val="auto"/>
                <w:sz w:val="21"/>
                <w:szCs w:val="21"/>
              </w:rPr>
              <w:t>33.支持加密视频分享组件，可以在线分享加密视频，无法通过常用视频爬取软件下载。</w:t>
            </w:r>
          </w:p>
          <w:p w14:paraId="175F2D08">
            <w:pPr>
              <w:widowControl/>
              <w:spacing w:line="360" w:lineRule="auto"/>
              <w:jc w:val="left"/>
              <w:rPr>
                <w:rStyle w:val="123"/>
                <w:rFonts w:hint="default"/>
                <w:color w:val="auto"/>
                <w:sz w:val="21"/>
                <w:szCs w:val="21"/>
              </w:rPr>
            </w:pPr>
            <w:r>
              <w:rPr>
                <w:rStyle w:val="123"/>
                <w:rFonts w:hint="default"/>
                <w:color w:val="auto"/>
                <w:sz w:val="21"/>
                <w:szCs w:val="21"/>
              </w:rPr>
              <w:t>34.支持P2P文件同步功能，支持任意存储之间通过P2P技术进行异地数据同步。</w:t>
            </w:r>
          </w:p>
          <w:p w14:paraId="3B69CD50">
            <w:pPr>
              <w:tabs>
                <w:tab w:val="left" w:pos="180"/>
                <w:tab w:val="left" w:pos="1620"/>
              </w:tabs>
              <w:spacing w:line="360" w:lineRule="auto"/>
              <w:jc w:val="left"/>
              <w:rPr>
                <w:rFonts w:hint="eastAsia" w:ascii="宋体" w:hAnsi="宋体" w:cs="宋体"/>
                <w:szCs w:val="21"/>
              </w:rPr>
            </w:pPr>
            <w:r>
              <w:rPr>
                <w:rStyle w:val="123"/>
                <w:rFonts w:hint="default"/>
                <w:b/>
                <w:bCs/>
                <w:color w:val="auto"/>
                <w:sz w:val="21"/>
                <w:szCs w:val="21"/>
              </w:rPr>
              <w:t>35.投标时提供针对以上标有“▲”的功能参数的功能界面截图并加盖投标人公章。</w:t>
            </w:r>
          </w:p>
        </w:tc>
      </w:tr>
      <w:tr w14:paraId="45C37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37FBB5C">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34</w:t>
            </w:r>
          </w:p>
        </w:tc>
        <w:tc>
          <w:tcPr>
            <w:tcW w:w="850" w:type="dxa"/>
            <w:vAlign w:val="center"/>
          </w:tcPr>
          <w:p w14:paraId="097067DC">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固态移动硬盘</w:t>
            </w:r>
          </w:p>
        </w:tc>
        <w:tc>
          <w:tcPr>
            <w:tcW w:w="851" w:type="dxa"/>
            <w:vAlign w:val="center"/>
          </w:tcPr>
          <w:p w14:paraId="76897F8B">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5</w:t>
            </w:r>
          </w:p>
        </w:tc>
        <w:tc>
          <w:tcPr>
            <w:tcW w:w="708" w:type="dxa"/>
            <w:vAlign w:val="center"/>
          </w:tcPr>
          <w:p w14:paraId="385E2B12">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台</w:t>
            </w:r>
          </w:p>
        </w:tc>
        <w:tc>
          <w:tcPr>
            <w:tcW w:w="6928" w:type="dxa"/>
            <w:gridSpan w:val="3"/>
            <w:vAlign w:val="center"/>
          </w:tcPr>
          <w:p w14:paraId="609CBCBB">
            <w:pPr>
              <w:tabs>
                <w:tab w:val="left" w:pos="180"/>
                <w:tab w:val="left" w:pos="1620"/>
              </w:tabs>
              <w:spacing w:line="360" w:lineRule="auto"/>
              <w:jc w:val="left"/>
              <w:rPr>
                <w:rFonts w:hint="eastAsia" w:ascii="宋体" w:hAnsi="宋体" w:cs="宋体"/>
                <w:szCs w:val="21"/>
              </w:rPr>
            </w:pPr>
            <w:r>
              <w:rPr>
                <w:rStyle w:val="123"/>
                <w:rFonts w:hint="default"/>
                <w:color w:val="auto"/>
                <w:sz w:val="21"/>
                <w:szCs w:val="21"/>
              </w:rPr>
              <w:t>内存≥4T，传输速度2000MB/s及以上。</w:t>
            </w:r>
          </w:p>
        </w:tc>
      </w:tr>
      <w:tr w14:paraId="2090FB3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tcPr>
          <w:p w14:paraId="644FA8EF">
            <w:pPr>
              <w:spacing w:line="400" w:lineRule="exact"/>
              <w:rPr>
                <w:rFonts w:hint="eastAsia" w:ascii="宋体" w:hAnsi="宋体" w:cs="宋体"/>
                <w:szCs w:val="21"/>
              </w:rPr>
            </w:pPr>
            <w:r>
              <w:rPr>
                <w:rFonts w:hint="eastAsia" w:ascii="宋体" w:hAnsi="宋体" w:cs="宋体"/>
                <w:szCs w:val="21"/>
              </w:rPr>
              <w:t>▲</w:t>
            </w:r>
            <w:r>
              <w:rPr>
                <w:rFonts w:hint="eastAsia" w:ascii="宋体" w:hAnsi="宋体" w:cs="宋体"/>
                <w:b/>
                <w:szCs w:val="21"/>
              </w:rPr>
              <w:t>一、商务要求</w:t>
            </w:r>
          </w:p>
        </w:tc>
      </w:tr>
      <w:tr w14:paraId="3AA672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7624D130">
            <w:pPr>
              <w:spacing w:line="360" w:lineRule="auto"/>
              <w:jc w:val="center"/>
              <w:rPr>
                <w:rFonts w:hint="eastAsia" w:ascii="宋体" w:hAnsi="宋体" w:cs="宋体"/>
                <w:szCs w:val="21"/>
              </w:rPr>
            </w:pPr>
            <w:r>
              <w:rPr>
                <w:rFonts w:hint="eastAsia" w:ascii="宋体" w:hAnsi="宋体" w:cs="宋体"/>
                <w:kern w:val="0"/>
                <w:szCs w:val="21"/>
              </w:rPr>
              <w:t>合同签订期</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47A81660">
            <w:pPr>
              <w:spacing w:line="360" w:lineRule="auto"/>
              <w:jc w:val="left"/>
              <w:rPr>
                <w:rFonts w:hint="eastAsia" w:ascii="宋体" w:hAnsi="宋体" w:cs="宋体"/>
                <w:kern w:val="0"/>
                <w:szCs w:val="21"/>
              </w:rPr>
            </w:pPr>
            <w:r>
              <w:rPr>
                <w:rFonts w:hint="eastAsia" w:ascii="宋体" w:hAnsi="宋体"/>
                <w:szCs w:val="21"/>
              </w:rPr>
              <w:t>自中标通知书发出之日起25 日内</w:t>
            </w:r>
          </w:p>
        </w:tc>
      </w:tr>
      <w:tr w14:paraId="632C2AB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51D5E8F9">
            <w:pPr>
              <w:spacing w:line="400" w:lineRule="exact"/>
              <w:jc w:val="center"/>
              <w:rPr>
                <w:rFonts w:hint="eastAsia" w:ascii="宋体" w:hAnsi="宋体" w:cs="宋体"/>
                <w:szCs w:val="21"/>
              </w:rPr>
            </w:pPr>
            <w:r>
              <w:rPr>
                <w:rFonts w:ascii="宋体" w:hAnsi="宋体"/>
                <w:kern w:val="0"/>
                <w:szCs w:val="21"/>
              </w:rPr>
              <w:t>交货期</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4BA5749E">
            <w:pPr>
              <w:spacing w:line="400" w:lineRule="exact"/>
              <w:rPr>
                <w:rFonts w:hint="eastAsia" w:ascii="宋体" w:hAnsi="宋体" w:cs="宋体"/>
                <w:szCs w:val="21"/>
              </w:rPr>
            </w:pPr>
            <w:r>
              <w:rPr>
                <w:rFonts w:hint="eastAsia" w:ascii="宋体" w:hAnsi="宋体"/>
                <w:kern w:val="0"/>
                <w:szCs w:val="21"/>
              </w:rPr>
              <w:t>自合同签订之日起30天内全部货物交货验收并安装调试完毕。</w:t>
            </w:r>
          </w:p>
        </w:tc>
      </w:tr>
      <w:tr w14:paraId="2AD381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03D23BCB">
            <w:pPr>
              <w:spacing w:line="400" w:lineRule="exact"/>
              <w:jc w:val="center"/>
              <w:rPr>
                <w:rFonts w:hint="eastAsia" w:ascii="宋体" w:hAnsi="宋体" w:cs="宋体"/>
                <w:szCs w:val="21"/>
              </w:rPr>
            </w:pPr>
            <w:r>
              <w:rPr>
                <w:rFonts w:hint="eastAsia" w:ascii="宋体" w:hAnsi="宋体"/>
                <w:szCs w:val="21"/>
              </w:rPr>
              <w:t>交付设备生产日期</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228012A4">
            <w:pPr>
              <w:spacing w:line="400" w:lineRule="exact"/>
              <w:rPr>
                <w:rFonts w:hint="eastAsia" w:ascii="宋体" w:hAnsi="宋体" w:cs="宋体"/>
                <w:szCs w:val="21"/>
              </w:rPr>
            </w:pPr>
            <w:r>
              <w:rPr>
                <w:rFonts w:hint="eastAsia" w:ascii="宋体" w:hAnsi="宋体"/>
                <w:szCs w:val="21"/>
              </w:rPr>
              <w:t>应当为交付时间前1年内生产。</w:t>
            </w:r>
          </w:p>
        </w:tc>
      </w:tr>
      <w:tr w14:paraId="3F58808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48463E6A">
            <w:pPr>
              <w:spacing w:line="400" w:lineRule="exact"/>
              <w:jc w:val="center"/>
              <w:rPr>
                <w:rFonts w:hint="eastAsia" w:ascii="宋体" w:hAnsi="宋体" w:cs="宋体"/>
                <w:szCs w:val="21"/>
              </w:rPr>
            </w:pPr>
            <w:r>
              <w:rPr>
                <w:rFonts w:ascii="宋体" w:hAnsi="宋体"/>
                <w:kern w:val="0"/>
                <w:szCs w:val="21"/>
              </w:rPr>
              <w:t>交货地点</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29DE9770">
            <w:pPr>
              <w:spacing w:line="400" w:lineRule="exact"/>
              <w:rPr>
                <w:rFonts w:hint="eastAsia" w:ascii="宋体" w:hAnsi="宋体" w:cs="宋体"/>
                <w:szCs w:val="21"/>
              </w:rPr>
            </w:pPr>
            <w:r>
              <w:rPr>
                <w:rFonts w:hint="eastAsia" w:ascii="宋体" w:hAnsi="宋体"/>
                <w:szCs w:val="21"/>
              </w:rPr>
              <w:t>广西艺术学院指定地点</w:t>
            </w:r>
          </w:p>
        </w:tc>
      </w:tr>
      <w:tr w14:paraId="75E155C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297A60E4">
            <w:pPr>
              <w:spacing w:line="400" w:lineRule="exact"/>
              <w:jc w:val="center"/>
              <w:rPr>
                <w:rFonts w:hint="eastAsia" w:ascii="宋体" w:hAnsi="宋体" w:cs="宋体"/>
                <w:szCs w:val="21"/>
              </w:rPr>
            </w:pPr>
            <w:r>
              <w:rPr>
                <w:rFonts w:ascii="宋体" w:hAnsi="宋体"/>
                <w:kern w:val="0"/>
                <w:szCs w:val="21"/>
              </w:rPr>
              <w:t>交货方式</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69C5ED67">
            <w:pPr>
              <w:spacing w:line="400" w:lineRule="exact"/>
              <w:rPr>
                <w:rFonts w:hint="eastAsia" w:ascii="宋体" w:hAnsi="宋体" w:cs="宋体"/>
                <w:szCs w:val="21"/>
              </w:rPr>
            </w:pPr>
            <w:r>
              <w:rPr>
                <w:rFonts w:ascii="宋体" w:hAnsi="宋体"/>
                <w:kern w:val="0"/>
                <w:szCs w:val="21"/>
              </w:rPr>
              <w:t>现场交货</w:t>
            </w:r>
          </w:p>
        </w:tc>
      </w:tr>
      <w:tr w14:paraId="0591051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1CAF0E1F">
            <w:pPr>
              <w:spacing w:line="400" w:lineRule="exact"/>
              <w:jc w:val="center"/>
              <w:rPr>
                <w:rFonts w:hint="eastAsia" w:ascii="宋体" w:hAnsi="宋体" w:cs="宋体"/>
                <w:szCs w:val="21"/>
              </w:rPr>
            </w:pPr>
            <w:r>
              <w:rPr>
                <w:rFonts w:ascii="宋体" w:hAnsi="宋体"/>
                <w:kern w:val="0"/>
                <w:szCs w:val="21"/>
              </w:rPr>
              <w:t>售后服务要求</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4025663F">
            <w:pPr>
              <w:spacing w:line="400" w:lineRule="exact"/>
              <w:rPr>
                <w:rFonts w:hint="eastAsia" w:ascii="宋体" w:hAnsi="宋体"/>
                <w:szCs w:val="21"/>
              </w:rPr>
            </w:pPr>
            <w:r>
              <w:rPr>
                <w:rFonts w:hint="eastAsia" w:ascii="宋体" w:hAnsi="宋体"/>
                <w:szCs w:val="21"/>
              </w:rPr>
              <w:t>1.质保期：除采购项目需求的“技术要求”中另有约定外，其余产品按国家有关产品“三包”规定执行“三包”，质保期最短不得少于1年。若产品生产厂家质保期超过此年限的，合同履行过程中按厂家质保执行；若中标供应商质保期承诺优于产品生产厂家质保年限的，以中标供应商承诺执行。质保期内负责上门服务、维修、更换配件，不得收取任何费用。（自双方验收合格之日起计）。</w:t>
            </w:r>
          </w:p>
          <w:p w14:paraId="5064DABE">
            <w:pPr>
              <w:spacing w:line="400" w:lineRule="exact"/>
              <w:rPr>
                <w:rFonts w:hint="eastAsia" w:ascii="宋体" w:hAnsi="宋体"/>
                <w:szCs w:val="21"/>
              </w:rPr>
            </w:pPr>
            <w:r>
              <w:rPr>
                <w:rFonts w:hint="eastAsia" w:ascii="宋体" w:hAnsi="宋体"/>
                <w:szCs w:val="21"/>
              </w:rPr>
              <w:t>2.负责送货到采购人指定地点，协助采购人进行安装场地设计，负责安装、调试，安装应符合国家行业相关标准、规范及规定。</w:t>
            </w:r>
          </w:p>
          <w:p w14:paraId="3D9E3444">
            <w:pPr>
              <w:spacing w:line="400" w:lineRule="exact"/>
              <w:rPr>
                <w:rFonts w:hint="eastAsia" w:ascii="宋体" w:hAnsi="宋体"/>
                <w:szCs w:val="21"/>
              </w:rPr>
            </w:pPr>
            <w:r>
              <w:rPr>
                <w:rFonts w:hint="eastAsia" w:ascii="宋体" w:hAnsi="宋体"/>
                <w:szCs w:val="21"/>
              </w:rPr>
              <w:t>3.质保期内为采购人提供完善的设备、操作培训和维修技术人员的培训，确保采购人有关人员能独立操作使用设备；培训人数由采购人确定。</w:t>
            </w:r>
          </w:p>
          <w:p w14:paraId="2CC86270">
            <w:pPr>
              <w:spacing w:line="400" w:lineRule="exact"/>
              <w:rPr>
                <w:rFonts w:hint="eastAsia" w:ascii="宋体" w:hAnsi="宋体"/>
                <w:szCs w:val="21"/>
              </w:rPr>
            </w:pPr>
            <w:r>
              <w:rPr>
                <w:rFonts w:hint="eastAsia" w:ascii="宋体" w:hAnsi="宋体"/>
                <w:szCs w:val="21"/>
              </w:rPr>
              <w:t>4.设备安装调试期间采购人及中标人双方必须安排人员到场，采购人只负责协调及监督工作，中标人应当安排足够人员到场负责进行装卸、调试。清理装机产生的木箱等工作；</w:t>
            </w:r>
          </w:p>
          <w:p w14:paraId="5C949DD4">
            <w:pPr>
              <w:spacing w:line="400" w:lineRule="exact"/>
              <w:rPr>
                <w:rFonts w:hint="eastAsia" w:ascii="宋体" w:hAnsi="宋体"/>
                <w:szCs w:val="21"/>
              </w:rPr>
            </w:pPr>
            <w:r>
              <w:rPr>
                <w:rFonts w:hint="eastAsia" w:ascii="宋体" w:hAnsi="宋体"/>
                <w:szCs w:val="21"/>
              </w:rPr>
              <w:t>5.故障响应时间：设备在使用过程中发生质量问题，中标人技术人员在接到采购人通知后12小时响应，24小时内到达采购人现场解决处理。</w:t>
            </w:r>
          </w:p>
          <w:p w14:paraId="072A927F">
            <w:pPr>
              <w:spacing w:line="400" w:lineRule="exact"/>
              <w:rPr>
                <w:rFonts w:hint="eastAsia" w:ascii="宋体" w:hAnsi="宋体"/>
                <w:szCs w:val="21"/>
              </w:rPr>
            </w:pPr>
            <w:r>
              <w:rPr>
                <w:rFonts w:hint="eastAsia" w:ascii="宋体" w:hAnsi="宋体"/>
                <w:szCs w:val="21"/>
              </w:rPr>
              <w:t>6.每半年至少进行一次定期回访以及对设备保养。</w:t>
            </w:r>
          </w:p>
          <w:p w14:paraId="463E8A01">
            <w:pPr>
              <w:spacing w:line="400" w:lineRule="exact"/>
              <w:rPr>
                <w:rFonts w:hint="eastAsia" w:ascii="宋体" w:hAnsi="宋体" w:cs="宋体"/>
                <w:szCs w:val="21"/>
              </w:rPr>
            </w:pPr>
            <w:r>
              <w:rPr>
                <w:rFonts w:hint="eastAsia" w:ascii="宋体" w:hAnsi="宋体"/>
                <w:szCs w:val="21"/>
              </w:rPr>
              <w:t>7.投标人应保证提供的是全新未经使用的合格产品。</w:t>
            </w:r>
          </w:p>
        </w:tc>
      </w:tr>
      <w:tr w14:paraId="3DBF09D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5144DF80">
            <w:pPr>
              <w:spacing w:line="360" w:lineRule="auto"/>
              <w:jc w:val="center"/>
              <w:rPr>
                <w:rFonts w:hint="eastAsia" w:ascii="宋体" w:hAnsi="宋体" w:cs="宋体"/>
                <w:szCs w:val="21"/>
              </w:rPr>
            </w:pPr>
            <w:r>
              <w:rPr>
                <w:rFonts w:hint="eastAsia" w:ascii="宋体" w:hAnsi="宋体" w:cs="宋体"/>
                <w:szCs w:val="21"/>
              </w:rPr>
              <w:t>付款条件</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30CEFEA0">
            <w:pPr>
              <w:adjustRightInd w:val="0"/>
              <w:snapToGrid w:val="0"/>
              <w:spacing w:line="360" w:lineRule="auto"/>
              <w:rPr>
                <w:rFonts w:hint="eastAsia" w:ascii="宋体" w:hAnsi="宋体" w:cs="宋体"/>
                <w:szCs w:val="21"/>
              </w:rPr>
            </w:pPr>
            <w:r>
              <w:rPr>
                <w:rFonts w:hint="eastAsia" w:ascii="宋体" w:hAnsi="宋体" w:cs="宋体"/>
                <w:szCs w:val="21"/>
              </w:rPr>
              <w:t>1.预付款：签订合同之日起10个工作日内，中标人开具合同总价款的 30%的等额价值保函(保函有效期应在</w:t>
            </w:r>
            <w:r>
              <w:rPr>
                <w:rFonts w:hint="eastAsia" w:ascii="宋体" w:hAnsi="宋体" w:cs="宋体"/>
                <w:szCs w:val="21"/>
                <w:lang w:eastAsia="zh-CN"/>
              </w:rPr>
              <w:t>2025年12月31日后</w:t>
            </w:r>
            <w:r>
              <w:rPr>
                <w:rFonts w:hint="eastAsia" w:ascii="宋体" w:hAnsi="宋体" w:cs="宋体"/>
                <w:szCs w:val="21"/>
              </w:rPr>
              <w:t>)给采购人后，采购人支付合同总价款的30%作为预付款。</w:t>
            </w:r>
          </w:p>
          <w:p w14:paraId="1327A1BA">
            <w:pPr>
              <w:adjustRightInd w:val="0"/>
              <w:snapToGrid w:val="0"/>
              <w:spacing w:line="360" w:lineRule="auto"/>
              <w:rPr>
                <w:rFonts w:hint="eastAsia" w:ascii="宋体" w:hAnsi="宋体" w:cs="宋体"/>
                <w:szCs w:val="21"/>
              </w:rPr>
            </w:pPr>
            <w:r>
              <w:rPr>
                <w:rFonts w:hint="eastAsia" w:ascii="宋体" w:hAnsi="宋体" w:cs="宋体"/>
                <w:szCs w:val="21"/>
              </w:rPr>
              <w:t>2.进度款：全部设备到货后，经采购人确认后在十个工作日内向中标人付款方式支付合同价款的50%；所有货物安装调试完成、试运行正常且验收合格，并经采购人确认后，在十个工作日内向中标人支付合同价款的20%。</w:t>
            </w:r>
          </w:p>
          <w:p w14:paraId="4D01F6BA">
            <w:pPr>
              <w:adjustRightInd w:val="0"/>
              <w:snapToGrid w:val="0"/>
              <w:spacing w:line="360" w:lineRule="auto"/>
              <w:rPr>
                <w:rFonts w:hint="eastAsia" w:ascii="宋体" w:hAnsi="宋体" w:cs="宋体"/>
                <w:szCs w:val="21"/>
              </w:rPr>
            </w:pPr>
            <w:r>
              <w:rPr>
                <w:rFonts w:hint="eastAsia" w:ascii="宋体" w:hAnsi="宋体" w:cs="宋体"/>
                <w:szCs w:val="21"/>
              </w:rPr>
              <w:t>3.以上各项付款以采购人预算资金实际到位情况为准。</w:t>
            </w:r>
          </w:p>
          <w:p w14:paraId="7101D5FF">
            <w:pPr>
              <w:adjustRightInd w:val="0"/>
              <w:snapToGrid w:val="0"/>
              <w:spacing w:line="360" w:lineRule="auto"/>
              <w:rPr>
                <w:rFonts w:hint="eastAsia" w:ascii="宋体" w:hAnsi="宋体" w:cs="宋体"/>
                <w:szCs w:val="21"/>
              </w:rPr>
            </w:pPr>
            <w:r>
              <w:rPr>
                <w:rFonts w:hint="eastAsia" w:ascii="宋体" w:hAnsi="宋体" w:cs="宋体"/>
                <w:szCs w:val="21"/>
              </w:rPr>
              <w:t>4.以上各项付款所需凭证将在签订合同时做具体规定。</w:t>
            </w:r>
          </w:p>
        </w:tc>
      </w:tr>
      <w:tr w14:paraId="6C2A0A5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0FAE5459">
            <w:pPr>
              <w:spacing w:line="400" w:lineRule="exact"/>
              <w:jc w:val="center"/>
              <w:rPr>
                <w:rFonts w:hint="eastAsia" w:ascii="宋体" w:hAnsi="宋体" w:cs="宋体"/>
                <w:szCs w:val="21"/>
              </w:rPr>
            </w:pPr>
            <w:r>
              <w:rPr>
                <w:rFonts w:hint="eastAsia" w:ascii="宋体" w:hAnsi="宋体"/>
                <w:kern w:val="0"/>
                <w:szCs w:val="21"/>
              </w:rPr>
              <w:t>投标报价</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4BEA9125">
            <w:pPr>
              <w:spacing w:line="400" w:lineRule="exact"/>
              <w:rPr>
                <w:rFonts w:hint="eastAsia" w:ascii="宋体" w:hAnsi="宋体"/>
                <w:szCs w:val="21"/>
              </w:rPr>
            </w:pPr>
            <w:r>
              <w:rPr>
                <w:rFonts w:hint="eastAsia" w:ascii="宋体" w:hAnsi="宋体"/>
                <w:szCs w:val="21"/>
              </w:rPr>
              <w:t>投标总报价为现场交货价，包括：</w:t>
            </w:r>
          </w:p>
          <w:p w14:paraId="5D104C24">
            <w:pPr>
              <w:spacing w:line="400" w:lineRule="exact"/>
              <w:rPr>
                <w:rFonts w:hint="eastAsia" w:ascii="宋体" w:hAnsi="宋体"/>
                <w:szCs w:val="21"/>
              </w:rPr>
            </w:pPr>
            <w:r>
              <w:rPr>
                <w:rFonts w:hint="eastAsia" w:ascii="宋体" w:hAnsi="宋体"/>
                <w:szCs w:val="21"/>
              </w:rPr>
              <w:t>（1）货物的价格；</w:t>
            </w:r>
          </w:p>
          <w:p w14:paraId="0D561A7A">
            <w:pPr>
              <w:spacing w:line="400" w:lineRule="exact"/>
              <w:rPr>
                <w:rFonts w:hint="eastAsia" w:ascii="宋体" w:hAnsi="宋体"/>
                <w:szCs w:val="21"/>
              </w:rPr>
            </w:pPr>
            <w:r>
              <w:rPr>
                <w:rFonts w:hint="eastAsia" w:ascii="宋体" w:hAnsi="宋体"/>
                <w:szCs w:val="21"/>
              </w:rPr>
              <w:t>（2）货物的标准附件、备品备件、专用工具的价格；</w:t>
            </w:r>
          </w:p>
          <w:p w14:paraId="2DD924F5">
            <w:pPr>
              <w:spacing w:line="400" w:lineRule="exact"/>
              <w:rPr>
                <w:rFonts w:hint="eastAsia" w:ascii="宋体" w:hAnsi="宋体"/>
                <w:szCs w:val="21"/>
              </w:rPr>
            </w:pPr>
            <w:r>
              <w:rPr>
                <w:rFonts w:hint="eastAsia" w:ascii="宋体" w:hAnsi="宋体"/>
                <w:szCs w:val="21"/>
              </w:rPr>
              <w:t>（3）运输、调试、培训、技术支持、售后服务等费用；</w:t>
            </w:r>
          </w:p>
          <w:p w14:paraId="47193787">
            <w:pPr>
              <w:spacing w:line="400" w:lineRule="exact"/>
              <w:rPr>
                <w:rFonts w:hint="eastAsia" w:ascii="宋体" w:hAnsi="宋体"/>
                <w:szCs w:val="21"/>
              </w:rPr>
            </w:pPr>
            <w:r>
              <w:rPr>
                <w:rFonts w:hint="eastAsia" w:ascii="宋体" w:hAnsi="宋体"/>
                <w:szCs w:val="21"/>
              </w:rPr>
              <w:t>（4）安装费用；</w:t>
            </w:r>
          </w:p>
          <w:p w14:paraId="593251AC">
            <w:pPr>
              <w:spacing w:line="400" w:lineRule="exact"/>
              <w:rPr>
                <w:rFonts w:hint="eastAsia" w:ascii="宋体" w:hAnsi="宋体"/>
                <w:szCs w:val="21"/>
              </w:rPr>
            </w:pPr>
            <w:r>
              <w:rPr>
                <w:rFonts w:hint="eastAsia" w:ascii="宋体" w:hAnsi="宋体"/>
                <w:szCs w:val="21"/>
              </w:rPr>
              <w:t>（5）招标代理服务费、必要的保险费用和各项税费。</w:t>
            </w:r>
          </w:p>
        </w:tc>
      </w:tr>
      <w:tr w14:paraId="333D27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1D607A58">
            <w:pPr>
              <w:spacing w:line="400" w:lineRule="exact"/>
              <w:jc w:val="center"/>
              <w:rPr>
                <w:rFonts w:hint="eastAsia" w:ascii="宋体" w:hAnsi="宋体"/>
                <w:kern w:val="0"/>
                <w:szCs w:val="21"/>
              </w:rPr>
            </w:pPr>
            <w:r>
              <w:rPr>
                <w:rFonts w:ascii="宋体" w:hAnsi="宋体"/>
                <w:kern w:val="0"/>
                <w:szCs w:val="21"/>
              </w:rPr>
              <w:t>履约保证金</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5FFB831B">
            <w:pPr>
              <w:spacing w:line="400" w:lineRule="exact"/>
              <w:rPr>
                <w:rFonts w:hint="eastAsia" w:ascii="宋体" w:hAnsi="宋体"/>
                <w:szCs w:val="21"/>
              </w:rPr>
            </w:pPr>
            <w:r>
              <w:rPr>
                <w:rFonts w:hint="eastAsia" w:ascii="宋体" w:hAnsi="宋体"/>
                <w:szCs w:val="21"/>
              </w:rPr>
              <w:t>为使中标人保证货物和服务质量，中标人在签订合同前向采购人交纳合同总金额5%（中小企业2%）的履约保证金。</w:t>
            </w:r>
          </w:p>
          <w:p w14:paraId="44261F1D">
            <w:pPr>
              <w:spacing w:line="400" w:lineRule="exact"/>
              <w:rPr>
                <w:rFonts w:hint="eastAsia" w:ascii="宋体" w:hAnsi="宋体"/>
                <w:szCs w:val="21"/>
              </w:rPr>
            </w:pPr>
            <w:r>
              <w:rPr>
                <w:rFonts w:hint="eastAsia" w:ascii="宋体" w:hAnsi="宋体"/>
                <w:szCs w:val="21"/>
              </w:rPr>
              <w:t>中标人按合同要求完全履约，项目验收合格后，待中标人履行完质保义务且无违约情况下后由采购人无息退还。合同履行期间，中标人存在违约的，采购人有权从履约保证金中先行抵扣，不足部分由中标人另行支付，采购人直接从履约保证金中扣除的，中标人应于接到采购人补足履约保证金通知之日起3个工作日内补足。</w:t>
            </w:r>
          </w:p>
          <w:p w14:paraId="61E4BA94">
            <w:pPr>
              <w:spacing w:line="400" w:lineRule="exact"/>
              <w:rPr>
                <w:rFonts w:hint="eastAsia" w:ascii="宋体" w:hAnsi="宋体"/>
                <w:szCs w:val="21"/>
              </w:rPr>
            </w:pPr>
            <w:r>
              <w:rPr>
                <w:rFonts w:hint="eastAsia" w:ascii="宋体" w:hAnsi="宋体"/>
                <w:szCs w:val="21"/>
              </w:rPr>
              <w:t>注：符合《 广西壮族自治区财政厅关于规范政府采购货物和服务项目保证金管理的通知》桂财规〔2022〕8号文件要求的，按照相关要求执行。</w:t>
            </w:r>
          </w:p>
          <w:p w14:paraId="687F9735">
            <w:pPr>
              <w:spacing w:line="400" w:lineRule="exact"/>
              <w:rPr>
                <w:rFonts w:hint="eastAsia" w:ascii="宋体" w:hAnsi="宋体"/>
                <w:szCs w:val="21"/>
              </w:rPr>
            </w:pPr>
            <w:r>
              <w:rPr>
                <w:rFonts w:hint="eastAsia" w:ascii="宋体" w:hAnsi="宋体"/>
                <w:szCs w:val="21"/>
              </w:rPr>
              <w:t>履约保证金提交方式：银行转账、支票、汇票等非现金方式。</w:t>
            </w:r>
          </w:p>
          <w:p w14:paraId="20213818">
            <w:pPr>
              <w:spacing w:line="400" w:lineRule="exact"/>
              <w:rPr>
                <w:rFonts w:hint="eastAsia" w:ascii="宋体" w:hAnsi="宋体"/>
                <w:szCs w:val="21"/>
              </w:rPr>
            </w:pPr>
            <w:r>
              <w:rPr>
                <w:rFonts w:hint="eastAsia" w:ascii="宋体" w:hAnsi="宋体"/>
                <w:szCs w:val="21"/>
              </w:rPr>
              <w:t>履约保证金指定账户：</w:t>
            </w:r>
          </w:p>
          <w:p w14:paraId="518A8058">
            <w:pPr>
              <w:spacing w:line="400" w:lineRule="exact"/>
              <w:rPr>
                <w:rFonts w:hint="eastAsia" w:ascii="宋体" w:hAnsi="宋体"/>
                <w:szCs w:val="21"/>
              </w:rPr>
            </w:pPr>
            <w:r>
              <w:rPr>
                <w:rFonts w:hint="eastAsia" w:ascii="宋体" w:hAnsi="宋体"/>
                <w:szCs w:val="21"/>
              </w:rPr>
              <w:t xml:space="preserve">开户名称：广西艺术学院    </w:t>
            </w:r>
          </w:p>
          <w:p w14:paraId="7BBFF994">
            <w:pPr>
              <w:spacing w:line="400" w:lineRule="exact"/>
              <w:rPr>
                <w:rFonts w:hint="eastAsia" w:ascii="宋体" w:hAnsi="宋体"/>
                <w:szCs w:val="21"/>
              </w:rPr>
            </w:pPr>
            <w:r>
              <w:rPr>
                <w:rFonts w:hint="eastAsia" w:ascii="宋体" w:hAnsi="宋体"/>
                <w:szCs w:val="21"/>
              </w:rPr>
              <w:t xml:space="preserve">开户银行：建行南宁市桃源支行    </w:t>
            </w:r>
          </w:p>
          <w:p w14:paraId="5DA0516F">
            <w:pPr>
              <w:spacing w:line="400" w:lineRule="exact"/>
              <w:rPr>
                <w:rFonts w:hint="eastAsia" w:ascii="宋体" w:hAnsi="宋体"/>
                <w:szCs w:val="21"/>
              </w:rPr>
            </w:pPr>
            <w:r>
              <w:rPr>
                <w:rFonts w:hint="eastAsia" w:ascii="宋体" w:hAnsi="宋体"/>
                <w:szCs w:val="21"/>
              </w:rPr>
              <w:t xml:space="preserve">银行账号：45001604559050500909     </w:t>
            </w:r>
          </w:p>
          <w:p w14:paraId="69C0FA83">
            <w:pPr>
              <w:spacing w:line="400" w:lineRule="exact"/>
              <w:rPr>
                <w:rFonts w:hint="eastAsia" w:ascii="宋体" w:hAnsi="宋体"/>
                <w:szCs w:val="21"/>
              </w:rPr>
            </w:pPr>
            <w:r>
              <w:rPr>
                <w:rFonts w:hint="eastAsia" w:ascii="宋体" w:hAnsi="宋体"/>
                <w:szCs w:val="21"/>
              </w:rPr>
              <w:t>备注：</w:t>
            </w:r>
          </w:p>
          <w:p w14:paraId="3AB2959E">
            <w:pPr>
              <w:spacing w:line="400" w:lineRule="exact"/>
              <w:rPr>
                <w:rFonts w:hint="eastAsia" w:ascii="宋体" w:hAnsi="宋体"/>
                <w:szCs w:val="21"/>
              </w:rPr>
            </w:pPr>
            <w:r>
              <w:rPr>
                <w:rFonts w:hint="eastAsia" w:ascii="宋体" w:hAnsi="宋体"/>
                <w:szCs w:val="21"/>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0FF1BC92">
            <w:pPr>
              <w:spacing w:line="400" w:lineRule="exact"/>
              <w:rPr>
                <w:rFonts w:hint="eastAsia" w:ascii="宋体" w:hAnsi="宋体"/>
                <w:szCs w:val="21"/>
              </w:rPr>
            </w:pPr>
            <w:r>
              <w:rPr>
                <w:rFonts w:hint="eastAsia" w:ascii="宋体" w:hAnsi="宋体"/>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962ED32">
            <w:pPr>
              <w:spacing w:line="400" w:lineRule="exact"/>
              <w:rPr>
                <w:rFonts w:hint="eastAsia" w:ascii="宋体" w:hAnsi="宋体"/>
                <w:szCs w:val="21"/>
              </w:rPr>
            </w:pPr>
            <w:r>
              <w:rPr>
                <w:rFonts w:hint="eastAsia" w:ascii="宋体" w:hAnsi="宋体"/>
                <w:szCs w:val="21"/>
              </w:rPr>
              <w:t>3.采用金融、担保机构出具的保函的，必须为无条件保函，否则不予签订合同。</w:t>
            </w:r>
          </w:p>
        </w:tc>
      </w:tr>
      <w:tr w14:paraId="16A14E9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4B07E77E">
            <w:pPr>
              <w:spacing w:line="360" w:lineRule="auto"/>
              <w:jc w:val="center"/>
              <w:rPr>
                <w:rFonts w:hint="eastAsia" w:ascii="宋体" w:hAnsi="宋体" w:cs="宋体"/>
                <w:szCs w:val="21"/>
              </w:rPr>
            </w:pPr>
            <w:r>
              <w:rPr>
                <w:rFonts w:hint="eastAsia" w:ascii="宋体" w:hAnsi="宋体" w:cs="宋体"/>
                <w:szCs w:val="21"/>
              </w:rPr>
              <w:t>知识产权</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06906835">
            <w:pPr>
              <w:spacing w:line="360" w:lineRule="auto"/>
              <w:rPr>
                <w:rFonts w:hint="eastAsia" w:ascii="宋体" w:hAnsi="宋体" w:cs="宋体"/>
                <w:szCs w:val="21"/>
              </w:rPr>
            </w:pPr>
            <w:r>
              <w:rPr>
                <w:rFonts w:hint="eastAsia" w:ascii="宋体" w:hAnsi="宋体" w:cs="宋体"/>
                <w:szCs w:val="21"/>
              </w:rPr>
              <w:t>供应商应对投标承诺内容及服务成果所涉及的专利、著作权等知识产权承担责任，并负责保护用户的利益不受任何损害。一切由于文字、商标、技术和软件专利授权引起的法律裁决、诉讼和赔偿费用均由供应商负责。所使用的设备、材料须符合国家有关标准要求。</w:t>
            </w:r>
          </w:p>
        </w:tc>
      </w:tr>
      <w:tr w14:paraId="59A45D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4BF834A7">
            <w:pPr>
              <w:spacing w:line="400" w:lineRule="exact"/>
              <w:rPr>
                <w:rFonts w:hint="eastAsia" w:ascii="宋体" w:hAnsi="宋体" w:cs="宋体"/>
                <w:b/>
                <w:bCs/>
                <w:szCs w:val="21"/>
              </w:rPr>
            </w:pPr>
            <w:r>
              <w:rPr>
                <w:rFonts w:hint="eastAsia" w:ascii="宋体" w:hAnsi="宋体" w:cs="宋体"/>
                <w:b/>
                <w:bCs/>
                <w:szCs w:val="21"/>
              </w:rPr>
              <w:t>二、与实现项目目标相关的其他要求</w:t>
            </w:r>
          </w:p>
        </w:tc>
      </w:tr>
      <w:tr w14:paraId="3C370C7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2D99FCC0">
            <w:pPr>
              <w:spacing w:line="400" w:lineRule="exact"/>
              <w:rPr>
                <w:rFonts w:hint="eastAsia" w:ascii="宋体" w:hAnsi="宋体" w:cs="宋体"/>
                <w:b/>
                <w:szCs w:val="21"/>
              </w:rPr>
            </w:pPr>
            <w:r>
              <w:rPr>
                <w:rFonts w:hint="eastAsia" w:ascii="宋体" w:hAnsi="宋体" w:cs="宋体"/>
                <w:b/>
                <w:szCs w:val="21"/>
              </w:rPr>
              <w:t>（一）供应商的履约能力要求</w:t>
            </w:r>
          </w:p>
        </w:tc>
      </w:tr>
      <w:tr w14:paraId="3833A4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7DD1D263">
            <w:pPr>
              <w:spacing w:line="400" w:lineRule="exact"/>
              <w:rPr>
                <w:rFonts w:hint="eastAsia" w:ascii="宋体" w:hAnsi="宋体" w:cs="宋体"/>
                <w:b/>
                <w:szCs w:val="21"/>
              </w:rPr>
            </w:pPr>
            <w:r>
              <w:rPr>
                <w:rFonts w:ascii="宋体" w:hAnsi="宋体"/>
                <w:bCs/>
                <w:szCs w:val="21"/>
              </w:rPr>
              <w:t>质量管理、企业信用要求</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2E584AFD">
            <w:pPr>
              <w:spacing w:line="400" w:lineRule="exact"/>
              <w:rPr>
                <w:rFonts w:hint="eastAsia" w:ascii="宋体" w:hAnsi="宋体" w:cs="宋体"/>
                <w:szCs w:val="21"/>
              </w:rPr>
            </w:pPr>
            <w:r>
              <w:rPr>
                <w:rFonts w:ascii="宋体" w:hAnsi="宋体"/>
                <w:bCs/>
                <w:szCs w:val="21"/>
              </w:rPr>
              <w:t>见本招标文件“评标办法及评分标准”。</w:t>
            </w:r>
          </w:p>
        </w:tc>
      </w:tr>
      <w:tr w14:paraId="5776E0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667EF964">
            <w:pPr>
              <w:spacing w:line="400" w:lineRule="exact"/>
              <w:rPr>
                <w:rFonts w:hint="eastAsia" w:ascii="宋体" w:hAnsi="宋体" w:cs="宋体"/>
                <w:b/>
                <w:szCs w:val="21"/>
              </w:rPr>
            </w:pPr>
            <w:r>
              <w:rPr>
                <w:rFonts w:ascii="宋体" w:hAnsi="宋体"/>
                <w:bCs/>
                <w:szCs w:val="21"/>
              </w:rPr>
              <w:t>能力或业绩要求</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4AF2DBE2">
            <w:pPr>
              <w:spacing w:line="400" w:lineRule="exact"/>
              <w:rPr>
                <w:rFonts w:hint="eastAsia" w:ascii="宋体" w:hAnsi="宋体" w:cs="宋体"/>
                <w:szCs w:val="21"/>
              </w:rPr>
            </w:pPr>
            <w:r>
              <w:rPr>
                <w:rFonts w:ascii="宋体" w:hAnsi="宋体"/>
                <w:bCs/>
                <w:szCs w:val="21"/>
              </w:rPr>
              <w:t>见本招标文件“评标办法及评分标准”。</w:t>
            </w:r>
          </w:p>
        </w:tc>
      </w:tr>
      <w:tr w14:paraId="1107BA2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4CE673C4">
            <w:pPr>
              <w:spacing w:line="400" w:lineRule="exact"/>
              <w:rPr>
                <w:rFonts w:hint="eastAsia" w:ascii="宋体" w:hAnsi="宋体"/>
                <w:bCs/>
                <w:szCs w:val="21"/>
              </w:rPr>
            </w:pPr>
            <w:r>
              <w:rPr>
                <w:rFonts w:hint="eastAsia" w:ascii="宋体" w:hAnsi="宋体"/>
                <w:b/>
                <w:szCs w:val="21"/>
              </w:rPr>
              <w:t>（二）政策性加分条件</w:t>
            </w:r>
          </w:p>
        </w:tc>
      </w:tr>
      <w:tr w14:paraId="4129AE4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5E5A7622">
            <w:pPr>
              <w:spacing w:line="400" w:lineRule="exact"/>
              <w:rPr>
                <w:rFonts w:hint="eastAsia" w:ascii="宋体" w:hAnsi="宋体"/>
                <w:bCs/>
                <w:szCs w:val="21"/>
              </w:rPr>
            </w:pPr>
            <w:r>
              <w:rPr>
                <w:rFonts w:ascii="宋体" w:hAnsi="宋体"/>
                <w:bCs/>
                <w:szCs w:val="21"/>
              </w:rPr>
              <w:t>符合节能环保等国家政策要求。</w:t>
            </w:r>
          </w:p>
        </w:tc>
      </w:tr>
      <w:tr w14:paraId="7D98B88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50121E30">
            <w:pPr>
              <w:tabs>
                <w:tab w:val="left" w:pos="180"/>
                <w:tab w:val="left" w:pos="1620"/>
              </w:tabs>
              <w:spacing w:line="400" w:lineRule="exact"/>
              <w:rPr>
                <w:rFonts w:hint="eastAsia" w:ascii="宋体" w:hAnsi="宋体" w:cs="宋体"/>
                <w:szCs w:val="21"/>
              </w:rPr>
            </w:pPr>
            <w:r>
              <w:rPr>
                <w:rFonts w:hint="eastAsia" w:ascii="宋体" w:hAnsi="宋体" w:cs="宋体"/>
                <w:b/>
                <w:szCs w:val="21"/>
              </w:rPr>
              <w:t>（三）验收标准</w:t>
            </w:r>
          </w:p>
        </w:tc>
      </w:tr>
      <w:tr w14:paraId="4095F79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611EF98C">
            <w:pPr>
              <w:tabs>
                <w:tab w:val="left" w:pos="180"/>
                <w:tab w:val="left" w:pos="1620"/>
              </w:tabs>
              <w:spacing w:line="360" w:lineRule="auto"/>
              <w:rPr>
                <w:rFonts w:hint="eastAsia" w:ascii="宋体" w:hAnsi="宋体" w:cs="宋体"/>
                <w:bCs/>
                <w:szCs w:val="21"/>
              </w:rPr>
            </w:pPr>
            <w:r>
              <w:rPr>
                <w:rFonts w:hint="eastAsia" w:ascii="宋体" w:hAnsi="宋体" w:cs="宋体"/>
                <w:bCs/>
                <w:szCs w:val="21"/>
              </w:rPr>
              <w:t xml:space="preserve">1.中标人向采购人提供的货物必须是未使用过的原装产品。 </w:t>
            </w:r>
          </w:p>
          <w:p w14:paraId="01AD86A4">
            <w:pPr>
              <w:tabs>
                <w:tab w:val="left" w:pos="180"/>
                <w:tab w:val="left" w:pos="1620"/>
              </w:tabs>
              <w:spacing w:line="360" w:lineRule="auto"/>
              <w:rPr>
                <w:rFonts w:hint="eastAsia" w:ascii="宋体" w:hAnsi="宋体" w:cs="宋体"/>
                <w:bCs/>
                <w:szCs w:val="21"/>
              </w:rPr>
            </w:pPr>
            <w:r>
              <w:rPr>
                <w:rFonts w:hint="eastAsia" w:ascii="宋体" w:hAnsi="宋体" w:cs="宋体"/>
                <w:bCs/>
                <w:szCs w:val="21"/>
              </w:rPr>
              <w:t>2.验收过程中所产生的一切费用均由中标人承担，报价时应考虑相关费用。</w:t>
            </w:r>
          </w:p>
          <w:p w14:paraId="253348F4">
            <w:pPr>
              <w:tabs>
                <w:tab w:val="left" w:pos="180"/>
                <w:tab w:val="left" w:pos="1620"/>
              </w:tabs>
              <w:spacing w:line="360" w:lineRule="auto"/>
              <w:rPr>
                <w:rFonts w:hint="eastAsia" w:ascii="宋体" w:hAnsi="宋体" w:cs="宋体"/>
                <w:bCs/>
                <w:szCs w:val="21"/>
              </w:rPr>
            </w:pPr>
            <w:r>
              <w:rPr>
                <w:rFonts w:hint="eastAsia" w:ascii="宋体" w:hAnsi="宋体" w:cs="宋体"/>
                <w:bCs/>
                <w:szCs w:val="21"/>
              </w:rPr>
              <w:t>3.中标人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5095399E">
            <w:pPr>
              <w:tabs>
                <w:tab w:val="left" w:pos="180"/>
                <w:tab w:val="left" w:pos="1620"/>
              </w:tabs>
              <w:spacing w:line="360" w:lineRule="auto"/>
              <w:rPr>
                <w:rFonts w:hint="eastAsia" w:ascii="宋体" w:hAnsi="宋体" w:cs="宋体"/>
                <w:bCs/>
                <w:szCs w:val="21"/>
              </w:rPr>
            </w:pPr>
            <w:r>
              <w:rPr>
                <w:rFonts w:hint="eastAsia" w:ascii="宋体" w:hAnsi="宋体" w:cs="宋体"/>
                <w:bCs/>
                <w:szCs w:val="21"/>
              </w:rPr>
              <w:t>4.本采购文件的相关要求。</w:t>
            </w:r>
          </w:p>
          <w:p w14:paraId="784E8A49">
            <w:pPr>
              <w:tabs>
                <w:tab w:val="left" w:pos="180"/>
                <w:tab w:val="left" w:pos="1620"/>
              </w:tabs>
              <w:spacing w:line="360" w:lineRule="auto"/>
              <w:rPr>
                <w:rFonts w:hint="eastAsia" w:ascii="宋体" w:hAnsi="宋体" w:cs="宋体"/>
                <w:bCs/>
                <w:szCs w:val="21"/>
              </w:rPr>
            </w:pPr>
            <w:r>
              <w:rPr>
                <w:rFonts w:hint="eastAsia" w:ascii="宋体" w:hAnsi="宋体" w:cs="宋体"/>
                <w:bCs/>
                <w:szCs w:val="21"/>
              </w:rPr>
              <w:t>5.国家相关标准、行业标准、地方标准或者其他标准、规范。</w:t>
            </w:r>
          </w:p>
          <w:p w14:paraId="3A1F7CE0">
            <w:pPr>
              <w:tabs>
                <w:tab w:val="left" w:pos="180"/>
                <w:tab w:val="left" w:pos="1620"/>
              </w:tabs>
              <w:spacing w:line="360" w:lineRule="auto"/>
              <w:rPr>
                <w:rFonts w:hint="eastAsia" w:ascii="宋体" w:hAnsi="宋体" w:cs="宋体"/>
                <w:bCs/>
                <w:szCs w:val="21"/>
              </w:rPr>
            </w:pPr>
            <w:r>
              <w:rPr>
                <w:rFonts w:hint="eastAsia" w:ascii="宋体" w:hAnsi="宋体" w:cs="宋体"/>
                <w:bCs/>
                <w:szCs w:val="21"/>
              </w:rPr>
              <w:t>6.产品在供货时采购人有权可对中标人所投产品进行功能测试，由采购人提供测试环境、测试方案。经测试，产品中的任何一项指标未达到中标人投标文件中响应的性能、功能指标等要求，视中标人为虚假应标，采购人有权解除合同。</w:t>
            </w:r>
          </w:p>
        </w:tc>
      </w:tr>
      <w:tr w14:paraId="4609308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16081E97">
            <w:pPr>
              <w:spacing w:line="400" w:lineRule="exact"/>
              <w:rPr>
                <w:rFonts w:hint="eastAsia" w:ascii="宋体" w:hAnsi="宋体" w:cs="宋体"/>
                <w:b/>
                <w:szCs w:val="21"/>
              </w:rPr>
            </w:pPr>
            <w:r>
              <w:rPr>
                <w:rFonts w:hint="eastAsia" w:ascii="宋体" w:hAnsi="宋体" w:cs="宋体"/>
                <w:b/>
                <w:szCs w:val="21"/>
              </w:rPr>
              <w:t>（四）进口产品说明</w:t>
            </w:r>
          </w:p>
        </w:tc>
      </w:tr>
      <w:tr w14:paraId="5505D29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71F323FD">
            <w:pPr>
              <w:spacing w:line="360" w:lineRule="auto"/>
              <w:rPr>
                <w:rFonts w:hint="eastAsia" w:ascii="宋体" w:hAnsi="宋体" w:cs="宋体"/>
                <w:szCs w:val="21"/>
              </w:rPr>
            </w:pPr>
            <w:r>
              <w:rPr>
                <w:rFonts w:hint="eastAsia" w:ascii="宋体" w:hAnsi="宋体" w:cs="宋体"/>
                <w:szCs w:val="21"/>
              </w:rPr>
              <w:t>进口产品说明</w:t>
            </w:r>
          </w:p>
        </w:tc>
        <w:tc>
          <w:tcPr>
            <w:tcW w:w="8487" w:type="dxa"/>
            <w:gridSpan w:val="5"/>
            <w:tcBorders>
              <w:top w:val="single" w:color="auto" w:sz="4" w:space="0"/>
              <w:left w:val="single" w:color="auto" w:sz="4" w:space="0"/>
              <w:bottom w:val="single" w:color="auto" w:sz="4" w:space="0"/>
              <w:right w:val="single" w:color="auto" w:sz="4" w:space="0"/>
            </w:tcBorders>
            <w:vAlign w:val="center"/>
          </w:tcPr>
          <w:p w14:paraId="416C5BE7">
            <w:pPr>
              <w:tabs>
                <w:tab w:val="left" w:pos="180"/>
                <w:tab w:val="left" w:pos="1620"/>
              </w:tabs>
              <w:spacing w:line="360" w:lineRule="auto"/>
              <w:rPr>
                <w:rFonts w:hint="eastAsia" w:ascii="宋体" w:hAnsi="宋体" w:cs="宋体"/>
                <w:bCs/>
                <w:szCs w:val="21"/>
              </w:rPr>
            </w:pPr>
            <w:r>
              <w:rPr>
                <w:rFonts w:hint="eastAsia" w:ascii="宋体" w:hAnsi="宋体" w:cs="宋体"/>
                <w:bCs/>
                <w:szCs w:val="21"/>
              </w:rPr>
              <w:t>□本表的第</w:t>
            </w:r>
            <w:r>
              <w:rPr>
                <w:rFonts w:hint="eastAsia" w:ascii="宋体" w:hAnsi="宋体" w:cs="宋体"/>
                <w:bCs/>
                <w:szCs w:val="21"/>
                <w:u w:val="single"/>
              </w:rPr>
              <w:t xml:space="preserve">  </w:t>
            </w:r>
            <w:r>
              <w:rPr>
                <w:rFonts w:hint="eastAsia" w:ascii="宋体" w:hAnsi="宋体" w:cs="宋体"/>
                <w:bCs/>
                <w:szCs w:val="2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宋体" w:hAnsi="宋体" w:cs="宋体"/>
                <w:b/>
                <w:szCs w:val="21"/>
              </w:rPr>
              <w:t>否则作无效标处理</w:t>
            </w:r>
            <w:r>
              <w:rPr>
                <w:rFonts w:hint="eastAsia" w:ascii="宋体" w:hAnsi="宋体" w:cs="宋体"/>
                <w:bCs/>
                <w:szCs w:val="21"/>
              </w:rPr>
              <w:t>。</w:t>
            </w:r>
          </w:p>
          <w:p w14:paraId="6E531698">
            <w:pPr>
              <w:tabs>
                <w:tab w:val="left" w:pos="180"/>
                <w:tab w:val="left" w:pos="1620"/>
              </w:tabs>
              <w:spacing w:line="360" w:lineRule="auto"/>
              <w:rPr>
                <w:rFonts w:hint="eastAsia" w:ascii="宋体" w:hAnsi="宋体" w:cs="宋体"/>
                <w:szCs w:val="21"/>
              </w:rPr>
            </w:pPr>
            <w:r>
              <w:rPr>
                <w:rFonts w:hint="eastAsia" w:ascii="宋体" w:hAnsi="宋体" w:cs="宋体"/>
                <w:bCs/>
                <w:szCs w:val="21"/>
              </w:rPr>
              <w:t>☑本分标货物不接受进口产品（即通过中国海关报关验放进入中国境内且产自关境外的产品）参与投标，</w:t>
            </w:r>
            <w:r>
              <w:rPr>
                <w:rFonts w:hint="eastAsia" w:ascii="宋体" w:hAnsi="宋体" w:cs="宋体"/>
                <w:b/>
                <w:szCs w:val="21"/>
              </w:rPr>
              <w:t>如有进口产品参与投标的作无效标处理</w:t>
            </w:r>
            <w:r>
              <w:rPr>
                <w:rFonts w:hint="eastAsia" w:ascii="宋体" w:hAnsi="宋体" w:cs="宋体"/>
                <w:bCs/>
                <w:szCs w:val="21"/>
              </w:rPr>
              <w:t>。</w:t>
            </w:r>
          </w:p>
        </w:tc>
      </w:tr>
      <w:tr w14:paraId="788C86A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06563B01">
            <w:pPr>
              <w:spacing w:line="400" w:lineRule="exact"/>
              <w:rPr>
                <w:rFonts w:hint="eastAsia" w:ascii="宋体" w:hAnsi="宋体" w:cs="宋体"/>
                <w:b/>
                <w:szCs w:val="21"/>
              </w:rPr>
            </w:pPr>
            <w:r>
              <w:rPr>
                <w:rFonts w:hint="eastAsia" w:ascii="宋体" w:hAnsi="宋体" w:cs="宋体"/>
                <w:b/>
                <w:szCs w:val="21"/>
              </w:rPr>
              <w:t>（五）其他要求</w:t>
            </w:r>
          </w:p>
        </w:tc>
      </w:tr>
      <w:tr w14:paraId="49506C6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14:paraId="0B90A286">
            <w:pPr>
              <w:pStyle w:val="18"/>
              <w:spacing w:line="360" w:lineRule="auto"/>
              <w:rPr>
                <w:rFonts w:hint="eastAsia" w:ascii="宋体" w:hAnsi="宋体" w:cs="宋体"/>
                <w:sz w:val="21"/>
                <w:szCs w:val="21"/>
              </w:rPr>
            </w:pPr>
            <w:r>
              <w:rPr>
                <w:rFonts w:hint="eastAsia" w:ascii="宋体" w:hAnsi="宋体" w:cs="宋体"/>
                <w:sz w:val="21"/>
                <w:szCs w:val="21"/>
              </w:rPr>
              <w:t>投标人根据自身情况提供安装调试方案、其他方案、信誉业绩等。</w:t>
            </w:r>
          </w:p>
        </w:tc>
      </w:tr>
    </w:tbl>
    <w:p w14:paraId="26B8CDC2">
      <w:pPr>
        <w:spacing w:line="428" w:lineRule="exact"/>
        <w:ind w:left="119"/>
        <w:rPr>
          <w:rFonts w:hint="eastAsia" w:ascii="Arial Unicode MS" w:hAnsi="Arial Unicode MS" w:eastAsia="Arial Unicode MS" w:cs="Arial Unicode MS"/>
          <w:sz w:val="32"/>
          <w:szCs w:val="32"/>
        </w:rPr>
      </w:pPr>
      <w:r>
        <w:br w:type="page"/>
      </w:r>
      <w:r>
        <w:rPr>
          <w:rFonts w:hint="eastAsia" w:ascii="黑体" w:hAnsi="黑体" w:eastAsia="黑体" w:cs="黑体"/>
          <w:sz w:val="32"/>
          <w:szCs w:val="32"/>
        </w:rPr>
        <w:t>附件1：</w:t>
      </w:r>
    </w:p>
    <w:p w14:paraId="6B3ED921">
      <w:pPr>
        <w:spacing w:before="7"/>
        <w:rPr>
          <w:rFonts w:hint="eastAsia" w:ascii="Arial Unicode MS" w:hAnsi="Arial Unicode MS" w:eastAsia="Arial Unicode MS" w:cs="Arial Unicode MS"/>
          <w:sz w:val="17"/>
          <w:szCs w:val="17"/>
        </w:rPr>
      </w:pPr>
    </w:p>
    <w:p w14:paraId="45355E36">
      <w:pPr>
        <w:spacing w:line="528" w:lineRule="exact"/>
        <w:ind w:left="1871"/>
        <w:rPr>
          <w:rFonts w:hint="eastAsia" w:ascii="Arial Unicode MS" w:hAnsi="Arial Unicode MS" w:eastAsia="Arial Unicode MS" w:cs="Arial Unicode MS"/>
          <w:sz w:val="40"/>
          <w:szCs w:val="40"/>
        </w:rPr>
      </w:pPr>
      <w:r>
        <w:rPr>
          <w:rFonts w:hint="eastAsia" w:ascii="方正小标宋简体" w:hAnsi="方正小标宋简体" w:eastAsia="方正小标宋简体" w:cs="方正小标宋简体"/>
          <w:sz w:val="44"/>
          <w:szCs w:val="44"/>
        </w:rPr>
        <w:t>节能产品政府采购品目清单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2F1A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tcBorders>
              <w:top w:val="single" w:color="000000" w:sz="4" w:space="0"/>
              <w:left w:val="single" w:color="000000" w:sz="4" w:space="0"/>
              <w:bottom w:val="single" w:color="000000" w:sz="4" w:space="0"/>
              <w:right w:val="single" w:color="000000" w:sz="4" w:space="0"/>
            </w:tcBorders>
            <w:vAlign w:val="center"/>
          </w:tcPr>
          <w:p w14:paraId="24498483">
            <w:pPr>
              <w:jc w:val="center"/>
              <w:rPr>
                <w:rFonts w:ascii="Calibri" w:hAnsi="Calibri"/>
                <w:szCs w:val="22"/>
              </w:rPr>
            </w:pPr>
            <w:r>
              <w:rPr>
                <w:rFonts w:hint="eastAsia" w:ascii="宋体" w:hAnsi="宋体" w:cs="宋体"/>
                <w:b/>
                <w:bCs/>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190D41A4">
            <w:pPr>
              <w:jc w:val="center"/>
              <w:rPr>
                <w:rFonts w:ascii="Calibri" w:hAnsi="Calibri"/>
                <w:szCs w:val="22"/>
              </w:rPr>
            </w:pPr>
            <w:r>
              <w:rPr>
                <w:rFonts w:hint="eastAsia" w:ascii="宋体" w:hAnsi="宋体" w:cs="宋体"/>
                <w:b/>
                <w:bCs/>
                <w:w w:val="99"/>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448924E3">
            <w:pPr>
              <w:jc w:val="center"/>
              <w:rPr>
                <w:rFonts w:ascii="Calibri" w:hAnsi="Calibri"/>
                <w:szCs w:val="22"/>
              </w:rPr>
            </w:pPr>
            <w:r>
              <w:rPr>
                <w:rFonts w:hint="eastAsia" w:ascii="宋体" w:hAnsi="宋体" w:cs="宋体"/>
                <w:b/>
                <w:bCs/>
                <w:w w:val="99"/>
              </w:rPr>
              <w:t>依据的标准</w:t>
            </w:r>
          </w:p>
        </w:tc>
      </w:tr>
      <w:tr w14:paraId="01F4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EFCB06B">
            <w:pPr>
              <w:jc w:val="center"/>
              <w:rPr>
                <w:rFonts w:hint="eastAsia" w:ascii="宋体" w:hAnsi="宋体"/>
                <w:szCs w:val="21"/>
              </w:rPr>
            </w:pPr>
            <w:r>
              <w:rPr>
                <w:rFonts w:hint="eastAsia" w:ascii="宋体" w:hAnsi="宋体"/>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6E4B8C7">
            <w:pPr>
              <w:jc w:val="center"/>
              <w:rPr>
                <w:rFonts w:hint="eastAsia" w:ascii="宋体" w:hAnsi="宋体"/>
                <w:szCs w:val="21"/>
              </w:rPr>
            </w:pPr>
            <w:r>
              <w:rPr>
                <w:rFonts w:hint="eastAsia" w:ascii="宋体" w:hAnsi="宋体" w:cs="仿宋_GB2312"/>
                <w:szCs w:val="21"/>
              </w:rPr>
              <w:t>A02010100</w:t>
            </w:r>
            <w:r>
              <w:rPr>
                <w:rFonts w:hint="eastAsia" w:ascii="宋体" w:hAnsi="宋体" w:cs="宋体"/>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21BEE90">
            <w:pPr>
              <w:pStyle w:val="106"/>
              <w:spacing w:before="93"/>
              <w:ind w:left="7" w:right="5"/>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仿宋_GB2312"/>
                <w:kern w:val="2"/>
                <w:sz w:val="21"/>
                <w:szCs w:val="21"/>
              </w:rPr>
              <w:t>A02010105</w:t>
            </w:r>
            <w:r>
              <w:rPr>
                <w:rFonts w:hint="eastAsia" w:ascii="宋体" w:hAnsi="宋体" w:cs="宋体"/>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BC0427E">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11A58F9A">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《微型计算机能效限定值及能效等级》（GB28380）</w:t>
            </w:r>
          </w:p>
        </w:tc>
      </w:tr>
      <w:tr w14:paraId="6401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F1CF99">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C7085B4">
            <w:pPr>
              <w:widowControl/>
              <w:jc w:val="left"/>
              <w:rPr>
                <w:rFonts w:hint="eastAsia" w:ascii="宋体" w:hAnsi="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4B64687">
            <w:pPr>
              <w:pStyle w:val="106"/>
              <w:spacing w:before="44"/>
              <w:ind w:left="7" w:right="5"/>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仿宋_GB2312"/>
                <w:kern w:val="2"/>
                <w:sz w:val="21"/>
                <w:szCs w:val="21"/>
              </w:rPr>
              <w:t>A02010108</w:t>
            </w:r>
            <w:r>
              <w:rPr>
                <w:rFonts w:hint="eastAsia" w:ascii="宋体" w:hAnsi="宋体" w:cs="宋体"/>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C999F18">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45189EC4">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《微型计算机能效限定值及能效等级》（GB28380）</w:t>
            </w:r>
          </w:p>
        </w:tc>
      </w:tr>
      <w:tr w14:paraId="2604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506021">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5C0ED4">
            <w:pPr>
              <w:widowControl/>
              <w:jc w:val="left"/>
              <w:rPr>
                <w:rFonts w:hint="eastAsia" w:ascii="宋体" w:hAnsi="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4CA914D">
            <w:pPr>
              <w:pStyle w:val="106"/>
              <w:spacing w:before="64"/>
              <w:ind w:left="7" w:right="5"/>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w:t>
            </w:r>
            <w:r>
              <w:rPr>
                <w:rFonts w:hint="eastAsia" w:ascii="宋体" w:hAnsi="宋体" w:cs="仿宋_GB2312"/>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DAA7900">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0BE7C513">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《微型计算机能效限定值及能效等级》（GB28380）</w:t>
            </w:r>
          </w:p>
        </w:tc>
      </w:tr>
      <w:tr w14:paraId="73D1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70EFBCA">
            <w:pPr>
              <w:jc w:val="center"/>
              <w:rPr>
                <w:rFonts w:hint="eastAsia" w:ascii="宋体" w:hAnsi="宋体"/>
                <w:szCs w:val="21"/>
              </w:rPr>
            </w:pPr>
            <w:r>
              <w:rPr>
                <w:rFonts w:hint="eastAsia" w:ascii="宋体" w:hAnsi="宋体"/>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2F4FC71">
            <w:pPr>
              <w:pStyle w:val="106"/>
              <w:ind w:left="7"/>
              <w:jc w:val="center"/>
              <w:rPr>
                <w:rFonts w:hint="eastAsia" w:ascii="宋体" w:hAnsi="宋体" w:cs="宋体"/>
                <w:kern w:val="2"/>
                <w:sz w:val="21"/>
                <w:szCs w:val="21"/>
              </w:rPr>
            </w:pPr>
            <w:r>
              <w:rPr>
                <w:rFonts w:hint="eastAsia" w:ascii="宋体" w:hAnsi="宋体" w:cs="仿宋_GB2312"/>
                <w:kern w:val="2"/>
                <w:sz w:val="21"/>
                <w:szCs w:val="21"/>
              </w:rPr>
              <w:t>A02020000</w:t>
            </w:r>
            <w:r>
              <w:rPr>
                <w:rFonts w:hint="eastAsia" w:ascii="宋体" w:hAnsi="宋体" w:cs="宋体"/>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CA49358">
            <w:pPr>
              <w:jc w:val="center"/>
              <w:rPr>
                <w:rFonts w:hint="eastAsia" w:ascii="宋体" w:hAnsi="宋体"/>
                <w:szCs w:val="21"/>
              </w:rPr>
            </w:pPr>
            <w:r>
              <w:rPr>
                <w:rFonts w:hint="eastAsia" w:ascii="宋体" w:hAnsi="宋体" w:cs="宋体"/>
                <w:spacing w:val="1"/>
                <w:w w:val="99"/>
                <w:szCs w:val="21"/>
              </w:rPr>
              <w:t>A02021000</w:t>
            </w:r>
            <w:r>
              <w:rPr>
                <w:rFonts w:hint="eastAsia" w:ascii="宋体" w:hAnsi="宋体" w:cs="Arial"/>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00CACF4">
            <w:pPr>
              <w:jc w:val="center"/>
              <w:rPr>
                <w:rFonts w:hint="eastAsia" w:ascii="宋体" w:hAnsi="宋体"/>
                <w:szCs w:val="21"/>
              </w:rPr>
            </w:pPr>
            <w:r>
              <w:rPr>
                <w:rFonts w:hint="eastAsia" w:ascii="宋体" w:hAnsi="宋体"/>
                <w:szCs w:val="21"/>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242A67A0">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6949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53633C">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45060F">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FD24A6">
            <w:pPr>
              <w:widowControl/>
              <w:jc w:val="left"/>
              <w:rPr>
                <w:rFonts w:hint="eastAsia"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932F031">
            <w:pPr>
              <w:jc w:val="center"/>
              <w:rPr>
                <w:rFonts w:hint="eastAsia" w:ascii="宋体" w:hAnsi="宋体"/>
                <w:szCs w:val="21"/>
              </w:rPr>
            </w:pPr>
            <w:r>
              <w:rPr>
                <w:rFonts w:hint="eastAsia" w:ascii="宋体" w:hAnsi="宋体"/>
                <w:szCs w:val="21"/>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0665AD48">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53C4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DEFE4F">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212584">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A41F05">
            <w:pPr>
              <w:widowControl/>
              <w:jc w:val="left"/>
              <w:rPr>
                <w:rFonts w:hint="eastAsia"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D13AA48">
            <w:pPr>
              <w:jc w:val="center"/>
              <w:rPr>
                <w:rFonts w:hint="eastAsia" w:ascii="宋体" w:hAnsi="宋体"/>
                <w:szCs w:val="21"/>
              </w:rPr>
            </w:pPr>
            <w:r>
              <w:rPr>
                <w:rFonts w:hint="eastAsia" w:ascii="宋体" w:hAnsi="宋体"/>
                <w:szCs w:val="21"/>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2ECDC819">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0B14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D19EA8">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B226B9">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669F8D">
            <w:pPr>
              <w:widowControl/>
              <w:jc w:val="left"/>
              <w:rPr>
                <w:rFonts w:hint="eastAsia"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8B1CA7">
            <w:pPr>
              <w:jc w:val="center"/>
              <w:rPr>
                <w:rFonts w:hint="eastAsia" w:ascii="宋体" w:hAnsi="宋体"/>
                <w:szCs w:val="21"/>
              </w:rPr>
            </w:pPr>
            <w:r>
              <w:rPr>
                <w:rFonts w:hint="eastAsia" w:ascii="宋体" w:hAnsi="宋体"/>
                <w:szCs w:val="21"/>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540F18AB">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00A2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095190">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82AC08">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2B9E30">
            <w:pPr>
              <w:widowControl/>
              <w:jc w:val="left"/>
              <w:rPr>
                <w:rFonts w:hint="eastAsia"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E29DB12">
            <w:pPr>
              <w:jc w:val="center"/>
              <w:rPr>
                <w:rFonts w:hint="eastAsia" w:ascii="宋体" w:hAnsi="宋体"/>
                <w:szCs w:val="21"/>
              </w:rPr>
            </w:pPr>
            <w:r>
              <w:rPr>
                <w:rFonts w:hint="eastAsia" w:ascii="宋体" w:hAnsi="宋体"/>
                <w:szCs w:val="21"/>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108A5DF2">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2921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31F2F1">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AB2B89">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79A607">
            <w:pPr>
              <w:widowControl/>
              <w:jc w:val="left"/>
              <w:rPr>
                <w:rFonts w:hint="eastAsia"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9C606E3">
            <w:pPr>
              <w:jc w:val="center"/>
              <w:rPr>
                <w:rFonts w:hint="eastAsia" w:ascii="宋体" w:hAnsi="宋体"/>
                <w:szCs w:val="21"/>
              </w:rPr>
            </w:pPr>
            <w:r>
              <w:rPr>
                <w:rFonts w:hint="eastAsia" w:ascii="宋体" w:hAnsi="宋体"/>
                <w:szCs w:val="21"/>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7441C504">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75CC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DF953F">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E3B96A0">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1C9C0E">
            <w:pPr>
              <w:widowControl/>
              <w:jc w:val="left"/>
              <w:rPr>
                <w:rFonts w:hint="eastAsia"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0A457D5">
            <w:pPr>
              <w:jc w:val="center"/>
              <w:rPr>
                <w:rFonts w:hint="eastAsia" w:ascii="宋体" w:hAnsi="宋体"/>
                <w:szCs w:val="21"/>
              </w:rPr>
            </w:pPr>
            <w:r>
              <w:rPr>
                <w:rFonts w:hint="eastAsia" w:ascii="宋体" w:hAnsi="宋体"/>
                <w:szCs w:val="21"/>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569A09AC">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242B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F7EA17">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75A762C">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4E2DCD">
            <w:pPr>
              <w:widowControl/>
              <w:jc w:val="left"/>
              <w:rPr>
                <w:rFonts w:hint="eastAsia"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CFECAE8">
            <w:pPr>
              <w:jc w:val="center"/>
              <w:rPr>
                <w:rFonts w:hint="eastAsia" w:ascii="宋体" w:hAnsi="宋体"/>
                <w:szCs w:val="21"/>
              </w:rPr>
            </w:pPr>
            <w:r>
              <w:rPr>
                <w:rFonts w:hint="eastAsia" w:ascii="宋体" w:hAnsi="宋体"/>
                <w:szCs w:val="21"/>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497031B2">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3CE7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82DB2BA">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DD8207">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CCB50C">
            <w:pPr>
              <w:widowControl/>
              <w:jc w:val="left"/>
              <w:rPr>
                <w:rFonts w:hint="eastAsia"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2135EED">
            <w:pPr>
              <w:jc w:val="center"/>
              <w:rPr>
                <w:rFonts w:hint="eastAsia" w:ascii="宋体" w:hAnsi="宋体"/>
                <w:szCs w:val="21"/>
              </w:rPr>
            </w:pPr>
            <w:r>
              <w:rPr>
                <w:rFonts w:hint="eastAsia" w:ascii="宋体" w:hAnsi="宋体"/>
                <w:szCs w:val="21"/>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1C5CD3E3">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7573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0FD492">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D51932">
            <w:pPr>
              <w:widowControl/>
              <w:jc w:val="left"/>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143B260">
            <w:pPr>
              <w:jc w:val="center"/>
              <w:rPr>
                <w:rFonts w:hint="eastAsia" w:ascii="宋体" w:hAnsi="宋体"/>
                <w:szCs w:val="21"/>
              </w:rPr>
            </w:pPr>
            <w:r>
              <w:rPr>
                <w:rFonts w:hint="eastAsia" w:ascii="宋体" w:hAnsi="宋体"/>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9261072">
            <w:pPr>
              <w:jc w:val="center"/>
              <w:rPr>
                <w:rFonts w:hint="eastAsia" w:ascii="宋体" w:hAnsi="宋体"/>
                <w:szCs w:val="21"/>
              </w:rPr>
            </w:pPr>
            <w:r>
              <w:rPr>
                <w:rFonts w:hint="eastAsia" w:ascii="宋体" w:hAnsi="宋体" w:cs="宋体"/>
                <w:w w:val="99"/>
                <w:szCs w:val="21"/>
              </w:rPr>
              <w:t>★</w:t>
            </w:r>
            <w:r>
              <w:rPr>
                <w:rFonts w:hint="eastAsia" w:ascii="宋体" w:hAnsi="宋体"/>
                <w:szCs w:val="21"/>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70C58AB0">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《计算机显示器能效限定值及能效等级》（GB21520）</w:t>
            </w:r>
          </w:p>
        </w:tc>
      </w:tr>
      <w:tr w14:paraId="1E1B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2D9CC3">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FCA103">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7BA361">
            <w:pPr>
              <w:widowControl/>
              <w:jc w:val="left"/>
              <w:rPr>
                <w:rFonts w:hint="eastAsia"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C09BCE4">
            <w:pPr>
              <w:jc w:val="center"/>
              <w:rPr>
                <w:rFonts w:hint="eastAsia" w:ascii="宋体" w:hAnsi="宋体"/>
                <w:szCs w:val="21"/>
              </w:rPr>
            </w:pPr>
            <w:r>
              <w:rPr>
                <w:rFonts w:hint="eastAsia" w:ascii="宋体" w:hAnsi="宋体"/>
                <w:szCs w:val="21"/>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65681FF8">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参照《复印机、打印机和传真机能效限定值及能效等级》（GB21521）中打印速度为15页/分的针式打印机相关要求</w:t>
            </w:r>
          </w:p>
        </w:tc>
      </w:tr>
      <w:tr w14:paraId="4BF5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F30F9D9">
            <w:pPr>
              <w:jc w:val="center"/>
              <w:rPr>
                <w:rFonts w:hint="eastAsia" w:ascii="宋体" w:hAnsi="宋体"/>
                <w:szCs w:val="21"/>
              </w:rPr>
            </w:pPr>
            <w:r>
              <w:rPr>
                <w:rFonts w:hint="eastAsia" w:ascii="宋体" w:hAnsi="宋体"/>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6F2903B7">
            <w:pPr>
              <w:jc w:val="center"/>
              <w:rPr>
                <w:rFonts w:hint="eastAsia" w:ascii="宋体" w:hAnsi="宋体"/>
                <w:szCs w:val="21"/>
              </w:rPr>
            </w:pPr>
            <w:r>
              <w:rPr>
                <w:rFonts w:hint="eastAsia" w:ascii="宋体" w:hAnsi="宋体"/>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571B99A0">
            <w:pPr>
              <w:jc w:val="center"/>
              <w:rPr>
                <w:rFonts w:hint="eastAsia"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CB00D8F">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C96874F">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《投影机能效限定值及能效等级》（GB32028）</w:t>
            </w:r>
          </w:p>
        </w:tc>
      </w:tr>
      <w:tr w14:paraId="1707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D5CF41C">
            <w:pPr>
              <w:jc w:val="center"/>
              <w:rPr>
                <w:rFonts w:hint="eastAsia" w:ascii="宋体" w:hAnsi="宋体"/>
                <w:szCs w:val="21"/>
              </w:rPr>
            </w:pPr>
            <w:r>
              <w:rPr>
                <w:rFonts w:hint="eastAsia" w:ascii="宋体" w:hAnsi="宋体"/>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33924B33">
            <w:pPr>
              <w:pStyle w:val="106"/>
              <w:spacing w:before="66"/>
              <w:ind w:left="7"/>
              <w:jc w:val="center"/>
              <w:rPr>
                <w:rFonts w:hint="eastAsia" w:ascii="宋体" w:hAnsi="宋体" w:cs="宋体"/>
                <w:kern w:val="2"/>
                <w:sz w:val="21"/>
                <w:szCs w:val="21"/>
              </w:rPr>
            </w:pPr>
            <w:r>
              <w:rPr>
                <w:rFonts w:hint="eastAsia" w:ascii="宋体" w:hAnsi="宋体" w:cs="仿宋_GB2312"/>
                <w:kern w:val="2"/>
                <w:sz w:val="21"/>
                <w:szCs w:val="21"/>
              </w:rPr>
              <w:t>A02020400</w:t>
            </w:r>
            <w:r>
              <w:rPr>
                <w:rFonts w:hint="eastAsia" w:ascii="宋体" w:hAnsi="宋体" w:cs="宋体"/>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D1C6F4E">
            <w:pPr>
              <w:jc w:val="center"/>
              <w:rPr>
                <w:rFonts w:hint="eastAsia"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DBC1D35">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0E10C676">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02E5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3DD8A96">
            <w:pPr>
              <w:pStyle w:val="106"/>
              <w:spacing w:before="160"/>
              <w:ind w:right="1"/>
              <w:jc w:val="center"/>
              <w:rPr>
                <w:rFonts w:hint="eastAsia" w:ascii="宋体" w:hAnsi="宋体" w:cs="宋体"/>
                <w:kern w:val="2"/>
                <w:sz w:val="21"/>
                <w:szCs w:val="21"/>
              </w:rPr>
            </w:pPr>
            <w:r>
              <w:rPr>
                <w:rFonts w:hint="eastAsia" w:ascii="宋体" w:hAnsi="宋体"/>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5A5B98E9">
            <w:pPr>
              <w:pStyle w:val="106"/>
              <w:spacing w:before="160"/>
              <w:ind w:left="7"/>
              <w:jc w:val="center"/>
              <w:rPr>
                <w:rFonts w:hint="eastAsia" w:ascii="宋体" w:hAnsi="宋体" w:cs="宋体"/>
                <w:kern w:val="2"/>
                <w:sz w:val="21"/>
                <w:szCs w:val="21"/>
              </w:rPr>
            </w:pPr>
            <w:r>
              <w:rPr>
                <w:rFonts w:hint="eastAsia" w:ascii="宋体" w:hAnsi="宋体" w:cs="仿宋_GB2312"/>
                <w:kern w:val="2"/>
                <w:sz w:val="21"/>
                <w:szCs w:val="21"/>
              </w:rPr>
              <w:t>A02051900</w:t>
            </w:r>
            <w:r>
              <w:rPr>
                <w:rFonts w:hint="eastAsia" w:ascii="宋体" w:hAnsi="宋体" w:cs="宋体"/>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5095E922">
            <w:pPr>
              <w:pStyle w:val="106"/>
              <w:spacing w:before="160"/>
              <w:ind w:left="7"/>
              <w:jc w:val="center"/>
              <w:rPr>
                <w:rFonts w:hint="eastAsia"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05</w:t>
            </w:r>
            <w:r>
              <w:rPr>
                <w:rFonts w:hint="eastAsia" w:ascii="宋体" w:hAnsi="宋体" w:cs="宋体"/>
                <w:spacing w:val="1"/>
                <w:w w:val="99"/>
                <w:kern w:val="2"/>
                <w:sz w:val="21"/>
                <w:szCs w:val="21"/>
              </w:rPr>
              <w:t>1</w:t>
            </w:r>
            <w:r>
              <w:rPr>
                <w:rFonts w:hint="eastAsia" w:ascii="宋体" w:hAnsi="宋体" w:cs="宋体"/>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4FDFAB94">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50E7992B">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《清水离心泵能效限定值及节能评价值》（GB19762）</w:t>
            </w:r>
          </w:p>
        </w:tc>
      </w:tr>
      <w:tr w14:paraId="4E23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28F8205">
            <w:pPr>
              <w:jc w:val="center"/>
              <w:rPr>
                <w:rFonts w:hint="eastAsia" w:ascii="宋体" w:hAnsi="宋体"/>
                <w:szCs w:val="21"/>
              </w:rPr>
            </w:pPr>
            <w:r>
              <w:rPr>
                <w:rFonts w:hint="eastAsia" w:ascii="宋体" w:hAnsi="宋体"/>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990A33C">
            <w:pPr>
              <w:pStyle w:val="106"/>
              <w:jc w:val="center"/>
              <w:rPr>
                <w:rFonts w:hint="eastAsia" w:ascii="宋体" w:hAnsi="宋体" w:cs="宋体"/>
                <w:kern w:val="2"/>
                <w:sz w:val="21"/>
                <w:szCs w:val="21"/>
              </w:rPr>
            </w:pPr>
            <w:r>
              <w:rPr>
                <w:rFonts w:hint="eastAsia" w:ascii="宋体" w:hAnsi="宋体" w:cs="仿宋_GB2312"/>
                <w:kern w:val="2"/>
                <w:sz w:val="21"/>
                <w:szCs w:val="21"/>
              </w:rPr>
              <w:t>A02052300</w:t>
            </w:r>
            <w:r>
              <w:rPr>
                <w:rFonts w:hint="eastAsia" w:ascii="宋体" w:hAnsi="宋体" w:cs="宋体"/>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6AEFF43">
            <w:pPr>
              <w:pStyle w:val="106"/>
              <w:spacing w:line="276" w:lineRule="auto"/>
              <w:ind w:right="5"/>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52</w:t>
            </w:r>
            <w:r>
              <w:rPr>
                <w:rFonts w:hint="eastAsia" w:ascii="宋体" w:hAnsi="宋体" w:cs="宋体"/>
                <w:spacing w:val="1"/>
                <w:w w:val="99"/>
                <w:kern w:val="2"/>
                <w:sz w:val="21"/>
                <w:szCs w:val="21"/>
              </w:rPr>
              <w:t>3</w:t>
            </w:r>
            <w:r>
              <w:rPr>
                <w:rFonts w:hint="eastAsia" w:ascii="宋体" w:hAnsi="宋体" w:cs="宋体"/>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F382F22">
            <w:pPr>
              <w:pStyle w:val="106"/>
              <w:jc w:val="center"/>
              <w:rPr>
                <w:rFonts w:hint="eastAsia" w:ascii="宋体" w:hAnsi="宋体" w:cs="宋体"/>
                <w:kern w:val="2"/>
                <w:sz w:val="21"/>
                <w:szCs w:val="21"/>
              </w:rPr>
            </w:pPr>
            <w:r>
              <w:rPr>
                <w:rFonts w:hint="eastAsia" w:ascii="宋体" w:hAnsi="宋体" w:cs="宋体"/>
                <w:w w:val="99"/>
                <w:kern w:val="2"/>
                <w:sz w:val="21"/>
                <w:szCs w:val="21"/>
              </w:rPr>
              <w:t>冷水机组</w:t>
            </w:r>
          </w:p>
        </w:tc>
        <w:tc>
          <w:tcPr>
            <w:tcW w:w="3452" w:type="dxa"/>
            <w:tcBorders>
              <w:top w:val="single" w:color="000000" w:sz="4" w:space="0"/>
              <w:left w:val="single" w:color="000000" w:sz="4" w:space="0"/>
              <w:bottom w:val="single" w:color="000000" w:sz="4" w:space="0"/>
              <w:right w:val="single" w:color="000000" w:sz="4" w:space="0"/>
            </w:tcBorders>
          </w:tcPr>
          <w:p w14:paraId="053EE7E3">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《冷水机组能效限定值及能效等级》（GB19577），《低环境温度空气源热泵（冷水）机组能效限定值及能效等级》（GB37480）</w:t>
            </w:r>
          </w:p>
        </w:tc>
      </w:tr>
      <w:tr w14:paraId="3550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F66E40">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5D7F2F6">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86E6E5">
            <w:pPr>
              <w:widowControl/>
              <w:jc w:val="left"/>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E0A7C1F">
            <w:pPr>
              <w:jc w:val="center"/>
              <w:rPr>
                <w:rFonts w:hint="eastAsia" w:ascii="宋体" w:hAnsi="宋体"/>
                <w:szCs w:val="21"/>
              </w:rPr>
            </w:pPr>
            <w:r>
              <w:rPr>
                <w:rFonts w:hint="eastAsia" w:ascii="宋体" w:hAnsi="宋体"/>
                <w:szCs w:val="21"/>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4AC94C3F">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《溴化锂吸收式冷水机组能效限</w:t>
            </w:r>
          </w:p>
          <w:p w14:paraId="733DF4B4">
            <w:pPr>
              <w:spacing w:before="131" w:line="276" w:lineRule="auto"/>
              <w:ind w:right="4"/>
              <w:rPr>
                <w:rFonts w:hint="eastAsia" w:ascii="宋体" w:hAnsi="宋体" w:cs="宋体"/>
                <w:spacing w:val="10"/>
                <w:szCs w:val="21"/>
              </w:rPr>
            </w:pPr>
            <w:r>
              <w:rPr>
                <w:rFonts w:hint="eastAsia" w:ascii="宋体" w:hAnsi="宋体" w:cs="宋体"/>
                <w:spacing w:val="10"/>
                <w:szCs w:val="21"/>
              </w:rPr>
              <w:t>定值及能效等级》（GB29540）</w:t>
            </w:r>
          </w:p>
        </w:tc>
      </w:tr>
      <w:tr w14:paraId="46D5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B241A8">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4B7858">
            <w:pPr>
              <w:widowControl/>
              <w:jc w:val="left"/>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8F9F1CA">
            <w:pPr>
              <w:pStyle w:val="106"/>
              <w:spacing w:line="276" w:lineRule="auto"/>
              <w:ind w:right="5"/>
              <w:jc w:val="center"/>
              <w:rPr>
                <w:rFonts w:hint="eastAsia" w:ascii="宋体" w:hAnsi="宋体" w:cs="宋体"/>
                <w:kern w:val="2"/>
                <w:sz w:val="21"/>
                <w:szCs w:val="21"/>
              </w:rPr>
            </w:pPr>
            <w:r>
              <w:rPr>
                <w:rFonts w:hint="eastAsia" w:ascii="宋体" w:hAnsi="宋体" w:cs="宋体"/>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5EAD472D">
            <w:pPr>
              <w:pStyle w:val="106"/>
              <w:spacing w:before="4" w:line="276" w:lineRule="auto"/>
              <w:ind w:left="7" w:right="7"/>
              <w:jc w:val="center"/>
              <w:rPr>
                <w:rFonts w:hint="eastAsia" w:ascii="宋体" w:hAnsi="宋体" w:cs="宋体"/>
                <w:w w:val="99"/>
                <w:kern w:val="2"/>
                <w:sz w:val="21"/>
                <w:szCs w:val="21"/>
                <w:lang w:eastAsia="zh-CN"/>
              </w:rPr>
            </w:pPr>
            <w:r>
              <w:rPr>
                <w:rFonts w:hint="eastAsia" w:ascii="宋体" w:hAnsi="宋体" w:cs="宋体"/>
                <w:w w:val="99"/>
                <w:kern w:val="2"/>
                <w:sz w:val="21"/>
                <w:szCs w:val="21"/>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375E96C4">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《多联式空调（热泵）机组能效限定值及能源效率等级》（GB21454）</w:t>
            </w:r>
          </w:p>
        </w:tc>
      </w:tr>
      <w:tr w14:paraId="04A6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543014">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C7B61A">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5CFA19">
            <w:pPr>
              <w:widowControl/>
              <w:jc w:val="left"/>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E61C924">
            <w:pPr>
              <w:jc w:val="center"/>
              <w:rPr>
                <w:rFonts w:hint="eastAsia" w:ascii="宋体" w:hAnsi="宋体"/>
                <w:szCs w:val="21"/>
              </w:rPr>
            </w:pPr>
            <w:r>
              <w:rPr>
                <w:rFonts w:hint="eastAsia" w:ascii="宋体" w:hAnsi="宋体" w:cs="宋体"/>
                <w:w w:val="99"/>
                <w:szCs w:val="21"/>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6B85C835">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《单元式空气调节机能效限定值及能效等级》（GB19576）《风管送风式空调机组能效限定值及能效等级》（GB37479）</w:t>
            </w:r>
          </w:p>
        </w:tc>
      </w:tr>
      <w:tr w14:paraId="03C3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17C8B3">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E936A2">
            <w:pPr>
              <w:widowControl/>
              <w:jc w:val="left"/>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B8EE40F">
            <w:pPr>
              <w:pStyle w:val="106"/>
              <w:spacing w:before="83"/>
              <w:ind w:left="7"/>
              <w:jc w:val="center"/>
              <w:rPr>
                <w:rFonts w:hint="eastAsia" w:ascii="宋体" w:hAnsi="宋体" w:cs="宋体"/>
                <w:w w:val="99"/>
                <w:kern w:val="2"/>
                <w:sz w:val="21"/>
                <w:szCs w:val="21"/>
                <w:lang w:eastAsia="zh-CN"/>
              </w:rPr>
            </w:pPr>
            <w:r>
              <w:rPr>
                <w:rFonts w:hint="eastAsia" w:ascii="宋体" w:hAnsi="宋体" w:cs="宋体"/>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AE56D94">
            <w:pPr>
              <w:pStyle w:val="106"/>
              <w:jc w:val="center"/>
              <w:rPr>
                <w:rFonts w:hint="eastAsia" w:ascii="宋体" w:hAnsi="宋体" w:cs="宋体"/>
                <w:kern w:val="2"/>
                <w:sz w:val="21"/>
                <w:szCs w:val="21"/>
              </w:rPr>
            </w:pPr>
            <w:r>
              <w:rPr>
                <w:rFonts w:hint="eastAsia" w:ascii="宋体" w:hAnsi="宋体" w:cs="宋体"/>
                <w:w w:val="99"/>
                <w:kern w:val="2"/>
                <w:sz w:val="21"/>
                <w:szCs w:val="21"/>
              </w:rPr>
              <w:t>机房空调</w:t>
            </w:r>
          </w:p>
        </w:tc>
        <w:tc>
          <w:tcPr>
            <w:tcW w:w="3452" w:type="dxa"/>
            <w:tcBorders>
              <w:top w:val="single" w:color="000000" w:sz="4" w:space="0"/>
              <w:left w:val="single" w:color="000000" w:sz="4" w:space="0"/>
              <w:bottom w:val="single" w:color="000000" w:sz="4" w:space="0"/>
              <w:right w:val="single" w:color="000000" w:sz="4" w:space="0"/>
            </w:tcBorders>
          </w:tcPr>
          <w:p w14:paraId="447DC53A">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《单元式空气调节机能效限定值</w:t>
            </w:r>
          </w:p>
          <w:p w14:paraId="3CD51D4A">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及能效等级》（GB19576）</w:t>
            </w:r>
          </w:p>
        </w:tc>
      </w:tr>
      <w:tr w14:paraId="71CE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302706">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2FB12A">
            <w:pPr>
              <w:widowControl/>
              <w:jc w:val="left"/>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95BDA0E">
            <w:pPr>
              <w:pStyle w:val="106"/>
              <w:spacing w:line="254" w:lineRule="exact"/>
              <w:ind w:left="7"/>
              <w:jc w:val="center"/>
              <w:rPr>
                <w:rFonts w:hint="eastAsia" w:ascii="宋体" w:hAnsi="宋体" w:cs="宋体"/>
                <w:w w:val="99"/>
                <w:kern w:val="2"/>
                <w:sz w:val="21"/>
                <w:szCs w:val="21"/>
              </w:rPr>
            </w:pPr>
            <w:r>
              <w:rPr>
                <w:rFonts w:hint="eastAsia" w:ascii="宋体" w:hAnsi="宋体" w:cs="宋体"/>
                <w:w w:val="99"/>
                <w:kern w:val="2"/>
                <w:sz w:val="21"/>
                <w:szCs w:val="21"/>
              </w:rPr>
              <w:t>A02052399其他制冷</w:t>
            </w:r>
          </w:p>
          <w:p w14:paraId="5413CAA8">
            <w:pPr>
              <w:pStyle w:val="106"/>
              <w:spacing w:line="254" w:lineRule="exact"/>
              <w:ind w:left="7"/>
              <w:jc w:val="center"/>
              <w:rPr>
                <w:rFonts w:hint="eastAsia" w:ascii="宋体" w:hAnsi="宋体" w:cs="宋体"/>
                <w:kern w:val="2"/>
                <w:sz w:val="21"/>
                <w:szCs w:val="21"/>
              </w:rPr>
            </w:pPr>
            <w:r>
              <w:rPr>
                <w:rFonts w:hint="eastAsia" w:ascii="宋体" w:hAnsi="宋体" w:cs="宋体"/>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B680D79">
            <w:pPr>
              <w:widowControl/>
              <w:jc w:val="center"/>
              <w:rPr>
                <w:rFonts w:hint="eastAsia" w:ascii="宋体" w:hAnsi="宋体" w:cs="宋体"/>
                <w:szCs w:val="21"/>
                <w:lang w:eastAsia="en-US"/>
              </w:rPr>
            </w:pPr>
            <w:r>
              <w:rPr>
                <w:rFonts w:hint="eastAsia" w:ascii="宋体" w:hAnsi="宋体" w:cs="宋体"/>
                <w:w w:val="99"/>
                <w:szCs w:val="21"/>
              </w:rPr>
              <w:t>冷却塔</w:t>
            </w:r>
          </w:p>
        </w:tc>
        <w:tc>
          <w:tcPr>
            <w:tcW w:w="3452" w:type="dxa"/>
            <w:tcBorders>
              <w:top w:val="single" w:color="000000" w:sz="4" w:space="0"/>
              <w:left w:val="single" w:color="000000" w:sz="4" w:space="0"/>
              <w:bottom w:val="single" w:color="000000" w:sz="4" w:space="0"/>
              <w:right w:val="single" w:color="000000" w:sz="4" w:space="0"/>
            </w:tcBorders>
          </w:tcPr>
          <w:p w14:paraId="05FDCFC0">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《机械通风冷却塔第1部分：中小型开式冷却塔》（GB/T7190.1）</w:t>
            </w:r>
          </w:p>
          <w:p w14:paraId="326E58E4">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《机械通风冷却塔第2部分：大型开式冷却塔》（GB/T7190.2）</w:t>
            </w:r>
          </w:p>
        </w:tc>
      </w:tr>
      <w:tr w14:paraId="4003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52D6D6B">
            <w:pPr>
              <w:pStyle w:val="106"/>
              <w:ind w:right="1"/>
              <w:jc w:val="center"/>
              <w:rPr>
                <w:rFonts w:hint="eastAsia" w:ascii="宋体" w:hAnsi="宋体" w:cs="宋体"/>
                <w:kern w:val="2"/>
                <w:sz w:val="21"/>
                <w:szCs w:val="21"/>
              </w:rPr>
            </w:pPr>
            <w:r>
              <w:rPr>
                <w:rFonts w:hint="eastAsia" w:ascii="宋体" w:hAnsi="宋体"/>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530DE2A1">
            <w:pPr>
              <w:pStyle w:val="106"/>
              <w:jc w:val="center"/>
              <w:rPr>
                <w:rFonts w:hint="eastAsia" w:ascii="宋体" w:hAnsi="宋体" w:cs="宋体"/>
                <w:kern w:val="2"/>
                <w:sz w:val="21"/>
                <w:szCs w:val="21"/>
              </w:rPr>
            </w:pPr>
            <w:r>
              <w:rPr>
                <w:rFonts w:hint="eastAsia" w:ascii="宋体" w:hAnsi="宋体" w:cs="仿宋_GB2312"/>
                <w:kern w:val="2"/>
                <w:sz w:val="21"/>
                <w:szCs w:val="21"/>
              </w:rPr>
              <w:t>A02060100</w:t>
            </w:r>
            <w:r>
              <w:rPr>
                <w:rFonts w:hint="eastAsia" w:ascii="宋体" w:hAnsi="宋体" w:cs="宋体"/>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1F84E9A3">
            <w:pPr>
              <w:jc w:val="center"/>
              <w:rPr>
                <w:rFonts w:hint="eastAsia"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537AA3D">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73BF051B">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《中小型三相异步电动机能效限定值及能效等级》（GB18613）</w:t>
            </w:r>
          </w:p>
        </w:tc>
      </w:tr>
      <w:tr w14:paraId="7483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8CECED3">
            <w:pPr>
              <w:pStyle w:val="106"/>
              <w:ind w:right="1"/>
              <w:jc w:val="center"/>
              <w:rPr>
                <w:rFonts w:hint="eastAsia" w:ascii="宋体" w:hAnsi="宋体" w:cs="宋体"/>
                <w:kern w:val="2"/>
                <w:sz w:val="21"/>
                <w:szCs w:val="21"/>
              </w:rPr>
            </w:pPr>
            <w:r>
              <w:rPr>
                <w:rFonts w:hint="eastAsia" w:ascii="宋体" w:hAnsi="宋体"/>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6A7600EA">
            <w:pPr>
              <w:pStyle w:val="106"/>
              <w:spacing w:before="30"/>
              <w:ind w:left="7"/>
              <w:jc w:val="center"/>
              <w:rPr>
                <w:rFonts w:hint="eastAsia" w:ascii="宋体" w:hAnsi="宋体" w:cs="宋体"/>
                <w:kern w:val="2"/>
                <w:sz w:val="21"/>
                <w:szCs w:val="21"/>
              </w:rPr>
            </w:pPr>
            <w:r>
              <w:rPr>
                <w:rFonts w:hint="eastAsia" w:ascii="宋体" w:hAnsi="宋体" w:cs="仿宋_GB2312"/>
                <w:kern w:val="2"/>
                <w:sz w:val="21"/>
                <w:szCs w:val="21"/>
              </w:rPr>
              <w:t>A02060200</w:t>
            </w:r>
            <w:r>
              <w:rPr>
                <w:rFonts w:hint="eastAsia" w:ascii="宋体" w:hAnsi="宋体" w:cs="宋体"/>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01C21809">
            <w:pPr>
              <w:pStyle w:val="106"/>
              <w:jc w:val="center"/>
              <w:rPr>
                <w:rFonts w:hint="eastAsia" w:ascii="宋体" w:hAnsi="宋体" w:cs="宋体"/>
                <w:kern w:val="2"/>
                <w:sz w:val="21"/>
                <w:szCs w:val="21"/>
              </w:rPr>
            </w:pPr>
            <w:r>
              <w:rPr>
                <w:rFonts w:hint="eastAsia" w:ascii="宋体" w:hAnsi="宋体" w:cs="宋体"/>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3C2043D">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2C84853E">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《三相配电变压器能效限定值及能效等级》（GB 20052）</w:t>
            </w:r>
          </w:p>
        </w:tc>
      </w:tr>
      <w:tr w14:paraId="0E46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F4835FC">
            <w:pPr>
              <w:pStyle w:val="106"/>
              <w:ind w:right="1"/>
              <w:jc w:val="center"/>
              <w:rPr>
                <w:rFonts w:hint="eastAsia" w:ascii="宋体" w:hAnsi="宋体" w:cs="宋体"/>
                <w:kern w:val="2"/>
                <w:sz w:val="21"/>
                <w:szCs w:val="21"/>
              </w:rPr>
            </w:pPr>
            <w:r>
              <w:rPr>
                <w:rFonts w:hint="eastAsia" w:ascii="宋体" w:hAnsi="宋体"/>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68815CD3">
            <w:pPr>
              <w:pStyle w:val="106"/>
              <w:spacing w:before="126"/>
              <w:ind w:left="7"/>
              <w:jc w:val="center"/>
              <w:rPr>
                <w:rFonts w:hint="eastAsia" w:ascii="宋体" w:hAnsi="宋体" w:cs="宋体"/>
                <w:kern w:val="2"/>
                <w:sz w:val="21"/>
                <w:szCs w:val="21"/>
              </w:rPr>
            </w:pPr>
            <w:r>
              <w:rPr>
                <w:rFonts w:hint="eastAsia" w:ascii="宋体" w:hAnsi="宋体" w:cs="宋体"/>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4C12D3E">
            <w:pPr>
              <w:pStyle w:val="106"/>
              <w:jc w:val="center"/>
              <w:rPr>
                <w:rFonts w:hint="eastAsia" w:ascii="宋体" w:hAnsi="宋体" w:cs="宋体"/>
                <w:kern w:val="2"/>
                <w:sz w:val="21"/>
                <w:szCs w:val="21"/>
              </w:rPr>
            </w:pPr>
            <w:r>
              <w:rPr>
                <w:rFonts w:hint="eastAsia" w:ascii="宋体" w:hAnsi="宋体" w:cs="宋体"/>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5327358">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165A64EA">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《管形荧光灯镇流器能效限定值及能效等级》（GB17896）</w:t>
            </w:r>
          </w:p>
        </w:tc>
      </w:tr>
      <w:tr w14:paraId="3B0A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F80134B">
            <w:pPr>
              <w:pStyle w:val="106"/>
              <w:jc w:val="center"/>
              <w:rPr>
                <w:rFonts w:hint="eastAsia" w:ascii="宋体" w:hAnsi="宋体" w:cs="宋体"/>
                <w:kern w:val="2"/>
                <w:sz w:val="21"/>
                <w:szCs w:val="21"/>
              </w:rPr>
            </w:pPr>
            <w:r>
              <w:rPr>
                <w:rFonts w:hint="eastAsia" w:ascii="宋体" w:hAnsi="宋体"/>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2B5D034">
            <w:pPr>
              <w:pStyle w:val="106"/>
              <w:jc w:val="center"/>
              <w:rPr>
                <w:rFonts w:hint="eastAsia" w:ascii="宋体" w:hAnsi="宋体" w:cs="宋体"/>
                <w:kern w:val="2"/>
                <w:sz w:val="21"/>
                <w:szCs w:val="21"/>
              </w:rPr>
            </w:pPr>
            <w:r>
              <w:rPr>
                <w:rFonts w:hint="eastAsia" w:ascii="宋体" w:hAnsi="宋体" w:cs="宋体"/>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7FC4329">
            <w:pPr>
              <w:pStyle w:val="106"/>
              <w:jc w:val="center"/>
              <w:rPr>
                <w:rFonts w:hint="eastAsia" w:ascii="宋体" w:hAnsi="宋体" w:cs="宋体"/>
                <w:kern w:val="2"/>
                <w:sz w:val="21"/>
                <w:szCs w:val="21"/>
              </w:rPr>
            </w:pPr>
            <w:r>
              <w:rPr>
                <w:rFonts w:hint="eastAsia" w:ascii="宋体" w:hAnsi="宋体" w:cs="宋体"/>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67BA1D0A">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72AB16A8">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《家用电冰箱耗电量限定值及能效等级》（GB12021.2）</w:t>
            </w:r>
          </w:p>
        </w:tc>
      </w:tr>
      <w:tr w14:paraId="7951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E8118E">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DF8239B">
            <w:pPr>
              <w:widowControl/>
              <w:jc w:val="left"/>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B7ED960">
            <w:pPr>
              <w:pStyle w:val="106"/>
              <w:spacing w:before="171"/>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仿宋_GB2312"/>
                <w:kern w:val="2"/>
                <w:sz w:val="21"/>
                <w:szCs w:val="21"/>
              </w:rPr>
              <w:t>A02061804</w:t>
            </w:r>
            <w:r>
              <w:rPr>
                <w:rFonts w:hint="eastAsia" w:ascii="宋体" w:hAnsi="宋体" w:cs="宋体"/>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D760C43">
            <w:pPr>
              <w:pStyle w:val="106"/>
              <w:jc w:val="center"/>
              <w:rPr>
                <w:rFonts w:hint="eastAsia" w:ascii="宋体" w:hAnsi="宋体" w:cs="宋体"/>
                <w:kern w:val="2"/>
                <w:sz w:val="21"/>
                <w:szCs w:val="21"/>
              </w:rPr>
            </w:pPr>
            <w:r>
              <w:rPr>
                <w:rFonts w:hint="eastAsia" w:ascii="宋体" w:hAnsi="宋体" w:cs="宋体"/>
                <w:w w:val="99"/>
                <w:kern w:val="2"/>
                <w:sz w:val="21"/>
                <w:szCs w:val="21"/>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010C9786">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《房间空气调节器能效限定值及能效等级》（GB21455-2019）</w:t>
            </w:r>
          </w:p>
        </w:tc>
      </w:tr>
      <w:tr w14:paraId="60AD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EC9858">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AA6BF6">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85E71F2">
            <w:pPr>
              <w:widowControl/>
              <w:jc w:val="left"/>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F46A379">
            <w:pPr>
              <w:pStyle w:val="106"/>
              <w:spacing w:before="4" w:line="276" w:lineRule="auto"/>
              <w:ind w:left="7" w:right="7"/>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4A2E88B7">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《多联式空调（热泵）机组能效限定值及能源效率等级》（GB21454）</w:t>
            </w:r>
          </w:p>
        </w:tc>
      </w:tr>
      <w:tr w14:paraId="34E6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0F1FC8">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B37A7F">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A02C7B">
            <w:pPr>
              <w:widowControl/>
              <w:jc w:val="left"/>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48835C">
            <w:pPr>
              <w:pStyle w:val="106"/>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0638A078">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《单元式空气调节机能效限定值及能源效率等级》（GB19576）《风管送风式空调机组能效限定值及能效等级》（GB37479）</w:t>
            </w:r>
          </w:p>
        </w:tc>
      </w:tr>
      <w:tr w14:paraId="6068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C5DE8F">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1970BA">
            <w:pPr>
              <w:widowControl/>
              <w:jc w:val="left"/>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03BEB0E">
            <w:pPr>
              <w:pStyle w:val="106"/>
              <w:spacing w:before="162"/>
              <w:ind w:left="7"/>
              <w:jc w:val="center"/>
              <w:rPr>
                <w:rFonts w:hint="eastAsia" w:ascii="宋体" w:hAnsi="宋体" w:cs="宋体"/>
                <w:kern w:val="2"/>
                <w:sz w:val="21"/>
                <w:szCs w:val="21"/>
              </w:rPr>
            </w:pPr>
            <w:r>
              <w:rPr>
                <w:rFonts w:hint="eastAsia" w:ascii="宋体" w:hAnsi="宋体" w:cs="仿宋_GB2312"/>
                <w:kern w:val="2"/>
                <w:sz w:val="21"/>
                <w:szCs w:val="21"/>
              </w:rPr>
              <w:t>A02061810</w:t>
            </w:r>
            <w:r>
              <w:rPr>
                <w:rFonts w:hint="eastAsia" w:ascii="宋体" w:hAnsi="宋体" w:cs="宋体"/>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096A04F">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1A93F4B9">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《电动洗衣机能效水效限定值及等级》（GB12021.4）</w:t>
            </w:r>
          </w:p>
        </w:tc>
      </w:tr>
      <w:tr w14:paraId="4E51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51FF59A">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B4CF5E">
            <w:pPr>
              <w:widowControl/>
              <w:jc w:val="left"/>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68CF4FF">
            <w:pPr>
              <w:pStyle w:val="106"/>
              <w:spacing w:before="161"/>
              <w:jc w:val="center"/>
              <w:rPr>
                <w:rFonts w:hint="eastAsia" w:ascii="宋体" w:hAnsi="宋体" w:cs="宋体"/>
                <w:kern w:val="2"/>
                <w:sz w:val="21"/>
                <w:szCs w:val="21"/>
              </w:rPr>
            </w:pPr>
            <w:r>
              <w:rPr>
                <w:rFonts w:hint="eastAsia" w:ascii="宋体" w:hAnsi="宋体" w:cs="仿宋_GB2312"/>
                <w:kern w:val="2"/>
                <w:sz w:val="21"/>
                <w:szCs w:val="21"/>
              </w:rPr>
              <w:t>A02061819</w:t>
            </w:r>
            <w:r>
              <w:rPr>
                <w:rFonts w:hint="eastAsia" w:ascii="宋体" w:hAnsi="宋体" w:cs="宋体"/>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0106252">
            <w:pPr>
              <w:pStyle w:val="106"/>
              <w:jc w:val="center"/>
              <w:rPr>
                <w:rFonts w:hint="eastAsia" w:ascii="宋体" w:hAnsi="宋体" w:cs="宋体"/>
                <w:kern w:val="2"/>
                <w:sz w:val="21"/>
                <w:szCs w:val="21"/>
              </w:rPr>
            </w:pPr>
            <w:r>
              <w:rPr>
                <w:rFonts w:hint="eastAsia" w:ascii="宋体" w:hAnsi="宋体" w:cs="宋体"/>
                <w:w w:val="99"/>
                <w:kern w:val="2"/>
                <w:sz w:val="21"/>
                <w:szCs w:val="21"/>
              </w:rPr>
              <w:t>★电热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45405DAB">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《储水式电热水器能效限定值及能效等级》（GB21519）</w:t>
            </w:r>
          </w:p>
        </w:tc>
      </w:tr>
      <w:tr w14:paraId="60D2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84F0B4">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3E8973">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9707C9">
            <w:pPr>
              <w:widowControl/>
              <w:jc w:val="left"/>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7AEF3E5">
            <w:pPr>
              <w:pStyle w:val="106"/>
              <w:jc w:val="center"/>
              <w:rPr>
                <w:rFonts w:hint="eastAsia" w:ascii="宋体" w:hAnsi="宋体" w:cs="宋体"/>
                <w:kern w:val="2"/>
                <w:sz w:val="21"/>
                <w:szCs w:val="21"/>
              </w:rPr>
            </w:pPr>
            <w:r>
              <w:rPr>
                <w:rFonts w:hint="eastAsia" w:ascii="宋体" w:hAnsi="宋体" w:cs="宋体"/>
                <w:w w:val="99"/>
                <w:kern w:val="2"/>
                <w:sz w:val="21"/>
                <w:szCs w:val="21"/>
              </w:rPr>
              <w:t>燃气热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7FB3803D">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《家用燃气快速热水器和燃气采暖热水炉能效限定值及能效等级》（GB20665）</w:t>
            </w:r>
          </w:p>
        </w:tc>
      </w:tr>
      <w:tr w14:paraId="16C3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89EC81">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B9376A">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4744E3">
            <w:pPr>
              <w:widowControl/>
              <w:jc w:val="left"/>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357B2F3">
            <w:pPr>
              <w:pStyle w:val="106"/>
              <w:jc w:val="center"/>
              <w:rPr>
                <w:rFonts w:hint="eastAsia" w:ascii="宋体" w:hAnsi="宋体" w:cs="宋体"/>
                <w:kern w:val="2"/>
                <w:sz w:val="21"/>
                <w:szCs w:val="21"/>
              </w:rPr>
            </w:pPr>
            <w:r>
              <w:rPr>
                <w:rFonts w:hint="eastAsia" w:ascii="宋体" w:hAnsi="宋体" w:cs="宋体"/>
                <w:w w:val="99"/>
                <w:kern w:val="2"/>
                <w:sz w:val="21"/>
                <w:szCs w:val="21"/>
              </w:rPr>
              <w:t>热泵热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1A86749C">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《热泵热水机（器）能效限定值及能效等级》（GB29541）</w:t>
            </w:r>
          </w:p>
        </w:tc>
      </w:tr>
      <w:tr w14:paraId="4A6A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377F0A">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FF4C32">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A94A4A">
            <w:pPr>
              <w:widowControl/>
              <w:jc w:val="left"/>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E694E2D">
            <w:pPr>
              <w:pStyle w:val="106"/>
              <w:jc w:val="center"/>
              <w:rPr>
                <w:rFonts w:hint="eastAsia" w:ascii="宋体" w:hAnsi="宋体" w:cs="宋体"/>
                <w:kern w:val="2"/>
                <w:sz w:val="21"/>
                <w:szCs w:val="21"/>
              </w:rPr>
            </w:pPr>
            <w:r>
              <w:rPr>
                <w:rFonts w:hint="eastAsia" w:ascii="宋体" w:hAnsi="宋体" w:cs="宋体"/>
                <w:w w:val="99"/>
                <w:kern w:val="2"/>
                <w:sz w:val="21"/>
                <w:szCs w:val="21"/>
              </w:rPr>
              <w:t>太阳能</w:t>
            </w:r>
            <w:r>
              <w:rPr>
                <w:rFonts w:hint="eastAsia" w:ascii="宋体" w:hAnsi="宋体" w:cs="宋体"/>
                <w:spacing w:val="2"/>
                <w:w w:val="99"/>
                <w:kern w:val="2"/>
                <w:sz w:val="21"/>
                <w:szCs w:val="21"/>
              </w:rPr>
              <w:t>热</w:t>
            </w:r>
            <w:r>
              <w:rPr>
                <w:rFonts w:hint="eastAsia" w:ascii="宋体" w:hAnsi="宋体" w:cs="宋体"/>
                <w:w w:val="99"/>
                <w:kern w:val="2"/>
                <w:sz w:val="21"/>
                <w:szCs w:val="21"/>
              </w:rPr>
              <w:t>水系统</w:t>
            </w:r>
          </w:p>
        </w:tc>
        <w:tc>
          <w:tcPr>
            <w:tcW w:w="3452" w:type="dxa"/>
            <w:tcBorders>
              <w:top w:val="single" w:color="000000" w:sz="4" w:space="0"/>
              <w:left w:val="single" w:color="000000" w:sz="4" w:space="0"/>
              <w:bottom w:val="single" w:color="000000" w:sz="4" w:space="0"/>
              <w:right w:val="single" w:color="000000" w:sz="4" w:space="0"/>
            </w:tcBorders>
          </w:tcPr>
          <w:p w14:paraId="3A5DFB8F">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《家用太阳能热水系统能效限定值及能效等级》（GB26969）</w:t>
            </w:r>
          </w:p>
        </w:tc>
      </w:tr>
      <w:tr w14:paraId="14B5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ADF1AB0">
            <w:pPr>
              <w:pStyle w:val="106"/>
              <w:jc w:val="center"/>
              <w:rPr>
                <w:rFonts w:hint="eastAsia" w:ascii="宋体" w:hAnsi="宋体" w:cs="宋体"/>
                <w:kern w:val="2"/>
                <w:sz w:val="21"/>
                <w:szCs w:val="21"/>
              </w:rPr>
            </w:pPr>
            <w:r>
              <w:rPr>
                <w:rFonts w:hint="eastAsia" w:ascii="宋体" w:hAnsi="宋体"/>
                <w:spacing w:val="1"/>
                <w:w w:val="99"/>
                <w:kern w:val="2"/>
                <w:sz w:val="21"/>
                <w:szCs w:val="21"/>
              </w:rPr>
              <w:t>1</w:t>
            </w:r>
            <w:r>
              <w:rPr>
                <w:rFonts w:hint="eastAsia" w:ascii="宋体" w:hAnsi="宋体"/>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4CDE684">
            <w:pPr>
              <w:pStyle w:val="106"/>
              <w:spacing w:before="157"/>
              <w:jc w:val="center"/>
              <w:rPr>
                <w:rFonts w:hint="eastAsia"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06</w:t>
            </w:r>
            <w:r>
              <w:rPr>
                <w:rFonts w:hint="eastAsia" w:ascii="宋体" w:hAnsi="宋体" w:cs="宋体"/>
                <w:spacing w:val="1"/>
                <w:w w:val="99"/>
                <w:kern w:val="2"/>
                <w:sz w:val="21"/>
                <w:szCs w:val="21"/>
              </w:rPr>
              <w:t>1</w:t>
            </w:r>
            <w:r>
              <w:rPr>
                <w:rFonts w:hint="eastAsia" w:ascii="宋体" w:hAnsi="宋体" w:cs="宋体"/>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27554BA">
            <w:pPr>
              <w:pStyle w:val="106"/>
              <w:spacing w:before="133" w:line="276" w:lineRule="auto"/>
              <w:ind w:left="7" w:right="7"/>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040C3E8E">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0D28C588">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《普通照明用双端荧光灯能效限定值及能效等级》（GB19043）</w:t>
            </w:r>
          </w:p>
        </w:tc>
      </w:tr>
      <w:tr w14:paraId="5D08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168854">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4BDBF5">
            <w:pPr>
              <w:widowControl/>
              <w:jc w:val="left"/>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7D4396E">
            <w:pPr>
              <w:pStyle w:val="106"/>
              <w:spacing w:before="92" w:line="276" w:lineRule="auto"/>
              <w:ind w:left="7" w:right="2"/>
              <w:jc w:val="center"/>
              <w:rPr>
                <w:rFonts w:hint="eastAsia" w:ascii="宋体" w:hAnsi="宋体" w:cs="宋体"/>
                <w:kern w:val="2"/>
                <w:sz w:val="21"/>
                <w:szCs w:val="21"/>
              </w:rPr>
            </w:pPr>
            <w:r>
              <w:rPr>
                <w:rFonts w:hint="eastAsia" w:ascii="宋体" w:hAnsi="宋体" w:cs="宋体"/>
                <w:spacing w:val="1"/>
                <w:w w:val="99"/>
                <w:kern w:val="2"/>
                <w:sz w:val="21"/>
                <w:szCs w:val="21"/>
              </w:rPr>
              <w:t>LE</w:t>
            </w:r>
            <w:r>
              <w:rPr>
                <w:rFonts w:hint="eastAsia" w:ascii="宋体" w:hAnsi="宋体" w:cs="宋体"/>
                <w:w w:val="99"/>
                <w:kern w:val="2"/>
                <w:sz w:val="21"/>
                <w:szCs w:val="21"/>
              </w:rPr>
              <w:t>D</w:t>
            </w:r>
            <w:r>
              <w:rPr>
                <w:rFonts w:hint="eastAsia" w:ascii="宋体" w:hAnsi="宋体" w:cs="宋体"/>
                <w:spacing w:val="12"/>
                <w:w w:val="99"/>
                <w:kern w:val="2"/>
                <w:sz w:val="21"/>
                <w:szCs w:val="21"/>
              </w:rPr>
              <w:t>道</w:t>
            </w:r>
            <w:r>
              <w:rPr>
                <w:rFonts w:hint="eastAsia" w:ascii="宋体" w:hAnsi="宋体" w:cs="宋体"/>
                <w:spacing w:val="9"/>
                <w:w w:val="99"/>
                <w:kern w:val="2"/>
                <w:sz w:val="21"/>
                <w:szCs w:val="21"/>
              </w:rPr>
              <w:t>路</w:t>
            </w:r>
            <w:r>
              <w:rPr>
                <w:rFonts w:hint="eastAsia" w:ascii="宋体" w:hAnsi="宋体" w:cs="宋体"/>
                <w:spacing w:val="13"/>
                <w:w w:val="99"/>
                <w:kern w:val="2"/>
                <w:sz w:val="21"/>
                <w:szCs w:val="21"/>
              </w:rPr>
              <w:t>/</w:t>
            </w:r>
            <w:r>
              <w:rPr>
                <w:rFonts w:hint="eastAsia" w:ascii="宋体" w:hAnsi="宋体" w:cs="宋体"/>
                <w:spacing w:val="12"/>
                <w:w w:val="99"/>
                <w:kern w:val="2"/>
                <w:sz w:val="21"/>
                <w:szCs w:val="21"/>
              </w:rPr>
              <w:t>隧道照</w:t>
            </w:r>
            <w:r>
              <w:rPr>
                <w:rFonts w:hint="eastAsia" w:ascii="宋体" w:hAnsi="宋体" w:cs="宋体"/>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381555B1">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0A96476E">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《道路和隧道照明用LED灯具能效限定值及能效等级》（GB37478</w:t>
            </w:r>
            <w:r>
              <w:rPr>
                <w:rFonts w:ascii="宋体" w:hAnsi="宋体" w:cs="宋体"/>
                <w:spacing w:val="10"/>
                <w:kern w:val="2"/>
                <w:sz w:val="21"/>
                <w:szCs w:val="21"/>
                <w:lang w:eastAsia="zh-CN"/>
              </w:rPr>
              <w:t>）</w:t>
            </w:r>
          </w:p>
        </w:tc>
      </w:tr>
      <w:tr w14:paraId="18C8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2B9487">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C978C1">
            <w:pPr>
              <w:widowControl/>
              <w:jc w:val="left"/>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34D2FDA">
            <w:pPr>
              <w:pStyle w:val="106"/>
              <w:jc w:val="center"/>
              <w:rPr>
                <w:rFonts w:hint="eastAsia" w:ascii="宋体" w:hAnsi="宋体" w:cs="宋体"/>
                <w:kern w:val="2"/>
                <w:sz w:val="21"/>
                <w:szCs w:val="21"/>
              </w:rPr>
            </w:pPr>
            <w:r>
              <w:rPr>
                <w:rFonts w:hint="eastAsia" w:ascii="宋体" w:hAnsi="宋体" w:cs="宋体"/>
                <w:spacing w:val="1"/>
                <w:w w:val="99"/>
                <w:kern w:val="2"/>
                <w:sz w:val="21"/>
                <w:szCs w:val="21"/>
              </w:rPr>
              <w:t>LE</w:t>
            </w:r>
            <w:r>
              <w:rPr>
                <w:rFonts w:hint="eastAsia" w:ascii="宋体" w:hAnsi="宋体" w:cs="宋体"/>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C01FED8">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2BBEC5ED">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《室内照明用LED产品能效限定值及能效等级》（GB30255）</w:t>
            </w:r>
          </w:p>
        </w:tc>
      </w:tr>
      <w:tr w14:paraId="61B1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4FDE81">
            <w:pPr>
              <w:widowControl/>
              <w:jc w:val="left"/>
              <w:rPr>
                <w:rFonts w:hint="eastAsia"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6AEF47">
            <w:pPr>
              <w:widowControl/>
              <w:jc w:val="left"/>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FFCD40F">
            <w:pPr>
              <w:pStyle w:val="106"/>
              <w:spacing w:line="276" w:lineRule="auto"/>
              <w:ind w:right="7"/>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普</w:t>
            </w:r>
            <w:r>
              <w:rPr>
                <w:rFonts w:hint="eastAsia" w:ascii="宋体" w:hAnsi="宋体" w:cs="宋体"/>
                <w:spacing w:val="24"/>
                <w:w w:val="99"/>
                <w:kern w:val="2"/>
                <w:sz w:val="21"/>
                <w:szCs w:val="21"/>
                <w:lang w:eastAsia="zh-CN"/>
              </w:rPr>
              <w:t>通</w:t>
            </w:r>
            <w:r>
              <w:rPr>
                <w:rFonts w:hint="eastAsia" w:ascii="宋体" w:hAnsi="宋体" w:cs="宋体"/>
                <w:w w:val="99"/>
                <w:kern w:val="2"/>
                <w:sz w:val="21"/>
                <w:szCs w:val="21"/>
                <w:lang w:eastAsia="zh-CN"/>
              </w:rPr>
              <w:t>照明用非</w:t>
            </w:r>
            <w:r>
              <w:rPr>
                <w:rFonts w:hint="eastAsia" w:ascii="宋体" w:hAnsi="宋体" w:cs="宋体"/>
                <w:spacing w:val="24"/>
                <w:w w:val="99"/>
                <w:kern w:val="2"/>
                <w:sz w:val="21"/>
                <w:szCs w:val="21"/>
                <w:lang w:eastAsia="zh-CN"/>
              </w:rPr>
              <w:t>定</w:t>
            </w:r>
            <w:r>
              <w:rPr>
                <w:rFonts w:hint="eastAsia" w:ascii="宋体" w:hAnsi="宋体" w:cs="宋体"/>
                <w:w w:val="99"/>
                <w:kern w:val="2"/>
                <w:sz w:val="21"/>
                <w:szCs w:val="21"/>
                <w:lang w:eastAsia="zh-CN"/>
              </w:rPr>
              <w:t>向自镇流</w:t>
            </w:r>
            <w:r>
              <w:rPr>
                <w:rFonts w:hint="eastAsia" w:ascii="宋体" w:hAnsi="宋体" w:cs="宋体"/>
                <w:spacing w:val="1"/>
                <w:w w:val="99"/>
                <w:kern w:val="2"/>
                <w:sz w:val="21"/>
                <w:szCs w:val="21"/>
                <w:lang w:eastAsia="zh-CN"/>
              </w:rPr>
              <w:t>LE</w:t>
            </w:r>
            <w:r>
              <w:rPr>
                <w:rFonts w:hint="eastAsia" w:ascii="宋体" w:hAnsi="宋体" w:cs="宋体"/>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9AAA352">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7ADDF088">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《室内照明用LED产品能效限定值及能效等级》（GB30255）</w:t>
            </w:r>
          </w:p>
        </w:tc>
      </w:tr>
      <w:tr w14:paraId="04EA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79959F2">
            <w:pPr>
              <w:pStyle w:val="106"/>
              <w:jc w:val="center"/>
              <w:rPr>
                <w:rFonts w:hint="eastAsia" w:ascii="宋体" w:hAnsi="宋体" w:cs="宋体"/>
                <w:kern w:val="2"/>
                <w:sz w:val="21"/>
                <w:szCs w:val="21"/>
              </w:rPr>
            </w:pPr>
            <w:r>
              <w:rPr>
                <w:rFonts w:hint="eastAsia" w:ascii="宋体" w:hAnsi="宋体"/>
                <w:spacing w:val="1"/>
                <w:w w:val="99"/>
                <w:kern w:val="2"/>
                <w:sz w:val="21"/>
                <w:szCs w:val="21"/>
              </w:rPr>
              <w:t>1</w:t>
            </w:r>
            <w:r>
              <w:rPr>
                <w:rFonts w:hint="eastAsia" w:ascii="宋体" w:hAnsi="宋体"/>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3067B1C4">
            <w:pPr>
              <w:pStyle w:val="106"/>
              <w:spacing w:before="81"/>
              <w:ind w:left="7"/>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B691246">
            <w:pPr>
              <w:pStyle w:val="106"/>
              <w:spacing w:before="81" w:line="276" w:lineRule="auto"/>
              <w:ind w:left="7" w:right="5"/>
              <w:jc w:val="center"/>
              <w:rPr>
                <w:rFonts w:hint="eastAsia" w:ascii="宋体" w:hAnsi="宋体" w:cs="宋体"/>
                <w:kern w:val="2"/>
                <w:sz w:val="21"/>
                <w:szCs w:val="21"/>
                <w:lang w:eastAsia="zh-CN"/>
              </w:rPr>
            </w:pPr>
            <w:r>
              <w:rPr>
                <w:rFonts w:hint="eastAsia" w:ascii="宋体" w:hAnsi="宋体" w:cs="宋体"/>
                <w:spacing w:val="1"/>
                <w:w w:val="99"/>
                <w:kern w:val="2"/>
                <w:sz w:val="21"/>
                <w:szCs w:val="21"/>
                <w:lang w:eastAsia="zh-CN"/>
              </w:rPr>
              <w:t>A02</w:t>
            </w:r>
            <w:r>
              <w:rPr>
                <w:rFonts w:hint="eastAsia" w:ascii="宋体" w:hAnsi="宋体" w:cs="宋体"/>
                <w:w w:val="99"/>
                <w:kern w:val="2"/>
                <w:sz w:val="21"/>
                <w:szCs w:val="21"/>
                <w:lang w:eastAsia="zh-CN"/>
              </w:rPr>
              <w:t>09</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001普通电视设备（</w:t>
            </w:r>
            <w:r>
              <w:rPr>
                <w:rFonts w:hint="eastAsia" w:ascii="宋体" w:hAnsi="宋体" w:cs="宋体"/>
                <w:spacing w:val="2"/>
                <w:w w:val="99"/>
                <w:kern w:val="2"/>
                <w:sz w:val="21"/>
                <w:szCs w:val="21"/>
                <w:lang w:eastAsia="zh-CN"/>
              </w:rPr>
              <w:t>电</w:t>
            </w:r>
            <w:r>
              <w:rPr>
                <w:rFonts w:hint="eastAsia" w:ascii="宋体" w:hAnsi="宋体" w:cs="宋体"/>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4660D3C">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639C190">
            <w:pPr>
              <w:pStyle w:val="106"/>
              <w:spacing w:before="131" w:line="276" w:lineRule="auto"/>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（GB24850）标准</w:t>
            </w:r>
          </w:p>
        </w:tc>
      </w:tr>
      <w:tr w14:paraId="3381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365B956">
            <w:pPr>
              <w:pStyle w:val="106"/>
              <w:jc w:val="center"/>
              <w:rPr>
                <w:rFonts w:hint="eastAsia" w:ascii="宋体" w:hAnsi="宋体" w:cs="宋体"/>
                <w:kern w:val="2"/>
                <w:sz w:val="21"/>
                <w:szCs w:val="21"/>
              </w:rPr>
            </w:pPr>
            <w:r>
              <w:rPr>
                <w:rFonts w:hint="eastAsia" w:ascii="宋体" w:hAnsi="宋体"/>
                <w:spacing w:val="1"/>
                <w:w w:val="99"/>
                <w:kern w:val="2"/>
                <w:sz w:val="21"/>
                <w:szCs w:val="21"/>
              </w:rPr>
              <w:t>1</w:t>
            </w:r>
            <w:r>
              <w:rPr>
                <w:rFonts w:hint="eastAsia" w:ascii="宋体" w:hAnsi="宋体"/>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02AB34B">
            <w:pPr>
              <w:pStyle w:val="106"/>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FE397FD">
            <w:pPr>
              <w:pStyle w:val="106"/>
              <w:spacing w:line="276" w:lineRule="auto"/>
              <w:ind w:right="5"/>
              <w:jc w:val="center"/>
              <w:rPr>
                <w:rFonts w:hint="eastAsia"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09</w:t>
            </w:r>
            <w:r>
              <w:rPr>
                <w:rFonts w:hint="eastAsia" w:ascii="宋体" w:hAnsi="宋体" w:cs="宋体"/>
                <w:spacing w:val="1"/>
                <w:w w:val="99"/>
                <w:kern w:val="2"/>
                <w:sz w:val="21"/>
                <w:szCs w:val="21"/>
              </w:rPr>
              <w:t>1</w:t>
            </w:r>
            <w:r>
              <w:rPr>
                <w:rFonts w:hint="eastAsia" w:ascii="宋体" w:hAnsi="宋体" w:cs="宋体"/>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9F40997">
            <w:pPr>
              <w:pStyle w:val="106"/>
              <w:jc w:val="center"/>
              <w:rPr>
                <w:rFonts w:hint="eastAsia" w:ascii="宋体" w:hAnsi="宋体" w:cs="宋体"/>
                <w:kern w:val="2"/>
                <w:sz w:val="21"/>
                <w:szCs w:val="21"/>
              </w:rPr>
            </w:pPr>
            <w:r>
              <w:rPr>
                <w:rFonts w:hint="eastAsia" w:ascii="宋体" w:hAnsi="宋体" w:cs="宋体"/>
                <w:w w:val="99"/>
                <w:kern w:val="2"/>
                <w:sz w:val="21"/>
                <w:szCs w:val="21"/>
              </w:rPr>
              <w:t>监视器</w:t>
            </w:r>
          </w:p>
        </w:tc>
        <w:tc>
          <w:tcPr>
            <w:tcW w:w="3452" w:type="dxa"/>
            <w:tcBorders>
              <w:top w:val="single" w:color="000000" w:sz="4" w:space="0"/>
              <w:left w:val="single" w:color="000000" w:sz="4" w:space="0"/>
              <w:bottom w:val="single" w:color="000000" w:sz="4" w:space="0"/>
              <w:right w:val="single" w:color="000000" w:sz="4" w:space="0"/>
            </w:tcBorders>
          </w:tcPr>
          <w:p w14:paraId="1554EC45">
            <w:pPr>
              <w:pStyle w:val="106"/>
              <w:spacing w:before="131" w:line="276" w:lineRule="auto"/>
              <w:ind w:left="7" w:right="4"/>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以射频信号为主要信号输入的监视器应符合（GB24850）标准，以数字信号为主要信号输入的监视器应符合《计算机显示器能效限定值及能效等级》（GB21520）</w:t>
            </w:r>
          </w:p>
        </w:tc>
      </w:tr>
      <w:tr w14:paraId="0E0A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06F71C4">
            <w:pPr>
              <w:pStyle w:val="106"/>
              <w:jc w:val="center"/>
              <w:rPr>
                <w:rFonts w:hint="eastAsia" w:ascii="宋体" w:hAnsi="宋体" w:cs="宋体"/>
                <w:kern w:val="2"/>
                <w:sz w:val="21"/>
                <w:szCs w:val="21"/>
              </w:rPr>
            </w:pPr>
            <w:r>
              <w:rPr>
                <w:rFonts w:hint="eastAsia" w:ascii="宋体" w:hAnsi="宋体"/>
                <w:spacing w:val="1"/>
                <w:w w:val="99"/>
                <w:kern w:val="2"/>
                <w:sz w:val="21"/>
                <w:szCs w:val="21"/>
              </w:rPr>
              <w:t>1</w:t>
            </w:r>
            <w:r>
              <w:rPr>
                <w:rFonts w:hint="eastAsia" w:ascii="宋体" w:hAnsi="宋体"/>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02459CE4">
            <w:pPr>
              <w:pStyle w:val="106"/>
              <w:spacing w:before="76"/>
              <w:ind w:left="7"/>
              <w:jc w:val="center"/>
              <w:rPr>
                <w:rFonts w:hint="eastAsia" w:ascii="宋体" w:hAnsi="宋体" w:cs="宋体"/>
                <w:kern w:val="2"/>
                <w:sz w:val="21"/>
                <w:szCs w:val="21"/>
              </w:rPr>
            </w:pPr>
            <w:r>
              <w:rPr>
                <w:rFonts w:hint="eastAsia" w:ascii="宋体" w:hAnsi="宋体" w:cs="仿宋_GB2312"/>
                <w:kern w:val="2"/>
                <w:sz w:val="21"/>
                <w:szCs w:val="21"/>
              </w:rPr>
              <w:t>A02241000</w:t>
            </w:r>
            <w:r>
              <w:rPr>
                <w:rFonts w:hint="eastAsia" w:ascii="宋体" w:hAnsi="宋体" w:cs="宋体"/>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0D476F4C">
            <w:pPr>
              <w:pStyle w:val="106"/>
              <w:jc w:val="center"/>
              <w:rPr>
                <w:rFonts w:hint="eastAsia" w:ascii="宋体" w:hAnsi="宋体" w:cs="宋体"/>
                <w:kern w:val="2"/>
                <w:sz w:val="21"/>
                <w:szCs w:val="21"/>
              </w:rPr>
            </w:pPr>
            <w:r>
              <w:rPr>
                <w:rFonts w:hint="eastAsia" w:ascii="宋体" w:hAnsi="宋体" w:cs="宋体"/>
                <w:w w:val="99"/>
                <w:kern w:val="2"/>
                <w:sz w:val="21"/>
                <w:szCs w:val="21"/>
              </w:rPr>
              <w:t>商用燃</w:t>
            </w:r>
            <w:r>
              <w:rPr>
                <w:rFonts w:hint="eastAsia" w:ascii="宋体" w:hAnsi="宋体" w:cs="宋体"/>
                <w:spacing w:val="2"/>
                <w:w w:val="99"/>
                <w:kern w:val="2"/>
                <w:sz w:val="21"/>
                <w:szCs w:val="21"/>
              </w:rPr>
              <w:t>气</w:t>
            </w:r>
            <w:r>
              <w:rPr>
                <w:rFonts w:hint="eastAsia" w:ascii="宋体" w:hAnsi="宋体" w:cs="宋体"/>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28C60F7D">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375611A2">
            <w:pPr>
              <w:pStyle w:val="106"/>
              <w:spacing w:before="131" w:line="276" w:lineRule="auto"/>
              <w:ind w:left="7" w:right="4"/>
              <w:rPr>
                <w:rFonts w:hint="eastAsia" w:ascii="宋体" w:hAnsi="宋体" w:cs="宋体"/>
                <w:kern w:val="2"/>
                <w:sz w:val="21"/>
                <w:szCs w:val="21"/>
                <w:lang w:eastAsia="zh-CN"/>
              </w:rPr>
            </w:pPr>
            <w:r>
              <w:rPr>
                <w:rFonts w:hint="eastAsia" w:ascii="宋体" w:hAnsi="宋体" w:cs="宋体"/>
                <w:kern w:val="2"/>
                <w:sz w:val="21"/>
                <w:szCs w:val="21"/>
                <w:lang w:eastAsia="zh-CN"/>
              </w:rPr>
              <w:t>《商用燃气灶具能效限定值及能效等级》（GB30531）</w:t>
            </w:r>
          </w:p>
        </w:tc>
      </w:tr>
      <w:tr w14:paraId="7DE4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6B38AD4">
            <w:pPr>
              <w:jc w:val="center"/>
              <w:rPr>
                <w:rFonts w:hint="eastAsia" w:ascii="宋体" w:hAnsi="宋体"/>
                <w:szCs w:val="21"/>
              </w:rPr>
            </w:pPr>
            <w:r>
              <w:rPr>
                <w:rFonts w:hint="eastAsia" w:ascii="宋体" w:hAnsi="宋体"/>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E592B01">
            <w:pPr>
              <w:pStyle w:val="106"/>
              <w:jc w:val="center"/>
              <w:rPr>
                <w:rFonts w:hint="eastAsia" w:ascii="宋体" w:hAnsi="宋体" w:cs="宋体"/>
                <w:w w:val="99"/>
                <w:kern w:val="2"/>
                <w:sz w:val="21"/>
                <w:szCs w:val="21"/>
              </w:rPr>
            </w:pPr>
            <w:r>
              <w:rPr>
                <w:rFonts w:hint="eastAsia" w:ascii="宋体" w:hAnsi="宋体" w:cs="宋体"/>
                <w:w w:val="99"/>
                <w:kern w:val="2"/>
                <w:sz w:val="21"/>
                <w:szCs w:val="21"/>
              </w:rPr>
              <w:t>★</w:t>
            </w:r>
            <w:r>
              <w:rPr>
                <w:rFonts w:hint="eastAsia" w:ascii="宋体" w:hAnsi="宋体" w:cs="仿宋_GB2312"/>
                <w:kern w:val="2"/>
                <w:sz w:val="21"/>
                <w:szCs w:val="21"/>
              </w:rPr>
              <w:t>A05020105</w:t>
            </w:r>
            <w:r>
              <w:rPr>
                <w:rFonts w:hint="eastAsia" w:ascii="宋体" w:hAnsi="宋体" w:cs="宋体"/>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8D832BC">
            <w:pPr>
              <w:pStyle w:val="106"/>
              <w:jc w:val="center"/>
              <w:rPr>
                <w:rFonts w:hint="eastAsia" w:ascii="宋体" w:hAnsi="宋体" w:cs="宋体"/>
                <w:kern w:val="2"/>
                <w:sz w:val="21"/>
                <w:szCs w:val="21"/>
              </w:rPr>
            </w:pPr>
            <w:r>
              <w:rPr>
                <w:rFonts w:hint="eastAsia" w:ascii="宋体" w:hAnsi="宋体" w:cs="宋体"/>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56A59A2">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15714BA1">
            <w:pPr>
              <w:pStyle w:val="106"/>
              <w:spacing w:before="131" w:line="276" w:lineRule="auto"/>
              <w:ind w:left="7" w:right="4"/>
              <w:rPr>
                <w:rFonts w:hint="eastAsia" w:ascii="宋体" w:hAnsi="宋体" w:cs="宋体"/>
                <w:kern w:val="2"/>
                <w:sz w:val="21"/>
                <w:szCs w:val="21"/>
                <w:lang w:eastAsia="zh-CN"/>
              </w:rPr>
            </w:pPr>
            <w:r>
              <w:rPr>
                <w:rFonts w:hint="eastAsia" w:ascii="宋体" w:hAnsi="宋体" w:cs="宋体"/>
                <w:kern w:val="2"/>
                <w:sz w:val="21"/>
                <w:szCs w:val="21"/>
                <w:lang w:eastAsia="zh-CN"/>
              </w:rPr>
              <w:t>《坐便器水效限定值及水效等级》</w:t>
            </w:r>
          </w:p>
          <w:p w14:paraId="2700C2AE">
            <w:pPr>
              <w:pStyle w:val="106"/>
              <w:spacing w:before="131" w:line="276" w:lineRule="auto"/>
              <w:ind w:left="7" w:right="4"/>
              <w:rPr>
                <w:rFonts w:hint="eastAsia" w:ascii="宋体" w:hAnsi="宋体" w:cs="宋体"/>
                <w:kern w:val="2"/>
                <w:sz w:val="21"/>
                <w:szCs w:val="21"/>
                <w:lang w:eastAsia="zh-CN"/>
              </w:rPr>
            </w:pPr>
            <w:r>
              <w:rPr>
                <w:rFonts w:hint="eastAsia" w:ascii="宋体" w:hAnsi="宋体" w:cs="宋体"/>
                <w:kern w:val="2"/>
                <w:sz w:val="21"/>
                <w:szCs w:val="21"/>
                <w:lang w:eastAsia="zh-CN"/>
              </w:rPr>
              <w:t>（GB25502）</w:t>
            </w:r>
          </w:p>
        </w:tc>
      </w:tr>
      <w:tr w14:paraId="7423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EC77CF">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A26EFFA">
            <w:pPr>
              <w:widowControl/>
              <w:jc w:val="left"/>
              <w:rPr>
                <w:rFonts w:hint="eastAsia" w:ascii="宋体" w:hAnsi="宋体" w:cs="宋体"/>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0BE92E6">
            <w:pPr>
              <w:pStyle w:val="106"/>
              <w:jc w:val="center"/>
              <w:rPr>
                <w:rFonts w:hint="eastAsia" w:ascii="宋体" w:hAnsi="宋体" w:cs="宋体"/>
                <w:kern w:val="2"/>
                <w:sz w:val="21"/>
                <w:szCs w:val="21"/>
              </w:rPr>
            </w:pPr>
            <w:r>
              <w:rPr>
                <w:rFonts w:hint="eastAsia" w:ascii="宋体" w:hAnsi="宋体" w:cs="宋体"/>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58EC91C">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42FE7644">
            <w:pPr>
              <w:pStyle w:val="106"/>
              <w:spacing w:before="131" w:line="276" w:lineRule="auto"/>
              <w:ind w:left="7" w:right="4"/>
              <w:rPr>
                <w:rFonts w:hint="eastAsia" w:ascii="宋体" w:hAnsi="宋体" w:cs="宋体"/>
                <w:kern w:val="2"/>
                <w:sz w:val="21"/>
                <w:szCs w:val="21"/>
                <w:lang w:eastAsia="zh-CN"/>
              </w:rPr>
            </w:pPr>
            <w:r>
              <w:rPr>
                <w:rFonts w:hint="eastAsia" w:ascii="宋体" w:hAnsi="宋体" w:cs="宋体"/>
                <w:kern w:val="2"/>
                <w:sz w:val="21"/>
                <w:szCs w:val="21"/>
                <w:lang w:eastAsia="zh-CN"/>
              </w:rPr>
              <w:t>《蹲便器用水效率限定值及用水效率等级》（GB30717）</w:t>
            </w:r>
          </w:p>
        </w:tc>
      </w:tr>
      <w:tr w14:paraId="56F3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37F105">
            <w:pPr>
              <w:widowControl/>
              <w:jc w:val="left"/>
              <w:rPr>
                <w:rFonts w:hint="eastAsia"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66D8D4">
            <w:pPr>
              <w:widowControl/>
              <w:jc w:val="left"/>
              <w:rPr>
                <w:rFonts w:hint="eastAsia" w:ascii="宋体" w:hAnsi="宋体" w:cs="宋体"/>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7B88EC8">
            <w:pPr>
              <w:pStyle w:val="106"/>
              <w:jc w:val="center"/>
              <w:rPr>
                <w:rFonts w:hint="eastAsia" w:ascii="宋体" w:hAnsi="宋体" w:cs="宋体"/>
                <w:kern w:val="2"/>
                <w:sz w:val="21"/>
                <w:szCs w:val="21"/>
              </w:rPr>
            </w:pPr>
            <w:r>
              <w:rPr>
                <w:rFonts w:hint="eastAsia" w:ascii="宋体" w:hAnsi="宋体" w:cs="宋体"/>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0A4644B">
            <w:pPr>
              <w:jc w:val="center"/>
              <w:rPr>
                <w:rFonts w:hint="eastAsia"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69C77988">
            <w:pPr>
              <w:pStyle w:val="106"/>
              <w:spacing w:before="131" w:line="276" w:lineRule="auto"/>
              <w:ind w:left="7" w:right="4"/>
              <w:rPr>
                <w:rFonts w:hint="eastAsia" w:ascii="宋体" w:hAnsi="宋体" w:cs="宋体"/>
                <w:kern w:val="2"/>
                <w:sz w:val="21"/>
                <w:szCs w:val="21"/>
                <w:lang w:eastAsia="zh-CN"/>
              </w:rPr>
            </w:pPr>
            <w:r>
              <w:rPr>
                <w:rFonts w:hint="eastAsia" w:ascii="宋体" w:hAnsi="宋体" w:cs="宋体"/>
                <w:kern w:val="2"/>
                <w:sz w:val="21"/>
                <w:szCs w:val="21"/>
                <w:lang w:eastAsia="zh-CN"/>
              </w:rPr>
              <w:t>《小便器用水效率限定值及用水效率等级》（GB28377）</w:t>
            </w:r>
          </w:p>
        </w:tc>
      </w:tr>
      <w:tr w14:paraId="7269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CCB8F36">
            <w:pPr>
              <w:pStyle w:val="106"/>
              <w:jc w:val="center"/>
              <w:rPr>
                <w:rFonts w:hint="eastAsia" w:ascii="宋体" w:hAnsi="宋体" w:cs="宋体"/>
                <w:kern w:val="2"/>
                <w:sz w:val="21"/>
                <w:szCs w:val="21"/>
              </w:rPr>
            </w:pPr>
            <w:r>
              <w:rPr>
                <w:rFonts w:hint="eastAsia" w:ascii="宋体" w:hAnsi="宋体"/>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2BD6C799">
            <w:pPr>
              <w:pStyle w:val="106"/>
              <w:spacing w:before="153"/>
              <w:ind w:left="7"/>
              <w:jc w:val="center"/>
              <w:rPr>
                <w:rFonts w:hint="eastAsia" w:ascii="宋体" w:hAnsi="宋体" w:cs="宋体"/>
                <w:kern w:val="2"/>
                <w:sz w:val="21"/>
                <w:szCs w:val="21"/>
              </w:rPr>
            </w:pPr>
            <w:r>
              <w:rPr>
                <w:rFonts w:hint="eastAsia" w:ascii="宋体" w:hAnsi="宋体" w:cs="宋体"/>
                <w:kern w:val="2"/>
                <w:sz w:val="21"/>
                <w:szCs w:val="21"/>
              </w:rPr>
              <w:t>★</w:t>
            </w:r>
            <w:r>
              <w:rPr>
                <w:rFonts w:hint="eastAsia" w:ascii="宋体" w:hAnsi="宋体" w:cs="仿宋_GB2312"/>
                <w:kern w:val="2"/>
                <w:sz w:val="21"/>
                <w:szCs w:val="21"/>
              </w:rPr>
              <w:t>A05020106</w:t>
            </w:r>
            <w:r>
              <w:rPr>
                <w:rFonts w:hint="eastAsia" w:ascii="宋体" w:hAnsi="宋体" w:cs="宋体"/>
                <w:kern w:val="2"/>
                <w:sz w:val="21"/>
                <w:szCs w:val="21"/>
              </w:rPr>
              <w:t>水</w:t>
            </w:r>
            <w:r>
              <w:rPr>
                <w:rFonts w:hint="eastAsia" w:ascii="宋体" w:hAnsi="宋体" w:cs="宋体"/>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4FDA465B">
            <w:pPr>
              <w:jc w:val="center"/>
              <w:rPr>
                <w:rFonts w:hint="eastAsia" w:ascii="宋体" w:hAnsi="宋体"/>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FD9487E">
            <w:pPr>
              <w:jc w:val="center"/>
              <w:rPr>
                <w:rFonts w:hint="eastAsia" w:ascii="宋体" w:hAnsi="宋体"/>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619B668">
            <w:pPr>
              <w:pStyle w:val="106"/>
              <w:spacing w:before="153" w:line="276" w:lineRule="auto"/>
              <w:ind w:left="7" w:right="4"/>
              <w:rPr>
                <w:rFonts w:hint="eastAsia" w:ascii="宋体" w:hAnsi="宋体" w:cs="宋体"/>
                <w:kern w:val="2"/>
                <w:sz w:val="21"/>
                <w:szCs w:val="21"/>
                <w:lang w:eastAsia="zh-CN"/>
              </w:rPr>
            </w:pPr>
            <w:r>
              <w:rPr>
                <w:rFonts w:hint="eastAsia" w:ascii="宋体" w:hAnsi="宋体" w:cs="宋体"/>
                <w:spacing w:val="10"/>
                <w:kern w:val="2"/>
                <w:sz w:val="21"/>
                <w:szCs w:val="21"/>
                <w:lang w:eastAsia="zh-CN"/>
              </w:rPr>
              <w:t>《水嘴用水效率限定值及用水效</w:t>
            </w:r>
            <w:r>
              <w:rPr>
                <w:rFonts w:hint="eastAsia" w:ascii="宋体" w:hAnsi="宋体" w:cs="宋体"/>
                <w:kern w:val="2"/>
                <w:sz w:val="21"/>
                <w:szCs w:val="21"/>
                <w:lang w:eastAsia="zh-CN"/>
              </w:rPr>
              <w:t>率等级》（GB 25501）</w:t>
            </w:r>
          </w:p>
        </w:tc>
      </w:tr>
      <w:tr w14:paraId="0053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6B32111">
            <w:pPr>
              <w:pStyle w:val="106"/>
              <w:jc w:val="center"/>
              <w:rPr>
                <w:rFonts w:hint="eastAsia" w:ascii="宋体" w:hAnsi="宋体" w:cs="宋体"/>
                <w:kern w:val="2"/>
                <w:sz w:val="21"/>
                <w:szCs w:val="21"/>
              </w:rPr>
            </w:pPr>
            <w:r>
              <w:rPr>
                <w:rFonts w:hint="eastAsia" w:ascii="宋体" w:hAnsi="宋体"/>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1C467E7C">
            <w:pPr>
              <w:pStyle w:val="106"/>
              <w:spacing w:before="112"/>
              <w:ind w:left="7"/>
              <w:jc w:val="center"/>
              <w:rPr>
                <w:rFonts w:hint="eastAsia" w:ascii="宋体" w:hAnsi="宋体" w:cs="宋体"/>
                <w:kern w:val="2"/>
                <w:sz w:val="21"/>
                <w:szCs w:val="21"/>
              </w:rPr>
            </w:pPr>
            <w:r>
              <w:rPr>
                <w:rFonts w:hint="eastAsia" w:ascii="宋体" w:hAnsi="宋体" w:cs="仿宋_GB2312"/>
                <w:kern w:val="2"/>
                <w:sz w:val="21"/>
                <w:szCs w:val="21"/>
              </w:rPr>
              <w:t>A05020107</w:t>
            </w:r>
            <w:r>
              <w:rPr>
                <w:rFonts w:hint="eastAsia" w:ascii="宋体" w:hAnsi="宋体" w:cs="宋体"/>
                <w:kern w:val="2"/>
                <w:sz w:val="21"/>
                <w:szCs w:val="21"/>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7D2FBD63">
            <w:pPr>
              <w:jc w:val="center"/>
              <w:rPr>
                <w:rFonts w:hint="eastAsia" w:ascii="宋体" w:hAnsi="宋体"/>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FB2F42C">
            <w:pPr>
              <w:jc w:val="center"/>
              <w:rPr>
                <w:rFonts w:hint="eastAsia" w:ascii="宋体" w:hAnsi="宋体"/>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43D5D12D">
            <w:pPr>
              <w:pStyle w:val="106"/>
              <w:spacing w:before="112" w:line="276" w:lineRule="auto"/>
              <w:ind w:left="7" w:right="4"/>
              <w:rPr>
                <w:rFonts w:hint="eastAsia" w:ascii="宋体" w:hAnsi="宋体" w:cs="宋体"/>
                <w:kern w:val="2"/>
                <w:sz w:val="21"/>
                <w:szCs w:val="21"/>
                <w:lang w:eastAsia="zh-CN"/>
              </w:rPr>
            </w:pPr>
            <w:r>
              <w:rPr>
                <w:rFonts w:hint="eastAsia" w:ascii="宋体" w:hAnsi="宋体" w:cs="宋体"/>
                <w:spacing w:val="10"/>
                <w:kern w:val="2"/>
                <w:sz w:val="21"/>
                <w:szCs w:val="21"/>
                <w:lang w:eastAsia="zh-CN"/>
              </w:rPr>
              <w:t>《便器冲洗阀用水效率限定值及</w:t>
            </w:r>
            <w:r>
              <w:rPr>
                <w:rFonts w:hint="eastAsia" w:ascii="宋体" w:hAnsi="宋体" w:cs="宋体"/>
                <w:kern w:val="2"/>
                <w:sz w:val="21"/>
                <w:szCs w:val="21"/>
                <w:lang w:eastAsia="zh-CN"/>
              </w:rPr>
              <w:t>用水效率等级》（GB28379）</w:t>
            </w:r>
          </w:p>
        </w:tc>
      </w:tr>
      <w:tr w14:paraId="1A49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D365035">
            <w:pPr>
              <w:pStyle w:val="106"/>
              <w:jc w:val="center"/>
              <w:rPr>
                <w:rFonts w:hint="eastAsia" w:ascii="宋体" w:hAnsi="宋体" w:cs="宋体"/>
                <w:kern w:val="2"/>
                <w:sz w:val="21"/>
                <w:szCs w:val="21"/>
              </w:rPr>
            </w:pPr>
            <w:r>
              <w:rPr>
                <w:rFonts w:hint="eastAsia" w:ascii="宋体" w:hAnsi="宋体"/>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2D227B7D">
            <w:pPr>
              <w:pStyle w:val="106"/>
              <w:spacing w:before="131"/>
              <w:ind w:left="7"/>
              <w:jc w:val="center"/>
              <w:rPr>
                <w:rFonts w:hint="eastAsia" w:ascii="宋体" w:hAnsi="宋体" w:cs="宋体"/>
                <w:kern w:val="2"/>
                <w:sz w:val="21"/>
                <w:szCs w:val="21"/>
              </w:rPr>
            </w:pPr>
            <w:r>
              <w:rPr>
                <w:rFonts w:hint="eastAsia" w:ascii="宋体" w:hAnsi="宋体" w:cs="仿宋_GB2312"/>
                <w:kern w:val="2"/>
                <w:sz w:val="21"/>
                <w:szCs w:val="21"/>
              </w:rPr>
              <w:t>A05020110</w:t>
            </w:r>
            <w:r>
              <w:rPr>
                <w:rFonts w:hint="eastAsia" w:ascii="宋体" w:hAnsi="宋体" w:cs="宋体"/>
                <w:kern w:val="2"/>
                <w:sz w:val="21"/>
                <w:szCs w:val="21"/>
              </w:rPr>
              <w:t>淋浴</w:t>
            </w:r>
            <w:r>
              <w:rPr>
                <w:rFonts w:hint="eastAsia" w:ascii="宋体" w:hAnsi="宋体" w:cs="宋体"/>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B0AE37A">
            <w:pPr>
              <w:jc w:val="center"/>
              <w:rPr>
                <w:rFonts w:hint="eastAsia" w:ascii="宋体" w:hAnsi="宋体"/>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8EAA154">
            <w:pPr>
              <w:jc w:val="center"/>
              <w:rPr>
                <w:rFonts w:hint="eastAsia" w:ascii="宋体" w:hAnsi="宋体"/>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3FDDA56D">
            <w:pPr>
              <w:pStyle w:val="106"/>
              <w:spacing w:before="131" w:line="276" w:lineRule="auto"/>
              <w:ind w:left="7" w:right="4"/>
              <w:rPr>
                <w:rFonts w:hint="eastAsia" w:ascii="宋体" w:hAnsi="宋体" w:cs="宋体"/>
                <w:kern w:val="2"/>
                <w:sz w:val="21"/>
                <w:szCs w:val="21"/>
                <w:lang w:eastAsia="zh-CN"/>
              </w:rPr>
            </w:pPr>
            <w:r>
              <w:rPr>
                <w:rFonts w:hint="eastAsia" w:ascii="宋体" w:hAnsi="宋体" w:cs="宋体"/>
                <w:spacing w:val="10"/>
                <w:kern w:val="2"/>
                <w:sz w:val="21"/>
                <w:szCs w:val="21"/>
                <w:lang w:eastAsia="zh-CN"/>
              </w:rPr>
              <w:t>《淋浴器用水效率限定值及用水</w:t>
            </w:r>
            <w:r>
              <w:rPr>
                <w:rFonts w:hint="eastAsia" w:ascii="宋体" w:hAnsi="宋体" w:cs="宋体"/>
                <w:kern w:val="2"/>
                <w:sz w:val="21"/>
                <w:szCs w:val="21"/>
                <w:lang w:eastAsia="zh-CN"/>
              </w:rPr>
              <w:t>效率等级》（GB28378）</w:t>
            </w:r>
          </w:p>
        </w:tc>
      </w:tr>
    </w:tbl>
    <w:p w14:paraId="344A3A01">
      <w:pPr>
        <w:pStyle w:val="18"/>
        <w:spacing w:line="360" w:lineRule="auto"/>
        <w:rPr>
          <w:rFonts w:hint="eastAsia" w:ascii="宋体" w:hAnsi="宋体"/>
          <w:kern w:val="2"/>
          <w:sz w:val="21"/>
          <w:szCs w:val="21"/>
        </w:rPr>
      </w:pPr>
      <w:r>
        <w:rPr>
          <w:rFonts w:hint="eastAsia" w:ascii="宋体" w:hAnsi="宋体"/>
          <w:spacing w:val="-3"/>
          <w:sz w:val="21"/>
          <w:szCs w:val="21"/>
        </w:rPr>
        <w:t>注：</w:t>
      </w:r>
      <w:r>
        <w:rPr>
          <w:rFonts w:ascii="宋体" w:hAnsi="宋体"/>
          <w:spacing w:val="-3"/>
          <w:sz w:val="21"/>
          <w:szCs w:val="21"/>
        </w:rPr>
        <w:t>1.</w:t>
      </w:r>
      <w:r>
        <w:rPr>
          <w:rFonts w:hint="eastAsia" w:ascii="宋体" w:hAnsi="宋体"/>
          <w:spacing w:val="-3"/>
          <w:sz w:val="21"/>
          <w:szCs w:val="21"/>
        </w:rPr>
        <w:t>节能产品认证应依据相关国家标准的最新版本，依据国家标准中二级能效（水效）</w:t>
      </w:r>
      <w:r>
        <w:rPr>
          <w:rFonts w:hint="eastAsia" w:ascii="宋体" w:hAnsi="宋体"/>
          <w:sz w:val="21"/>
          <w:szCs w:val="21"/>
        </w:rPr>
        <w:t>指标。</w:t>
      </w:r>
    </w:p>
    <w:p w14:paraId="7BCB28F2">
      <w:pPr>
        <w:pStyle w:val="18"/>
        <w:spacing w:line="360" w:lineRule="auto"/>
        <w:ind w:firstLine="465"/>
        <w:rPr>
          <w:rFonts w:hint="eastAsia" w:ascii="宋体" w:hAnsi="宋体"/>
          <w:sz w:val="21"/>
          <w:szCs w:val="21"/>
        </w:rPr>
      </w:pPr>
      <w:r>
        <w:rPr>
          <w:rFonts w:ascii="宋体" w:hAnsi="宋体"/>
          <w:sz w:val="21"/>
          <w:szCs w:val="21"/>
        </w:rPr>
        <w:t>2</w:t>
      </w:r>
      <w:r>
        <w:rPr>
          <w:rFonts w:hint="eastAsia" w:ascii="宋体" w:hAnsi="宋体"/>
          <w:sz w:val="21"/>
          <w:szCs w:val="21"/>
        </w:rPr>
        <w:t>.以</w:t>
      </w:r>
      <w:r>
        <w:rPr>
          <w:rFonts w:ascii="宋体" w:hAnsi="宋体"/>
          <w:sz w:val="21"/>
          <w:szCs w:val="21"/>
        </w:rPr>
        <w:t>“</w:t>
      </w:r>
      <w:r>
        <w:rPr>
          <w:rFonts w:hint="eastAsia" w:ascii="宋体" w:hAnsi="宋体"/>
          <w:sz w:val="21"/>
          <w:szCs w:val="21"/>
        </w:rPr>
        <w:t>★</w:t>
      </w:r>
      <w:r>
        <w:rPr>
          <w:rFonts w:ascii="宋体" w:hAnsi="宋体"/>
          <w:sz w:val="21"/>
          <w:szCs w:val="21"/>
        </w:rPr>
        <w:t>”</w:t>
      </w:r>
      <w:r>
        <w:rPr>
          <w:rFonts w:hint="eastAsia" w:ascii="宋体" w:hAnsi="宋体"/>
          <w:sz w:val="21"/>
          <w:szCs w:val="21"/>
        </w:rPr>
        <w:t>标注的为政府强制采购产品。</w:t>
      </w:r>
    </w:p>
    <w:p w14:paraId="450699CE">
      <w:pPr>
        <w:pStyle w:val="18"/>
        <w:spacing w:line="360" w:lineRule="auto"/>
        <w:ind w:firstLine="465"/>
        <w:rPr>
          <w:rFonts w:hint="eastAsia" w:ascii="宋体" w:hAnsi="宋体"/>
          <w:sz w:val="21"/>
          <w:szCs w:val="21"/>
        </w:rPr>
      </w:pPr>
      <w:r>
        <w:rPr>
          <w:rFonts w:hint="eastAsia" w:ascii="宋体" w:hAnsi="宋体"/>
          <w:sz w:val="21"/>
          <w:szCs w:val="21"/>
        </w:rPr>
        <w:t>3.本表格原为《关于印发节能产品政府采购品目清单的通知》（财库〔2019〕19号）规定的表格附件，其中名称及编码已根据《财政部关于印发〈政府采购品目分类目录〉的通知》（财库〔2022〕31号）修改。</w:t>
      </w:r>
    </w:p>
    <w:p w14:paraId="3873C15D">
      <w:pPr>
        <w:widowControl/>
        <w:jc w:val="left"/>
        <w:rPr>
          <w:rFonts w:hint="eastAsia" w:ascii="宋体" w:hAnsi="宋体" w:cs="宋体"/>
          <w:sz w:val="20"/>
          <w:szCs w:val="20"/>
        </w:rPr>
      </w:pPr>
    </w:p>
    <w:p w14:paraId="17157E82">
      <w:pPr>
        <w:widowControl/>
        <w:jc w:val="left"/>
        <w:rPr>
          <w:rFonts w:hint="eastAsia" w:ascii="宋体" w:hAnsi="宋体" w:cs="宋体"/>
          <w:sz w:val="20"/>
          <w:szCs w:val="20"/>
        </w:rPr>
      </w:pPr>
    </w:p>
    <w:p w14:paraId="49DFF450">
      <w:pPr>
        <w:widowControl/>
        <w:jc w:val="left"/>
        <w:rPr>
          <w:rFonts w:hint="eastAsia" w:ascii="黑体" w:hAnsi="黑体" w:eastAsia="黑体" w:cs="黑体"/>
          <w:sz w:val="32"/>
          <w:szCs w:val="32"/>
        </w:rPr>
      </w:pPr>
      <w:r>
        <w:rPr>
          <w:rFonts w:ascii="宋体" w:hAnsi="宋体" w:cs="宋体"/>
          <w:sz w:val="20"/>
          <w:szCs w:val="20"/>
        </w:rPr>
        <w:br w:type="page"/>
      </w:r>
      <w:r>
        <w:rPr>
          <w:rFonts w:hint="eastAsia" w:ascii="黑体" w:hAnsi="黑体" w:eastAsia="黑体" w:cs="黑体"/>
          <w:sz w:val="32"/>
          <w:szCs w:val="32"/>
        </w:rPr>
        <w:t>附件2：</w:t>
      </w:r>
    </w:p>
    <w:p w14:paraId="79783653">
      <w:pPr>
        <w:pStyle w:val="18"/>
        <w:jc w:val="center"/>
        <w:rPr>
          <w:b/>
          <w:sz w:val="28"/>
          <w:szCs w:val="28"/>
        </w:rPr>
      </w:pPr>
      <w:r>
        <w:rPr>
          <w:rFonts w:hint="eastAsia"/>
          <w:b/>
          <w:sz w:val="28"/>
          <w:szCs w:val="28"/>
        </w:rPr>
        <w:t>中小企业划型标准规定</w:t>
      </w:r>
    </w:p>
    <w:p w14:paraId="52139EDF">
      <w:pPr>
        <w:pStyle w:val="18"/>
        <w:jc w:val="center"/>
        <w:rPr>
          <w:rFonts w:hint="eastAsia" w:ascii="宋体" w:hAnsi="宋体"/>
          <w:sz w:val="21"/>
          <w:szCs w:val="21"/>
        </w:rPr>
      </w:pPr>
      <w:r>
        <w:rPr>
          <w:rFonts w:hint="eastAsia" w:ascii="宋体" w:hAnsi="宋体"/>
          <w:sz w:val="21"/>
          <w:szCs w:val="21"/>
        </w:rPr>
        <w:t>工信部联企业〔2011〕300号</w:t>
      </w:r>
    </w:p>
    <w:p w14:paraId="7EBBA770">
      <w:pPr>
        <w:pStyle w:val="18"/>
        <w:rPr>
          <w:sz w:val="21"/>
          <w:szCs w:val="21"/>
        </w:rPr>
      </w:pPr>
    </w:p>
    <w:p w14:paraId="62AC261C">
      <w:pPr>
        <w:pStyle w:val="18"/>
        <w:rPr>
          <w:rFonts w:hint="eastAsia" w:ascii="宋体" w:hAnsi="宋体" w:eastAsia="宋体" w:cs="宋体"/>
          <w:sz w:val="21"/>
          <w:szCs w:val="21"/>
        </w:rPr>
      </w:pPr>
      <w:r>
        <w:rPr>
          <w:rFonts w:hint="eastAsia"/>
          <w:sz w:val="21"/>
          <w:szCs w:val="21"/>
        </w:rPr>
        <w:t>　</w:t>
      </w:r>
      <w:r>
        <w:rPr>
          <w:rFonts w:hint="eastAsia" w:ascii="宋体" w:hAnsi="宋体" w:eastAsia="宋体" w:cs="宋体"/>
          <w:sz w:val="21"/>
          <w:szCs w:val="21"/>
        </w:rPr>
        <w:t>　一、根据《中华人民共和国中小企业促进法》和《国务院关于进一步促进中小企业发展的若干意见》(国发〔2009〕36号)，制定本规定。</w:t>
      </w:r>
    </w:p>
    <w:p w14:paraId="654916B3">
      <w:pPr>
        <w:pStyle w:val="18"/>
        <w:rPr>
          <w:rFonts w:hint="eastAsia" w:ascii="宋体" w:hAnsi="宋体" w:eastAsia="宋体" w:cs="宋体"/>
          <w:sz w:val="21"/>
          <w:szCs w:val="21"/>
        </w:rPr>
      </w:pPr>
      <w:r>
        <w:rPr>
          <w:rFonts w:hint="eastAsia" w:ascii="宋体" w:hAnsi="宋体" w:eastAsia="宋体" w:cs="宋体"/>
          <w:sz w:val="21"/>
          <w:szCs w:val="21"/>
        </w:rPr>
        <w:t>　　二、中小企业划分为中型、小型、微型三种类型，具体标准根据企业从业人员、营业收入、资产总额等指标，结合行业特点制定。</w:t>
      </w:r>
    </w:p>
    <w:p w14:paraId="358AE765">
      <w:pPr>
        <w:pStyle w:val="18"/>
        <w:rPr>
          <w:rFonts w:hint="eastAsia" w:ascii="宋体" w:hAnsi="宋体" w:eastAsia="宋体" w:cs="宋体"/>
          <w:sz w:val="21"/>
          <w:szCs w:val="21"/>
        </w:rPr>
      </w:pPr>
      <w:r>
        <w:rPr>
          <w:rFonts w:hint="eastAsia" w:ascii="宋体" w:hAnsi="宋体" w:eastAsia="宋体" w:cs="宋体"/>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15415E5">
      <w:pPr>
        <w:pStyle w:val="18"/>
        <w:rPr>
          <w:rFonts w:hint="eastAsia" w:ascii="宋体" w:hAnsi="宋体" w:eastAsia="宋体" w:cs="宋体"/>
          <w:sz w:val="21"/>
          <w:szCs w:val="21"/>
        </w:rPr>
      </w:pPr>
      <w:r>
        <w:rPr>
          <w:rFonts w:hint="eastAsia" w:ascii="宋体" w:hAnsi="宋体" w:eastAsia="宋体" w:cs="宋体"/>
          <w:sz w:val="21"/>
          <w:szCs w:val="21"/>
        </w:rPr>
        <w:t>　　四、各行业划型标准为：</w:t>
      </w:r>
    </w:p>
    <w:p w14:paraId="43D61659">
      <w:pPr>
        <w:pStyle w:val="18"/>
        <w:rPr>
          <w:rFonts w:hint="eastAsia" w:ascii="宋体" w:hAnsi="宋体" w:eastAsia="宋体" w:cs="宋体"/>
          <w:sz w:val="21"/>
          <w:szCs w:val="21"/>
        </w:rPr>
      </w:pPr>
      <w:r>
        <w:rPr>
          <w:rFonts w:hint="eastAsia" w:ascii="宋体" w:hAnsi="宋体" w:eastAsia="宋体" w:cs="宋体"/>
          <w:sz w:val="21"/>
          <w:szCs w:val="21"/>
        </w:rPr>
        <w:t>　　（一）农、林、牧、渔业。营业收入20000万元以下的为中小微型企业。其中，营业收入500万元及以上的为中型企业，营业收入50万元及以上的为小型企业，营业收入50万元以下的为微型企业。</w:t>
      </w:r>
    </w:p>
    <w:p w14:paraId="1CCB2123">
      <w:pPr>
        <w:pStyle w:val="18"/>
        <w:rPr>
          <w:rFonts w:hint="eastAsia" w:ascii="宋体" w:hAnsi="宋体" w:eastAsia="宋体" w:cs="宋体"/>
          <w:sz w:val="21"/>
          <w:szCs w:val="21"/>
        </w:rPr>
      </w:pPr>
      <w:r>
        <w:rPr>
          <w:rFonts w:hint="eastAsia" w:ascii="宋体" w:hAnsi="宋体" w:eastAsia="宋体" w:cs="宋体"/>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1EC251F">
      <w:pPr>
        <w:pStyle w:val="18"/>
        <w:rPr>
          <w:rFonts w:hint="eastAsia" w:ascii="宋体" w:hAnsi="宋体" w:eastAsia="宋体" w:cs="宋体"/>
          <w:sz w:val="21"/>
          <w:szCs w:val="21"/>
        </w:rPr>
      </w:pPr>
      <w:r>
        <w:rPr>
          <w:rFonts w:hint="eastAsia" w:ascii="宋体" w:hAnsi="宋体" w:eastAsia="宋体" w:cs="宋体"/>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9FD0418">
      <w:pPr>
        <w:pStyle w:val="18"/>
        <w:rPr>
          <w:rFonts w:hint="eastAsia" w:ascii="宋体" w:hAnsi="宋体" w:eastAsia="宋体" w:cs="宋体"/>
          <w:sz w:val="21"/>
          <w:szCs w:val="21"/>
        </w:rPr>
      </w:pPr>
      <w:r>
        <w:rPr>
          <w:rFonts w:hint="eastAsia" w:ascii="宋体" w:hAnsi="宋体" w:eastAsia="宋体" w:cs="宋体"/>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F6F25BB">
      <w:pPr>
        <w:pStyle w:val="18"/>
        <w:rPr>
          <w:rFonts w:hint="eastAsia" w:ascii="宋体" w:hAnsi="宋体" w:eastAsia="宋体" w:cs="宋体"/>
          <w:sz w:val="21"/>
          <w:szCs w:val="21"/>
        </w:rPr>
      </w:pPr>
      <w:r>
        <w:rPr>
          <w:rFonts w:hint="eastAsia" w:ascii="宋体" w:hAnsi="宋体" w:eastAsia="宋体" w:cs="宋体"/>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F7ABB76">
      <w:pPr>
        <w:pStyle w:val="18"/>
        <w:rPr>
          <w:rFonts w:hint="eastAsia" w:ascii="宋体" w:hAnsi="宋体" w:eastAsia="宋体" w:cs="宋体"/>
          <w:sz w:val="21"/>
          <w:szCs w:val="21"/>
        </w:rPr>
      </w:pPr>
      <w:r>
        <w:rPr>
          <w:rFonts w:hint="eastAsia" w:ascii="宋体" w:hAnsi="宋体" w:eastAsia="宋体" w:cs="宋体"/>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455014">
      <w:pPr>
        <w:pStyle w:val="18"/>
        <w:rPr>
          <w:rFonts w:hint="eastAsia" w:ascii="宋体" w:hAnsi="宋体" w:eastAsia="宋体" w:cs="宋体"/>
          <w:sz w:val="21"/>
          <w:szCs w:val="21"/>
        </w:rPr>
      </w:pPr>
      <w:r>
        <w:rPr>
          <w:rFonts w:hint="eastAsia" w:ascii="宋体" w:hAnsi="宋体" w:eastAsia="宋体" w:cs="宋体"/>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C6503E9">
      <w:pPr>
        <w:pStyle w:val="18"/>
        <w:rPr>
          <w:rFonts w:hint="eastAsia" w:ascii="宋体" w:hAnsi="宋体" w:eastAsia="宋体" w:cs="宋体"/>
          <w:sz w:val="21"/>
          <w:szCs w:val="21"/>
        </w:rPr>
      </w:pPr>
      <w:r>
        <w:rPr>
          <w:rFonts w:hint="eastAsia" w:ascii="宋体" w:hAnsi="宋体" w:eastAsia="宋体" w:cs="宋体"/>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2473785">
      <w:pPr>
        <w:pStyle w:val="18"/>
        <w:rPr>
          <w:rFonts w:hint="eastAsia" w:ascii="宋体" w:hAnsi="宋体" w:eastAsia="宋体" w:cs="宋体"/>
          <w:sz w:val="21"/>
          <w:szCs w:val="21"/>
        </w:rPr>
      </w:pPr>
      <w:r>
        <w:rPr>
          <w:rFonts w:hint="eastAsia" w:ascii="宋体" w:hAnsi="宋体" w:eastAsia="宋体" w:cs="宋体"/>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E3E2EE8">
      <w:pPr>
        <w:pStyle w:val="18"/>
        <w:rPr>
          <w:rFonts w:hint="eastAsia" w:ascii="宋体" w:hAnsi="宋体" w:eastAsia="宋体" w:cs="宋体"/>
          <w:sz w:val="21"/>
          <w:szCs w:val="21"/>
        </w:rPr>
      </w:pPr>
      <w:r>
        <w:rPr>
          <w:rFonts w:hint="eastAsia" w:ascii="宋体" w:hAnsi="宋体" w:eastAsia="宋体" w:cs="宋体"/>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437273">
      <w:pPr>
        <w:pStyle w:val="18"/>
        <w:rPr>
          <w:rFonts w:hint="eastAsia" w:ascii="宋体" w:hAnsi="宋体" w:eastAsia="宋体" w:cs="宋体"/>
          <w:sz w:val="21"/>
          <w:szCs w:val="21"/>
        </w:rPr>
      </w:pPr>
      <w:r>
        <w:rPr>
          <w:rFonts w:hint="eastAsia" w:ascii="宋体" w:hAnsi="宋体" w:eastAsia="宋体" w:cs="宋体"/>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43A9443">
      <w:pPr>
        <w:pStyle w:val="18"/>
        <w:rPr>
          <w:rFonts w:hint="eastAsia" w:ascii="宋体" w:hAnsi="宋体" w:eastAsia="宋体" w:cs="宋体"/>
          <w:sz w:val="21"/>
          <w:szCs w:val="21"/>
        </w:rPr>
      </w:pPr>
      <w:r>
        <w:rPr>
          <w:rFonts w:hint="eastAsia" w:ascii="宋体" w:hAnsi="宋体" w:eastAsia="宋体" w:cs="宋体"/>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3E765A1">
      <w:pPr>
        <w:pStyle w:val="18"/>
        <w:rPr>
          <w:rFonts w:hint="eastAsia" w:ascii="宋体" w:hAnsi="宋体" w:eastAsia="宋体" w:cs="宋体"/>
          <w:sz w:val="21"/>
          <w:szCs w:val="21"/>
        </w:rPr>
      </w:pPr>
      <w:r>
        <w:rPr>
          <w:rFonts w:hint="eastAsia" w:ascii="宋体" w:hAnsi="宋体" w:eastAsia="宋体" w:cs="宋体"/>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BBC4CED">
      <w:pPr>
        <w:pStyle w:val="18"/>
        <w:rPr>
          <w:rFonts w:hint="eastAsia" w:ascii="宋体" w:hAnsi="宋体" w:eastAsia="宋体" w:cs="宋体"/>
          <w:sz w:val="21"/>
          <w:szCs w:val="21"/>
        </w:rPr>
      </w:pPr>
      <w:r>
        <w:rPr>
          <w:rFonts w:hint="eastAsia" w:ascii="宋体" w:hAnsi="宋体" w:eastAsia="宋体" w:cs="宋体"/>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36BBAAB">
      <w:pPr>
        <w:pStyle w:val="18"/>
        <w:rPr>
          <w:rFonts w:hint="eastAsia" w:ascii="宋体" w:hAnsi="宋体" w:eastAsia="宋体" w:cs="宋体"/>
          <w:sz w:val="21"/>
          <w:szCs w:val="21"/>
        </w:rPr>
      </w:pPr>
      <w:r>
        <w:rPr>
          <w:rFonts w:hint="eastAsia" w:ascii="宋体" w:hAnsi="宋体" w:eastAsia="宋体" w:cs="宋体"/>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A67A5F1">
      <w:pPr>
        <w:pStyle w:val="18"/>
        <w:rPr>
          <w:rFonts w:hint="eastAsia" w:ascii="宋体" w:hAnsi="宋体" w:eastAsia="宋体" w:cs="宋体"/>
          <w:sz w:val="21"/>
          <w:szCs w:val="21"/>
        </w:rPr>
      </w:pPr>
      <w:r>
        <w:rPr>
          <w:rFonts w:hint="eastAsia" w:ascii="宋体" w:hAnsi="宋体" w:eastAsia="宋体" w:cs="宋体"/>
          <w:sz w:val="21"/>
          <w:szCs w:val="21"/>
        </w:rPr>
        <w:t>　　（十六）其他未列明行业。从业人员300人以下的为中小微型企业。其中，从业人员100人及以上的为中型企业；从业人员10人及以上的为小型企业；从业人员10人以下的为微型企业。</w:t>
      </w:r>
    </w:p>
    <w:p w14:paraId="7D8CF5CA">
      <w:pPr>
        <w:pStyle w:val="18"/>
        <w:rPr>
          <w:rFonts w:hint="eastAsia" w:ascii="宋体" w:hAnsi="宋体" w:eastAsia="宋体" w:cs="宋体"/>
          <w:sz w:val="21"/>
          <w:szCs w:val="21"/>
        </w:rPr>
      </w:pPr>
      <w:r>
        <w:rPr>
          <w:rFonts w:hint="eastAsia" w:ascii="宋体" w:hAnsi="宋体" w:eastAsia="宋体" w:cs="宋体"/>
          <w:sz w:val="21"/>
          <w:szCs w:val="21"/>
        </w:rPr>
        <w:t>　　五、企业类型的划分以统计部门的统计数据为依据。</w:t>
      </w:r>
    </w:p>
    <w:p w14:paraId="27151D40">
      <w:pPr>
        <w:pStyle w:val="18"/>
        <w:rPr>
          <w:rFonts w:hint="eastAsia" w:ascii="宋体" w:hAnsi="宋体" w:eastAsia="宋体" w:cs="宋体"/>
          <w:sz w:val="21"/>
          <w:szCs w:val="21"/>
        </w:rPr>
      </w:pPr>
      <w:r>
        <w:rPr>
          <w:rFonts w:hint="eastAsia" w:ascii="宋体" w:hAnsi="宋体" w:eastAsia="宋体" w:cs="宋体"/>
          <w:sz w:val="21"/>
          <w:szCs w:val="21"/>
        </w:rPr>
        <w:t>　　六、本规定适用于在中华人民共和国境内依法设立的各类所有制和各种组织形式的企业。个体工商户和本规定以外的行业，参照本规定进行划型。</w:t>
      </w:r>
    </w:p>
    <w:p w14:paraId="09398593">
      <w:pPr>
        <w:pStyle w:val="18"/>
        <w:rPr>
          <w:rFonts w:hint="eastAsia" w:ascii="宋体" w:hAnsi="宋体" w:eastAsia="宋体" w:cs="宋体"/>
          <w:sz w:val="21"/>
          <w:szCs w:val="21"/>
        </w:rPr>
      </w:pPr>
      <w:r>
        <w:rPr>
          <w:rFonts w:hint="eastAsia" w:ascii="宋体" w:hAnsi="宋体" w:eastAsia="宋体" w:cs="宋体"/>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50002B3D">
      <w:pPr>
        <w:pStyle w:val="18"/>
        <w:rPr>
          <w:rFonts w:hint="eastAsia" w:ascii="宋体" w:hAnsi="宋体" w:eastAsia="宋体" w:cs="宋体"/>
          <w:sz w:val="21"/>
          <w:szCs w:val="21"/>
        </w:rPr>
      </w:pPr>
      <w:r>
        <w:rPr>
          <w:rFonts w:hint="eastAsia" w:ascii="宋体" w:hAnsi="宋体" w:eastAsia="宋体" w:cs="宋体"/>
          <w:sz w:val="21"/>
          <w:szCs w:val="21"/>
        </w:rPr>
        <w:t>　　八、本规定由工业和信息化部、国家统计局会同有关部门根据《国民经济行业分类》修订情况和企业发展变化情况适时修订。</w:t>
      </w:r>
    </w:p>
    <w:p w14:paraId="6A71971D">
      <w:pPr>
        <w:pStyle w:val="18"/>
        <w:rPr>
          <w:rFonts w:hint="eastAsia" w:ascii="宋体" w:hAnsi="宋体" w:eastAsia="宋体" w:cs="宋体"/>
          <w:sz w:val="21"/>
          <w:szCs w:val="21"/>
        </w:rPr>
      </w:pPr>
      <w:r>
        <w:rPr>
          <w:rFonts w:hint="eastAsia" w:ascii="宋体" w:hAnsi="宋体" w:eastAsia="宋体" w:cs="宋体"/>
          <w:sz w:val="21"/>
          <w:szCs w:val="21"/>
        </w:rPr>
        <w:t>　　九、本规定由工业和信息化部、国家统计局会同有关部门负责解释。</w:t>
      </w:r>
    </w:p>
    <w:p w14:paraId="4144DC37">
      <w:pPr>
        <w:pStyle w:val="18"/>
        <w:ind w:firstLine="420"/>
        <w:rPr>
          <w:rFonts w:hint="eastAsia" w:ascii="宋体" w:hAnsi="宋体" w:eastAsia="宋体" w:cs="宋体"/>
          <w:sz w:val="21"/>
          <w:szCs w:val="21"/>
        </w:rPr>
      </w:pPr>
      <w:r>
        <w:rPr>
          <w:rFonts w:hint="eastAsia" w:ascii="宋体" w:hAnsi="宋体" w:eastAsia="宋体" w:cs="宋体"/>
          <w:sz w:val="21"/>
          <w:szCs w:val="21"/>
        </w:rPr>
        <w:t>十、本规定自发布之日起执行，原国家经贸委、原国家计委、财政部和国家统计局2003年颁布的《中小企业标准暂行规定》同时废止。</w:t>
      </w:r>
    </w:p>
    <w:p w14:paraId="6C5B246B">
      <w:pPr>
        <w:pStyle w:val="18"/>
        <w:ind w:firstLine="420"/>
        <w:rPr>
          <w:rFonts w:hint="eastAsia" w:ascii="宋体" w:hAnsi="宋体" w:eastAsia="宋体" w:cs="宋体"/>
          <w:sz w:val="21"/>
          <w:szCs w:val="21"/>
        </w:rPr>
      </w:pPr>
    </w:p>
    <w:p w14:paraId="0B072938">
      <w:pPr>
        <w:pStyle w:val="3"/>
        <w:spacing w:before="0" w:after="0" w:line="360" w:lineRule="auto"/>
        <w:jc w:val="center"/>
      </w:pPr>
      <w:bookmarkStart w:id="44" w:name="_Toc74320802"/>
      <w:r>
        <w:br w:type="page"/>
      </w:r>
      <w:r>
        <w:rPr>
          <w:rFonts w:hint="eastAsia"/>
        </w:rPr>
        <w:t>第三章  投标人须知</w:t>
      </w:r>
      <w:bookmarkEnd w:id="44"/>
    </w:p>
    <w:p w14:paraId="5B4B886A">
      <w:pPr>
        <w:pStyle w:val="5"/>
        <w:keepNext w:val="0"/>
        <w:keepLines w:val="0"/>
        <w:jc w:val="center"/>
      </w:pPr>
      <w:bookmarkStart w:id="45" w:name="_Toc254970667"/>
      <w:bookmarkStart w:id="46" w:name="_Toc254970526"/>
      <w:r>
        <w:rPr>
          <w:rFonts w:hint="eastAsia"/>
        </w:rPr>
        <w:t>投标人须知前附表</w:t>
      </w:r>
      <w:bookmarkEnd w:id="45"/>
      <w:bookmarkEnd w:id="46"/>
    </w:p>
    <w:tbl>
      <w:tblPr>
        <w:tblStyle w:val="48"/>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285"/>
      </w:tblGrid>
      <w:tr w14:paraId="5428A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E07B6BE">
            <w:pPr>
              <w:snapToGrid w:val="0"/>
              <w:spacing w:line="360" w:lineRule="auto"/>
              <w:jc w:val="left"/>
              <w:rPr>
                <w:rFonts w:hint="eastAsia" w:ascii="宋体" w:hAnsi="宋体"/>
                <w:szCs w:val="21"/>
              </w:rPr>
            </w:pPr>
            <w:r>
              <w:rPr>
                <w:rFonts w:hint="eastAsia" w:ascii="宋体" w:hAnsi="宋体"/>
                <w:szCs w:val="21"/>
              </w:rPr>
              <w:t>条款号</w:t>
            </w:r>
          </w:p>
        </w:tc>
        <w:tc>
          <w:tcPr>
            <w:tcW w:w="8285" w:type="dxa"/>
            <w:tcBorders>
              <w:top w:val="single" w:color="auto" w:sz="4" w:space="0"/>
              <w:left w:val="single" w:color="auto" w:sz="4" w:space="0"/>
              <w:bottom w:val="single" w:color="auto" w:sz="4" w:space="0"/>
              <w:right w:val="single" w:color="auto" w:sz="4" w:space="0"/>
            </w:tcBorders>
            <w:vAlign w:val="center"/>
          </w:tcPr>
          <w:p w14:paraId="098EEA71">
            <w:pPr>
              <w:snapToGrid w:val="0"/>
              <w:spacing w:line="360" w:lineRule="auto"/>
              <w:jc w:val="center"/>
              <w:rPr>
                <w:rFonts w:hint="eastAsia" w:ascii="宋体" w:hAnsi="宋体"/>
                <w:szCs w:val="21"/>
              </w:rPr>
            </w:pPr>
            <w:r>
              <w:rPr>
                <w:rFonts w:hint="eastAsia" w:ascii="宋体" w:hAnsi="宋体"/>
                <w:szCs w:val="21"/>
              </w:rPr>
              <w:t>编列内容</w:t>
            </w:r>
          </w:p>
        </w:tc>
      </w:tr>
      <w:tr w14:paraId="5976D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4EC440C">
            <w:pPr>
              <w:spacing w:line="360" w:lineRule="auto"/>
              <w:jc w:val="center"/>
              <w:rPr>
                <w:rFonts w:hint="eastAsia" w:ascii="宋体" w:hAnsi="宋体"/>
                <w:szCs w:val="21"/>
              </w:rPr>
            </w:pPr>
            <w:r>
              <w:rPr>
                <w:rFonts w:hint="eastAsia" w:ascii="宋体" w:hAnsi="宋体"/>
                <w:szCs w:val="21"/>
              </w:rPr>
              <w:t>3</w:t>
            </w:r>
          </w:p>
        </w:tc>
        <w:tc>
          <w:tcPr>
            <w:tcW w:w="8285" w:type="dxa"/>
            <w:tcBorders>
              <w:top w:val="single" w:color="auto" w:sz="4" w:space="0"/>
              <w:left w:val="single" w:color="auto" w:sz="4" w:space="0"/>
              <w:bottom w:val="single" w:color="auto" w:sz="4" w:space="0"/>
              <w:right w:val="single" w:color="auto" w:sz="4" w:space="0"/>
            </w:tcBorders>
            <w:vAlign w:val="center"/>
          </w:tcPr>
          <w:p w14:paraId="7395A7BE">
            <w:pPr>
              <w:snapToGrid w:val="0"/>
              <w:spacing w:line="360" w:lineRule="auto"/>
              <w:jc w:val="left"/>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投标人的资格要求详见招标公告。</w:t>
            </w:r>
          </w:p>
          <w:p w14:paraId="3BC6CEDC">
            <w:pPr>
              <w:snapToGrid w:val="0"/>
              <w:spacing w:line="360" w:lineRule="auto"/>
              <w:jc w:val="left"/>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投标人出现下列情形之一的，不得参加政府采购活动：</w:t>
            </w:r>
          </w:p>
          <w:p w14:paraId="587CED56">
            <w:pPr>
              <w:snapToGrid w:val="0"/>
              <w:spacing w:line="360" w:lineRule="auto"/>
              <w:jc w:val="left"/>
              <w:rPr>
                <w:rFonts w:hint="eastAsia" w:ascii="宋体" w:hAnsi="宋体"/>
                <w:szCs w:val="21"/>
              </w:rPr>
            </w:pPr>
            <w:r>
              <w:rPr>
                <w:rFonts w:ascii="宋体" w:hAnsi="宋体"/>
                <w:szCs w:val="21"/>
              </w:rPr>
              <w:t>2.1</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6F4B3E1">
            <w:pPr>
              <w:snapToGrid w:val="0"/>
              <w:spacing w:line="360" w:lineRule="auto"/>
              <w:jc w:val="left"/>
              <w:rPr>
                <w:rFonts w:hint="eastAsia" w:ascii="宋体" w:hAnsi="宋体"/>
                <w:szCs w:val="21"/>
              </w:rPr>
            </w:pPr>
            <w:r>
              <w:rPr>
                <w:rFonts w:ascii="宋体" w:hAnsi="宋体"/>
                <w:szCs w:val="21"/>
              </w:rPr>
              <w:t>2.2</w:t>
            </w:r>
            <w:r>
              <w:rPr>
                <w:rFonts w:hint="eastAsia" w:ascii="宋体" w:hAnsi="宋体"/>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5464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5ADF7A3">
            <w:pPr>
              <w:spacing w:line="360" w:lineRule="auto"/>
              <w:jc w:val="center"/>
              <w:rPr>
                <w:rFonts w:hint="eastAsia" w:ascii="宋体" w:hAnsi="宋体"/>
                <w:szCs w:val="21"/>
              </w:rPr>
            </w:pPr>
            <w:bookmarkStart w:id="47" w:name="_5"/>
            <w:bookmarkEnd w:id="47"/>
            <w:bookmarkStart w:id="48" w:name="_9.2"/>
            <w:bookmarkEnd w:id="48"/>
            <w:bookmarkStart w:id="49" w:name="_8.1"/>
            <w:bookmarkEnd w:id="49"/>
            <w:r>
              <w:rPr>
                <w:rFonts w:hint="eastAsia" w:ascii="宋体" w:hAnsi="宋体"/>
                <w:szCs w:val="21"/>
              </w:rPr>
              <w:t>6.1</w:t>
            </w:r>
          </w:p>
        </w:tc>
        <w:tc>
          <w:tcPr>
            <w:tcW w:w="8285" w:type="dxa"/>
            <w:tcBorders>
              <w:top w:val="single" w:color="auto" w:sz="4" w:space="0"/>
              <w:left w:val="single" w:color="auto" w:sz="4" w:space="0"/>
              <w:bottom w:val="single" w:color="auto" w:sz="4" w:space="0"/>
              <w:right w:val="single" w:color="auto" w:sz="4" w:space="0"/>
            </w:tcBorders>
            <w:vAlign w:val="center"/>
          </w:tcPr>
          <w:p w14:paraId="141F9AF2">
            <w:pPr>
              <w:pStyle w:val="16"/>
              <w:spacing w:line="360" w:lineRule="auto"/>
              <w:rPr>
                <w:rFonts w:hint="eastAsia" w:ascii="宋体" w:hAnsi="宋体"/>
                <w:szCs w:val="21"/>
              </w:rPr>
            </w:pPr>
            <w:r>
              <w:rPr>
                <w:rFonts w:hint="eastAsia" w:ascii="宋体" w:hAnsi="宋体"/>
                <w:szCs w:val="21"/>
              </w:rPr>
              <w:t>本项目是否接受联合体投标：详见招标公告。</w:t>
            </w:r>
          </w:p>
        </w:tc>
      </w:tr>
      <w:tr w14:paraId="60999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DBE5153">
            <w:pPr>
              <w:spacing w:line="360" w:lineRule="auto"/>
              <w:jc w:val="center"/>
              <w:rPr>
                <w:rFonts w:hint="eastAsia" w:ascii="宋体" w:hAnsi="宋体"/>
                <w:szCs w:val="21"/>
              </w:rPr>
            </w:pPr>
            <w:r>
              <w:rPr>
                <w:rFonts w:ascii="宋体" w:hAnsi="宋体"/>
                <w:szCs w:val="21"/>
              </w:rPr>
              <w:t>6.2</w:t>
            </w:r>
          </w:p>
        </w:tc>
        <w:tc>
          <w:tcPr>
            <w:tcW w:w="8285" w:type="dxa"/>
            <w:tcBorders>
              <w:top w:val="single" w:color="auto" w:sz="4" w:space="0"/>
              <w:left w:val="single" w:color="auto" w:sz="4" w:space="0"/>
              <w:bottom w:val="single" w:color="auto" w:sz="4" w:space="0"/>
              <w:right w:val="single" w:color="auto" w:sz="4" w:space="0"/>
            </w:tcBorders>
            <w:vAlign w:val="center"/>
          </w:tcPr>
          <w:p w14:paraId="02BF440D">
            <w:pPr>
              <w:pStyle w:val="16"/>
              <w:spacing w:line="360" w:lineRule="auto"/>
              <w:rPr>
                <w:rFonts w:hint="eastAsia" w:ascii="宋体" w:hAnsi="宋体"/>
                <w:szCs w:val="21"/>
              </w:rPr>
            </w:pPr>
            <w:bookmarkStart w:id="50" w:name="_Hlk54105293"/>
            <w:r>
              <w:rPr>
                <w:rFonts w:hint="eastAsia" w:ascii="宋体" w:hAnsi="宋体"/>
                <w:szCs w:val="21"/>
              </w:rPr>
              <w:t>如接受联合体投标，</w:t>
            </w:r>
            <w:bookmarkEnd w:id="50"/>
            <w:r>
              <w:rPr>
                <w:rFonts w:hint="eastAsia" w:ascii="宋体" w:hAnsi="宋体"/>
                <w:szCs w:val="21"/>
              </w:rPr>
              <w:t>联合体投标要求如下：</w:t>
            </w:r>
          </w:p>
          <w:p w14:paraId="124CC0A4">
            <w:pPr>
              <w:pStyle w:val="16"/>
              <w:spacing w:line="360" w:lineRule="auto"/>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两个以上投标人可以组成一个投标联合体，以一个投标人的身份共同参加投标。联合体投标的，须提供《联合体投标协议书》（格式后附）。</w:t>
            </w:r>
          </w:p>
          <w:p w14:paraId="5666DF97">
            <w:pPr>
              <w:pStyle w:val="16"/>
              <w:spacing w:line="360" w:lineRule="auto"/>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7F72D297">
            <w:pPr>
              <w:pStyle w:val="16"/>
              <w:spacing w:line="360" w:lineRule="auto"/>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联合体各方之间必须签订联合投标协议，协议书必须明确主体方（或者牵头方）并明确约定联合体各方承担的工作和相应的责任</w:t>
            </w:r>
            <w:r>
              <w:rPr>
                <w:rFonts w:hint="eastAsia" w:ascii="宋体" w:hAnsi="宋体"/>
                <w:b/>
                <w:szCs w:val="21"/>
              </w:rPr>
              <w:t>（各方承担责任与义务的分工必须符合采购需求，否则，</w:t>
            </w:r>
            <w:r>
              <w:rPr>
                <w:rFonts w:hint="eastAsia" w:ascii="宋体" w:hAnsi="宋体"/>
                <w:b/>
                <w:bCs/>
                <w:szCs w:val="21"/>
              </w:rPr>
              <w:t>联合体投标无效</w:t>
            </w:r>
            <w:r>
              <w:rPr>
                <w:rFonts w:hint="eastAsia" w:ascii="宋体" w:hAnsi="宋体"/>
                <w:szCs w:val="21"/>
              </w:rPr>
              <w:t>），并将联合投标协议放入投标文件。联合体各方必须共同与采购人签订采购合同，就采购合同约定的事项对采购人承担连带责任。</w:t>
            </w:r>
          </w:p>
          <w:p w14:paraId="0BC08E17">
            <w:pPr>
              <w:pStyle w:val="16"/>
              <w:spacing w:line="360" w:lineRule="auto"/>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以联合体形式参加政府采购活动的，联合体各方不得再单独参加或者与其他投标人另外组成联合体参加同一合同项下的政府采购活动。</w:t>
            </w:r>
          </w:p>
          <w:p w14:paraId="1FCA7ED6">
            <w:pPr>
              <w:pStyle w:val="16"/>
              <w:spacing w:line="360" w:lineRule="auto"/>
              <w:rPr>
                <w:rFonts w:hint="eastAsia" w:ascii="宋体" w:hAnsi="宋体"/>
                <w:szCs w:val="21"/>
              </w:rPr>
            </w:pPr>
            <w:r>
              <w:rPr>
                <w:rFonts w:hint="eastAsia" w:ascii="宋体" w:hAnsi="宋体"/>
                <w:szCs w:val="21"/>
              </w:rPr>
              <w:t>5</w:t>
            </w:r>
            <w:r>
              <w:rPr>
                <w:rFonts w:ascii="宋体" w:hAnsi="宋体"/>
                <w:szCs w:val="21"/>
              </w:rPr>
              <w:t>.</w:t>
            </w:r>
            <w:r>
              <w:rPr>
                <w:rFonts w:hint="eastAsia" w:ascii="宋体" w:hAnsi="宋体"/>
                <w:szCs w:val="21"/>
              </w:rPr>
              <w:t>联合体中有同类资质的投标人按照联合体分工承担相同工作的，应当按照资质等级较低的投标人确定资质等级。</w:t>
            </w:r>
          </w:p>
          <w:p w14:paraId="0E633047">
            <w:pPr>
              <w:pStyle w:val="16"/>
              <w:spacing w:line="360" w:lineRule="auto"/>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联合体投标业绩、履约能力按照联合体各方其中较高的一方认定并计算（招标文件另有规定的除外）。</w:t>
            </w:r>
          </w:p>
          <w:p w14:paraId="5C18C6F8">
            <w:pPr>
              <w:pStyle w:val="16"/>
              <w:spacing w:line="360" w:lineRule="auto"/>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投标人为联合体的，可以由联合体中的一方或者多方共同交纳投标保证金，其交纳的保证金对联合体各方均具有约束力。</w:t>
            </w:r>
          </w:p>
          <w:p w14:paraId="7737E0B2">
            <w:pPr>
              <w:pStyle w:val="16"/>
              <w:spacing w:line="360" w:lineRule="auto"/>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szCs w:val="21"/>
              </w:rPr>
              <w:t>联合体各方均应按照招标文件的规定提交资格证明文件。</w:t>
            </w:r>
          </w:p>
        </w:tc>
      </w:tr>
      <w:tr w14:paraId="59FD3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4FD723E">
            <w:pPr>
              <w:spacing w:line="360" w:lineRule="auto"/>
              <w:jc w:val="center"/>
              <w:rPr>
                <w:rFonts w:hint="eastAsia" w:ascii="宋体" w:hAnsi="宋体"/>
                <w:szCs w:val="21"/>
              </w:rPr>
            </w:pPr>
            <w:r>
              <w:rPr>
                <w:rFonts w:hint="eastAsia" w:ascii="宋体" w:hAnsi="宋体"/>
                <w:szCs w:val="21"/>
              </w:rPr>
              <w:t>7.2</w:t>
            </w:r>
          </w:p>
        </w:tc>
        <w:tc>
          <w:tcPr>
            <w:tcW w:w="8285" w:type="dxa"/>
            <w:tcBorders>
              <w:top w:val="single" w:color="auto" w:sz="4" w:space="0"/>
              <w:left w:val="single" w:color="auto" w:sz="4" w:space="0"/>
              <w:bottom w:val="single" w:color="auto" w:sz="4" w:space="0"/>
              <w:right w:val="single" w:color="auto" w:sz="4" w:space="0"/>
            </w:tcBorders>
            <w:vAlign w:val="center"/>
          </w:tcPr>
          <w:p w14:paraId="31C52FA0">
            <w:pPr>
              <w:pStyle w:val="16"/>
              <w:spacing w:line="360" w:lineRule="auto"/>
              <w:rPr>
                <w:rFonts w:hint="eastAsia" w:ascii="宋体" w:hAnsi="宋体"/>
                <w:szCs w:val="21"/>
              </w:rPr>
            </w:pPr>
            <w:r>
              <w:rPr>
                <w:rFonts w:ascii="宋体" w:hAnsi="宋体"/>
                <w:sz w:val="18"/>
                <w:szCs w:val="18"/>
                <w:bdr w:val="single" w:color="auto" w:sz="4" w:space="0"/>
              </w:rPr>
              <w:t>√</w:t>
            </w:r>
            <w:r>
              <w:rPr>
                <w:rFonts w:hint="eastAsia" w:ascii="宋体" w:hAnsi="宋体"/>
                <w:szCs w:val="21"/>
              </w:rPr>
              <w:t>不允许分包</w:t>
            </w:r>
          </w:p>
          <w:p w14:paraId="35AE0248">
            <w:pPr>
              <w:pStyle w:val="16"/>
              <w:spacing w:line="360" w:lineRule="auto"/>
              <w:rPr>
                <w:rFonts w:hint="eastAsia" w:ascii="宋体" w:hAnsi="宋体"/>
                <w:szCs w:val="21"/>
              </w:rPr>
            </w:pPr>
            <w:r>
              <w:rPr>
                <w:rFonts w:hint="eastAsia" w:ascii="宋体" w:hAnsi="宋体"/>
                <w:szCs w:val="21"/>
              </w:rPr>
              <w:t>□允许分包</w:t>
            </w:r>
          </w:p>
          <w:p w14:paraId="59109BEF">
            <w:pPr>
              <w:pStyle w:val="16"/>
              <w:spacing w:line="360" w:lineRule="auto"/>
              <w:rPr>
                <w:rFonts w:hint="eastAsia" w:ascii="宋体" w:hAnsi="宋体"/>
                <w:szCs w:val="21"/>
                <w:u w:val="single"/>
              </w:rPr>
            </w:pPr>
            <w:r>
              <w:rPr>
                <w:rFonts w:hint="eastAsia" w:ascii="宋体" w:hAnsi="宋体"/>
                <w:szCs w:val="21"/>
              </w:rPr>
              <w:t>分包内容：</w:t>
            </w:r>
            <w:r>
              <w:rPr>
                <w:rFonts w:hint="eastAsia" w:ascii="宋体" w:hAnsi="宋体"/>
                <w:szCs w:val="21"/>
                <w:u w:val="single"/>
              </w:rPr>
              <w:t xml:space="preserve">                                     。</w:t>
            </w:r>
          </w:p>
          <w:p w14:paraId="4E8B9033">
            <w:pPr>
              <w:pStyle w:val="16"/>
              <w:spacing w:line="360" w:lineRule="auto"/>
              <w:jc w:val="both"/>
              <w:rPr>
                <w:rFonts w:hint="eastAsia" w:ascii="宋体" w:hAnsi="宋体"/>
                <w:szCs w:val="21"/>
                <w:u w:val="single"/>
              </w:rPr>
            </w:pPr>
            <w:r>
              <w:rPr>
                <w:rFonts w:hint="eastAsia" w:ascii="宋体" w:hAnsi="宋体"/>
                <w:szCs w:val="21"/>
              </w:rPr>
              <w:t>分包金额或者比例：</w:t>
            </w:r>
            <w:r>
              <w:rPr>
                <w:rFonts w:hint="eastAsia" w:ascii="宋体" w:hAnsi="宋体"/>
                <w:szCs w:val="21"/>
                <w:u w:val="single"/>
              </w:rPr>
              <w:t xml:space="preserve">                                     。</w:t>
            </w:r>
          </w:p>
        </w:tc>
      </w:tr>
      <w:tr w14:paraId="7F175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7E5D90E">
            <w:pPr>
              <w:spacing w:line="360" w:lineRule="auto"/>
              <w:jc w:val="center"/>
              <w:rPr>
                <w:rFonts w:hint="eastAsia" w:ascii="宋体" w:hAnsi="宋体"/>
                <w:szCs w:val="21"/>
              </w:rPr>
            </w:pPr>
            <w:r>
              <w:rPr>
                <w:rFonts w:hint="eastAsia" w:ascii="宋体" w:hAnsi="宋体"/>
                <w:szCs w:val="21"/>
              </w:rPr>
              <w:t>8.1</w:t>
            </w:r>
          </w:p>
        </w:tc>
        <w:tc>
          <w:tcPr>
            <w:tcW w:w="8285" w:type="dxa"/>
            <w:tcBorders>
              <w:top w:val="single" w:color="auto" w:sz="4" w:space="0"/>
              <w:left w:val="single" w:color="auto" w:sz="4" w:space="0"/>
              <w:bottom w:val="single" w:color="auto" w:sz="4" w:space="0"/>
              <w:right w:val="single" w:color="auto" w:sz="4" w:space="0"/>
            </w:tcBorders>
            <w:vAlign w:val="center"/>
          </w:tcPr>
          <w:p w14:paraId="43D76CBA">
            <w:pPr>
              <w:autoSpaceDE w:val="0"/>
              <w:autoSpaceDN w:val="0"/>
              <w:snapToGrid w:val="0"/>
              <w:spacing w:line="360" w:lineRule="auto"/>
              <w:textAlignment w:val="bottom"/>
              <w:rPr>
                <w:rFonts w:hint="eastAsia" w:ascii="宋体" w:hAnsi="宋体"/>
                <w:szCs w:val="21"/>
              </w:rPr>
            </w:pPr>
            <w:r>
              <w:rPr>
                <w:rFonts w:hint="eastAsia" w:ascii="宋体" w:hAnsi="宋体"/>
                <w:sz w:val="22"/>
                <w:szCs w:val="22"/>
              </w:rPr>
              <w:t>采用综合评分法的采购项目，</w:t>
            </w:r>
            <w:r>
              <w:rPr>
                <w:rFonts w:hint="eastAsia" w:ascii="宋体" w:hAnsi="宋体"/>
                <w:szCs w:val="21"/>
              </w:rPr>
              <w:t>提供相同品牌产品（非单一产品采购项目的，指核心产品）的不同投标人评审得分相同时，按照下列方式确定一个投标人获得中标人推荐资格：</w:t>
            </w:r>
          </w:p>
          <w:p w14:paraId="47D1BA0A">
            <w:pPr>
              <w:autoSpaceDE w:val="0"/>
              <w:autoSpaceDN w:val="0"/>
              <w:snapToGrid w:val="0"/>
              <w:spacing w:line="360" w:lineRule="auto"/>
              <w:textAlignment w:val="bottom"/>
              <w:rPr>
                <w:rFonts w:hint="eastAsia" w:ascii="宋体" w:hAnsi="宋体"/>
                <w:i/>
                <w:szCs w:val="21"/>
              </w:rPr>
            </w:pPr>
            <w:r>
              <w:rPr>
                <w:rFonts w:hint="eastAsia" w:ascii="宋体" w:hAnsi="宋体"/>
                <w:sz w:val="18"/>
                <w:szCs w:val="18"/>
                <w:bdr w:val="single" w:color="auto" w:sz="4" w:space="0"/>
              </w:rPr>
              <w:t>√</w:t>
            </w:r>
            <w:r>
              <w:rPr>
                <w:rFonts w:hint="eastAsia" w:ascii="宋体" w:hAnsi="宋体"/>
                <w:szCs w:val="21"/>
              </w:rPr>
              <w:t>依次按投标报价低的优先、政策分得分高的优先、技术评分高的优先、商务评分高的优先、质保期长优先、交货期短优先、故障响应时间短优先的顺序推荐；</w:t>
            </w:r>
          </w:p>
          <w:p w14:paraId="3DE7D15C">
            <w:pPr>
              <w:autoSpaceDE w:val="0"/>
              <w:autoSpaceDN w:val="0"/>
              <w:snapToGrid w:val="0"/>
              <w:spacing w:line="360" w:lineRule="auto"/>
              <w:textAlignment w:val="bottom"/>
              <w:rPr>
                <w:rFonts w:hint="eastAsia" w:ascii="宋体" w:hAnsi="宋体"/>
                <w:szCs w:val="21"/>
              </w:rPr>
            </w:pPr>
            <w:r>
              <w:rPr>
                <w:rFonts w:hint="eastAsia" w:ascii="宋体" w:hAnsi="宋体"/>
                <w:szCs w:val="21"/>
              </w:rPr>
              <w:t>□随机抽取；</w:t>
            </w:r>
          </w:p>
          <w:p w14:paraId="636B9492">
            <w:pPr>
              <w:autoSpaceDE w:val="0"/>
              <w:autoSpaceDN w:val="0"/>
              <w:snapToGrid w:val="0"/>
              <w:spacing w:line="360" w:lineRule="auto"/>
              <w:textAlignment w:val="bottom"/>
              <w:rPr>
                <w:rFonts w:hint="eastAsia" w:ascii="宋体" w:hAnsi="宋体"/>
                <w:szCs w:val="21"/>
              </w:rPr>
            </w:pPr>
            <w:r>
              <w:rPr>
                <w:rFonts w:hint="eastAsia" w:ascii="宋体" w:hAnsi="宋体"/>
                <w:szCs w:val="21"/>
              </w:rPr>
              <w:t>□……</w:t>
            </w:r>
          </w:p>
        </w:tc>
      </w:tr>
      <w:tr w14:paraId="4EE8B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895" w:type="dxa"/>
            <w:vMerge w:val="restart"/>
            <w:tcBorders>
              <w:top w:val="single" w:color="auto" w:sz="4" w:space="0"/>
              <w:left w:val="single" w:color="auto" w:sz="4" w:space="0"/>
              <w:right w:val="single" w:color="auto" w:sz="4" w:space="0"/>
            </w:tcBorders>
            <w:vAlign w:val="center"/>
          </w:tcPr>
          <w:p w14:paraId="259B35CC">
            <w:pPr>
              <w:spacing w:line="360" w:lineRule="auto"/>
              <w:jc w:val="center"/>
              <w:rPr>
                <w:rFonts w:hint="eastAsia" w:ascii="宋体" w:hAnsi="宋体"/>
                <w:szCs w:val="21"/>
              </w:rPr>
            </w:pPr>
            <w:r>
              <w:rPr>
                <w:rFonts w:hint="eastAsia" w:ascii="宋体" w:hAnsi="宋体"/>
                <w:szCs w:val="21"/>
              </w:rPr>
              <w:t>1</w:t>
            </w:r>
            <w:r>
              <w:rPr>
                <w:rFonts w:ascii="宋体" w:hAnsi="宋体"/>
                <w:szCs w:val="21"/>
              </w:rPr>
              <w:t>1.2</w:t>
            </w:r>
          </w:p>
        </w:tc>
        <w:tc>
          <w:tcPr>
            <w:tcW w:w="8285" w:type="dxa"/>
            <w:tcBorders>
              <w:top w:val="single" w:color="auto" w:sz="4" w:space="0"/>
              <w:left w:val="single" w:color="auto" w:sz="4" w:space="0"/>
              <w:bottom w:val="single" w:color="auto" w:sz="4" w:space="0"/>
              <w:right w:val="single" w:color="auto" w:sz="4" w:space="0"/>
            </w:tcBorders>
            <w:vAlign w:val="center"/>
          </w:tcPr>
          <w:p w14:paraId="7A7D55D1">
            <w:pPr>
              <w:snapToGrid w:val="0"/>
              <w:spacing w:line="360" w:lineRule="auto"/>
              <w:rPr>
                <w:rFonts w:hint="eastAsia" w:ascii="宋体" w:hAnsi="宋体"/>
                <w:szCs w:val="21"/>
              </w:rPr>
            </w:pPr>
            <w:r>
              <w:rPr>
                <w:rFonts w:ascii="宋体" w:hAnsi="宋体"/>
                <w:sz w:val="18"/>
                <w:szCs w:val="18"/>
                <w:bdr w:val="single" w:color="auto" w:sz="4" w:space="0"/>
              </w:rPr>
              <w:t>√</w:t>
            </w:r>
            <w:r>
              <w:rPr>
                <w:rFonts w:hint="eastAsia" w:ascii="宋体" w:hAnsi="宋体"/>
                <w:szCs w:val="21"/>
              </w:rPr>
              <w:t>不组织现场考察</w:t>
            </w:r>
          </w:p>
          <w:p w14:paraId="277D7278">
            <w:pPr>
              <w:snapToGrid w:val="0"/>
              <w:spacing w:line="360" w:lineRule="auto"/>
              <w:rPr>
                <w:rFonts w:hint="eastAsia" w:ascii="宋体" w:hAnsi="宋体"/>
                <w:szCs w:val="21"/>
              </w:rPr>
            </w:pPr>
            <w:r>
              <w:rPr>
                <w:rFonts w:hint="eastAsia" w:ascii="宋体" w:hAnsi="宋体"/>
                <w:szCs w:val="21"/>
              </w:rPr>
              <w:t>□组织现场考察：</w:t>
            </w:r>
          </w:p>
          <w:p w14:paraId="0FF7CC99">
            <w:pPr>
              <w:snapToGrid w:val="0"/>
              <w:spacing w:line="360" w:lineRule="auto"/>
              <w:rPr>
                <w:rFonts w:hint="eastAsia" w:ascii="宋体" w:hAnsi="宋体"/>
                <w:szCs w:val="21"/>
                <w:u w:val="single"/>
              </w:rPr>
            </w:pPr>
            <w:r>
              <w:rPr>
                <w:rFonts w:hint="eastAsia" w:ascii="宋体" w:hAnsi="宋体"/>
                <w:szCs w:val="21"/>
              </w:rPr>
              <w:t>集中时间：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分</w:t>
            </w:r>
            <w:r>
              <w:rPr>
                <w:rFonts w:hint="eastAsia" w:ascii="宋体" w:hAnsi="宋体"/>
                <w:szCs w:val="21"/>
              </w:rPr>
              <w:t>，逾期后果自负。集中地点：</w:t>
            </w:r>
            <w:r>
              <w:rPr>
                <w:rFonts w:hint="eastAsia" w:ascii="宋体" w:hAnsi="宋体"/>
                <w:szCs w:val="21"/>
                <w:u w:val="single"/>
              </w:rPr>
              <w:t xml:space="preserve"> </w:t>
            </w:r>
            <w:r>
              <w:rPr>
                <w:rFonts w:ascii="宋体" w:hAnsi="宋体"/>
                <w:szCs w:val="21"/>
                <w:u w:val="single"/>
              </w:rPr>
              <w:t xml:space="preserve">             </w:t>
            </w:r>
          </w:p>
          <w:p w14:paraId="414EFAB1">
            <w:pPr>
              <w:snapToGrid w:val="0"/>
              <w:spacing w:line="360" w:lineRule="auto"/>
              <w:rPr>
                <w:rFonts w:hint="eastAsia" w:ascii="宋体" w:hAnsi="宋体"/>
                <w:szCs w:val="21"/>
              </w:rPr>
            </w:pPr>
            <w:r>
              <w:rPr>
                <w:rFonts w:hint="eastAsia" w:ascii="宋体" w:hAnsi="宋体"/>
                <w:szCs w:val="21"/>
              </w:rPr>
              <w:t>联系人：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；联系电话：</w:t>
            </w:r>
            <w:r>
              <w:rPr>
                <w:rFonts w:ascii="宋体" w:hAnsi="宋体"/>
                <w:szCs w:val="21"/>
                <w:u w:val="single"/>
              </w:rPr>
              <w:t xml:space="preserve">                </w:t>
            </w:r>
          </w:p>
        </w:tc>
      </w:tr>
      <w:tr w14:paraId="40E1B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895" w:type="dxa"/>
            <w:vMerge w:val="continue"/>
            <w:tcBorders>
              <w:left w:val="single" w:color="auto" w:sz="4" w:space="0"/>
              <w:bottom w:val="single" w:color="auto" w:sz="4" w:space="0"/>
              <w:right w:val="single" w:color="auto" w:sz="4" w:space="0"/>
            </w:tcBorders>
            <w:vAlign w:val="center"/>
          </w:tcPr>
          <w:p w14:paraId="564EFA61">
            <w:pPr>
              <w:spacing w:line="360" w:lineRule="auto"/>
              <w:jc w:val="center"/>
              <w:rPr>
                <w:rFonts w:hint="eastAsia" w:ascii="宋体" w:hAnsi="宋体"/>
                <w:szCs w:val="21"/>
              </w:rPr>
            </w:pPr>
          </w:p>
        </w:tc>
        <w:tc>
          <w:tcPr>
            <w:tcW w:w="8285" w:type="dxa"/>
            <w:tcBorders>
              <w:top w:val="single" w:color="auto" w:sz="4" w:space="0"/>
              <w:left w:val="single" w:color="auto" w:sz="4" w:space="0"/>
              <w:bottom w:val="single" w:color="auto" w:sz="4" w:space="0"/>
              <w:right w:val="single" w:color="auto" w:sz="4" w:space="0"/>
            </w:tcBorders>
            <w:vAlign w:val="center"/>
          </w:tcPr>
          <w:p w14:paraId="0C69EB8B">
            <w:pPr>
              <w:snapToGrid w:val="0"/>
              <w:spacing w:line="360" w:lineRule="auto"/>
              <w:rPr>
                <w:rFonts w:hint="eastAsia" w:ascii="宋体" w:hAnsi="宋体"/>
                <w:szCs w:val="21"/>
              </w:rPr>
            </w:pPr>
            <w:r>
              <w:rPr>
                <w:rFonts w:ascii="宋体" w:hAnsi="宋体"/>
                <w:sz w:val="18"/>
                <w:szCs w:val="18"/>
                <w:bdr w:val="single" w:color="auto" w:sz="4" w:space="0"/>
              </w:rPr>
              <w:t>√</w:t>
            </w:r>
            <w:r>
              <w:rPr>
                <w:rFonts w:hint="eastAsia" w:ascii="宋体" w:hAnsi="宋体"/>
                <w:szCs w:val="21"/>
              </w:rPr>
              <w:t>不组织召开开标前答疑会</w:t>
            </w:r>
          </w:p>
          <w:p w14:paraId="4F0C493C">
            <w:pPr>
              <w:snapToGrid w:val="0"/>
              <w:spacing w:line="360" w:lineRule="auto"/>
              <w:rPr>
                <w:rFonts w:hint="eastAsia" w:ascii="宋体" w:hAnsi="宋体"/>
                <w:szCs w:val="21"/>
              </w:rPr>
            </w:pPr>
            <w:r>
              <w:rPr>
                <w:rFonts w:hint="eastAsia" w:ascii="宋体" w:hAnsi="宋体"/>
                <w:szCs w:val="21"/>
              </w:rPr>
              <w:t>□组织召开开标前答疑会</w:t>
            </w:r>
          </w:p>
          <w:p w14:paraId="57B605E5">
            <w:pPr>
              <w:snapToGrid w:val="0"/>
              <w:spacing w:line="360" w:lineRule="auto"/>
              <w:rPr>
                <w:rFonts w:hint="eastAsia" w:ascii="宋体" w:hAnsi="宋体"/>
                <w:szCs w:val="21"/>
              </w:rPr>
            </w:pPr>
            <w:r>
              <w:rPr>
                <w:rFonts w:hint="eastAsia" w:ascii="宋体" w:hAnsi="宋体"/>
                <w:szCs w:val="21"/>
              </w:rPr>
              <w:t>会议开始时间：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分</w:t>
            </w:r>
            <w:r>
              <w:rPr>
                <w:rFonts w:hint="eastAsia" w:ascii="宋体" w:hAnsi="宋体"/>
                <w:szCs w:val="21"/>
              </w:rPr>
              <w:t>，逾期后果自负。会议地点：</w:t>
            </w:r>
            <w:r>
              <w:rPr>
                <w:rFonts w:hint="eastAsia" w:ascii="宋体" w:hAnsi="宋体"/>
                <w:szCs w:val="21"/>
                <w:u w:val="single"/>
              </w:rPr>
              <w:t xml:space="preserve"> </w:t>
            </w:r>
            <w:r>
              <w:rPr>
                <w:rFonts w:ascii="宋体" w:hAnsi="宋体"/>
                <w:szCs w:val="21"/>
                <w:u w:val="single"/>
              </w:rPr>
              <w:t xml:space="preserve">             </w:t>
            </w:r>
          </w:p>
        </w:tc>
      </w:tr>
      <w:tr w14:paraId="3D932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17B71171">
            <w:pPr>
              <w:spacing w:line="360" w:lineRule="auto"/>
              <w:jc w:val="center"/>
              <w:rPr>
                <w:rFonts w:hint="eastAsia" w:ascii="宋体" w:hAnsi="宋体"/>
                <w:szCs w:val="21"/>
              </w:rPr>
            </w:pPr>
            <w:bookmarkStart w:id="51" w:name="_13.1"/>
            <w:bookmarkEnd w:id="51"/>
            <w:r>
              <w:rPr>
                <w:rFonts w:hint="eastAsia" w:ascii="宋体" w:hAnsi="宋体"/>
                <w:szCs w:val="21"/>
              </w:rPr>
              <w:t>13</w:t>
            </w:r>
          </w:p>
        </w:tc>
        <w:tc>
          <w:tcPr>
            <w:tcW w:w="8285" w:type="dxa"/>
            <w:tcBorders>
              <w:top w:val="single" w:color="auto" w:sz="4" w:space="0"/>
              <w:left w:val="single" w:color="auto" w:sz="4" w:space="0"/>
              <w:bottom w:val="single" w:color="auto" w:sz="4" w:space="0"/>
              <w:right w:val="single" w:color="auto" w:sz="4" w:space="0"/>
            </w:tcBorders>
            <w:vAlign w:val="center"/>
          </w:tcPr>
          <w:p w14:paraId="284669C9">
            <w:pPr>
              <w:snapToGrid w:val="0"/>
              <w:spacing w:line="360" w:lineRule="auto"/>
              <w:jc w:val="left"/>
              <w:rPr>
                <w:rFonts w:hint="eastAsia" w:ascii="宋体" w:hAnsi="宋体" w:cs="Courier New"/>
                <w:b/>
                <w:szCs w:val="21"/>
              </w:rPr>
            </w:pPr>
            <w:r>
              <w:rPr>
                <w:rFonts w:hint="eastAsia" w:ascii="宋体" w:hAnsi="宋体" w:cs="Courier New"/>
                <w:b/>
                <w:szCs w:val="21"/>
              </w:rPr>
              <w:t>报价文件：</w:t>
            </w:r>
          </w:p>
          <w:p w14:paraId="38F5E80D">
            <w:pPr>
              <w:tabs>
                <w:tab w:val="left" w:pos="459"/>
              </w:tabs>
              <w:snapToGrid w:val="0"/>
              <w:spacing w:line="360" w:lineRule="auto"/>
              <w:ind w:left="420"/>
              <w:jc w:val="left"/>
              <w:rPr>
                <w:rFonts w:hint="eastAsia" w:ascii="宋体" w:hAnsi="宋体"/>
                <w:szCs w:val="21"/>
              </w:rPr>
            </w:pPr>
            <w:r>
              <w:rPr>
                <w:rFonts w:hint="eastAsia" w:ascii="宋体" w:hAnsi="宋体"/>
                <w:szCs w:val="21"/>
              </w:rPr>
              <w:t>1.投标函（格式后附）；</w:t>
            </w:r>
            <w:r>
              <w:rPr>
                <w:rFonts w:hint="eastAsia" w:ascii="宋体" w:hAnsi="宋体"/>
                <w:b/>
                <w:szCs w:val="21"/>
              </w:rPr>
              <w:t>（必须提供，否则按无效投标处理）</w:t>
            </w:r>
          </w:p>
          <w:p w14:paraId="769F3269">
            <w:pPr>
              <w:tabs>
                <w:tab w:val="left" w:pos="459"/>
              </w:tabs>
              <w:snapToGrid w:val="0"/>
              <w:spacing w:line="360" w:lineRule="auto"/>
              <w:ind w:left="420"/>
              <w:jc w:val="left"/>
              <w:rPr>
                <w:rFonts w:hint="eastAsia" w:ascii="宋体" w:hAnsi="宋体"/>
                <w:szCs w:val="21"/>
              </w:rPr>
            </w:pPr>
            <w:bookmarkStart w:id="52" w:name="_Hlk71299233"/>
            <w:r>
              <w:rPr>
                <w:rFonts w:hint="eastAsia" w:ascii="宋体" w:hAnsi="宋体"/>
                <w:szCs w:val="21"/>
              </w:rPr>
              <w:t>2.开标一览表</w:t>
            </w:r>
            <w:bookmarkEnd w:id="52"/>
            <w:r>
              <w:rPr>
                <w:rFonts w:hint="eastAsia" w:ascii="宋体" w:hAnsi="宋体"/>
                <w:szCs w:val="21"/>
              </w:rPr>
              <w:t>（格式后附）； （</w:t>
            </w:r>
            <w:r>
              <w:rPr>
                <w:rFonts w:hint="eastAsia" w:ascii="宋体" w:hAnsi="宋体"/>
                <w:b/>
                <w:szCs w:val="21"/>
              </w:rPr>
              <w:t>必须提供，否则按无效投标处理</w:t>
            </w:r>
            <w:r>
              <w:rPr>
                <w:rFonts w:hint="eastAsia" w:ascii="宋体" w:hAnsi="宋体"/>
                <w:szCs w:val="21"/>
              </w:rPr>
              <w:t>）</w:t>
            </w:r>
          </w:p>
          <w:p w14:paraId="5E37A35D">
            <w:pPr>
              <w:tabs>
                <w:tab w:val="left" w:pos="459"/>
              </w:tabs>
              <w:snapToGrid w:val="0"/>
              <w:spacing w:line="360" w:lineRule="auto"/>
              <w:ind w:firstLine="420" w:firstLineChars="200"/>
              <w:jc w:val="left"/>
              <w:rPr>
                <w:rFonts w:hint="eastAsia" w:ascii="宋体" w:hAnsi="宋体"/>
                <w:szCs w:val="21"/>
              </w:rPr>
            </w:pPr>
            <w:r>
              <w:rPr>
                <w:rFonts w:hint="eastAsia" w:ascii="宋体" w:hAnsi="宋体"/>
                <w:szCs w:val="21"/>
              </w:rPr>
              <w:t>3.中小企业声明函或者残疾人福利性单位声明函或者投标人属于监狱企业的证明材料。（如有，请提供）</w:t>
            </w:r>
          </w:p>
          <w:p w14:paraId="2B12D4A4">
            <w:pPr>
              <w:tabs>
                <w:tab w:val="left" w:pos="459"/>
              </w:tabs>
              <w:snapToGrid w:val="0"/>
              <w:spacing w:line="360" w:lineRule="auto"/>
              <w:ind w:left="420"/>
              <w:jc w:val="left"/>
              <w:rPr>
                <w:rFonts w:hint="eastAsia" w:ascii="宋体" w:hAnsi="宋体"/>
                <w:szCs w:val="21"/>
              </w:rPr>
            </w:pPr>
            <w:r>
              <w:rPr>
                <w:rFonts w:hint="eastAsia" w:ascii="宋体" w:hAnsi="宋体"/>
                <w:szCs w:val="21"/>
              </w:rPr>
              <w:t>4.投标人针对报价需要说明的其他文件和说明（格式自拟）。</w:t>
            </w:r>
          </w:p>
          <w:p w14:paraId="32490DA6">
            <w:pPr>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注：</w:t>
            </w:r>
            <w:r>
              <w:rPr>
                <w:rFonts w:hint="eastAsia" w:ascii="宋体" w:hAnsi="宋体"/>
                <w:b/>
                <w:bCs/>
                <w:szCs w:val="21"/>
              </w:rPr>
              <w:t>以上标明“必须提供”的材料，格式</w:t>
            </w:r>
            <w:r>
              <w:rPr>
                <w:rFonts w:hint="eastAsia" w:ascii="宋体" w:hAnsi="宋体" w:cs="宋体"/>
                <w:b/>
                <w:szCs w:val="21"/>
              </w:rPr>
              <w:t>中有要求法定代表人或者委托代理人签字的，必须按要求签字并加盖投标人电子签章</w:t>
            </w:r>
            <w:r>
              <w:rPr>
                <w:rFonts w:hint="eastAsia" w:ascii="宋体" w:hAnsi="宋体"/>
                <w:b/>
                <w:bCs/>
                <w:szCs w:val="21"/>
              </w:rPr>
              <w:t>，否则按无效投标</w:t>
            </w:r>
            <w:r>
              <w:rPr>
                <w:rFonts w:hint="eastAsia" w:ascii="宋体" w:hAnsi="宋体" w:cs="Courier New"/>
                <w:b/>
                <w:szCs w:val="21"/>
              </w:rPr>
              <w:t>处理。</w:t>
            </w:r>
            <w:r>
              <w:rPr>
                <w:rFonts w:hint="eastAsia" w:ascii="宋体" w:hAnsi="宋体" w:cs="宋体"/>
                <w:b/>
                <w:szCs w:val="21"/>
              </w:rPr>
              <w:t xml:space="preserve"> </w:t>
            </w:r>
          </w:p>
        </w:tc>
      </w:tr>
      <w:tr w14:paraId="6FD94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1568FF79">
            <w:pPr>
              <w:spacing w:line="360" w:lineRule="auto"/>
              <w:rPr>
                <w:rFonts w:hint="eastAsia" w:ascii="宋体" w:hAnsi="宋体"/>
                <w:szCs w:val="21"/>
              </w:rPr>
            </w:pPr>
            <w:bookmarkStart w:id="53" w:name="_13.2"/>
            <w:bookmarkEnd w:id="53"/>
          </w:p>
        </w:tc>
        <w:tc>
          <w:tcPr>
            <w:tcW w:w="8285" w:type="dxa"/>
            <w:tcBorders>
              <w:top w:val="single" w:color="auto" w:sz="4" w:space="0"/>
              <w:left w:val="single" w:color="auto" w:sz="4" w:space="0"/>
              <w:bottom w:val="single" w:color="auto" w:sz="4" w:space="0"/>
              <w:right w:val="single" w:color="auto" w:sz="4" w:space="0"/>
            </w:tcBorders>
            <w:vAlign w:val="center"/>
          </w:tcPr>
          <w:p w14:paraId="4E1530FF">
            <w:pPr>
              <w:snapToGrid w:val="0"/>
              <w:spacing w:line="360" w:lineRule="auto"/>
              <w:ind w:firstLine="422" w:firstLineChars="200"/>
              <w:jc w:val="left"/>
              <w:rPr>
                <w:rFonts w:hint="eastAsia" w:ascii="宋体" w:hAnsi="宋体" w:cs="Courier New"/>
                <w:b/>
                <w:szCs w:val="21"/>
              </w:rPr>
            </w:pPr>
            <w:r>
              <w:rPr>
                <w:rFonts w:hint="eastAsia" w:ascii="宋体" w:hAnsi="宋体" w:cs="Courier New"/>
                <w:b/>
                <w:szCs w:val="21"/>
              </w:rPr>
              <w:t>资格证明文件</w:t>
            </w:r>
          </w:p>
          <w:p w14:paraId="0A7A990C">
            <w:pPr>
              <w:snapToGrid w:val="0"/>
              <w:spacing w:line="360" w:lineRule="auto"/>
              <w:ind w:firstLine="420" w:firstLineChars="200"/>
              <w:jc w:val="left"/>
              <w:rPr>
                <w:rFonts w:hint="eastAsia" w:ascii="宋体" w:hAnsi="宋体" w:cs="Courier New"/>
                <w:b/>
                <w:szCs w:val="21"/>
              </w:rPr>
            </w:pPr>
            <w:r>
              <w:rPr>
                <w:rFonts w:hint="eastAsia" w:ascii="宋体" w:hAnsi="宋体"/>
                <w:szCs w:val="21"/>
              </w:rPr>
              <w:t>1.投标人为法人或者其他组织的，提供营业执照等证明文件</w:t>
            </w:r>
            <w:r>
              <w:rPr>
                <w:rFonts w:hint="eastAsia" w:ascii="宋体" w:hAnsi="宋体" w:cs="宋体"/>
                <w:szCs w:val="21"/>
              </w:rPr>
              <w:t>（如营业执照或者事业单位法人证书或者</w:t>
            </w:r>
            <w:r>
              <w:rPr>
                <w:rStyle w:val="98"/>
                <w:color w:val="auto"/>
                <w:sz w:val="21"/>
                <w:szCs w:val="21"/>
              </w:rPr>
              <w:t>执业许可证</w:t>
            </w:r>
            <w:r>
              <w:rPr>
                <w:rFonts w:hint="eastAsia" w:ascii="宋体" w:hAnsi="宋体" w:cs="宋体"/>
                <w:szCs w:val="21"/>
              </w:rPr>
              <w:t>或者登记证书等）</w:t>
            </w:r>
            <w:r>
              <w:rPr>
                <w:rFonts w:hint="eastAsia" w:ascii="宋体" w:hAnsi="宋体"/>
                <w:szCs w:val="21"/>
              </w:rPr>
              <w:t>，投标人为自然人的，提供身份证</w:t>
            </w:r>
            <w:r>
              <w:rPr>
                <w:rFonts w:hint="eastAsia" w:ascii="宋体" w:hAnsi="宋体" w:cs="宋体"/>
                <w:szCs w:val="21"/>
              </w:rPr>
              <w:t>复印件</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4E364731">
            <w:pPr>
              <w:snapToGrid w:val="0"/>
              <w:spacing w:line="360" w:lineRule="auto"/>
              <w:ind w:firstLine="420" w:firstLineChars="200"/>
              <w:jc w:val="left"/>
              <w:rPr>
                <w:rFonts w:hint="eastAsia" w:ascii="宋体" w:hAnsi="宋体" w:cs="Courier New"/>
                <w:b/>
                <w:szCs w:val="21"/>
              </w:rPr>
            </w:pPr>
            <w:r>
              <w:rPr>
                <w:rFonts w:hint="eastAsia" w:ascii="宋体" w:hAnsi="宋体" w:cs="宋体"/>
                <w:szCs w:val="21"/>
              </w:rPr>
              <w:t>2.投标人依法缴纳税收的相关材料（</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1</w:t>
            </w:r>
            <w:r>
              <w:rPr>
                <w:rFonts w:hint="eastAsia" w:ascii="宋体" w:hAnsi="宋体" w:cs="宋体"/>
                <w:szCs w:val="21"/>
              </w:rPr>
              <w:t>月至</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lang w:val="en-US" w:eastAsia="zh-CN"/>
              </w:rPr>
              <w:t>8</w:t>
            </w:r>
            <w:r>
              <w:rPr>
                <w:rFonts w:hint="eastAsia" w:ascii="宋体" w:hAnsi="宋体" w:cs="宋体"/>
                <w:szCs w:val="21"/>
              </w:rPr>
              <w:t>月内连续</w:t>
            </w:r>
            <w:r>
              <w:rPr>
                <w:rFonts w:hint="eastAsia" w:ascii="宋体" w:hAnsi="宋体" w:cs="宋体"/>
                <w:szCs w:val="21"/>
                <w:u w:val="single"/>
              </w:rPr>
              <w:t>3</w:t>
            </w:r>
            <w:r>
              <w:rPr>
                <w:rFonts w:hint="eastAsia" w:ascii="宋体" w:hAnsi="宋体" w:cs="宋体"/>
                <w:szCs w:val="21"/>
              </w:rPr>
              <w:t>个月的依法缴纳税收的</w:t>
            </w:r>
            <w:r>
              <w:rPr>
                <w:rFonts w:hint="eastAsia"/>
              </w:rPr>
              <w:t>证明材料</w:t>
            </w:r>
            <w:r>
              <w:rPr>
                <w:rFonts w:hint="eastAsia" w:ascii="宋体" w:hAnsi="宋体" w:cs="宋体"/>
                <w:szCs w:val="21"/>
              </w:rPr>
              <w:t>复印件；</w:t>
            </w:r>
            <w:r>
              <w:rPr>
                <w:rFonts w:hint="eastAsia" w:ascii="宋体" w:hAnsi="宋体"/>
                <w:szCs w:val="21"/>
              </w:rPr>
              <w:t>依法免税的供应商，</w:t>
            </w:r>
            <w:r>
              <w:rPr>
                <w:rFonts w:hint="eastAsia"/>
              </w:rPr>
              <w:t>必须提供符合免税条件的证明材料</w:t>
            </w:r>
            <w:r>
              <w:rPr>
                <w:rFonts w:hint="eastAsia" w:ascii="宋体" w:hAnsi="宋体"/>
                <w:szCs w:val="21"/>
              </w:rPr>
              <w:t>。</w:t>
            </w:r>
            <w:r>
              <w:rPr>
                <w:rFonts w:hint="eastAsia" w:ascii="宋体" w:hAnsi="宋体" w:cs="宋体"/>
                <w:szCs w:val="21"/>
              </w:rPr>
              <w:t>从</w:t>
            </w:r>
            <w:r>
              <w:rPr>
                <w:rFonts w:hint="eastAsia"/>
                <w:szCs w:val="21"/>
              </w:rPr>
              <w:t>成立之日</w:t>
            </w:r>
            <w:r>
              <w:rPr>
                <w:rFonts w:hint="eastAsia" w:ascii="宋体" w:hAnsi="宋体" w:cs="宋体"/>
                <w:szCs w:val="21"/>
              </w:rPr>
              <w:t>起到投标文件提交截止时间止不足要求月数的，只需提供从</w:t>
            </w:r>
            <w:r>
              <w:rPr>
                <w:rFonts w:hint="eastAsia"/>
                <w:szCs w:val="21"/>
              </w:rPr>
              <w:t>成立之日起</w:t>
            </w:r>
            <w:r>
              <w:rPr>
                <w:rFonts w:hint="eastAsia" w:ascii="宋体" w:hAnsi="宋体" w:cs="宋体"/>
                <w:szCs w:val="21"/>
              </w:rPr>
              <w:t>的依法缴纳税收</w:t>
            </w:r>
            <w:r>
              <w:rPr>
                <w:rFonts w:hint="eastAsia" w:ascii="宋体" w:hAnsi="宋体"/>
                <w:szCs w:val="21"/>
              </w:rPr>
              <w:t>相应证明文件</w:t>
            </w:r>
            <w:r>
              <w:rPr>
                <w:rFonts w:hint="eastAsia" w:ascii="宋体" w:hAnsi="宋体" w:cs="宋体"/>
                <w:szCs w:val="21"/>
              </w:rPr>
              <w:t>）</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7D73D061">
            <w:pPr>
              <w:snapToGrid w:val="0"/>
              <w:spacing w:line="360" w:lineRule="auto"/>
              <w:ind w:firstLine="420" w:firstLineChars="200"/>
              <w:jc w:val="left"/>
              <w:rPr>
                <w:rFonts w:hint="eastAsia" w:ascii="宋体" w:hAnsi="宋体" w:cs="Courier New"/>
                <w:b/>
                <w:szCs w:val="21"/>
              </w:rPr>
            </w:pPr>
            <w:r>
              <w:rPr>
                <w:rFonts w:hint="eastAsia" w:ascii="宋体" w:hAnsi="宋体" w:cs="宋体"/>
                <w:szCs w:val="21"/>
              </w:rPr>
              <w:t>3.投标人依法缴纳社会保障资金的相关材料[</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1</w:t>
            </w:r>
            <w:r>
              <w:rPr>
                <w:rFonts w:hint="eastAsia" w:ascii="宋体" w:hAnsi="宋体" w:cs="宋体"/>
                <w:szCs w:val="21"/>
              </w:rPr>
              <w:t>月至</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lang w:val="en-US" w:eastAsia="zh-CN"/>
              </w:rPr>
              <w:t>8</w:t>
            </w:r>
            <w:r>
              <w:rPr>
                <w:rFonts w:hint="eastAsia" w:ascii="宋体" w:hAnsi="宋体" w:cs="宋体"/>
                <w:szCs w:val="21"/>
              </w:rPr>
              <w:t>月内连续</w:t>
            </w:r>
            <w:r>
              <w:rPr>
                <w:rFonts w:hint="eastAsia" w:ascii="宋体" w:hAnsi="宋体" w:cs="宋体"/>
                <w:szCs w:val="21"/>
                <w:u w:val="single"/>
              </w:rPr>
              <w:t>3</w:t>
            </w:r>
            <w:r>
              <w:rPr>
                <w:rFonts w:hint="eastAsia" w:ascii="宋体" w:hAnsi="宋体" w:cs="宋体"/>
                <w:szCs w:val="21"/>
              </w:rPr>
              <w:t>个月的依法缴纳社会保障资金的缴费</w:t>
            </w:r>
            <w:r>
              <w:rPr>
                <w:rFonts w:hint="eastAsia"/>
              </w:rPr>
              <w:t>证明材料</w:t>
            </w:r>
            <w:r>
              <w:rPr>
                <w:rFonts w:hint="eastAsia" w:ascii="宋体" w:hAnsi="宋体" w:cs="宋体"/>
                <w:szCs w:val="21"/>
              </w:rPr>
              <w:t>（</w:t>
            </w:r>
            <w:r>
              <w:rPr>
                <w:rFonts w:hint="eastAsia"/>
              </w:rPr>
              <w:t>如：</w:t>
            </w:r>
            <w:r>
              <w:rPr>
                <w:rFonts w:hint="eastAsia" w:ascii="宋体" w:hAnsi="宋体" w:cs="宋体"/>
                <w:szCs w:val="21"/>
              </w:rPr>
              <w:t>专用收据、社会保险缴纳清单或者社保部门的证明）复印件；</w:t>
            </w:r>
            <w:r>
              <w:rPr>
                <w:rFonts w:hint="eastAsia" w:ascii="宋体" w:hAnsi="宋体"/>
                <w:szCs w:val="21"/>
              </w:rPr>
              <w:t>依法不需要缴纳社会保障资金的供应商，必须提供相应文件证明不需要缴纳社会保障资金。</w:t>
            </w:r>
            <w:r>
              <w:rPr>
                <w:rFonts w:hint="eastAsia" w:ascii="宋体" w:hAnsi="宋体" w:cs="宋体"/>
                <w:szCs w:val="21"/>
              </w:rPr>
              <w:t>从</w:t>
            </w:r>
            <w:r>
              <w:rPr>
                <w:rFonts w:hint="eastAsia"/>
                <w:szCs w:val="21"/>
              </w:rPr>
              <w:t>成立之日起</w:t>
            </w:r>
            <w:r>
              <w:rPr>
                <w:rFonts w:hint="eastAsia" w:ascii="宋体" w:hAnsi="宋体" w:cs="宋体"/>
                <w:szCs w:val="21"/>
              </w:rPr>
              <w:t>到投标文件提交截止时间止不足要求月数的只需提供从</w:t>
            </w:r>
            <w:r>
              <w:rPr>
                <w:rFonts w:hint="eastAsia"/>
                <w:szCs w:val="21"/>
              </w:rPr>
              <w:t>成立之日起</w:t>
            </w:r>
            <w:r>
              <w:rPr>
                <w:rFonts w:hint="eastAsia" w:ascii="宋体" w:hAnsi="宋体" w:cs="宋体"/>
                <w:szCs w:val="21"/>
              </w:rPr>
              <w:t>的依法缴纳社会保障资金的</w:t>
            </w:r>
            <w:r>
              <w:rPr>
                <w:rFonts w:hint="eastAsia" w:ascii="宋体" w:hAnsi="宋体"/>
                <w:szCs w:val="21"/>
              </w:rPr>
              <w:t>相应证明文件</w:t>
            </w:r>
            <w:r>
              <w:rPr>
                <w:rFonts w:hint="eastAsia" w:ascii="宋体" w:hAnsi="宋体" w:cs="宋体"/>
                <w:szCs w:val="21"/>
              </w:rPr>
              <w:t>]</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0E702F5D">
            <w:pPr>
              <w:snapToGrid w:val="0"/>
              <w:spacing w:line="360" w:lineRule="auto"/>
              <w:ind w:firstLine="420" w:firstLineChars="200"/>
              <w:jc w:val="left"/>
              <w:rPr>
                <w:rFonts w:hint="eastAsia" w:ascii="宋体" w:hAnsi="宋体" w:cs="Courier New"/>
                <w:b/>
                <w:szCs w:val="21"/>
              </w:rPr>
            </w:pPr>
            <w:r>
              <w:rPr>
                <w:rFonts w:hint="eastAsia" w:ascii="宋体" w:hAnsi="宋体" w:cs="宋体"/>
                <w:szCs w:val="21"/>
              </w:rPr>
              <w:t>4.投标人</w:t>
            </w:r>
            <w:r>
              <w:rPr>
                <w:rFonts w:hint="eastAsia"/>
                <w:szCs w:val="21"/>
              </w:rPr>
              <w:t>财务状况报告</w:t>
            </w:r>
            <w:r>
              <w:rPr>
                <w:rFonts w:hint="eastAsia" w:ascii="宋体" w:hAnsi="宋体"/>
                <w:szCs w:val="21"/>
              </w:rPr>
              <w:t>[</w:t>
            </w:r>
            <w:r>
              <w:rPr>
                <w:rFonts w:hint="eastAsia" w:ascii="宋体" w:hAnsi="宋体"/>
                <w:szCs w:val="21"/>
                <w:u w:val="single"/>
              </w:rPr>
              <w:t>2024</w:t>
            </w:r>
            <w:r>
              <w:rPr>
                <w:rFonts w:hint="eastAsia" w:ascii="宋体" w:hAnsi="宋体"/>
                <w:szCs w:val="21"/>
              </w:rPr>
              <w:t>年度财务报表复印件，或者银行出具的资信证明，或者中国人民银行征信中心出具的信用报告（企业投标的提供企业信用报告，自然人投标的提供个人信用报告）</w:t>
            </w:r>
            <w:r>
              <w:rPr>
                <w:rFonts w:hint="eastAsia" w:ascii="宋体" w:hAnsi="宋体"/>
              </w:rPr>
              <w:t>，投标人</w:t>
            </w:r>
            <w:r>
              <w:rPr>
                <w:rFonts w:ascii="宋体" w:hAnsi="宋体"/>
              </w:rPr>
              <w:t>属于成立时间在规定年度之后的法人或其他组织</w:t>
            </w:r>
            <w:r>
              <w:rPr>
                <w:rFonts w:hint="eastAsia" w:ascii="宋体" w:hAnsi="宋体"/>
              </w:rPr>
              <w:t>，需提供成立之日起至投标截止时间前的月报表</w:t>
            </w:r>
            <w:r>
              <w:rPr>
                <w:rFonts w:hint="eastAsia" w:ascii="宋体" w:hAnsi="宋体"/>
                <w:szCs w:val="21"/>
              </w:rPr>
              <w:t>或银行出具的资信证明或者中国人民银行征信中心出具的企业信用报告；资信证明应在有效期内，未注明有效期的，银行出具时间至投标截止时间不超过一年]</w:t>
            </w:r>
            <w:r>
              <w:rPr>
                <w:rFonts w:hint="eastAsia"/>
                <w:szCs w:val="21"/>
              </w:rPr>
              <w:t>；</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0CBE6EE8">
            <w:pPr>
              <w:snapToGrid w:val="0"/>
              <w:spacing w:line="360" w:lineRule="auto"/>
              <w:ind w:firstLine="420" w:firstLineChars="200"/>
              <w:jc w:val="left"/>
              <w:rPr>
                <w:rFonts w:hint="eastAsia" w:ascii="宋体" w:hAnsi="宋体"/>
                <w:szCs w:val="21"/>
              </w:rPr>
            </w:pPr>
            <w:r>
              <w:rPr>
                <w:rFonts w:hint="eastAsia" w:ascii="宋体" w:hAnsi="宋体"/>
                <w:szCs w:val="21"/>
              </w:rPr>
              <w:t>5.投标人直接控股股东信息表（格式后附）；（</w:t>
            </w:r>
            <w:r>
              <w:rPr>
                <w:rFonts w:hint="eastAsia" w:ascii="宋体" w:hAnsi="宋体"/>
                <w:b/>
                <w:szCs w:val="21"/>
              </w:rPr>
              <w:t>必须提供，否则按无效投标处理</w:t>
            </w:r>
            <w:r>
              <w:rPr>
                <w:rFonts w:hint="eastAsia" w:ascii="宋体" w:hAnsi="宋体"/>
                <w:szCs w:val="21"/>
              </w:rPr>
              <w:t>）</w:t>
            </w:r>
          </w:p>
          <w:p w14:paraId="33A88875">
            <w:pPr>
              <w:snapToGrid w:val="0"/>
              <w:spacing w:line="360" w:lineRule="auto"/>
              <w:ind w:firstLine="420" w:firstLineChars="200"/>
              <w:jc w:val="left"/>
              <w:rPr>
                <w:rFonts w:hint="eastAsia" w:ascii="宋体" w:hAnsi="宋体"/>
                <w:szCs w:val="21"/>
              </w:rPr>
            </w:pPr>
            <w:r>
              <w:rPr>
                <w:rFonts w:hint="eastAsia" w:ascii="宋体" w:hAnsi="宋体"/>
                <w:szCs w:val="21"/>
              </w:rPr>
              <w:t>6.投标人直接管理关系信息表（格式后附）；（</w:t>
            </w:r>
            <w:r>
              <w:rPr>
                <w:rFonts w:hint="eastAsia" w:ascii="宋体" w:hAnsi="宋体"/>
                <w:b/>
                <w:szCs w:val="21"/>
              </w:rPr>
              <w:t>必须提供，否则按无效投标处理</w:t>
            </w:r>
            <w:r>
              <w:rPr>
                <w:rFonts w:hint="eastAsia" w:ascii="宋体" w:hAnsi="宋体"/>
                <w:szCs w:val="21"/>
              </w:rPr>
              <w:t>）</w:t>
            </w:r>
          </w:p>
          <w:p w14:paraId="72A41338">
            <w:pPr>
              <w:snapToGrid w:val="0"/>
              <w:spacing w:line="360" w:lineRule="auto"/>
              <w:ind w:firstLine="420" w:firstLineChars="200"/>
              <w:jc w:val="left"/>
              <w:rPr>
                <w:rFonts w:hint="eastAsia" w:ascii="宋体" w:hAnsi="宋体" w:cs="Courier New"/>
                <w:b/>
                <w:szCs w:val="21"/>
              </w:rPr>
            </w:pPr>
            <w:r>
              <w:rPr>
                <w:rFonts w:hint="eastAsia" w:ascii="宋体" w:hAnsi="宋体"/>
                <w:szCs w:val="21"/>
              </w:rPr>
              <w:t>7.投标声明（格式后附）；（</w:t>
            </w:r>
            <w:r>
              <w:rPr>
                <w:rFonts w:hint="eastAsia" w:ascii="宋体" w:hAnsi="宋体"/>
                <w:b/>
                <w:szCs w:val="21"/>
              </w:rPr>
              <w:t>必须提供，否则按无效投标处理</w:t>
            </w:r>
            <w:r>
              <w:rPr>
                <w:rFonts w:hint="eastAsia" w:ascii="宋体" w:hAnsi="宋体"/>
                <w:szCs w:val="21"/>
              </w:rPr>
              <w:t>）</w:t>
            </w:r>
          </w:p>
          <w:p w14:paraId="7D0EFFAF">
            <w:pPr>
              <w:snapToGrid w:val="0"/>
              <w:spacing w:line="360" w:lineRule="auto"/>
              <w:ind w:firstLine="420" w:firstLineChars="200"/>
              <w:jc w:val="left"/>
              <w:rPr>
                <w:rFonts w:hint="eastAsia" w:ascii="宋体" w:hAnsi="宋体" w:cs="Courier New"/>
                <w:b/>
                <w:szCs w:val="21"/>
              </w:rPr>
            </w:pPr>
            <w:r>
              <w:rPr>
                <w:rFonts w:hint="eastAsia" w:ascii="宋体" w:hAnsi="宋体"/>
                <w:szCs w:val="21"/>
              </w:rPr>
              <w:t>8.联合体协议书（格式后附）；（</w:t>
            </w:r>
            <w:r>
              <w:rPr>
                <w:rFonts w:hint="eastAsia" w:ascii="宋体" w:hAnsi="宋体"/>
                <w:b/>
                <w:szCs w:val="21"/>
              </w:rPr>
              <w:t>联合体投标时必须提供，否则按无效投标处理</w:t>
            </w:r>
            <w:r>
              <w:rPr>
                <w:rFonts w:hint="eastAsia" w:ascii="宋体" w:hAnsi="宋体"/>
                <w:szCs w:val="21"/>
              </w:rPr>
              <w:t>）</w:t>
            </w:r>
          </w:p>
          <w:p w14:paraId="7769AC4D">
            <w:pPr>
              <w:snapToGrid w:val="0"/>
              <w:spacing w:line="360" w:lineRule="auto"/>
              <w:ind w:firstLine="420" w:firstLineChars="200"/>
              <w:jc w:val="left"/>
              <w:rPr>
                <w:rFonts w:hint="eastAsia" w:ascii="宋体" w:hAnsi="宋体" w:cs="Courier New"/>
                <w:b/>
                <w:szCs w:val="21"/>
              </w:rPr>
            </w:pPr>
            <w:r>
              <w:rPr>
                <w:rFonts w:hint="eastAsia" w:ascii="宋体" w:hAnsi="宋体"/>
                <w:szCs w:val="21"/>
              </w:rPr>
              <w:t>9.除招标文件规定必须提供以外，投标人认为需要提供的其他证明材料。</w:t>
            </w:r>
          </w:p>
          <w:p w14:paraId="71EEBAEC">
            <w:pPr>
              <w:snapToGrid w:val="0"/>
              <w:spacing w:line="360" w:lineRule="auto"/>
              <w:ind w:firstLine="420" w:firstLineChars="200"/>
              <w:jc w:val="left"/>
              <w:rPr>
                <w:rFonts w:hint="eastAsia" w:ascii="宋体" w:hAnsi="宋体"/>
                <w:szCs w:val="21"/>
              </w:rPr>
            </w:pPr>
          </w:p>
          <w:p w14:paraId="1043B603">
            <w:pPr>
              <w:snapToGrid w:val="0"/>
              <w:spacing w:line="360" w:lineRule="auto"/>
              <w:ind w:firstLine="422" w:firstLineChars="200"/>
              <w:jc w:val="left"/>
              <w:rPr>
                <w:rFonts w:hint="eastAsia" w:ascii="宋体" w:hAnsi="宋体" w:cs="Courier New"/>
                <w:b/>
                <w:szCs w:val="21"/>
              </w:rPr>
            </w:pPr>
            <w:r>
              <w:rPr>
                <w:rFonts w:hint="eastAsia" w:ascii="宋体" w:hAnsi="宋体"/>
                <w:b/>
                <w:bCs/>
                <w:szCs w:val="21"/>
              </w:rPr>
              <w:t>注：1.</w:t>
            </w:r>
            <w:r>
              <w:rPr>
                <w:rFonts w:hint="eastAsia" w:ascii="宋体" w:hAnsi="宋体"/>
                <w:szCs w:val="21"/>
              </w:rPr>
              <w:t xml:space="preserve"> </w:t>
            </w:r>
            <w:r>
              <w:rPr>
                <w:rFonts w:hint="eastAsia" w:ascii="宋体" w:hAnsi="宋体"/>
                <w:b/>
                <w:bCs/>
                <w:szCs w:val="21"/>
              </w:rPr>
              <w:t>以上标明“必须提供”的材料，格式</w:t>
            </w:r>
            <w:r>
              <w:rPr>
                <w:rFonts w:hint="eastAsia" w:ascii="宋体" w:hAnsi="宋体" w:cs="宋体"/>
                <w:b/>
                <w:szCs w:val="21"/>
              </w:rPr>
              <w:t>中有要求法定代表人或者委托代理人签字</w:t>
            </w:r>
            <w:r>
              <w:rPr>
                <w:rFonts w:hint="eastAsia" w:ascii="宋体" w:hAnsi="宋体"/>
                <w:b/>
                <w:bCs/>
                <w:szCs w:val="21"/>
              </w:rPr>
              <w:t>（或者电子签名）</w:t>
            </w:r>
            <w:r>
              <w:rPr>
                <w:rFonts w:hint="eastAsia" w:ascii="宋体" w:hAnsi="宋体" w:cs="宋体"/>
                <w:b/>
                <w:szCs w:val="21"/>
              </w:rPr>
              <w:t>的，必须按要求签字</w:t>
            </w:r>
            <w:r>
              <w:rPr>
                <w:rFonts w:hint="eastAsia" w:ascii="宋体" w:hAnsi="宋体"/>
                <w:b/>
                <w:bCs/>
                <w:szCs w:val="21"/>
              </w:rPr>
              <w:t>（或者电子签名）</w:t>
            </w:r>
            <w:r>
              <w:rPr>
                <w:rFonts w:hint="eastAsia" w:ascii="宋体" w:hAnsi="宋体" w:cs="宋体"/>
                <w:b/>
                <w:szCs w:val="21"/>
              </w:rPr>
              <w:t>并加盖投标人电子签章</w:t>
            </w:r>
            <w:r>
              <w:rPr>
                <w:rFonts w:hint="eastAsia" w:ascii="宋体" w:hAnsi="宋体"/>
                <w:b/>
                <w:bCs/>
                <w:szCs w:val="21"/>
              </w:rPr>
              <w:t>，否则按无效投标</w:t>
            </w:r>
            <w:r>
              <w:rPr>
                <w:rFonts w:hint="eastAsia" w:ascii="宋体" w:hAnsi="宋体" w:cs="Courier New"/>
                <w:b/>
                <w:szCs w:val="21"/>
              </w:rPr>
              <w:t>处理。</w:t>
            </w:r>
          </w:p>
          <w:p w14:paraId="691A65B4">
            <w:pPr>
              <w:snapToGrid w:val="0"/>
              <w:spacing w:line="360" w:lineRule="auto"/>
              <w:ind w:firstLine="422" w:firstLineChars="200"/>
              <w:jc w:val="left"/>
              <w:rPr>
                <w:rFonts w:hint="eastAsia" w:ascii="宋体" w:hAnsi="宋体"/>
                <w:b/>
                <w:bCs/>
                <w:szCs w:val="21"/>
              </w:rPr>
            </w:pPr>
            <w:r>
              <w:rPr>
                <w:rFonts w:hint="eastAsia" w:ascii="宋体" w:hAnsi="宋体"/>
                <w:b/>
                <w:bCs/>
                <w:szCs w:val="21"/>
              </w:rPr>
              <w:t>2.联合体投标时，第1-6项资格证明文件联合体各方均必须分别提供，</w:t>
            </w:r>
            <w:r>
              <w:rPr>
                <w:rFonts w:hint="eastAsia"/>
                <w:b/>
              </w:rPr>
              <w:t>并由</w:t>
            </w:r>
            <w:r>
              <w:rPr>
                <w:rFonts w:hint="eastAsia" w:ascii="宋体" w:hAnsi="宋体" w:cs="宋体"/>
                <w:b/>
                <w:szCs w:val="21"/>
              </w:rPr>
              <w:t>联合体</w:t>
            </w:r>
            <w:r>
              <w:rPr>
                <w:rFonts w:hint="eastAsia"/>
                <w:b/>
              </w:rPr>
              <w:t>牵头人加盖电子签章</w:t>
            </w:r>
            <w:r>
              <w:rPr>
                <w:rFonts w:hint="eastAsia" w:ascii="宋体" w:hAnsi="宋体" w:cs="宋体"/>
                <w:b/>
                <w:szCs w:val="21"/>
              </w:rPr>
              <w:t>，</w:t>
            </w:r>
            <w:r>
              <w:rPr>
                <w:rFonts w:hint="eastAsia"/>
                <w:b/>
              </w:rPr>
              <w:t>规定签字</w:t>
            </w:r>
            <w:r>
              <w:rPr>
                <w:rFonts w:hint="eastAsia" w:ascii="宋体" w:hAnsi="宋体" w:cs="宋体"/>
                <w:b/>
                <w:szCs w:val="21"/>
              </w:rPr>
              <w:t>处签字</w:t>
            </w:r>
            <w:r>
              <w:rPr>
                <w:rFonts w:hint="eastAsia" w:ascii="宋体" w:hAnsi="宋体"/>
                <w:b/>
                <w:bCs/>
                <w:szCs w:val="21"/>
              </w:rPr>
              <w:t>（或者电子签名），否则按无效投标</w:t>
            </w:r>
            <w:r>
              <w:rPr>
                <w:rFonts w:hint="eastAsia" w:ascii="宋体" w:hAnsi="宋体" w:cs="Courier New"/>
                <w:b/>
                <w:szCs w:val="21"/>
              </w:rPr>
              <w:t>处理</w:t>
            </w:r>
            <w:r>
              <w:rPr>
                <w:rFonts w:hint="eastAsia" w:ascii="宋体" w:hAnsi="宋体"/>
                <w:b/>
                <w:bCs/>
                <w:szCs w:val="21"/>
              </w:rPr>
              <w:t>。</w:t>
            </w:r>
          </w:p>
        </w:tc>
      </w:tr>
      <w:tr w14:paraId="5DC07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5A838A27">
            <w:pPr>
              <w:spacing w:line="360" w:lineRule="auto"/>
              <w:rPr>
                <w:rFonts w:hint="eastAsia" w:ascii="宋体" w:hAnsi="宋体"/>
                <w:szCs w:val="21"/>
              </w:rPr>
            </w:pPr>
            <w:bookmarkStart w:id="54" w:name="_13.3"/>
            <w:bookmarkEnd w:id="54"/>
          </w:p>
        </w:tc>
        <w:tc>
          <w:tcPr>
            <w:tcW w:w="8285" w:type="dxa"/>
            <w:tcBorders>
              <w:top w:val="single" w:color="auto" w:sz="4" w:space="0"/>
              <w:left w:val="single" w:color="auto" w:sz="4" w:space="0"/>
              <w:bottom w:val="single" w:color="auto" w:sz="4" w:space="0"/>
              <w:right w:val="single" w:color="auto" w:sz="4" w:space="0"/>
            </w:tcBorders>
            <w:vAlign w:val="center"/>
          </w:tcPr>
          <w:p w14:paraId="0AA81022">
            <w:pPr>
              <w:snapToGrid w:val="0"/>
              <w:spacing w:line="360" w:lineRule="auto"/>
              <w:jc w:val="left"/>
              <w:rPr>
                <w:rFonts w:hint="eastAsia" w:ascii="宋体" w:hAnsi="宋体" w:cs="Courier New"/>
                <w:b/>
                <w:szCs w:val="21"/>
              </w:rPr>
            </w:pPr>
            <w:r>
              <w:rPr>
                <w:rFonts w:hint="eastAsia"/>
                <w:b/>
                <w:kern w:val="0"/>
                <w:u w:val="single"/>
              </w:rPr>
              <w:t>商务及技术文件</w:t>
            </w:r>
            <w:r>
              <w:rPr>
                <w:rFonts w:hint="eastAsia" w:ascii="宋体" w:hAnsi="宋体" w:cs="Courier New"/>
                <w:b/>
                <w:szCs w:val="21"/>
              </w:rPr>
              <w:t>：</w:t>
            </w:r>
          </w:p>
          <w:p w14:paraId="3C4F91D7">
            <w:pPr>
              <w:snapToGrid w:val="0"/>
              <w:spacing w:line="360" w:lineRule="auto"/>
              <w:ind w:left="413"/>
              <w:jc w:val="left"/>
              <w:rPr>
                <w:rFonts w:hint="eastAsia" w:ascii="宋体" w:hAnsi="宋体"/>
                <w:szCs w:val="21"/>
              </w:rPr>
            </w:pPr>
            <w:r>
              <w:rPr>
                <w:rFonts w:hint="eastAsia" w:ascii="宋体" w:hAnsi="宋体"/>
                <w:szCs w:val="21"/>
              </w:rPr>
              <w:t>1.无串通投标行为的承诺函（格式后附）；（</w:t>
            </w:r>
            <w:r>
              <w:rPr>
                <w:rFonts w:hint="eastAsia" w:ascii="宋体" w:hAnsi="宋体"/>
                <w:b/>
                <w:szCs w:val="21"/>
              </w:rPr>
              <w:t>必须提供，否则按无效投标处理</w:t>
            </w:r>
            <w:r>
              <w:rPr>
                <w:rFonts w:hint="eastAsia" w:ascii="宋体" w:hAnsi="宋体"/>
                <w:szCs w:val="21"/>
              </w:rPr>
              <w:t>）</w:t>
            </w:r>
          </w:p>
          <w:p w14:paraId="3ED9676D">
            <w:pPr>
              <w:snapToGrid w:val="0"/>
              <w:spacing w:line="360" w:lineRule="auto"/>
              <w:ind w:left="413"/>
              <w:jc w:val="left"/>
              <w:rPr>
                <w:rFonts w:hint="eastAsia" w:ascii="宋体" w:hAnsi="宋体"/>
                <w:szCs w:val="21"/>
              </w:rPr>
            </w:pPr>
            <w:r>
              <w:rPr>
                <w:rFonts w:hint="eastAsia" w:ascii="宋体" w:hAnsi="宋体"/>
                <w:szCs w:val="21"/>
              </w:rPr>
              <w:t>2.投标保证金提交证明；（</w:t>
            </w:r>
            <w:r>
              <w:rPr>
                <w:rFonts w:hint="eastAsia"/>
                <w:b/>
                <w:bCs/>
              </w:rPr>
              <w:t>如要求提交投标保证金的则必须提供</w:t>
            </w:r>
            <w:r>
              <w:rPr>
                <w:rFonts w:hint="eastAsia" w:ascii="宋体" w:hAnsi="宋体"/>
                <w:b/>
                <w:szCs w:val="21"/>
              </w:rPr>
              <w:t>，否则按无效投标处理</w:t>
            </w:r>
            <w:r>
              <w:rPr>
                <w:rFonts w:hint="eastAsia" w:ascii="宋体" w:hAnsi="宋体"/>
                <w:szCs w:val="21"/>
              </w:rPr>
              <w:t>）</w:t>
            </w:r>
          </w:p>
          <w:p w14:paraId="138890EE">
            <w:pPr>
              <w:snapToGrid w:val="0"/>
              <w:spacing w:line="360" w:lineRule="auto"/>
              <w:ind w:left="413"/>
              <w:jc w:val="left"/>
              <w:rPr>
                <w:rFonts w:hint="eastAsia" w:ascii="宋体" w:hAnsi="宋体"/>
                <w:szCs w:val="21"/>
              </w:rPr>
            </w:pPr>
            <w:r>
              <w:rPr>
                <w:rFonts w:hint="eastAsia" w:ascii="宋体" w:hAnsi="宋体"/>
                <w:szCs w:val="21"/>
              </w:rPr>
              <w:t>3.法定代表人身份证明及法定代表人有效身份证正反面复印件（格式后附）；（</w:t>
            </w:r>
            <w:r>
              <w:rPr>
                <w:rFonts w:hint="eastAsia" w:ascii="宋体" w:hAnsi="宋体" w:cs="宋体"/>
                <w:b/>
                <w:bCs/>
                <w:szCs w:val="21"/>
              </w:rPr>
              <w:t>除自然人投标外</w:t>
            </w:r>
            <w:r>
              <w:rPr>
                <w:rFonts w:hint="eastAsia" w:ascii="宋体" w:hAnsi="宋体"/>
                <w:b/>
                <w:szCs w:val="21"/>
              </w:rPr>
              <w:t>必须提供，否则按无效投标处理</w:t>
            </w:r>
            <w:r>
              <w:rPr>
                <w:rFonts w:hint="eastAsia" w:ascii="宋体" w:hAnsi="宋体"/>
                <w:szCs w:val="21"/>
              </w:rPr>
              <w:t>）</w:t>
            </w:r>
          </w:p>
          <w:p w14:paraId="173338AD">
            <w:pPr>
              <w:snapToGrid w:val="0"/>
              <w:spacing w:line="360" w:lineRule="auto"/>
              <w:ind w:left="413"/>
              <w:jc w:val="left"/>
              <w:rPr>
                <w:rFonts w:hint="eastAsia" w:ascii="宋体" w:hAnsi="宋体"/>
                <w:szCs w:val="21"/>
              </w:rPr>
            </w:pPr>
            <w:r>
              <w:rPr>
                <w:rFonts w:hint="eastAsia" w:ascii="宋体" w:hAnsi="宋体"/>
                <w:szCs w:val="21"/>
              </w:rPr>
              <w:t>4.授权委托书及委托代理人有效身份证正反面复印件（格式后附）；（</w:t>
            </w:r>
            <w:r>
              <w:rPr>
                <w:rFonts w:hint="eastAsia" w:ascii="宋体" w:hAnsi="宋体"/>
                <w:b/>
                <w:szCs w:val="21"/>
              </w:rPr>
              <w:t>委托时必须提供，否则按无效投标处理</w:t>
            </w:r>
            <w:r>
              <w:rPr>
                <w:rFonts w:hint="eastAsia" w:ascii="宋体" w:hAnsi="宋体"/>
                <w:szCs w:val="21"/>
              </w:rPr>
              <w:t>）</w:t>
            </w:r>
          </w:p>
          <w:p w14:paraId="7D40E387">
            <w:pPr>
              <w:snapToGrid w:val="0"/>
              <w:spacing w:line="360" w:lineRule="auto"/>
              <w:ind w:left="413"/>
              <w:jc w:val="left"/>
              <w:rPr>
                <w:rFonts w:hint="eastAsia" w:ascii="宋体" w:hAnsi="宋体"/>
                <w:szCs w:val="21"/>
              </w:rPr>
            </w:pPr>
            <w:r>
              <w:rPr>
                <w:rFonts w:hint="eastAsia" w:ascii="宋体" w:hAnsi="宋体"/>
                <w:szCs w:val="21"/>
              </w:rPr>
              <w:t>5</w:t>
            </w:r>
            <w:r>
              <w:rPr>
                <w:rFonts w:ascii="宋体" w:hAnsi="宋体"/>
                <w:szCs w:val="21"/>
              </w:rPr>
              <w:t>.</w:t>
            </w:r>
            <w:r>
              <w:rPr>
                <w:rFonts w:hint="eastAsia" w:ascii="宋体" w:hAnsi="宋体"/>
                <w:szCs w:val="21"/>
              </w:rPr>
              <w:t>商务要求偏离表（格式后附）；（</w:t>
            </w:r>
            <w:r>
              <w:rPr>
                <w:rFonts w:hint="eastAsia" w:ascii="宋体" w:hAnsi="宋体"/>
                <w:b/>
                <w:szCs w:val="21"/>
              </w:rPr>
              <w:t>必须提供，否则按无效投标处理</w:t>
            </w:r>
            <w:r>
              <w:rPr>
                <w:rFonts w:hint="eastAsia" w:ascii="宋体" w:hAnsi="宋体"/>
                <w:szCs w:val="21"/>
              </w:rPr>
              <w:t>）</w:t>
            </w:r>
          </w:p>
          <w:p w14:paraId="64DEA0B9">
            <w:pPr>
              <w:snapToGrid w:val="0"/>
              <w:spacing w:line="360" w:lineRule="auto"/>
              <w:ind w:left="413"/>
              <w:jc w:val="left"/>
              <w:rPr>
                <w:rFonts w:hint="eastAsia" w:ascii="宋体" w:hAnsi="宋体"/>
                <w:szCs w:val="21"/>
              </w:rPr>
            </w:pPr>
            <w:r>
              <w:rPr>
                <w:rFonts w:ascii="宋体" w:hAnsi="宋体"/>
                <w:szCs w:val="21"/>
              </w:rPr>
              <w:t>6</w:t>
            </w:r>
            <w:r>
              <w:rPr>
                <w:rFonts w:hint="eastAsia" w:ascii="宋体" w:hAnsi="宋体"/>
                <w:szCs w:val="21"/>
              </w:rPr>
              <w:t>.售后服务方案（格式自拟）；（</w:t>
            </w:r>
            <w:r>
              <w:rPr>
                <w:rFonts w:hint="eastAsia" w:ascii="宋体" w:hAnsi="宋体"/>
                <w:b/>
                <w:szCs w:val="21"/>
              </w:rPr>
              <w:t>必须提供，否则按无效投标处理</w:t>
            </w:r>
            <w:r>
              <w:rPr>
                <w:rFonts w:hint="eastAsia" w:ascii="宋体" w:hAnsi="宋体"/>
                <w:szCs w:val="21"/>
              </w:rPr>
              <w:t>）</w:t>
            </w:r>
          </w:p>
          <w:p w14:paraId="06E8F780">
            <w:pPr>
              <w:snapToGrid w:val="0"/>
              <w:spacing w:line="360" w:lineRule="auto"/>
              <w:ind w:left="413"/>
              <w:jc w:val="left"/>
              <w:rPr>
                <w:rFonts w:hint="eastAsia" w:ascii="宋体" w:hAnsi="宋体"/>
                <w:szCs w:val="21"/>
              </w:rPr>
            </w:pPr>
            <w:r>
              <w:rPr>
                <w:rFonts w:ascii="宋体" w:hAnsi="宋体"/>
                <w:szCs w:val="21"/>
              </w:rPr>
              <w:t>7</w:t>
            </w:r>
            <w:r>
              <w:rPr>
                <w:rFonts w:hint="eastAsia" w:ascii="宋体" w:hAnsi="宋体"/>
                <w:szCs w:val="21"/>
              </w:rPr>
              <w:t>.投标人情况介绍（格式自拟）；</w:t>
            </w:r>
          </w:p>
          <w:p w14:paraId="615F4E9F">
            <w:pPr>
              <w:snapToGrid w:val="0"/>
              <w:spacing w:line="360" w:lineRule="auto"/>
              <w:ind w:left="413"/>
              <w:jc w:val="left"/>
              <w:rPr>
                <w:rFonts w:hint="eastAsia" w:ascii="宋体" w:hAnsi="宋体"/>
                <w:szCs w:val="21"/>
              </w:rPr>
            </w:pPr>
            <w:r>
              <w:rPr>
                <w:rFonts w:ascii="宋体" w:hAnsi="宋体"/>
                <w:szCs w:val="21"/>
              </w:rPr>
              <w:t>8</w:t>
            </w:r>
            <w:r>
              <w:rPr>
                <w:rFonts w:hint="eastAsia" w:ascii="宋体" w:hAnsi="宋体"/>
                <w:szCs w:val="21"/>
              </w:rPr>
              <w:t>.联合体协议书（格式后附）；（</w:t>
            </w:r>
            <w:r>
              <w:rPr>
                <w:rFonts w:hint="eastAsia" w:ascii="宋体" w:hAnsi="宋体"/>
                <w:b/>
                <w:szCs w:val="21"/>
              </w:rPr>
              <w:t>联合体投标时必须提供，否则按无效投标处理</w:t>
            </w:r>
            <w:r>
              <w:rPr>
                <w:rFonts w:hint="eastAsia" w:ascii="宋体" w:hAnsi="宋体"/>
                <w:szCs w:val="21"/>
              </w:rPr>
              <w:t>）</w:t>
            </w:r>
          </w:p>
          <w:p w14:paraId="4E737191">
            <w:pPr>
              <w:snapToGrid w:val="0"/>
              <w:spacing w:line="360" w:lineRule="auto"/>
              <w:ind w:left="413"/>
              <w:jc w:val="left"/>
              <w:rPr>
                <w:rFonts w:hint="eastAsia" w:ascii="宋体" w:hAnsi="宋体"/>
                <w:szCs w:val="21"/>
              </w:rPr>
            </w:pPr>
            <w:r>
              <w:rPr>
                <w:rFonts w:ascii="宋体" w:hAnsi="宋体"/>
                <w:szCs w:val="21"/>
              </w:rPr>
              <w:t>9</w:t>
            </w:r>
            <w:r>
              <w:rPr>
                <w:rFonts w:hint="eastAsia" w:ascii="宋体" w:hAnsi="宋体"/>
                <w:szCs w:val="21"/>
              </w:rPr>
              <w:t xml:space="preserve">.代理服务费承诺书（格式后附）； </w:t>
            </w:r>
          </w:p>
          <w:p w14:paraId="3C9C1D95">
            <w:pPr>
              <w:snapToGrid w:val="0"/>
              <w:spacing w:line="360" w:lineRule="auto"/>
              <w:ind w:left="420"/>
              <w:jc w:val="left"/>
              <w:rPr>
                <w:rFonts w:hint="eastAsia" w:ascii="宋体" w:hAnsi="宋体"/>
                <w:szCs w:val="21"/>
              </w:rPr>
            </w:pPr>
            <w:r>
              <w:rPr>
                <w:rFonts w:hint="eastAsia" w:ascii="宋体" w:hAnsi="宋体"/>
                <w:szCs w:val="21"/>
              </w:rPr>
              <w:t>10.设备性能配置清单（格式后附）；（</w:t>
            </w:r>
            <w:r>
              <w:rPr>
                <w:rFonts w:hint="eastAsia" w:ascii="宋体" w:hAnsi="宋体"/>
                <w:b/>
                <w:szCs w:val="21"/>
              </w:rPr>
              <w:t>必须提供，否则按无效投标处理</w:t>
            </w:r>
            <w:r>
              <w:rPr>
                <w:rFonts w:hint="eastAsia" w:ascii="宋体" w:hAnsi="宋体"/>
                <w:szCs w:val="21"/>
              </w:rPr>
              <w:t>）</w:t>
            </w:r>
          </w:p>
          <w:p w14:paraId="407D8258">
            <w:pPr>
              <w:snapToGrid w:val="0"/>
              <w:spacing w:line="360" w:lineRule="auto"/>
              <w:ind w:left="420"/>
              <w:jc w:val="left"/>
              <w:rPr>
                <w:rFonts w:hint="eastAsia" w:ascii="宋体" w:hAnsi="宋体" w:cs="宋体"/>
                <w:szCs w:val="21"/>
              </w:rPr>
            </w:pPr>
            <w:r>
              <w:rPr>
                <w:rFonts w:hint="eastAsia" w:ascii="宋体" w:hAnsi="宋体" w:cs="宋体"/>
                <w:szCs w:val="21"/>
              </w:rPr>
              <w:t>11.技术要求偏离表（格式后附）；（</w:t>
            </w:r>
            <w:r>
              <w:rPr>
                <w:rFonts w:hint="eastAsia" w:ascii="宋体" w:hAnsi="宋体" w:cs="宋体"/>
                <w:b/>
                <w:szCs w:val="21"/>
              </w:rPr>
              <w:t>必须提供，否则按无效投标处理</w:t>
            </w:r>
            <w:r>
              <w:rPr>
                <w:rFonts w:hint="eastAsia" w:ascii="宋体" w:hAnsi="宋体" w:cs="宋体"/>
                <w:szCs w:val="21"/>
              </w:rPr>
              <w:t>）</w:t>
            </w:r>
          </w:p>
          <w:p w14:paraId="62823A19">
            <w:pPr>
              <w:pStyle w:val="2"/>
              <w:ind w:left="1470" w:leftChars="200" w:right="1470" w:hanging="1050" w:hangingChars="500"/>
              <w:rPr>
                <w:rFonts w:hint="eastAsia" w:ascii="宋体" w:hAnsi="宋体" w:cs="宋体"/>
              </w:rPr>
            </w:pPr>
            <w:r>
              <w:rPr>
                <w:rFonts w:hint="eastAsia" w:ascii="宋体" w:hAnsi="宋体" w:cs="宋体"/>
              </w:rPr>
              <w:t>12.深化设计方案（格式自拟）</w:t>
            </w:r>
          </w:p>
          <w:p w14:paraId="756E3F1F">
            <w:pPr>
              <w:snapToGrid w:val="0"/>
              <w:spacing w:line="360" w:lineRule="auto"/>
              <w:ind w:left="420"/>
              <w:jc w:val="left"/>
              <w:rPr>
                <w:rFonts w:hint="eastAsia" w:ascii="宋体" w:hAnsi="宋体" w:cs="宋体"/>
                <w:szCs w:val="21"/>
              </w:rPr>
            </w:pPr>
            <w:r>
              <w:rPr>
                <w:rFonts w:hint="eastAsia" w:ascii="宋体" w:hAnsi="宋体" w:cs="宋体"/>
                <w:szCs w:val="21"/>
              </w:rPr>
              <w:t>13.</w:t>
            </w:r>
            <w:r>
              <w:rPr>
                <w:rFonts w:hint="eastAsia" w:ascii="宋体" w:hAnsi="宋体" w:cs="宋体"/>
                <w:bCs/>
                <w:szCs w:val="21"/>
              </w:rPr>
              <w:t>安装调试</w:t>
            </w:r>
            <w:r>
              <w:rPr>
                <w:rFonts w:hint="eastAsia" w:ascii="宋体" w:hAnsi="宋体" w:cs="宋体"/>
                <w:szCs w:val="21"/>
              </w:rPr>
              <w:t>方案（格式自拟）；</w:t>
            </w:r>
          </w:p>
          <w:p w14:paraId="6E98762E">
            <w:pPr>
              <w:snapToGrid w:val="0"/>
              <w:spacing w:line="360" w:lineRule="auto"/>
              <w:ind w:left="420"/>
              <w:jc w:val="left"/>
              <w:rPr>
                <w:rFonts w:hint="eastAsia" w:ascii="宋体" w:hAnsi="宋体" w:cs="宋体"/>
                <w:szCs w:val="21"/>
              </w:rPr>
            </w:pPr>
            <w:r>
              <w:rPr>
                <w:rFonts w:hint="eastAsia" w:ascii="宋体" w:hAnsi="宋体" w:cs="宋体"/>
                <w:szCs w:val="21"/>
              </w:rPr>
              <w:t>14.产品出厂标准、质量检测报告【其中有精度要求的仪器设备类政府采购项目，应当要求投标人提供精度数据（</w:t>
            </w:r>
            <w:r>
              <w:rPr>
                <w:rFonts w:hint="eastAsia" w:ascii="宋体" w:hAnsi="宋体" w:cs="宋体"/>
              </w:rPr>
              <w:t>国家认可的第三方检测机构出具的检测报告复印件</w:t>
            </w:r>
            <w:r>
              <w:rPr>
                <w:rFonts w:hint="eastAsia" w:ascii="宋体" w:hAnsi="宋体" w:cs="宋体"/>
                <w:szCs w:val="21"/>
              </w:rPr>
              <w:t>或者由采购人在投标前组织的实测获得）】</w:t>
            </w:r>
          </w:p>
          <w:p w14:paraId="1E230B80">
            <w:pPr>
              <w:snapToGrid w:val="0"/>
              <w:spacing w:line="360" w:lineRule="auto"/>
              <w:ind w:left="420"/>
              <w:jc w:val="left"/>
              <w:rPr>
                <w:rFonts w:hint="eastAsia" w:ascii="宋体" w:hAnsi="宋体" w:cs="宋体"/>
                <w:szCs w:val="21"/>
              </w:rPr>
            </w:pPr>
            <w:r>
              <w:rPr>
                <w:rFonts w:hint="eastAsia" w:ascii="宋体" w:hAnsi="宋体" w:cs="宋体"/>
                <w:szCs w:val="21"/>
              </w:rPr>
              <w:t>15.优惠条件：投标人承诺给予采购人的各种优惠条件，包括售后服务、备品备件、专用耗材等方面的优惠；投标人不得给予赠品或者与采购无关的其他商品、服务；</w:t>
            </w:r>
          </w:p>
          <w:p w14:paraId="6865C86E">
            <w:pPr>
              <w:snapToGrid w:val="0"/>
              <w:spacing w:line="360" w:lineRule="auto"/>
              <w:ind w:left="420"/>
              <w:jc w:val="left"/>
              <w:rPr>
                <w:rFonts w:hint="eastAsia" w:ascii="宋体" w:hAnsi="宋体" w:cs="宋体"/>
                <w:szCs w:val="21"/>
              </w:rPr>
            </w:pPr>
            <w:r>
              <w:rPr>
                <w:rFonts w:hint="eastAsia" w:ascii="宋体" w:hAnsi="宋体" w:cs="宋体"/>
                <w:szCs w:val="21"/>
              </w:rPr>
              <w:t>16.投标人对本项目的合理化建议和改进措施（格式自拟）；</w:t>
            </w:r>
          </w:p>
          <w:p w14:paraId="70311008">
            <w:pPr>
              <w:snapToGrid w:val="0"/>
              <w:spacing w:line="360" w:lineRule="auto"/>
              <w:ind w:left="420"/>
              <w:jc w:val="left"/>
              <w:rPr>
                <w:rFonts w:hint="eastAsia" w:ascii="宋体" w:hAnsi="宋体" w:cs="宋体"/>
                <w:bCs/>
                <w:szCs w:val="21"/>
              </w:rPr>
            </w:pPr>
            <w:r>
              <w:rPr>
                <w:rFonts w:hint="eastAsia" w:ascii="宋体" w:hAnsi="宋体" w:cs="宋体"/>
                <w:szCs w:val="21"/>
              </w:rPr>
              <w:t>17.除招标文件规定必须提供以外，投标人认为需要提供的其他证明材料（格式自拟）。</w:t>
            </w:r>
          </w:p>
          <w:p w14:paraId="25C1F37E">
            <w:pPr>
              <w:snapToGrid w:val="0"/>
              <w:spacing w:line="360" w:lineRule="auto"/>
              <w:ind w:left="413"/>
              <w:jc w:val="left"/>
              <w:rPr>
                <w:rFonts w:hint="eastAsia" w:ascii="宋体" w:hAnsi="宋体"/>
                <w:szCs w:val="21"/>
              </w:rPr>
            </w:pPr>
            <w:r>
              <w:rPr>
                <w:rFonts w:hint="eastAsia" w:ascii="宋体" w:hAnsi="宋体"/>
                <w:szCs w:val="21"/>
              </w:rPr>
              <w:t>（投标人根据“第二章 采购需求”及“第四章 评标方法及评标标准”提供有关证明材料）。</w:t>
            </w:r>
          </w:p>
          <w:p w14:paraId="28EA0F4D">
            <w:pPr>
              <w:snapToGrid w:val="0"/>
              <w:spacing w:line="360" w:lineRule="auto"/>
              <w:jc w:val="left"/>
              <w:rPr>
                <w:rFonts w:hint="eastAsia" w:ascii="宋体" w:hAnsi="宋体"/>
                <w:szCs w:val="21"/>
              </w:rPr>
            </w:pPr>
            <w:r>
              <w:rPr>
                <w:rFonts w:hint="eastAsia" w:ascii="宋体" w:hAnsi="宋体"/>
                <w:b/>
                <w:bCs/>
                <w:szCs w:val="21"/>
              </w:rPr>
              <w:t>注：以上标明“必须提供”的材料，格式</w:t>
            </w:r>
            <w:r>
              <w:rPr>
                <w:rFonts w:hint="eastAsia" w:ascii="宋体" w:hAnsi="宋体" w:cs="宋体"/>
                <w:b/>
                <w:szCs w:val="21"/>
              </w:rPr>
              <w:t>中有要求法定代表人或者委托代理人签字的，必须按要求签字并加盖投标人电子签章</w:t>
            </w:r>
            <w:r>
              <w:rPr>
                <w:rFonts w:hint="eastAsia" w:ascii="宋体" w:hAnsi="宋体"/>
                <w:b/>
                <w:bCs/>
                <w:szCs w:val="21"/>
              </w:rPr>
              <w:t>，否则按无效投标</w:t>
            </w:r>
            <w:r>
              <w:rPr>
                <w:rFonts w:hint="eastAsia" w:ascii="宋体" w:hAnsi="宋体" w:cs="Courier New"/>
                <w:b/>
                <w:szCs w:val="21"/>
              </w:rPr>
              <w:t>处理。</w:t>
            </w:r>
          </w:p>
        </w:tc>
      </w:tr>
      <w:tr w14:paraId="31768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28E380C">
            <w:pPr>
              <w:spacing w:line="360" w:lineRule="auto"/>
              <w:jc w:val="center"/>
              <w:rPr>
                <w:rFonts w:hint="eastAsia" w:ascii="宋体" w:hAnsi="宋体"/>
                <w:szCs w:val="21"/>
              </w:rPr>
            </w:pPr>
            <w:bookmarkStart w:id="55" w:name="_13.5"/>
            <w:bookmarkEnd w:id="55"/>
            <w:bookmarkStart w:id="56" w:name="_13.4"/>
            <w:bookmarkEnd w:id="56"/>
            <w:bookmarkStart w:id="57" w:name="_16.2"/>
            <w:bookmarkEnd w:id="57"/>
            <w:r>
              <w:rPr>
                <w:rFonts w:hint="eastAsia" w:ascii="宋体" w:hAnsi="宋体"/>
                <w:szCs w:val="21"/>
              </w:rPr>
              <w:t>16</w:t>
            </w:r>
            <w:bookmarkStart w:id="58" w:name="_Hlt19194067"/>
            <w:bookmarkStart w:id="59" w:name="_Hlt19693758"/>
            <w:bookmarkStart w:id="60" w:name="_Hlt19194066"/>
            <w:bookmarkStart w:id="61" w:name="_Hlt19693759"/>
            <w:r>
              <w:rPr>
                <w:rFonts w:hint="eastAsia" w:ascii="宋体" w:hAnsi="宋体"/>
                <w:szCs w:val="21"/>
              </w:rPr>
              <w:t>.</w:t>
            </w:r>
            <w:bookmarkEnd w:id="58"/>
            <w:bookmarkEnd w:id="59"/>
            <w:bookmarkEnd w:id="60"/>
            <w:bookmarkEnd w:id="61"/>
            <w:r>
              <w:rPr>
                <w:rFonts w:hint="eastAsia" w:ascii="宋体" w:hAnsi="宋体"/>
                <w:szCs w:val="21"/>
              </w:rPr>
              <w:t>2</w:t>
            </w:r>
          </w:p>
        </w:tc>
        <w:tc>
          <w:tcPr>
            <w:tcW w:w="8285" w:type="dxa"/>
            <w:tcBorders>
              <w:top w:val="single" w:color="auto" w:sz="4" w:space="0"/>
              <w:left w:val="single" w:color="auto" w:sz="4" w:space="0"/>
              <w:bottom w:val="single" w:color="auto" w:sz="4" w:space="0"/>
              <w:right w:val="single" w:color="auto" w:sz="4" w:space="0"/>
            </w:tcBorders>
            <w:vAlign w:val="center"/>
          </w:tcPr>
          <w:p w14:paraId="03929EC5">
            <w:pPr>
              <w:snapToGrid w:val="0"/>
              <w:spacing w:line="360" w:lineRule="auto"/>
              <w:rPr>
                <w:rFonts w:hint="eastAsia" w:ascii="宋体" w:hAnsi="宋体"/>
                <w:b/>
                <w:szCs w:val="21"/>
              </w:rPr>
            </w:pPr>
            <w:r>
              <w:rPr>
                <w:rFonts w:hint="eastAsia" w:ascii="宋体" w:hAnsi="宋体"/>
                <w:szCs w:val="21"/>
              </w:rPr>
              <w:t>投标报价是履行合同的最终价格，</w:t>
            </w:r>
            <w:r>
              <w:rPr>
                <w:rFonts w:hint="eastAsia" w:ascii="宋体" w:hAnsi="宋体" w:cs="宋体"/>
                <w:szCs w:val="21"/>
              </w:rPr>
              <w:t>具体详见采购需求中的约定。</w:t>
            </w:r>
          </w:p>
        </w:tc>
      </w:tr>
      <w:tr w14:paraId="1B42C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DC35A22">
            <w:pPr>
              <w:spacing w:line="360" w:lineRule="auto"/>
              <w:jc w:val="center"/>
              <w:rPr>
                <w:rFonts w:hint="eastAsia" w:ascii="宋体" w:hAnsi="宋体"/>
                <w:szCs w:val="21"/>
              </w:rPr>
            </w:pPr>
            <w:bookmarkStart w:id="62" w:name="_17.1"/>
            <w:bookmarkEnd w:id="62"/>
            <w:r>
              <w:rPr>
                <w:rFonts w:hint="eastAsia" w:ascii="宋体" w:hAnsi="宋体"/>
                <w:szCs w:val="21"/>
              </w:rPr>
              <w:t>17.</w:t>
            </w:r>
            <w:r>
              <w:rPr>
                <w:rFonts w:ascii="宋体" w:hAnsi="宋体"/>
                <w:szCs w:val="21"/>
              </w:rPr>
              <w:t>2</w:t>
            </w:r>
          </w:p>
        </w:tc>
        <w:tc>
          <w:tcPr>
            <w:tcW w:w="8285" w:type="dxa"/>
            <w:tcBorders>
              <w:top w:val="single" w:color="auto" w:sz="4" w:space="0"/>
              <w:left w:val="single" w:color="auto" w:sz="4" w:space="0"/>
              <w:bottom w:val="single" w:color="auto" w:sz="4" w:space="0"/>
              <w:right w:val="single" w:color="auto" w:sz="4" w:space="0"/>
            </w:tcBorders>
            <w:vAlign w:val="center"/>
          </w:tcPr>
          <w:p w14:paraId="548BEF60">
            <w:pPr>
              <w:snapToGrid w:val="0"/>
              <w:spacing w:line="360" w:lineRule="auto"/>
              <w:rPr>
                <w:rFonts w:hint="eastAsia" w:ascii="宋体" w:hAnsi="宋体"/>
                <w:szCs w:val="21"/>
              </w:rPr>
            </w:pPr>
            <w:r>
              <w:rPr>
                <w:rFonts w:hint="eastAsia" w:ascii="宋体" w:hAnsi="宋体"/>
                <w:szCs w:val="21"/>
              </w:rPr>
              <w:t>投标有效期：自投标截止之日起</w:t>
            </w:r>
            <w:r>
              <w:rPr>
                <w:rFonts w:ascii="宋体" w:hAnsi="宋体"/>
                <w:szCs w:val="21"/>
                <w:u w:val="single"/>
              </w:rPr>
              <w:t xml:space="preserve"> </w:t>
            </w:r>
            <w:r>
              <w:rPr>
                <w:rFonts w:hint="eastAsia" w:ascii="宋体" w:hAnsi="宋体"/>
                <w:szCs w:val="21"/>
                <w:u w:val="single"/>
              </w:rPr>
              <w:t>120</w:t>
            </w:r>
            <w:r>
              <w:rPr>
                <w:rFonts w:ascii="宋体" w:hAnsi="宋体"/>
                <w:szCs w:val="21"/>
                <w:u w:val="single"/>
              </w:rPr>
              <w:t xml:space="preserve"> </w:t>
            </w:r>
            <w:r>
              <w:rPr>
                <w:rFonts w:hint="eastAsia" w:ascii="宋体" w:hAnsi="宋体"/>
                <w:szCs w:val="21"/>
              </w:rPr>
              <w:t>日。</w:t>
            </w:r>
          </w:p>
        </w:tc>
      </w:tr>
      <w:tr w14:paraId="767CC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11CC330">
            <w:pPr>
              <w:spacing w:line="360" w:lineRule="auto"/>
              <w:jc w:val="center"/>
              <w:rPr>
                <w:rFonts w:hint="eastAsia" w:ascii="宋体" w:hAnsi="宋体"/>
                <w:szCs w:val="21"/>
              </w:rPr>
            </w:pPr>
            <w:bookmarkStart w:id="63" w:name="_18"/>
            <w:bookmarkEnd w:id="63"/>
            <w:r>
              <w:rPr>
                <w:rFonts w:hint="eastAsia" w:ascii="宋体" w:hAnsi="宋体"/>
                <w:szCs w:val="21"/>
              </w:rPr>
              <w:t>18</w:t>
            </w:r>
            <w:r>
              <w:rPr>
                <w:rFonts w:ascii="宋体" w:hAnsi="宋体"/>
                <w:szCs w:val="21"/>
              </w:rPr>
              <w:t>.1</w:t>
            </w:r>
          </w:p>
        </w:tc>
        <w:tc>
          <w:tcPr>
            <w:tcW w:w="8285" w:type="dxa"/>
            <w:tcBorders>
              <w:top w:val="single" w:color="auto" w:sz="4" w:space="0"/>
              <w:left w:val="single" w:color="auto" w:sz="4" w:space="0"/>
              <w:bottom w:val="single" w:color="auto" w:sz="4" w:space="0"/>
              <w:right w:val="single" w:color="auto" w:sz="4" w:space="0"/>
            </w:tcBorders>
            <w:vAlign w:val="center"/>
          </w:tcPr>
          <w:p w14:paraId="6899DE64">
            <w:pPr>
              <w:autoSpaceDE w:val="0"/>
              <w:autoSpaceDN w:val="0"/>
              <w:snapToGrid w:val="0"/>
              <w:spacing w:line="360" w:lineRule="auto"/>
              <w:textAlignment w:val="bottom"/>
              <w:rPr>
                <w:rFonts w:hint="eastAsia" w:ascii="宋体" w:hAnsi="宋体"/>
                <w:szCs w:val="21"/>
              </w:rPr>
            </w:pPr>
            <w:r>
              <w:rPr>
                <w:rFonts w:hint="eastAsia" w:ascii="宋体" w:hAnsi="宋体"/>
                <w:sz w:val="18"/>
                <w:szCs w:val="18"/>
                <w:bdr w:val="single" w:color="auto" w:sz="4" w:space="0"/>
              </w:rPr>
              <w:t>√</w:t>
            </w:r>
            <w:r>
              <w:rPr>
                <w:rFonts w:hint="eastAsia" w:ascii="宋体" w:hAnsi="宋体"/>
                <w:szCs w:val="21"/>
              </w:rPr>
              <w:t>本项目不收取投标保证金。</w:t>
            </w:r>
          </w:p>
          <w:p w14:paraId="36C2C8E1">
            <w:pPr>
              <w:snapToGrid w:val="0"/>
              <w:spacing w:line="360" w:lineRule="auto"/>
              <w:rPr>
                <w:rFonts w:hint="eastAsia" w:ascii="宋体" w:hAnsi="宋体" w:cs="宋体"/>
                <w:kern w:val="0"/>
                <w:szCs w:val="21"/>
              </w:rPr>
            </w:pPr>
            <w:r>
              <w:rPr>
                <w:rFonts w:hint="eastAsia" w:ascii="宋体" w:hAnsi="宋体"/>
                <w:szCs w:val="21"/>
              </w:rPr>
              <w:t>□本项目收取投标保证金，具体规定如下：</w:t>
            </w:r>
          </w:p>
          <w:p w14:paraId="34725F00">
            <w:pPr>
              <w:snapToGrid w:val="0"/>
              <w:spacing w:line="360" w:lineRule="auto"/>
              <w:rPr>
                <w:rFonts w:hint="eastAsia" w:ascii="宋体" w:hAnsi="宋体"/>
                <w:szCs w:val="21"/>
              </w:rPr>
            </w:pPr>
            <w:r>
              <w:rPr>
                <w:rFonts w:hint="eastAsia" w:ascii="宋体" w:hAnsi="宋体" w:cs="宋体"/>
                <w:kern w:val="0"/>
                <w:szCs w:val="21"/>
              </w:rPr>
              <w:t>投标保证金的交纳方式：银行转账、支票、汇票、本票或者银行、保险机构出具的保函</w:t>
            </w:r>
            <w:r>
              <w:rPr>
                <w:rFonts w:hint="eastAsia"/>
              </w:rPr>
              <w:t>（包含电子保函）</w:t>
            </w:r>
            <w:r>
              <w:rPr>
                <w:rFonts w:hint="eastAsia" w:ascii="宋体" w:hAnsi="宋体" w:cs="宋体"/>
                <w:kern w:val="0"/>
                <w:szCs w:val="21"/>
              </w:rPr>
              <w:t>，禁止采用现钞方式。采用银行转账方式的，在投标截止时间前</w:t>
            </w:r>
            <w:r>
              <w:rPr>
                <w:rFonts w:hint="eastAsia"/>
              </w:rPr>
              <w:t>从投标人账户</w:t>
            </w:r>
            <w:r>
              <w:rPr>
                <w:rFonts w:hint="eastAsia" w:ascii="宋体" w:hAnsi="宋体" w:cs="宋体"/>
                <w:kern w:val="0"/>
                <w:szCs w:val="21"/>
              </w:rPr>
              <w:t>交至指定账户并且到账（</w:t>
            </w:r>
            <w:r>
              <w:rPr>
                <w:rFonts w:hint="eastAsia" w:ascii="宋体" w:hAnsi="宋体" w:cs="宋体"/>
                <w:b/>
                <w:bCs/>
                <w:kern w:val="0"/>
                <w:szCs w:val="21"/>
              </w:rPr>
              <w:t>开户银行：</w:t>
            </w:r>
            <w:r>
              <w:rPr>
                <w:rFonts w:hint="eastAsia" w:ascii="宋体" w:hAnsi="宋体" w:cs="宋体"/>
                <w:b/>
                <w:bCs/>
                <w:kern w:val="0"/>
                <w:szCs w:val="21"/>
                <w:lang w:eastAsia="zh-CN"/>
              </w:rPr>
              <w:t>建行南宁市金湖广场支行</w:t>
            </w:r>
            <w:r>
              <w:rPr>
                <w:rFonts w:hint="eastAsia" w:ascii="宋体" w:hAnsi="宋体" w:cs="宋体"/>
                <w:b/>
                <w:bCs/>
                <w:kern w:val="0"/>
                <w:szCs w:val="21"/>
              </w:rPr>
              <w:t>，开户名称：</w:t>
            </w:r>
            <w:r>
              <w:rPr>
                <w:rFonts w:hint="eastAsia" w:ascii="宋体" w:hAnsi="宋体" w:cs="宋体"/>
                <w:b/>
                <w:bCs/>
                <w:kern w:val="0"/>
                <w:szCs w:val="21"/>
                <w:lang w:eastAsia="zh-CN"/>
              </w:rPr>
              <w:t>广西中信恒泰工程顾问有限公司</w:t>
            </w:r>
            <w:r>
              <w:rPr>
                <w:rFonts w:hint="eastAsia" w:ascii="宋体" w:hAnsi="宋体" w:cs="宋体"/>
                <w:b/>
                <w:bCs/>
                <w:kern w:val="0"/>
                <w:szCs w:val="21"/>
              </w:rPr>
              <w:t>，银行账号：</w:t>
            </w:r>
            <w:r>
              <w:rPr>
                <w:rFonts w:hint="eastAsia" w:ascii="宋体" w:hAnsi="宋体" w:cs="宋体"/>
                <w:b/>
                <w:bCs/>
                <w:kern w:val="0"/>
                <w:szCs w:val="21"/>
                <w:lang w:eastAsia="zh-CN"/>
              </w:rPr>
              <w:t>45001604266052502851</w:t>
            </w:r>
            <w:r>
              <w:rPr>
                <w:rFonts w:hint="eastAsia" w:ascii="宋体" w:hAnsi="宋体" w:cs="宋体"/>
                <w:b/>
                <w:bCs/>
                <w:kern w:val="0"/>
                <w:szCs w:val="21"/>
              </w:rPr>
              <w:t>，开户行行号：</w:t>
            </w:r>
            <w:r>
              <w:rPr>
                <w:rFonts w:hint="eastAsia" w:ascii="宋体" w:hAnsi="宋体" w:cs="宋体"/>
                <w:b/>
                <w:bCs/>
                <w:kern w:val="0"/>
                <w:szCs w:val="21"/>
                <w:lang w:eastAsia="zh-CN"/>
              </w:rPr>
              <w:t>105611042538</w:t>
            </w:r>
            <w:r>
              <w:rPr>
                <w:rFonts w:hint="eastAsia" w:ascii="宋体" w:hAnsi="宋体" w:cs="宋体"/>
                <w:kern w:val="0"/>
                <w:szCs w:val="21"/>
              </w:rPr>
              <w:t>）；采用支票、汇票、本票或者保函等方式的，在投标截止时间前，投标人必须递交单独密封的支票、汇票、本票或者保函原件。</w:t>
            </w:r>
            <w:r>
              <w:rPr>
                <w:rFonts w:hint="eastAsia" w:ascii="宋体" w:hAnsi="宋体" w:cs="宋体"/>
                <w:b/>
                <w:kern w:val="0"/>
                <w:szCs w:val="21"/>
              </w:rPr>
              <w:t>否则视为无效投标保证金。</w:t>
            </w:r>
          </w:p>
          <w:p w14:paraId="384031CE">
            <w:pPr>
              <w:snapToGrid w:val="0"/>
              <w:spacing w:line="360" w:lineRule="auto"/>
              <w:rPr>
                <w:rFonts w:hint="eastAsia" w:ascii="宋体" w:hAnsi="宋体"/>
                <w:szCs w:val="21"/>
              </w:rPr>
            </w:pPr>
            <w:r>
              <w:rPr>
                <w:rFonts w:hint="eastAsia" w:ascii="宋体" w:hAnsi="宋体"/>
                <w:szCs w:val="21"/>
              </w:rPr>
              <w:t>相关要求：</w:t>
            </w:r>
          </w:p>
          <w:p w14:paraId="1FD87463">
            <w:pPr>
              <w:pStyle w:val="16"/>
              <w:spacing w:line="360" w:lineRule="auto"/>
              <w:rPr>
                <w:rFonts w:hint="eastAsia" w:ascii="宋体" w:hAnsi="宋体"/>
                <w:szCs w:val="21"/>
              </w:rPr>
            </w:pPr>
            <w:r>
              <w:rPr>
                <w:rFonts w:hint="eastAsia" w:ascii="宋体" w:hAnsi="宋体"/>
                <w:szCs w:val="21"/>
              </w:rPr>
              <w:t>1.投标保证金采用银行转账交纳方式，在投标截止时间前交至指定账户并且到账，投标人应将银行转账底单的复印件作为投标保证金提交证明，放置于商务及技术文件中，</w:t>
            </w:r>
            <w:r>
              <w:rPr>
                <w:rFonts w:hint="eastAsia" w:ascii="宋体" w:hAnsi="宋体"/>
                <w:b/>
                <w:szCs w:val="21"/>
              </w:rPr>
              <w:t>否则投标无效</w:t>
            </w:r>
            <w:r>
              <w:rPr>
                <w:rFonts w:hint="eastAsia" w:ascii="宋体" w:hAnsi="宋体"/>
                <w:szCs w:val="21"/>
              </w:rPr>
              <w:t>。</w:t>
            </w:r>
          </w:p>
          <w:p w14:paraId="2EEBB40A">
            <w:pPr>
              <w:snapToGrid w:val="0"/>
              <w:spacing w:line="360" w:lineRule="auto"/>
              <w:rPr>
                <w:rFonts w:hint="eastAsia" w:ascii="宋体" w:hAnsi="宋体"/>
                <w:szCs w:val="21"/>
              </w:rPr>
            </w:pPr>
            <w:r>
              <w:rPr>
                <w:rFonts w:hint="eastAsia" w:ascii="宋体" w:hAnsi="宋体"/>
                <w:szCs w:val="21"/>
              </w:rPr>
              <w:t>2.投标保证金采用支票、汇票、本票或者银行、保险机构出具的保函</w:t>
            </w:r>
            <w:r>
              <w:rPr>
                <w:rFonts w:hint="eastAsia"/>
              </w:rPr>
              <w:t>（包含电子保函）</w:t>
            </w:r>
            <w:r>
              <w:rPr>
                <w:rFonts w:hint="eastAsia" w:ascii="宋体" w:hAnsi="宋体"/>
                <w:szCs w:val="21"/>
              </w:rPr>
              <w:t>交纳方式的，投标人应将支票、汇票、本票或者银行、保险机构出具的保函</w:t>
            </w:r>
            <w:r>
              <w:rPr>
                <w:rFonts w:hint="eastAsia"/>
              </w:rPr>
              <w:t>（包含电子保函）</w:t>
            </w:r>
            <w:r>
              <w:rPr>
                <w:rFonts w:hint="eastAsia" w:ascii="宋体" w:hAnsi="宋体"/>
                <w:szCs w:val="21"/>
              </w:rPr>
              <w:t>的复印件作为投标保证金提交证明，放置于商务及技术文件中，</w:t>
            </w:r>
            <w:r>
              <w:rPr>
                <w:rFonts w:hint="eastAsia" w:ascii="宋体" w:hAnsi="宋体"/>
                <w:b/>
                <w:szCs w:val="21"/>
              </w:rPr>
              <w:t>否则投标无效</w:t>
            </w:r>
            <w:r>
              <w:rPr>
                <w:rFonts w:hint="eastAsia" w:ascii="宋体" w:hAnsi="宋体"/>
                <w:szCs w:val="21"/>
              </w:rPr>
              <w:t>。投标人必须</w:t>
            </w:r>
            <w:r>
              <w:rPr>
                <w:rFonts w:hint="eastAsia"/>
              </w:rPr>
              <w:t>在投标截止时间前采用现场或邮寄方式（</w:t>
            </w:r>
            <w:r>
              <w:rPr>
                <w:rFonts w:hint="eastAsia" w:ascii="宋体" w:hAnsi="宋体" w:eastAsia="宋体" w:cs="宋体"/>
              </w:rPr>
              <w:t>现场提交或邮寄地址：</w:t>
            </w:r>
            <w:r>
              <w:rPr>
                <w:rFonts w:hint="eastAsia" w:ascii="宋体" w:hAnsi="宋体" w:eastAsia="宋体" w:cs="宋体"/>
                <w:lang w:eastAsia="zh-CN"/>
              </w:rPr>
              <w:t>广西南宁市青秀区云景路69号南宁轨道大厦B楼15层</w:t>
            </w:r>
            <w:r>
              <w:rPr>
                <w:rFonts w:hint="eastAsia" w:ascii="宋体" w:hAnsi="宋体" w:eastAsia="宋体" w:cs="宋体"/>
              </w:rPr>
              <w:t>，联系人：</w:t>
            </w:r>
            <w:r>
              <w:rPr>
                <w:rFonts w:hint="eastAsia" w:ascii="宋体" w:hAnsi="宋体" w:eastAsia="宋体" w:cs="宋体"/>
                <w:lang w:eastAsia="zh-CN"/>
              </w:rPr>
              <w:t>宋庆平</w:t>
            </w:r>
            <w:r>
              <w:rPr>
                <w:rFonts w:hint="eastAsia" w:ascii="宋体" w:hAnsi="宋体" w:eastAsia="宋体" w:cs="宋体"/>
              </w:rPr>
              <w:t>，联系方式：</w:t>
            </w:r>
            <w:r>
              <w:rPr>
                <w:rFonts w:hint="eastAsia" w:ascii="宋体" w:hAnsi="宋体" w:eastAsia="宋体" w:cs="宋体"/>
                <w:lang w:eastAsia="zh-CN"/>
              </w:rPr>
              <w:t>0771-5771602</w:t>
            </w:r>
            <w:r>
              <w:rPr>
                <w:rFonts w:hint="eastAsia"/>
              </w:rPr>
              <w:t>）</w:t>
            </w:r>
            <w:r>
              <w:rPr>
                <w:rFonts w:hint="eastAsia" w:ascii="宋体" w:hAnsi="宋体"/>
                <w:szCs w:val="21"/>
              </w:rPr>
              <w:t>将</w:t>
            </w:r>
            <w:r>
              <w:rPr>
                <w:rFonts w:hint="eastAsia" w:ascii="宋体" w:hAnsi="宋体" w:cs="宋体"/>
                <w:kern w:val="0"/>
                <w:szCs w:val="21"/>
              </w:rPr>
              <w:t>单独密封的</w:t>
            </w:r>
            <w:r>
              <w:rPr>
                <w:rFonts w:hint="eastAsia" w:ascii="宋体" w:hAnsi="宋体"/>
                <w:szCs w:val="21"/>
              </w:rPr>
              <w:t>支票、汇票、本票或者银行、保险机构出具的保函原件提交给采购人或者采购代理机构，未按时提交的</w:t>
            </w:r>
            <w:r>
              <w:rPr>
                <w:rFonts w:hint="eastAsia" w:ascii="宋体" w:hAnsi="宋体"/>
                <w:b/>
                <w:szCs w:val="21"/>
              </w:rPr>
              <w:t>，投标无效</w:t>
            </w:r>
            <w:r>
              <w:rPr>
                <w:rFonts w:hint="eastAsia" w:ascii="宋体" w:hAnsi="宋体"/>
                <w:szCs w:val="21"/>
              </w:rPr>
              <w:t>，由采购人或者采购代理机构妥善保管。</w:t>
            </w:r>
          </w:p>
          <w:p w14:paraId="04A1A6AA">
            <w:pPr>
              <w:snapToGrid w:val="0"/>
              <w:spacing w:line="360" w:lineRule="auto"/>
              <w:rPr>
                <w:rFonts w:hint="eastAsia" w:ascii="宋体" w:hAnsi="宋体" w:cs="宋体"/>
                <w:szCs w:val="21"/>
              </w:rPr>
            </w:pPr>
            <w:r>
              <w:rPr>
                <w:rFonts w:hint="eastAsia" w:ascii="宋体" w:hAnsi="宋体"/>
                <w:szCs w:val="21"/>
              </w:rPr>
              <w:t>3</w:t>
            </w:r>
            <w:r>
              <w:rPr>
                <w:rFonts w:hint="eastAsia" w:ascii="宋体" w:hAnsi="宋体" w:cs="宋体"/>
                <w:szCs w:val="21"/>
              </w:rPr>
              <w:t>.投标人为联合体的，可以由联合体中的一方或者多方共同交纳投标保证金，其交纳的保证金对联合体各方均具有约束力。</w:t>
            </w:r>
          </w:p>
          <w:p w14:paraId="4BC71EFF">
            <w:pPr>
              <w:snapToGrid w:val="0"/>
              <w:spacing w:line="360" w:lineRule="auto"/>
              <w:rPr>
                <w:rFonts w:hint="eastAsia" w:ascii="宋体" w:hAnsi="宋体"/>
                <w:szCs w:val="21"/>
              </w:rPr>
            </w:pPr>
          </w:p>
          <w:p w14:paraId="00ACCB96">
            <w:pPr>
              <w:snapToGrid w:val="0"/>
              <w:spacing w:line="360" w:lineRule="auto"/>
              <w:rPr>
                <w:rFonts w:hint="eastAsia" w:ascii="宋体" w:hAnsi="宋体"/>
                <w:b/>
                <w:szCs w:val="21"/>
              </w:rPr>
            </w:pPr>
            <w:r>
              <w:rPr>
                <w:rFonts w:hint="eastAsia" w:ascii="宋体" w:hAnsi="宋体"/>
                <w:b/>
                <w:szCs w:val="21"/>
              </w:rPr>
              <w:t xml:space="preserve">备注： </w:t>
            </w:r>
          </w:p>
          <w:p w14:paraId="7EB79520">
            <w:pPr>
              <w:snapToGrid w:val="0"/>
              <w:spacing w:line="360" w:lineRule="auto"/>
              <w:rPr>
                <w:rFonts w:hint="eastAsia" w:ascii="宋体" w:hAnsi="宋体"/>
                <w:b/>
                <w:szCs w:val="21"/>
              </w:rPr>
            </w:pPr>
            <w:r>
              <w:rPr>
                <w:rFonts w:hint="eastAsia" w:ascii="宋体" w:hAnsi="宋体"/>
                <w:b/>
                <w:szCs w:val="21"/>
              </w:rPr>
              <w:t>1.投标保证金在投标截止时间后提交的，或者不按规定交纳方式交纳的，或者未足额交纳的（包含保函额度不足的），视为无效投标保证金。</w:t>
            </w:r>
          </w:p>
          <w:p w14:paraId="40744B33">
            <w:pPr>
              <w:snapToGrid w:val="0"/>
              <w:spacing w:line="360" w:lineRule="auto"/>
              <w:rPr>
                <w:rFonts w:hint="eastAsia" w:ascii="宋体" w:hAnsi="宋体"/>
                <w:b/>
                <w:szCs w:val="21"/>
              </w:rPr>
            </w:pPr>
            <w:r>
              <w:rPr>
                <w:rFonts w:hint="eastAsia" w:ascii="宋体" w:hAnsi="宋体"/>
                <w:b/>
                <w:szCs w:val="21"/>
              </w:rPr>
              <w:t>2.投标人采用现钞方式或者从个人账户（自然人投标除外）转出的投标保证金，视为无效投标保证金。</w:t>
            </w:r>
          </w:p>
          <w:p w14:paraId="0E3D70BE">
            <w:pPr>
              <w:snapToGrid w:val="0"/>
              <w:spacing w:line="360" w:lineRule="auto"/>
              <w:rPr>
                <w:rFonts w:hint="eastAsia" w:ascii="宋体" w:hAnsi="宋体"/>
                <w:b/>
                <w:szCs w:val="21"/>
              </w:rPr>
            </w:pPr>
            <w:r>
              <w:rPr>
                <w:rFonts w:hint="eastAsia" w:ascii="宋体" w:hAnsi="宋体"/>
                <w:b/>
                <w:szCs w:val="21"/>
              </w:rPr>
              <w:t>3.支票、汇票或者本票出现无效或者背书情形的，视为无效投标保证金。</w:t>
            </w:r>
          </w:p>
          <w:p w14:paraId="63EB795E">
            <w:pPr>
              <w:snapToGrid w:val="0"/>
              <w:spacing w:line="360" w:lineRule="auto"/>
              <w:rPr>
                <w:rFonts w:hint="eastAsia" w:ascii="宋体" w:hAnsi="宋体"/>
                <w:b/>
                <w:szCs w:val="21"/>
              </w:rPr>
            </w:pPr>
            <w:r>
              <w:rPr>
                <w:rFonts w:hint="eastAsia" w:ascii="宋体" w:hAnsi="宋体"/>
                <w:b/>
                <w:szCs w:val="21"/>
              </w:rPr>
              <w:t>4.保函有效期低于投标有效期的，视为无效投标保证金。</w:t>
            </w:r>
          </w:p>
          <w:p w14:paraId="319114B4">
            <w:pPr>
              <w:snapToGrid w:val="0"/>
              <w:spacing w:line="360" w:lineRule="auto"/>
            </w:pPr>
            <w:r>
              <w:rPr>
                <w:rFonts w:hint="eastAsia" w:ascii="宋体" w:hAnsi="宋体"/>
                <w:b/>
                <w:szCs w:val="21"/>
              </w:rPr>
              <w:t>5.采用银行、保险机构出具保函的，必须为无条件保函，否则视为无效投标保证金。</w:t>
            </w:r>
          </w:p>
        </w:tc>
      </w:tr>
      <w:tr w14:paraId="6ADE8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25C0B8F">
            <w:pPr>
              <w:spacing w:line="360" w:lineRule="auto"/>
              <w:jc w:val="center"/>
              <w:rPr>
                <w:rFonts w:hint="eastAsia" w:ascii="宋体" w:hAnsi="宋体"/>
                <w:szCs w:val="21"/>
              </w:rPr>
            </w:pPr>
            <w:bookmarkStart w:id="64" w:name="_19.2"/>
            <w:bookmarkEnd w:id="64"/>
            <w:r>
              <w:rPr>
                <w:rFonts w:hint="eastAsia" w:ascii="宋体" w:hAnsi="宋体"/>
                <w:szCs w:val="21"/>
              </w:rPr>
              <w:t>20</w:t>
            </w:r>
          </w:p>
        </w:tc>
        <w:tc>
          <w:tcPr>
            <w:tcW w:w="8285" w:type="dxa"/>
            <w:tcBorders>
              <w:top w:val="single" w:color="auto" w:sz="4" w:space="0"/>
              <w:left w:val="single" w:color="auto" w:sz="4" w:space="0"/>
              <w:bottom w:val="single" w:color="auto" w:sz="4" w:space="0"/>
              <w:right w:val="single" w:color="auto" w:sz="4" w:space="0"/>
            </w:tcBorders>
            <w:vAlign w:val="center"/>
          </w:tcPr>
          <w:p w14:paraId="168E0F18">
            <w:pPr>
              <w:autoSpaceDE w:val="0"/>
              <w:autoSpaceDN w:val="0"/>
              <w:adjustRightInd w:val="0"/>
              <w:spacing w:line="360" w:lineRule="auto"/>
              <w:textAlignment w:val="bottom"/>
              <w:rPr>
                <w:rFonts w:hint="eastAsia" w:ascii="宋体" w:hAnsi="宋体"/>
                <w:szCs w:val="21"/>
              </w:rPr>
            </w:pPr>
            <w:r>
              <w:rPr>
                <w:rFonts w:hint="eastAsia" w:ascii="宋体" w:hAnsi="宋体"/>
                <w:sz w:val="18"/>
                <w:szCs w:val="18"/>
                <w:bdr w:val="single" w:color="auto" w:sz="4" w:space="0"/>
              </w:rPr>
              <w:t>√</w:t>
            </w:r>
            <w:r>
              <w:rPr>
                <w:rFonts w:hint="eastAsia" w:ascii="宋体" w:hAnsi="宋体"/>
                <w:szCs w:val="21"/>
              </w:rPr>
              <w:t>本项目不接受</w:t>
            </w:r>
            <w:r>
              <w:rPr>
                <w:rFonts w:hint="eastAsia"/>
              </w:rPr>
              <w:t>电子</w:t>
            </w:r>
            <w:r>
              <w:rPr>
                <w:rFonts w:hint="eastAsia" w:ascii="宋体" w:hAnsi="宋体"/>
                <w:szCs w:val="21"/>
              </w:rPr>
              <w:t>备份投标文件；</w:t>
            </w:r>
          </w:p>
          <w:p w14:paraId="04868299">
            <w:pPr>
              <w:autoSpaceDE w:val="0"/>
              <w:autoSpaceDN w:val="0"/>
              <w:adjustRightInd w:val="0"/>
              <w:spacing w:line="360" w:lineRule="auto"/>
              <w:textAlignment w:val="bottom"/>
              <w:rPr>
                <w:rFonts w:hint="eastAsia" w:ascii="宋体" w:hAnsi="宋体"/>
                <w:szCs w:val="21"/>
              </w:rPr>
            </w:pPr>
            <w:r>
              <w:rPr>
                <w:rFonts w:hint="eastAsia" w:ascii="宋体" w:hAnsi="宋体"/>
                <w:szCs w:val="21"/>
              </w:rPr>
              <w:t>□</w:t>
            </w:r>
            <w:r>
              <w:rPr>
                <w:rFonts w:hint="eastAsia"/>
              </w:rPr>
              <w:t>本项目接受电子备份投标文件。</w:t>
            </w:r>
          </w:p>
        </w:tc>
      </w:tr>
      <w:tr w14:paraId="78DDB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B2A5FA8">
            <w:pPr>
              <w:spacing w:line="360" w:lineRule="auto"/>
              <w:jc w:val="center"/>
              <w:rPr>
                <w:rFonts w:hint="eastAsia" w:ascii="宋体" w:hAnsi="宋体"/>
                <w:szCs w:val="21"/>
              </w:rPr>
            </w:pPr>
            <w:bookmarkStart w:id="65" w:name="_21.1"/>
            <w:bookmarkEnd w:id="65"/>
            <w:r>
              <w:rPr>
                <w:rFonts w:hint="eastAsia" w:ascii="宋体" w:hAnsi="宋体"/>
                <w:szCs w:val="21"/>
              </w:rPr>
              <w:t>21.1</w:t>
            </w:r>
          </w:p>
        </w:tc>
        <w:tc>
          <w:tcPr>
            <w:tcW w:w="8285" w:type="dxa"/>
            <w:tcBorders>
              <w:top w:val="single" w:color="auto" w:sz="4" w:space="0"/>
              <w:left w:val="single" w:color="auto" w:sz="4" w:space="0"/>
              <w:bottom w:val="single" w:color="auto" w:sz="4" w:space="0"/>
              <w:right w:val="single" w:color="auto" w:sz="4" w:space="0"/>
            </w:tcBorders>
            <w:vAlign w:val="center"/>
          </w:tcPr>
          <w:p w14:paraId="4D2B334E">
            <w:pPr>
              <w:snapToGrid w:val="0"/>
              <w:spacing w:line="360" w:lineRule="auto"/>
              <w:rPr>
                <w:rFonts w:hint="eastAsia" w:ascii="宋体" w:hAnsi="宋体"/>
                <w:szCs w:val="21"/>
                <w:u w:val="single"/>
              </w:rPr>
            </w:pPr>
            <w:r>
              <w:rPr>
                <w:rFonts w:hint="eastAsia" w:ascii="宋体" w:hAnsi="宋体"/>
                <w:szCs w:val="21"/>
              </w:rPr>
              <w:t>1. 提交投标文件截止时间：详见招标公告</w:t>
            </w:r>
          </w:p>
          <w:p w14:paraId="2EFE0FAF">
            <w:pPr>
              <w:snapToGrid w:val="0"/>
              <w:spacing w:line="360" w:lineRule="auto"/>
              <w:rPr>
                <w:rFonts w:hint="eastAsia" w:ascii="宋体" w:hAnsi="宋体"/>
                <w:szCs w:val="21"/>
              </w:rPr>
            </w:pPr>
            <w:r>
              <w:rPr>
                <w:rFonts w:hint="eastAsia" w:ascii="宋体" w:hAnsi="宋体"/>
                <w:szCs w:val="21"/>
              </w:rPr>
              <w:t>2.投标地点：详见招标公告</w:t>
            </w:r>
          </w:p>
        </w:tc>
      </w:tr>
      <w:tr w14:paraId="6948A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EBE50E6">
            <w:pPr>
              <w:spacing w:line="360" w:lineRule="auto"/>
              <w:jc w:val="center"/>
              <w:rPr>
                <w:rFonts w:hint="eastAsia" w:ascii="宋体" w:hAnsi="宋体"/>
                <w:szCs w:val="21"/>
              </w:rPr>
            </w:pPr>
            <w:bookmarkStart w:id="66" w:name="_23"/>
            <w:bookmarkEnd w:id="66"/>
            <w:r>
              <w:rPr>
                <w:rFonts w:hint="eastAsia" w:ascii="宋体" w:hAnsi="宋体"/>
                <w:szCs w:val="21"/>
              </w:rPr>
              <w:t>23</w:t>
            </w:r>
          </w:p>
        </w:tc>
        <w:tc>
          <w:tcPr>
            <w:tcW w:w="8285" w:type="dxa"/>
            <w:tcBorders>
              <w:top w:val="single" w:color="auto" w:sz="4" w:space="0"/>
              <w:left w:val="single" w:color="auto" w:sz="4" w:space="0"/>
              <w:bottom w:val="single" w:color="auto" w:sz="4" w:space="0"/>
              <w:right w:val="single" w:color="auto" w:sz="4" w:space="0"/>
            </w:tcBorders>
            <w:vAlign w:val="center"/>
          </w:tcPr>
          <w:p w14:paraId="026B8FB7">
            <w:pPr>
              <w:snapToGrid w:val="0"/>
              <w:spacing w:line="360" w:lineRule="auto"/>
              <w:rPr>
                <w:rFonts w:hint="eastAsia" w:ascii="宋体" w:hAnsi="宋体"/>
                <w:szCs w:val="21"/>
              </w:rPr>
            </w:pPr>
            <w:r>
              <w:rPr>
                <w:rFonts w:hint="eastAsia" w:ascii="宋体" w:hAnsi="宋体"/>
                <w:szCs w:val="21"/>
              </w:rPr>
              <w:t>1.开标时间：详见招标公告</w:t>
            </w:r>
          </w:p>
          <w:p w14:paraId="785E1DD2">
            <w:pPr>
              <w:snapToGrid w:val="0"/>
              <w:spacing w:line="360" w:lineRule="auto"/>
              <w:rPr>
                <w:rFonts w:hint="eastAsia" w:ascii="宋体" w:hAnsi="宋体"/>
                <w:szCs w:val="21"/>
              </w:rPr>
            </w:pPr>
            <w:r>
              <w:rPr>
                <w:rFonts w:hint="eastAsia" w:ascii="宋体" w:hAnsi="宋体"/>
                <w:szCs w:val="21"/>
              </w:rPr>
              <w:t>2.开标地点：详见招标公告</w:t>
            </w:r>
          </w:p>
        </w:tc>
      </w:tr>
      <w:tr w14:paraId="6812E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6848FB5">
            <w:pPr>
              <w:spacing w:line="360" w:lineRule="auto"/>
              <w:jc w:val="center"/>
              <w:rPr>
                <w:rFonts w:hint="eastAsia" w:ascii="宋体" w:hAnsi="宋体"/>
                <w:szCs w:val="21"/>
              </w:rPr>
            </w:pPr>
            <w:r>
              <w:rPr>
                <w:rFonts w:hint="eastAsia" w:ascii="宋体" w:hAnsi="宋体"/>
                <w:szCs w:val="21"/>
              </w:rPr>
              <w:t>24.3（1）</w:t>
            </w:r>
          </w:p>
        </w:tc>
        <w:tc>
          <w:tcPr>
            <w:tcW w:w="8285" w:type="dxa"/>
            <w:tcBorders>
              <w:top w:val="single" w:color="auto" w:sz="4" w:space="0"/>
              <w:left w:val="single" w:color="auto" w:sz="4" w:space="0"/>
              <w:bottom w:val="single" w:color="auto" w:sz="4" w:space="0"/>
              <w:right w:val="single" w:color="auto" w:sz="4" w:space="0"/>
            </w:tcBorders>
            <w:vAlign w:val="center"/>
          </w:tcPr>
          <w:p w14:paraId="4B234589">
            <w:pPr>
              <w:snapToGrid w:val="0"/>
              <w:spacing w:line="360" w:lineRule="auto"/>
              <w:rPr>
                <w:rFonts w:hint="eastAsia" w:hAnsi="宋体"/>
                <w:u w:val="single"/>
              </w:rPr>
            </w:pPr>
            <w:r>
              <w:rPr>
                <w:rFonts w:hint="eastAsia" w:hAnsi="宋体"/>
              </w:rPr>
              <w:t>电子投标文件解密时间：</w:t>
            </w:r>
            <w:r>
              <w:rPr>
                <w:rFonts w:hint="eastAsia" w:hAnsi="宋体"/>
                <w:u w:val="single"/>
              </w:rPr>
              <w:t xml:space="preserve"> 30 </w:t>
            </w:r>
            <w:r>
              <w:rPr>
                <w:rFonts w:hint="eastAsia" w:hAnsi="宋体"/>
              </w:rPr>
              <w:t>分钟</w:t>
            </w:r>
          </w:p>
        </w:tc>
      </w:tr>
      <w:tr w14:paraId="20C49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B0CF83F">
            <w:pPr>
              <w:spacing w:line="360" w:lineRule="auto"/>
              <w:jc w:val="center"/>
              <w:rPr>
                <w:rFonts w:hint="eastAsia" w:ascii="宋体" w:hAnsi="宋体"/>
                <w:szCs w:val="21"/>
              </w:rPr>
            </w:pPr>
            <w:r>
              <w:rPr>
                <w:rFonts w:hint="eastAsia" w:ascii="宋体" w:hAnsi="宋体"/>
                <w:szCs w:val="21"/>
              </w:rPr>
              <w:t>24</w:t>
            </w:r>
            <w:r>
              <w:rPr>
                <w:rFonts w:ascii="宋体" w:hAnsi="宋体"/>
                <w:szCs w:val="21"/>
              </w:rPr>
              <w:t>.3</w:t>
            </w:r>
            <w:r>
              <w:rPr>
                <w:rFonts w:hint="eastAsia" w:ascii="宋体" w:hAnsi="宋体"/>
                <w:szCs w:val="21"/>
              </w:rPr>
              <w:t>（</w:t>
            </w:r>
            <w:r>
              <w:rPr>
                <w:rFonts w:ascii="宋体" w:hAnsi="宋体"/>
                <w:szCs w:val="21"/>
              </w:rPr>
              <w:t>2</w:t>
            </w:r>
            <w:r>
              <w:rPr>
                <w:rFonts w:hint="eastAsia" w:ascii="宋体" w:hAnsi="宋体"/>
                <w:szCs w:val="21"/>
              </w:rPr>
              <w:t>）</w:t>
            </w:r>
          </w:p>
        </w:tc>
        <w:tc>
          <w:tcPr>
            <w:tcW w:w="8285" w:type="dxa"/>
            <w:tcBorders>
              <w:top w:val="single" w:color="auto" w:sz="4" w:space="0"/>
              <w:left w:val="single" w:color="auto" w:sz="4" w:space="0"/>
              <w:bottom w:val="single" w:color="auto" w:sz="4" w:space="0"/>
              <w:right w:val="single" w:color="auto" w:sz="4" w:space="0"/>
            </w:tcBorders>
            <w:vAlign w:val="center"/>
          </w:tcPr>
          <w:p w14:paraId="7A679BB2">
            <w:pPr>
              <w:snapToGrid w:val="0"/>
              <w:spacing w:line="360" w:lineRule="auto"/>
              <w:rPr>
                <w:rFonts w:hint="eastAsia" w:ascii="宋体" w:hAnsi="宋体"/>
                <w:szCs w:val="21"/>
              </w:rPr>
            </w:pPr>
            <w:r>
              <w:rPr>
                <w:rFonts w:hint="eastAsia"/>
              </w:rPr>
              <w:t>宣布的内容</w:t>
            </w:r>
            <w:r>
              <w:rPr>
                <w:rFonts w:hint="eastAsia" w:hAnsi="宋体"/>
              </w:rPr>
              <w:t>：投标人名称、投标价格</w:t>
            </w:r>
          </w:p>
        </w:tc>
      </w:tr>
      <w:tr w14:paraId="64A9F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BB4C46A">
            <w:pPr>
              <w:spacing w:line="360" w:lineRule="auto"/>
              <w:jc w:val="center"/>
              <w:rPr>
                <w:rFonts w:hint="eastAsia" w:ascii="宋体" w:hAnsi="宋体"/>
                <w:szCs w:val="21"/>
              </w:rPr>
            </w:pPr>
            <w:bookmarkStart w:id="67" w:name="_25.3"/>
            <w:bookmarkEnd w:id="67"/>
            <w:r>
              <w:rPr>
                <w:rFonts w:hint="eastAsia" w:ascii="宋体" w:hAnsi="宋体"/>
                <w:szCs w:val="21"/>
              </w:rPr>
              <w:t>25.3（</w:t>
            </w:r>
            <w:r>
              <w:rPr>
                <w:rFonts w:ascii="宋体" w:hAnsi="宋体"/>
                <w:szCs w:val="21"/>
              </w:rPr>
              <w:t>2</w:t>
            </w:r>
            <w:r>
              <w:rPr>
                <w:rFonts w:hint="eastAsia" w:ascii="宋体" w:hAnsi="宋体"/>
                <w:szCs w:val="21"/>
              </w:rPr>
              <w:t>）</w:t>
            </w:r>
          </w:p>
        </w:tc>
        <w:tc>
          <w:tcPr>
            <w:tcW w:w="8285" w:type="dxa"/>
            <w:tcBorders>
              <w:top w:val="single" w:color="auto" w:sz="4" w:space="0"/>
              <w:left w:val="single" w:color="auto" w:sz="4" w:space="0"/>
              <w:bottom w:val="single" w:color="auto" w:sz="4" w:space="0"/>
              <w:right w:val="single" w:color="auto" w:sz="4" w:space="0"/>
            </w:tcBorders>
            <w:vAlign w:val="center"/>
          </w:tcPr>
          <w:p w14:paraId="00723165">
            <w:pPr>
              <w:snapToGrid w:val="0"/>
              <w:spacing w:line="360" w:lineRule="auto"/>
              <w:rPr>
                <w:rFonts w:hint="eastAsia" w:ascii="宋体" w:hAnsi="宋体"/>
                <w:szCs w:val="21"/>
              </w:rPr>
            </w:pPr>
            <w:r>
              <w:rPr>
                <w:rFonts w:hint="eastAsia" w:ascii="宋体" w:hAnsi="宋体"/>
                <w:szCs w:val="21"/>
              </w:rPr>
              <w:t>采购人或者采购代理机构在资格审查结束前，对投标人进行信用查询。</w:t>
            </w:r>
          </w:p>
          <w:p w14:paraId="67087F48">
            <w:pPr>
              <w:snapToGrid w:val="0"/>
              <w:spacing w:line="360" w:lineRule="auto"/>
              <w:rPr>
                <w:rFonts w:hint="eastAsia" w:ascii="宋体" w:hAnsi="宋体"/>
                <w:szCs w:val="21"/>
              </w:rPr>
            </w:pPr>
            <w:r>
              <w:rPr>
                <w:rFonts w:hint="eastAsia" w:ascii="宋体" w:hAnsi="宋体"/>
                <w:szCs w:val="21"/>
              </w:rPr>
              <w:t>查询渠道：“信用中国”网站（www.creditchina.gov.cn） 、中国政府采购网（www.ccgp.gov.cn）。</w:t>
            </w:r>
          </w:p>
          <w:p w14:paraId="3A36672F">
            <w:pPr>
              <w:snapToGrid w:val="0"/>
              <w:spacing w:line="360" w:lineRule="auto"/>
              <w:rPr>
                <w:rFonts w:hint="eastAsia" w:ascii="宋体" w:hAnsi="宋体"/>
                <w:szCs w:val="21"/>
              </w:rPr>
            </w:pPr>
            <w:r>
              <w:rPr>
                <w:rFonts w:hint="eastAsia" w:ascii="宋体" w:hAnsi="宋体"/>
                <w:szCs w:val="21"/>
              </w:rPr>
              <w:t>信用查询截止时点：资格审查结束前</w:t>
            </w:r>
          </w:p>
          <w:p w14:paraId="4E347225">
            <w:pPr>
              <w:snapToGrid w:val="0"/>
              <w:spacing w:line="360" w:lineRule="auto"/>
              <w:rPr>
                <w:rFonts w:hint="eastAsia" w:ascii="宋体" w:hAnsi="宋体"/>
                <w:szCs w:val="21"/>
              </w:rPr>
            </w:pPr>
            <w:r>
              <w:rPr>
                <w:rFonts w:hint="eastAsia" w:ascii="宋体" w:hAnsi="宋体"/>
                <w:szCs w:val="21"/>
              </w:rPr>
              <w:t>查询记录和证据留存方式：在查询网站中直接截图查询记录，截图作为在广西政府采购云平台（</w:t>
            </w:r>
            <w:r>
              <w:rPr>
                <w:rFonts w:hint="eastAsia" w:ascii="宋体" w:hAnsi="宋体"/>
                <w:bCs/>
                <w:szCs w:val="21"/>
              </w:rPr>
              <w:t>https://www.gcy.zfcg.gxzf.gov.cn/</w:t>
            </w:r>
            <w:r>
              <w:rPr>
                <w:rFonts w:hint="eastAsia" w:ascii="宋体" w:hAnsi="宋体"/>
                <w:szCs w:val="21"/>
              </w:rPr>
              <w:t>）作为附件上传保存。</w:t>
            </w:r>
          </w:p>
          <w:p w14:paraId="19BEF3E8">
            <w:pPr>
              <w:snapToGrid w:val="0"/>
              <w:spacing w:line="360" w:lineRule="auto"/>
              <w:rPr>
                <w:rFonts w:hint="eastAsia" w:ascii="宋体" w:hAnsi="宋体"/>
                <w:b/>
                <w:szCs w:val="21"/>
              </w:rPr>
            </w:pPr>
            <w:r>
              <w:rPr>
                <w:rFonts w:hint="eastAsia" w:ascii="宋体" w:hAnsi="宋体"/>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31F0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329B617">
            <w:pPr>
              <w:spacing w:line="360" w:lineRule="auto"/>
              <w:jc w:val="center"/>
              <w:rPr>
                <w:rFonts w:hint="eastAsia" w:ascii="宋体" w:hAnsi="宋体"/>
                <w:szCs w:val="21"/>
              </w:rPr>
            </w:pPr>
            <w:bookmarkStart w:id="68" w:name="_26"/>
            <w:bookmarkEnd w:id="68"/>
            <w:r>
              <w:rPr>
                <w:rFonts w:hint="eastAsia" w:ascii="宋体" w:hAnsi="宋体"/>
                <w:szCs w:val="21"/>
              </w:rPr>
              <w:t>26</w:t>
            </w:r>
            <w:r>
              <w:rPr>
                <w:rFonts w:ascii="宋体" w:hAnsi="宋体"/>
                <w:szCs w:val="21"/>
              </w:rPr>
              <w:t>.1</w:t>
            </w:r>
          </w:p>
        </w:tc>
        <w:tc>
          <w:tcPr>
            <w:tcW w:w="8285" w:type="dxa"/>
            <w:tcBorders>
              <w:top w:val="single" w:color="auto" w:sz="4" w:space="0"/>
              <w:left w:val="single" w:color="auto" w:sz="4" w:space="0"/>
              <w:bottom w:val="single" w:color="auto" w:sz="4" w:space="0"/>
              <w:right w:val="single" w:color="auto" w:sz="4" w:space="0"/>
            </w:tcBorders>
            <w:vAlign w:val="center"/>
          </w:tcPr>
          <w:p w14:paraId="592278B4">
            <w:pPr>
              <w:autoSpaceDE w:val="0"/>
              <w:autoSpaceDN w:val="0"/>
              <w:snapToGrid w:val="0"/>
              <w:spacing w:line="360" w:lineRule="auto"/>
              <w:textAlignment w:val="bottom"/>
              <w:rPr>
                <w:rFonts w:hint="eastAsia" w:ascii="宋体" w:hAnsi="宋体"/>
                <w:szCs w:val="21"/>
              </w:rPr>
            </w:pPr>
            <w:r>
              <w:rPr>
                <w:rFonts w:hint="eastAsia" w:ascii="宋体" w:hAnsi="宋体"/>
                <w:szCs w:val="21"/>
              </w:rPr>
              <w:t>评标委员会的人数：</w:t>
            </w:r>
            <w:r>
              <w:rPr>
                <w:rFonts w:hint="eastAsia" w:ascii="宋体" w:hAnsi="宋体"/>
                <w:szCs w:val="21"/>
                <w:u w:val="single"/>
              </w:rPr>
              <w:t xml:space="preserve"> 5 </w:t>
            </w:r>
            <w:r>
              <w:rPr>
                <w:rFonts w:hint="eastAsia" w:ascii="宋体" w:hAnsi="宋体"/>
                <w:szCs w:val="21"/>
              </w:rPr>
              <w:t>人</w:t>
            </w:r>
          </w:p>
        </w:tc>
      </w:tr>
      <w:tr w14:paraId="4894D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0B476B3">
            <w:pPr>
              <w:spacing w:line="360" w:lineRule="auto"/>
              <w:jc w:val="center"/>
              <w:rPr>
                <w:rFonts w:hint="eastAsia" w:ascii="宋体" w:hAnsi="宋体"/>
                <w:szCs w:val="21"/>
              </w:rPr>
            </w:pPr>
            <w:bookmarkStart w:id="69" w:name="_28.3"/>
            <w:bookmarkEnd w:id="69"/>
            <w:r>
              <w:rPr>
                <w:rFonts w:ascii="宋体" w:hAnsi="宋体"/>
                <w:szCs w:val="21"/>
              </w:rPr>
              <w:t>29.1</w:t>
            </w:r>
          </w:p>
        </w:tc>
        <w:tc>
          <w:tcPr>
            <w:tcW w:w="8285" w:type="dxa"/>
            <w:tcBorders>
              <w:top w:val="single" w:color="auto" w:sz="4" w:space="0"/>
              <w:left w:val="single" w:color="auto" w:sz="4" w:space="0"/>
              <w:bottom w:val="single" w:color="auto" w:sz="4" w:space="0"/>
              <w:right w:val="single" w:color="auto" w:sz="4" w:space="0"/>
            </w:tcBorders>
            <w:vAlign w:val="center"/>
          </w:tcPr>
          <w:p w14:paraId="62CFE7B3">
            <w:pPr>
              <w:autoSpaceDE w:val="0"/>
              <w:autoSpaceDN w:val="0"/>
              <w:snapToGrid w:val="0"/>
              <w:spacing w:line="360" w:lineRule="auto"/>
              <w:textAlignment w:val="bottom"/>
              <w:rPr>
                <w:rFonts w:hint="eastAsia" w:ascii="宋体" w:hAnsi="宋体"/>
                <w:szCs w:val="21"/>
              </w:rPr>
            </w:pPr>
            <w:r>
              <w:rPr>
                <w:rFonts w:hint="eastAsia" w:ascii="宋体" w:hAnsi="宋体"/>
                <w:szCs w:val="21"/>
              </w:rPr>
              <w:t>评标方法：</w:t>
            </w:r>
          </w:p>
          <w:p w14:paraId="515A1FC4">
            <w:pPr>
              <w:autoSpaceDE w:val="0"/>
              <w:autoSpaceDN w:val="0"/>
              <w:snapToGrid w:val="0"/>
              <w:spacing w:line="360" w:lineRule="auto"/>
              <w:textAlignment w:val="bottom"/>
              <w:rPr>
                <w:rFonts w:hint="eastAsia" w:ascii="宋体" w:hAnsi="宋体"/>
                <w:szCs w:val="21"/>
              </w:rPr>
            </w:pPr>
            <w:r>
              <w:rPr>
                <w:rFonts w:hint="eastAsia" w:ascii="宋体" w:hAnsi="宋体"/>
                <w:sz w:val="18"/>
                <w:szCs w:val="18"/>
                <w:bdr w:val="single" w:color="auto" w:sz="4" w:space="0"/>
              </w:rPr>
              <w:t>√</w:t>
            </w:r>
            <w:r>
              <w:rPr>
                <w:rFonts w:hint="eastAsia" w:ascii="宋体" w:hAnsi="宋体"/>
                <w:szCs w:val="21"/>
              </w:rPr>
              <w:t>综合评分法</w:t>
            </w:r>
          </w:p>
          <w:p w14:paraId="0BAFB086">
            <w:pPr>
              <w:autoSpaceDE w:val="0"/>
              <w:autoSpaceDN w:val="0"/>
              <w:snapToGrid w:val="0"/>
              <w:spacing w:line="360" w:lineRule="auto"/>
              <w:textAlignment w:val="bottom"/>
              <w:rPr>
                <w:rFonts w:hint="eastAsia" w:ascii="宋体" w:hAnsi="宋体"/>
                <w:szCs w:val="21"/>
              </w:rPr>
            </w:pPr>
            <w:r>
              <w:rPr>
                <w:rFonts w:hint="eastAsia" w:ascii="宋体" w:hAnsi="宋体"/>
                <w:szCs w:val="21"/>
              </w:rPr>
              <w:t>□最低评标价法</w:t>
            </w:r>
          </w:p>
        </w:tc>
      </w:tr>
      <w:tr w14:paraId="7D44C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1ED567F">
            <w:pPr>
              <w:spacing w:line="360" w:lineRule="auto"/>
              <w:jc w:val="center"/>
              <w:rPr>
                <w:rFonts w:hint="eastAsia" w:ascii="宋体" w:hAnsi="宋体"/>
                <w:szCs w:val="21"/>
              </w:rPr>
            </w:pPr>
            <w:bookmarkStart w:id="70" w:name="_29.2.2（2）"/>
            <w:bookmarkEnd w:id="70"/>
            <w:r>
              <w:rPr>
                <w:rFonts w:hint="eastAsia" w:ascii="宋体" w:hAnsi="宋体"/>
                <w:szCs w:val="21"/>
              </w:rPr>
              <w:t>2</w:t>
            </w:r>
            <w:r>
              <w:rPr>
                <w:rFonts w:ascii="宋体" w:hAnsi="宋体"/>
                <w:szCs w:val="21"/>
              </w:rPr>
              <w:t>9.2</w:t>
            </w:r>
          </w:p>
        </w:tc>
        <w:tc>
          <w:tcPr>
            <w:tcW w:w="8285" w:type="dxa"/>
            <w:tcBorders>
              <w:top w:val="single" w:color="auto" w:sz="4" w:space="0"/>
              <w:left w:val="single" w:color="auto" w:sz="4" w:space="0"/>
              <w:right w:val="single" w:color="auto" w:sz="4" w:space="0"/>
            </w:tcBorders>
            <w:vAlign w:val="center"/>
          </w:tcPr>
          <w:p w14:paraId="175EB5DB">
            <w:pPr>
              <w:snapToGrid w:val="0"/>
              <w:spacing w:line="360" w:lineRule="auto"/>
              <w:rPr>
                <w:rFonts w:hint="eastAsia" w:ascii="宋体" w:hAnsi="宋体" w:cs="宋体"/>
                <w:szCs w:val="21"/>
              </w:rPr>
            </w:pPr>
            <w:r>
              <w:rPr>
                <w:rFonts w:hint="eastAsia" w:ascii="宋体" w:hAnsi="宋体" w:cs="宋体"/>
                <w:szCs w:val="21"/>
              </w:rPr>
              <w:t>1分标</w:t>
            </w:r>
          </w:p>
          <w:p w14:paraId="2BB25352">
            <w:pPr>
              <w:snapToGrid w:val="0"/>
              <w:spacing w:line="360" w:lineRule="auto"/>
              <w:rPr>
                <w:rFonts w:hint="eastAsia" w:ascii="宋体" w:hAnsi="宋体"/>
                <w:szCs w:val="21"/>
              </w:rPr>
            </w:pPr>
            <w:r>
              <w:rPr>
                <w:rFonts w:hint="eastAsia" w:ascii="宋体" w:hAnsi="宋体" w:cs="宋体"/>
                <w:szCs w:val="21"/>
              </w:rPr>
              <w:t>商务要求</w:t>
            </w:r>
            <w:r>
              <w:rPr>
                <w:rFonts w:hint="eastAsia" w:ascii="宋体" w:hAnsi="宋体"/>
                <w:szCs w:val="21"/>
              </w:rPr>
              <w:t>评审中允许负偏离的条款数为</w:t>
            </w:r>
            <w:r>
              <w:rPr>
                <w:rFonts w:hint="eastAsia" w:ascii="宋体" w:hAnsi="宋体"/>
                <w:szCs w:val="21"/>
                <w:u w:val="single"/>
              </w:rPr>
              <w:t xml:space="preserve"> 0 </w:t>
            </w:r>
            <w:r>
              <w:rPr>
                <w:rFonts w:hint="eastAsia" w:ascii="宋体" w:hAnsi="宋体"/>
                <w:szCs w:val="21"/>
              </w:rPr>
              <w:t>项。</w:t>
            </w:r>
          </w:p>
          <w:p w14:paraId="113A75C9">
            <w:pPr>
              <w:snapToGrid w:val="0"/>
              <w:spacing w:line="360" w:lineRule="auto"/>
              <w:rPr>
                <w:rFonts w:hint="eastAsia" w:ascii="宋体" w:hAnsi="宋体"/>
                <w:szCs w:val="21"/>
              </w:rPr>
            </w:pPr>
            <w:r>
              <w:rPr>
                <w:rFonts w:hint="eastAsia" w:ascii="宋体" w:hAnsi="宋体" w:cs="宋体"/>
                <w:szCs w:val="21"/>
              </w:rPr>
              <w:t>技术要求</w:t>
            </w:r>
            <w:r>
              <w:rPr>
                <w:rFonts w:hint="eastAsia" w:ascii="宋体" w:hAnsi="宋体"/>
                <w:szCs w:val="21"/>
              </w:rPr>
              <w:t>评审中允许负偏离的条款数为：</w:t>
            </w:r>
            <w:r>
              <w:rPr>
                <w:rFonts w:hint="eastAsia" w:ascii="宋体" w:hAnsi="宋体"/>
                <w:szCs w:val="21"/>
                <w:u w:val="single"/>
                <w:lang w:val="en-US" w:eastAsia="zh-CN"/>
              </w:rPr>
              <w:t xml:space="preserve"> </w:t>
            </w:r>
            <w:r>
              <w:rPr>
                <w:rFonts w:hint="eastAsia" w:ascii="宋体" w:hAnsi="宋体"/>
                <w:szCs w:val="21"/>
                <w:u w:val="single"/>
              </w:rPr>
              <w:t xml:space="preserve">8 </w:t>
            </w:r>
            <w:r>
              <w:rPr>
                <w:rFonts w:hint="eastAsia" w:ascii="宋体" w:hAnsi="宋体"/>
                <w:szCs w:val="21"/>
              </w:rPr>
              <w:t>项。</w:t>
            </w:r>
          </w:p>
          <w:p w14:paraId="31721DE0">
            <w:pPr>
              <w:snapToGrid w:val="0"/>
              <w:spacing w:line="360" w:lineRule="auto"/>
              <w:rPr>
                <w:rFonts w:hint="eastAsia" w:ascii="宋体" w:hAnsi="宋体" w:cs="宋体"/>
                <w:szCs w:val="21"/>
              </w:rPr>
            </w:pPr>
            <w:r>
              <w:rPr>
                <w:rFonts w:hint="eastAsia" w:ascii="宋体" w:hAnsi="宋体" w:cs="宋体"/>
                <w:szCs w:val="21"/>
              </w:rPr>
              <w:t>2分标</w:t>
            </w:r>
          </w:p>
          <w:p w14:paraId="1DA11322">
            <w:pPr>
              <w:snapToGrid w:val="0"/>
              <w:spacing w:line="360" w:lineRule="auto"/>
              <w:rPr>
                <w:rFonts w:hint="eastAsia" w:ascii="宋体" w:hAnsi="宋体"/>
                <w:szCs w:val="21"/>
              </w:rPr>
            </w:pPr>
            <w:r>
              <w:rPr>
                <w:rFonts w:hint="eastAsia" w:ascii="宋体" w:hAnsi="宋体" w:cs="宋体"/>
                <w:szCs w:val="21"/>
              </w:rPr>
              <w:t>商务要求</w:t>
            </w:r>
            <w:r>
              <w:rPr>
                <w:rFonts w:hint="eastAsia" w:ascii="宋体" w:hAnsi="宋体"/>
                <w:szCs w:val="21"/>
              </w:rPr>
              <w:t>评审中允许负偏离的条款数为</w:t>
            </w:r>
            <w:r>
              <w:rPr>
                <w:rFonts w:hint="eastAsia" w:ascii="宋体" w:hAnsi="宋体"/>
                <w:szCs w:val="21"/>
                <w:u w:val="single"/>
              </w:rPr>
              <w:t xml:space="preserve"> 0 </w:t>
            </w:r>
            <w:r>
              <w:rPr>
                <w:rFonts w:hint="eastAsia" w:ascii="宋体" w:hAnsi="宋体"/>
                <w:szCs w:val="21"/>
              </w:rPr>
              <w:t>项。</w:t>
            </w:r>
          </w:p>
          <w:p w14:paraId="036E4910">
            <w:pPr>
              <w:pStyle w:val="2"/>
              <w:ind w:left="0" w:leftChars="0" w:right="1470"/>
              <w:rPr>
                <w:rFonts w:hint="eastAsia" w:ascii="宋体" w:hAnsi="宋体"/>
                <w:szCs w:val="21"/>
              </w:rPr>
            </w:pPr>
            <w:r>
              <w:rPr>
                <w:rFonts w:hint="eastAsia" w:ascii="宋体" w:hAnsi="宋体" w:cs="宋体"/>
                <w:szCs w:val="21"/>
              </w:rPr>
              <w:t>技术要求</w:t>
            </w:r>
            <w:r>
              <w:rPr>
                <w:rFonts w:hint="eastAsia" w:ascii="宋体" w:hAnsi="宋体"/>
                <w:szCs w:val="21"/>
              </w:rPr>
              <w:t>评审中允许负偏离的条款数为：</w:t>
            </w:r>
            <w:r>
              <w:rPr>
                <w:rFonts w:hint="eastAsia" w:ascii="宋体" w:hAnsi="宋体"/>
                <w:szCs w:val="21"/>
                <w:u w:val="single"/>
                <w:lang w:val="en-US" w:eastAsia="zh-CN"/>
              </w:rPr>
              <w:t xml:space="preserve"> </w:t>
            </w:r>
            <w:r>
              <w:rPr>
                <w:rFonts w:hint="eastAsia" w:ascii="宋体" w:hAnsi="宋体"/>
                <w:szCs w:val="21"/>
                <w:u w:val="single"/>
              </w:rPr>
              <w:t xml:space="preserve">10 </w:t>
            </w:r>
            <w:r>
              <w:rPr>
                <w:rFonts w:hint="eastAsia" w:ascii="宋体" w:hAnsi="宋体"/>
                <w:szCs w:val="21"/>
              </w:rPr>
              <w:t>项。</w:t>
            </w:r>
          </w:p>
          <w:p w14:paraId="4983FB37">
            <w:pPr>
              <w:snapToGrid w:val="0"/>
              <w:spacing w:line="360" w:lineRule="auto"/>
              <w:rPr>
                <w:rFonts w:hint="eastAsia" w:ascii="宋体" w:hAnsi="宋体" w:cs="宋体"/>
                <w:szCs w:val="21"/>
              </w:rPr>
            </w:pPr>
            <w:r>
              <w:rPr>
                <w:rFonts w:hint="eastAsia" w:ascii="宋体" w:hAnsi="宋体" w:cs="宋体"/>
                <w:szCs w:val="21"/>
              </w:rPr>
              <w:t>3分标</w:t>
            </w:r>
          </w:p>
          <w:p w14:paraId="0B37230D">
            <w:pPr>
              <w:snapToGrid w:val="0"/>
              <w:spacing w:line="360" w:lineRule="auto"/>
              <w:rPr>
                <w:rFonts w:hint="eastAsia" w:ascii="宋体" w:hAnsi="宋体"/>
                <w:szCs w:val="21"/>
              </w:rPr>
            </w:pPr>
            <w:r>
              <w:rPr>
                <w:rFonts w:hint="eastAsia" w:ascii="宋体" w:hAnsi="宋体" w:cs="宋体"/>
                <w:szCs w:val="21"/>
              </w:rPr>
              <w:t>商务要求</w:t>
            </w:r>
            <w:r>
              <w:rPr>
                <w:rFonts w:hint="eastAsia" w:ascii="宋体" w:hAnsi="宋体"/>
                <w:szCs w:val="21"/>
              </w:rPr>
              <w:t>评审中允许负偏离的条款数为</w:t>
            </w:r>
            <w:r>
              <w:rPr>
                <w:rFonts w:hint="eastAsia" w:ascii="宋体" w:hAnsi="宋体"/>
                <w:szCs w:val="21"/>
                <w:u w:val="single"/>
              </w:rPr>
              <w:t xml:space="preserve"> 0 </w:t>
            </w:r>
            <w:r>
              <w:rPr>
                <w:rFonts w:hint="eastAsia" w:ascii="宋体" w:hAnsi="宋体"/>
                <w:szCs w:val="21"/>
              </w:rPr>
              <w:t>项。</w:t>
            </w:r>
          </w:p>
          <w:p w14:paraId="635E42DC">
            <w:pPr>
              <w:pStyle w:val="2"/>
              <w:ind w:left="0" w:leftChars="0" w:right="1470"/>
              <w:rPr>
                <w:rFonts w:hint="eastAsia" w:ascii="宋体" w:hAnsi="宋体"/>
                <w:szCs w:val="21"/>
              </w:rPr>
            </w:pPr>
            <w:r>
              <w:rPr>
                <w:rFonts w:hint="eastAsia" w:ascii="宋体" w:hAnsi="宋体" w:cs="宋体"/>
                <w:szCs w:val="21"/>
              </w:rPr>
              <w:t>技术要求</w:t>
            </w:r>
            <w:r>
              <w:rPr>
                <w:rFonts w:hint="eastAsia" w:ascii="宋体" w:hAnsi="宋体"/>
                <w:szCs w:val="21"/>
              </w:rPr>
              <w:t>评审中允许负偏离的条款数为：</w:t>
            </w:r>
            <w:r>
              <w:rPr>
                <w:rFonts w:hint="eastAsia" w:ascii="宋体" w:hAnsi="宋体"/>
                <w:szCs w:val="21"/>
                <w:u w:val="single"/>
                <w:lang w:val="en-US" w:eastAsia="zh-CN"/>
              </w:rPr>
              <w:t xml:space="preserve"> </w:t>
            </w:r>
            <w:r>
              <w:rPr>
                <w:rFonts w:hint="eastAsia" w:ascii="宋体" w:hAnsi="宋体"/>
                <w:szCs w:val="21"/>
                <w:u w:val="single"/>
              </w:rPr>
              <w:t xml:space="preserve">8 </w:t>
            </w:r>
            <w:r>
              <w:rPr>
                <w:rFonts w:hint="eastAsia" w:ascii="宋体" w:hAnsi="宋体"/>
                <w:szCs w:val="21"/>
              </w:rPr>
              <w:t>项。</w:t>
            </w:r>
          </w:p>
        </w:tc>
      </w:tr>
      <w:tr w14:paraId="452BF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F7FB8EB">
            <w:pPr>
              <w:spacing w:line="360" w:lineRule="auto"/>
              <w:jc w:val="center"/>
              <w:rPr>
                <w:rFonts w:hint="eastAsia" w:ascii="宋体" w:hAnsi="宋体"/>
                <w:szCs w:val="21"/>
              </w:rPr>
            </w:pPr>
            <w:r>
              <w:rPr>
                <w:rFonts w:hint="eastAsia" w:ascii="宋体" w:hAnsi="宋体"/>
                <w:szCs w:val="21"/>
              </w:rPr>
              <w:t>2</w:t>
            </w:r>
            <w:r>
              <w:rPr>
                <w:rFonts w:ascii="宋体" w:hAnsi="宋体"/>
                <w:szCs w:val="21"/>
              </w:rPr>
              <w:t>9.3</w:t>
            </w:r>
          </w:p>
        </w:tc>
        <w:tc>
          <w:tcPr>
            <w:tcW w:w="8285" w:type="dxa"/>
            <w:tcBorders>
              <w:top w:val="single" w:color="auto" w:sz="4" w:space="0"/>
              <w:left w:val="single" w:color="auto" w:sz="4" w:space="0"/>
              <w:right w:val="single" w:color="auto" w:sz="4" w:space="0"/>
            </w:tcBorders>
            <w:vAlign w:val="center"/>
          </w:tcPr>
          <w:p w14:paraId="2F2AE67D">
            <w:pPr>
              <w:snapToGrid w:val="0"/>
              <w:spacing w:line="360" w:lineRule="auto"/>
              <w:rPr>
                <w:rFonts w:hint="eastAsia" w:hAnsi="宋体"/>
              </w:rPr>
            </w:pPr>
            <w:r>
              <w:rPr>
                <w:rFonts w:hAnsi="宋体"/>
              </w:rPr>
              <w:t>中标候选人推荐数量</w:t>
            </w:r>
            <w:r>
              <w:rPr>
                <w:rFonts w:hint="eastAsia" w:hAnsi="宋体"/>
              </w:rPr>
              <w:t>：</w:t>
            </w:r>
          </w:p>
          <w:p w14:paraId="5B4CAAD1">
            <w:pPr>
              <w:snapToGrid w:val="0"/>
              <w:spacing w:line="360" w:lineRule="auto"/>
              <w:rPr>
                <w:rFonts w:hint="eastAsia" w:hAnsi="宋体"/>
              </w:rPr>
            </w:pPr>
            <w:r>
              <w:rPr>
                <w:rFonts w:hint="eastAsia" w:ascii="宋体" w:hAnsi="宋体"/>
                <w:sz w:val="18"/>
                <w:szCs w:val="18"/>
                <w:bdr w:val="single" w:color="auto" w:sz="4" w:space="0"/>
              </w:rPr>
              <w:t>√</w:t>
            </w:r>
            <w:r>
              <w:rPr>
                <w:rFonts w:hint="eastAsia" w:hAnsi="宋体"/>
                <w:u w:val="single"/>
              </w:rPr>
              <w:t xml:space="preserve"> 3</w:t>
            </w:r>
            <w:r>
              <w:rPr>
                <w:rFonts w:hAnsi="宋体"/>
                <w:u w:val="single"/>
              </w:rPr>
              <w:t xml:space="preserve"> </w:t>
            </w:r>
            <w:r>
              <w:rPr>
                <w:rFonts w:hAnsi="宋体"/>
              </w:rPr>
              <w:t>名</w:t>
            </w:r>
          </w:p>
          <w:p w14:paraId="28D2643E">
            <w:pPr>
              <w:snapToGrid w:val="0"/>
              <w:spacing w:line="360" w:lineRule="auto"/>
              <w:rPr>
                <w:rFonts w:hint="eastAsia" w:ascii="宋体" w:hAnsi="宋体" w:cs="宋体"/>
                <w:szCs w:val="21"/>
                <w:u w:val="single"/>
              </w:rPr>
            </w:pPr>
            <w:r>
              <w:rPr>
                <w:rFonts w:hint="eastAsia" w:ascii="宋体" w:hAnsi="宋体"/>
                <w:szCs w:val="21"/>
              </w:rPr>
              <w:t>□</w:t>
            </w:r>
            <w:r>
              <w:rPr>
                <w:rFonts w:hint="eastAsia" w:hAnsi="宋体"/>
              </w:rPr>
              <w:t>根据总得分由高到低（综合评分法）排列次序并全部推荐为中标候选人</w:t>
            </w:r>
          </w:p>
        </w:tc>
      </w:tr>
      <w:tr w14:paraId="08384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8251AA8">
            <w:pPr>
              <w:spacing w:line="360" w:lineRule="auto"/>
              <w:jc w:val="center"/>
              <w:rPr>
                <w:rFonts w:hint="eastAsia" w:ascii="宋体" w:hAnsi="宋体"/>
                <w:szCs w:val="21"/>
              </w:rPr>
            </w:pPr>
            <w:r>
              <w:rPr>
                <w:rFonts w:hint="eastAsia" w:ascii="宋体" w:hAnsi="宋体"/>
                <w:szCs w:val="21"/>
              </w:rPr>
              <w:t>30</w:t>
            </w:r>
            <w:r>
              <w:rPr>
                <w:rFonts w:ascii="宋体" w:hAnsi="宋体"/>
                <w:szCs w:val="21"/>
              </w:rPr>
              <w:t>.1</w:t>
            </w:r>
          </w:p>
        </w:tc>
        <w:tc>
          <w:tcPr>
            <w:tcW w:w="8285" w:type="dxa"/>
            <w:tcBorders>
              <w:top w:val="single" w:color="auto" w:sz="4" w:space="0"/>
              <w:left w:val="single" w:color="auto" w:sz="4" w:space="0"/>
              <w:bottom w:val="single" w:color="auto" w:sz="4" w:space="0"/>
              <w:right w:val="single" w:color="auto" w:sz="4" w:space="0"/>
            </w:tcBorders>
            <w:vAlign w:val="center"/>
          </w:tcPr>
          <w:p w14:paraId="52DD4661">
            <w:pPr>
              <w:autoSpaceDE w:val="0"/>
              <w:autoSpaceDN w:val="0"/>
              <w:snapToGrid w:val="0"/>
              <w:spacing w:line="360" w:lineRule="auto"/>
              <w:textAlignment w:val="bottom"/>
              <w:rPr>
                <w:rFonts w:hint="eastAsia" w:ascii="宋体" w:hAnsi="宋体"/>
                <w:szCs w:val="21"/>
              </w:rPr>
            </w:pPr>
            <w:r>
              <w:rPr>
                <w:rFonts w:hint="eastAsia" w:ascii="宋体" w:hAnsi="宋体"/>
                <w:szCs w:val="21"/>
              </w:rPr>
              <w:t>采用综合评分法的采购项目，采购人确定中标人时，出现中标候选人并列的情形，采购人按以下的方式确定中标人：</w:t>
            </w:r>
          </w:p>
          <w:p w14:paraId="3C86B468">
            <w:pPr>
              <w:autoSpaceDE w:val="0"/>
              <w:autoSpaceDN w:val="0"/>
              <w:snapToGrid w:val="0"/>
              <w:spacing w:line="360" w:lineRule="auto"/>
              <w:textAlignment w:val="bottom"/>
              <w:rPr>
                <w:rFonts w:hint="eastAsia" w:ascii="宋体" w:hAnsi="宋体"/>
                <w:szCs w:val="21"/>
              </w:rPr>
            </w:pPr>
            <w:r>
              <w:rPr>
                <w:rFonts w:hint="eastAsia" w:ascii="宋体" w:hAnsi="宋体"/>
                <w:sz w:val="18"/>
                <w:szCs w:val="18"/>
                <w:bdr w:val="single" w:color="auto" w:sz="4" w:space="0"/>
              </w:rPr>
              <w:t>√</w:t>
            </w:r>
            <w:r>
              <w:rPr>
                <w:rFonts w:hint="eastAsia" w:ascii="宋体" w:hAnsi="宋体"/>
                <w:szCs w:val="21"/>
              </w:rPr>
              <w:t>依次按投标报价低的优先、政策分得分高的优先、技术评分高的优先、商务评分高的优先、质保期长优先、交货期短优先、故障响应时间短优先的顺序确定；</w:t>
            </w:r>
          </w:p>
          <w:p w14:paraId="4D32C5FA">
            <w:pPr>
              <w:autoSpaceDE w:val="0"/>
              <w:autoSpaceDN w:val="0"/>
              <w:snapToGrid w:val="0"/>
              <w:spacing w:line="360" w:lineRule="auto"/>
              <w:textAlignment w:val="bottom"/>
              <w:rPr>
                <w:rFonts w:hint="eastAsia" w:ascii="宋体" w:hAnsi="宋体"/>
                <w:szCs w:val="21"/>
              </w:rPr>
            </w:pPr>
            <w:r>
              <w:rPr>
                <w:rFonts w:hint="eastAsia" w:ascii="宋体" w:hAnsi="宋体"/>
                <w:szCs w:val="21"/>
              </w:rPr>
              <w:t>□随机抽取；</w:t>
            </w:r>
          </w:p>
        </w:tc>
      </w:tr>
      <w:tr w14:paraId="00F9A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07276DF">
            <w:pPr>
              <w:spacing w:line="360" w:lineRule="auto"/>
              <w:jc w:val="center"/>
              <w:rPr>
                <w:rFonts w:hint="eastAsia" w:ascii="宋体" w:hAnsi="宋体"/>
                <w:szCs w:val="21"/>
              </w:rPr>
            </w:pPr>
            <w:bookmarkStart w:id="71" w:name="_39.1"/>
            <w:bookmarkEnd w:id="71"/>
            <w:r>
              <w:rPr>
                <w:rFonts w:hint="eastAsia" w:ascii="宋体" w:hAnsi="宋体"/>
                <w:szCs w:val="21"/>
              </w:rPr>
              <w:t>35</w:t>
            </w:r>
            <w:r>
              <w:rPr>
                <w:rFonts w:ascii="宋体" w:hAnsi="宋体"/>
                <w:szCs w:val="21"/>
              </w:rPr>
              <w:t>.1</w:t>
            </w:r>
          </w:p>
        </w:tc>
        <w:tc>
          <w:tcPr>
            <w:tcW w:w="8285" w:type="dxa"/>
            <w:tcBorders>
              <w:top w:val="single" w:color="auto" w:sz="4" w:space="0"/>
              <w:left w:val="single" w:color="auto" w:sz="4" w:space="0"/>
              <w:bottom w:val="single" w:color="auto" w:sz="4" w:space="0"/>
              <w:right w:val="single" w:color="auto" w:sz="4" w:space="0"/>
            </w:tcBorders>
            <w:vAlign w:val="center"/>
          </w:tcPr>
          <w:p w14:paraId="08FD4518">
            <w:pPr>
              <w:autoSpaceDE w:val="0"/>
              <w:autoSpaceDN w:val="0"/>
              <w:snapToGrid w:val="0"/>
              <w:spacing w:line="360" w:lineRule="auto"/>
              <w:textAlignment w:val="bottom"/>
              <w:rPr>
                <w:rFonts w:hint="eastAsia" w:ascii="宋体" w:hAnsi="宋体"/>
                <w:szCs w:val="21"/>
              </w:rPr>
            </w:pPr>
            <w:r>
              <w:rPr>
                <w:rFonts w:hint="eastAsia" w:ascii="宋体" w:hAnsi="宋体"/>
                <w:szCs w:val="21"/>
              </w:rPr>
              <w:t>□本项目不收取履约保证金。</w:t>
            </w:r>
          </w:p>
          <w:p w14:paraId="5D0D81BA">
            <w:pPr>
              <w:autoSpaceDE w:val="0"/>
              <w:autoSpaceDN w:val="0"/>
              <w:snapToGrid w:val="0"/>
              <w:spacing w:line="360" w:lineRule="auto"/>
              <w:textAlignment w:val="bottom"/>
              <w:rPr>
                <w:rFonts w:hint="eastAsia" w:ascii="宋体" w:hAnsi="宋体"/>
                <w:szCs w:val="21"/>
              </w:rPr>
            </w:pPr>
            <w:r>
              <w:rPr>
                <w:rFonts w:hint="eastAsia" w:ascii="宋体" w:hAnsi="宋体"/>
                <w:sz w:val="18"/>
                <w:szCs w:val="18"/>
                <w:bdr w:val="single" w:color="auto" w:sz="4" w:space="0"/>
              </w:rPr>
              <w:t>√</w:t>
            </w:r>
            <w:r>
              <w:rPr>
                <w:rFonts w:hint="eastAsia" w:ascii="宋体" w:hAnsi="宋体"/>
                <w:szCs w:val="21"/>
              </w:rPr>
              <w:t>本项目收取履约保证金，具体规定如下：</w:t>
            </w:r>
          </w:p>
          <w:p w14:paraId="1C969864">
            <w:pPr>
              <w:pStyle w:val="16"/>
              <w:spacing w:line="360" w:lineRule="auto"/>
              <w:rPr>
                <w:rFonts w:hint="eastAsia" w:ascii="宋体" w:hAnsi="宋体"/>
                <w:szCs w:val="21"/>
              </w:rPr>
            </w:pPr>
            <w:r>
              <w:rPr>
                <w:rFonts w:hint="eastAsia" w:ascii="宋体" w:hAnsi="宋体"/>
                <w:iCs/>
                <w:szCs w:val="21"/>
              </w:rPr>
              <w:t>详见</w:t>
            </w:r>
            <w:r>
              <w:rPr>
                <w:rFonts w:hint="eastAsia" w:ascii="宋体" w:hAnsi="宋体"/>
                <w:szCs w:val="21"/>
              </w:rPr>
              <w:t>第二章</w:t>
            </w:r>
            <w:r>
              <w:rPr>
                <w:rFonts w:ascii="宋体" w:hAnsi="宋体"/>
                <w:szCs w:val="21"/>
              </w:rPr>
              <w:t xml:space="preserve">  </w:t>
            </w:r>
            <w:r>
              <w:rPr>
                <w:rFonts w:hint="eastAsia" w:ascii="宋体" w:hAnsi="宋体"/>
                <w:szCs w:val="21"/>
              </w:rPr>
              <w:t>采购需求“商务要求”约定。</w:t>
            </w:r>
          </w:p>
          <w:p w14:paraId="747FC5F2">
            <w:pPr>
              <w:pStyle w:val="16"/>
              <w:spacing w:line="360" w:lineRule="auto"/>
              <w:rPr>
                <w:rFonts w:hint="eastAsia" w:ascii="宋体" w:hAnsi="宋体" w:cs="Courier New"/>
                <w:szCs w:val="21"/>
              </w:rPr>
            </w:pPr>
            <w:r>
              <w:rPr>
                <w:rFonts w:ascii="宋体" w:hAnsi="宋体" w:cs="Courier New"/>
                <w:szCs w:val="21"/>
              </w:rPr>
              <w:t>备注：</w:t>
            </w:r>
          </w:p>
          <w:p w14:paraId="7BB5D59B">
            <w:pPr>
              <w:spacing w:line="360" w:lineRule="auto"/>
              <w:jc w:val="left"/>
              <w:rPr>
                <w:rFonts w:hint="eastAsia" w:ascii="宋体" w:hAnsi="宋体"/>
                <w:b/>
                <w:szCs w:val="21"/>
              </w:rPr>
            </w:pPr>
            <w:r>
              <w:rPr>
                <w:rFonts w:ascii="宋体" w:hAnsi="宋体"/>
                <w:b/>
                <w:szCs w:val="21"/>
              </w:rPr>
              <w:t>1.</w:t>
            </w:r>
            <w:r>
              <w:rPr>
                <w:rFonts w:hint="eastAsia" w:ascii="宋体" w:hAnsi="宋体"/>
                <w:b/>
                <w:szCs w:val="21"/>
              </w:rPr>
              <w:t xml:space="preserve"> </w:t>
            </w:r>
            <w:bookmarkStart w:id="72" w:name="_Hlk54170335"/>
            <w:r>
              <w:rPr>
                <w:rFonts w:hint="eastAsia" w:ascii="宋体" w:hAnsi="宋体"/>
                <w:b/>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kern w:val="0"/>
                <w:sz w:val="24"/>
              </w:rPr>
              <w:t>。</w:t>
            </w:r>
            <w:bookmarkEnd w:id="72"/>
          </w:p>
          <w:p w14:paraId="1136A034">
            <w:pPr>
              <w:spacing w:line="360" w:lineRule="auto"/>
              <w:jc w:val="left"/>
              <w:rPr>
                <w:rFonts w:hint="eastAsia" w:ascii="宋体" w:hAnsi="宋体"/>
                <w:b/>
                <w:szCs w:val="21"/>
              </w:rPr>
            </w:pPr>
            <w:r>
              <w:rPr>
                <w:rFonts w:ascii="宋体" w:hAnsi="宋体"/>
                <w:b/>
                <w:szCs w:val="21"/>
              </w:rPr>
              <w:t>2.</w:t>
            </w:r>
            <w:r>
              <w:rPr>
                <w:rFonts w:hint="eastAsia" w:ascii="宋体" w:hAnsi="宋体"/>
                <w:szCs w:val="21"/>
              </w:rPr>
              <w:t xml:space="preserve"> </w:t>
            </w:r>
            <w:r>
              <w:rPr>
                <w:rFonts w:hint="eastAsia" w:ascii="宋体" w:hAnsi="宋体"/>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662C64C">
            <w:pPr>
              <w:spacing w:line="360" w:lineRule="auto"/>
              <w:jc w:val="left"/>
              <w:rPr>
                <w:rFonts w:hint="eastAsia" w:ascii="宋体" w:hAnsi="宋体"/>
                <w:b/>
                <w:szCs w:val="21"/>
              </w:rPr>
            </w:pPr>
            <w:r>
              <w:rPr>
                <w:rFonts w:ascii="宋体" w:hAnsi="宋体"/>
                <w:b/>
                <w:szCs w:val="21"/>
              </w:rPr>
              <w:t>3.采用银行、保险机构出具的保函的，必须为无条件保函，否则不予签订合同。</w:t>
            </w:r>
          </w:p>
          <w:p w14:paraId="3DC1258A">
            <w:pPr>
              <w:spacing w:line="360" w:lineRule="auto"/>
              <w:jc w:val="left"/>
              <w:rPr>
                <w:rFonts w:hint="eastAsia" w:ascii="宋体" w:hAnsi="宋体" w:cs="宋体"/>
                <w:kern w:val="0"/>
                <w:szCs w:val="21"/>
              </w:rPr>
            </w:pPr>
            <w:r>
              <w:rPr>
                <w:rFonts w:ascii="宋体" w:hAnsi="宋体"/>
                <w:b/>
                <w:szCs w:val="21"/>
              </w:rPr>
              <w:t>4.</w:t>
            </w:r>
            <w:r>
              <w:rPr>
                <w:rFonts w:hint="eastAsia" w:ascii="宋体" w:hAnsi="宋体"/>
                <w:b/>
                <w:szCs w:val="21"/>
              </w:rPr>
              <w:t>投标人为联合体的，由联合体其中一方按规定提交的履约保证金，视为有效履约保证金。</w:t>
            </w:r>
          </w:p>
        </w:tc>
      </w:tr>
      <w:tr w14:paraId="575C2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22E87A0">
            <w:pPr>
              <w:spacing w:line="360" w:lineRule="auto"/>
              <w:jc w:val="center"/>
              <w:rPr>
                <w:rFonts w:hint="eastAsia" w:ascii="宋体" w:hAnsi="宋体"/>
                <w:szCs w:val="21"/>
              </w:rPr>
            </w:pPr>
            <w:bookmarkStart w:id="73" w:name="_40.1"/>
            <w:bookmarkEnd w:id="73"/>
            <w:r>
              <w:rPr>
                <w:rFonts w:hint="eastAsia" w:ascii="宋体" w:hAnsi="宋体"/>
                <w:szCs w:val="21"/>
              </w:rPr>
              <w:t>36.1</w:t>
            </w:r>
          </w:p>
        </w:tc>
        <w:tc>
          <w:tcPr>
            <w:tcW w:w="8285" w:type="dxa"/>
            <w:tcBorders>
              <w:top w:val="single" w:color="auto" w:sz="4" w:space="0"/>
              <w:left w:val="single" w:color="auto" w:sz="4" w:space="0"/>
              <w:bottom w:val="single" w:color="auto" w:sz="4" w:space="0"/>
              <w:right w:val="single" w:color="auto" w:sz="4" w:space="0"/>
            </w:tcBorders>
            <w:vAlign w:val="center"/>
          </w:tcPr>
          <w:p w14:paraId="2D6FF795">
            <w:pPr>
              <w:autoSpaceDE w:val="0"/>
              <w:autoSpaceDN w:val="0"/>
              <w:snapToGrid w:val="0"/>
              <w:spacing w:line="360" w:lineRule="auto"/>
              <w:textAlignment w:val="bottom"/>
              <w:rPr>
                <w:rFonts w:hint="eastAsia" w:ascii="宋体" w:hAnsi="宋体"/>
                <w:szCs w:val="21"/>
              </w:rPr>
            </w:pPr>
            <w:r>
              <w:rPr>
                <w:rFonts w:hint="eastAsia" w:ascii="宋体" w:hAnsi="宋体"/>
                <w:szCs w:val="21"/>
              </w:rPr>
              <w:t xml:space="preserve">签订合同携带的证明材料： </w:t>
            </w:r>
          </w:p>
          <w:p w14:paraId="329FE453">
            <w:pPr>
              <w:autoSpaceDE w:val="0"/>
              <w:autoSpaceDN w:val="0"/>
              <w:snapToGrid w:val="0"/>
              <w:spacing w:line="360" w:lineRule="auto"/>
              <w:textAlignment w:val="bottom"/>
              <w:rPr>
                <w:rFonts w:hint="eastAsia" w:ascii="宋体" w:hAnsi="宋体"/>
                <w:szCs w:val="21"/>
              </w:rPr>
            </w:pPr>
            <w:r>
              <w:rPr>
                <w:rFonts w:hint="eastAsia" w:ascii="宋体" w:hAnsi="宋体"/>
                <w:szCs w:val="21"/>
              </w:rPr>
              <w:t>委托代理人负责签订合同的，须携带授权委托书及委托代理人身份证原件等其他资格证件。</w:t>
            </w:r>
          </w:p>
          <w:p w14:paraId="0356651A">
            <w:pPr>
              <w:autoSpaceDE w:val="0"/>
              <w:autoSpaceDN w:val="0"/>
              <w:snapToGrid w:val="0"/>
              <w:spacing w:line="360" w:lineRule="auto"/>
              <w:textAlignment w:val="bottom"/>
              <w:rPr>
                <w:rFonts w:hint="eastAsia" w:ascii="宋体" w:hAnsi="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393A0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E0AD9C4">
            <w:pPr>
              <w:spacing w:line="360" w:lineRule="auto"/>
              <w:jc w:val="center"/>
              <w:rPr>
                <w:rFonts w:hint="eastAsia" w:ascii="宋体" w:hAnsi="宋体"/>
                <w:szCs w:val="21"/>
              </w:rPr>
            </w:pPr>
            <w:r>
              <w:rPr>
                <w:rFonts w:hint="eastAsia" w:ascii="宋体" w:hAnsi="宋体"/>
                <w:szCs w:val="21"/>
              </w:rPr>
              <w:t>3</w:t>
            </w:r>
            <w:r>
              <w:rPr>
                <w:rFonts w:ascii="宋体" w:hAnsi="宋体"/>
                <w:szCs w:val="21"/>
              </w:rPr>
              <w:t>8.2</w:t>
            </w:r>
          </w:p>
        </w:tc>
        <w:tc>
          <w:tcPr>
            <w:tcW w:w="8285" w:type="dxa"/>
            <w:tcBorders>
              <w:top w:val="single" w:color="auto" w:sz="4" w:space="0"/>
              <w:left w:val="single" w:color="auto" w:sz="4" w:space="0"/>
              <w:bottom w:val="single" w:color="auto" w:sz="4" w:space="0"/>
              <w:right w:val="single" w:color="auto" w:sz="4" w:space="0"/>
            </w:tcBorders>
            <w:vAlign w:val="center"/>
          </w:tcPr>
          <w:p w14:paraId="16F49061">
            <w:pPr>
              <w:snapToGrid w:val="0"/>
              <w:spacing w:line="360" w:lineRule="auto"/>
              <w:rPr>
                <w:rFonts w:hint="eastAsia" w:ascii="宋体" w:hAnsi="宋体"/>
                <w:szCs w:val="21"/>
              </w:rPr>
            </w:pPr>
            <w:r>
              <w:rPr>
                <w:rFonts w:hint="eastAsia" w:ascii="宋体" w:hAnsi="宋体"/>
                <w:szCs w:val="21"/>
              </w:rPr>
              <w:t>接收质疑函方式：以书面形式</w:t>
            </w:r>
          </w:p>
          <w:p w14:paraId="59C47285">
            <w:pPr>
              <w:snapToGrid w:val="0"/>
              <w:spacing w:line="360" w:lineRule="auto"/>
              <w:rPr>
                <w:rFonts w:hint="eastAsia" w:ascii="宋体" w:hAnsi="宋体"/>
                <w:szCs w:val="21"/>
              </w:rPr>
            </w:pPr>
            <w:r>
              <w:rPr>
                <w:rFonts w:hint="eastAsia" w:ascii="宋体" w:hAnsi="宋体"/>
                <w:szCs w:val="21"/>
              </w:rPr>
              <w:t>质疑联系部门及联系方式：</w:t>
            </w:r>
            <w:r>
              <w:rPr>
                <w:rFonts w:hint="eastAsia" w:ascii="宋体" w:hAnsi="宋体"/>
                <w:szCs w:val="21"/>
                <w:lang w:eastAsia="zh-CN"/>
              </w:rPr>
              <w:t>广西中信恒泰工程顾问有限公司</w:t>
            </w:r>
            <w:r>
              <w:rPr>
                <w:rFonts w:hint="eastAsia" w:ascii="宋体" w:hAnsi="宋体"/>
                <w:szCs w:val="21"/>
              </w:rPr>
              <w:t>，联系电话：</w:t>
            </w:r>
            <w:r>
              <w:rPr>
                <w:rFonts w:hint="eastAsia" w:ascii="宋体" w:hAnsi="宋体"/>
                <w:szCs w:val="21"/>
                <w:lang w:eastAsia="zh-CN"/>
              </w:rPr>
              <w:t>0771-5771602</w:t>
            </w:r>
            <w:r>
              <w:rPr>
                <w:rFonts w:hint="eastAsia" w:ascii="宋体" w:hAnsi="宋体"/>
                <w:szCs w:val="21"/>
              </w:rPr>
              <w:t>，通讯地址：</w:t>
            </w:r>
            <w:r>
              <w:rPr>
                <w:rFonts w:hint="eastAsia" w:ascii="宋体" w:hAnsi="宋体"/>
                <w:szCs w:val="21"/>
                <w:lang w:eastAsia="zh-CN"/>
              </w:rPr>
              <w:t>广西南宁市青秀区云景路69号南宁轨道大厦B楼15层</w:t>
            </w:r>
            <w:r>
              <w:rPr>
                <w:rFonts w:hint="eastAsia" w:ascii="宋体" w:hAnsi="宋体"/>
                <w:szCs w:val="21"/>
              </w:rPr>
              <w:t xml:space="preserve">           </w:t>
            </w:r>
          </w:p>
          <w:p w14:paraId="53740E84">
            <w:pPr>
              <w:autoSpaceDE w:val="0"/>
              <w:autoSpaceDN w:val="0"/>
              <w:snapToGrid w:val="0"/>
              <w:spacing w:line="360" w:lineRule="auto"/>
              <w:textAlignment w:val="bottom"/>
              <w:rPr>
                <w:rFonts w:hint="eastAsia" w:ascii="宋体" w:hAnsi="宋体"/>
                <w:szCs w:val="21"/>
              </w:rPr>
            </w:pPr>
            <w:r>
              <w:rPr>
                <w:rFonts w:hint="eastAsia" w:ascii="宋体" w:hAnsi="宋体"/>
                <w:szCs w:val="21"/>
              </w:rPr>
              <w:t>业务时间：工作日每天上午</w:t>
            </w:r>
            <w:r>
              <w:rPr>
                <w:rFonts w:ascii="宋体" w:hAnsi="宋体"/>
                <w:szCs w:val="21"/>
              </w:rPr>
              <w:t>8</w:t>
            </w:r>
            <w:r>
              <w:rPr>
                <w:rFonts w:hint="eastAsia" w:ascii="宋体" w:hAnsi="宋体"/>
                <w:szCs w:val="21"/>
              </w:rPr>
              <w:t>时3</w:t>
            </w:r>
            <w:r>
              <w:rPr>
                <w:rFonts w:ascii="宋体" w:hAnsi="宋体"/>
                <w:szCs w:val="21"/>
              </w:rPr>
              <w:t>0</w:t>
            </w:r>
            <w:r>
              <w:rPr>
                <w:rFonts w:hint="eastAsia" w:ascii="宋体" w:hAnsi="宋体"/>
                <w:szCs w:val="21"/>
              </w:rPr>
              <w:t>分到</w:t>
            </w:r>
            <w:r>
              <w:rPr>
                <w:rFonts w:ascii="宋体" w:hAnsi="宋体"/>
                <w:szCs w:val="21"/>
              </w:rPr>
              <w:t>12</w:t>
            </w:r>
            <w:r>
              <w:rPr>
                <w:rFonts w:hint="eastAsia" w:ascii="宋体" w:hAnsi="宋体"/>
                <w:szCs w:val="21"/>
              </w:rPr>
              <w:t>时</w:t>
            </w:r>
            <w:r>
              <w:rPr>
                <w:rFonts w:ascii="宋体" w:hAnsi="宋体"/>
                <w:szCs w:val="21"/>
              </w:rPr>
              <w:t>00</w:t>
            </w:r>
            <w:r>
              <w:rPr>
                <w:rFonts w:hint="eastAsia" w:ascii="宋体" w:hAnsi="宋体"/>
                <w:szCs w:val="21"/>
              </w:rPr>
              <w:t>分，下午2时3</w:t>
            </w:r>
            <w:r>
              <w:rPr>
                <w:rFonts w:ascii="宋体" w:hAnsi="宋体"/>
                <w:szCs w:val="21"/>
              </w:rPr>
              <w:t>0</w:t>
            </w:r>
            <w:r>
              <w:rPr>
                <w:rFonts w:hint="eastAsia" w:ascii="宋体" w:hAnsi="宋体"/>
                <w:szCs w:val="21"/>
              </w:rPr>
              <w:t>分到5时3</w:t>
            </w:r>
            <w:r>
              <w:rPr>
                <w:rFonts w:ascii="宋体" w:hAnsi="宋体"/>
                <w:szCs w:val="21"/>
              </w:rPr>
              <w:t>0</w:t>
            </w:r>
            <w:r>
              <w:rPr>
                <w:rFonts w:hint="eastAsia" w:ascii="宋体" w:hAnsi="宋体"/>
                <w:szCs w:val="21"/>
              </w:rPr>
              <w:t>分。</w:t>
            </w:r>
          </w:p>
        </w:tc>
      </w:tr>
      <w:tr w14:paraId="5CF04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A6611CA">
            <w:pPr>
              <w:spacing w:line="360" w:lineRule="auto"/>
              <w:jc w:val="center"/>
              <w:rPr>
                <w:rFonts w:hint="eastAsia" w:ascii="宋体" w:hAnsi="宋体"/>
                <w:szCs w:val="21"/>
              </w:rPr>
            </w:pPr>
            <w:bookmarkStart w:id="74" w:name="_42"/>
            <w:bookmarkEnd w:id="74"/>
            <w:bookmarkStart w:id="75" w:name="_41"/>
            <w:bookmarkEnd w:id="75"/>
            <w:bookmarkStart w:id="76" w:name="_Hlt17709148"/>
            <w:r>
              <w:rPr>
                <w:rFonts w:hint="eastAsia" w:ascii="宋体" w:hAnsi="宋体"/>
                <w:szCs w:val="21"/>
              </w:rPr>
              <w:t>3</w:t>
            </w:r>
            <w:bookmarkEnd w:id="76"/>
            <w:r>
              <w:rPr>
                <w:rFonts w:ascii="宋体" w:hAnsi="宋体"/>
                <w:szCs w:val="21"/>
              </w:rPr>
              <w:t>9.1</w:t>
            </w:r>
          </w:p>
        </w:tc>
        <w:tc>
          <w:tcPr>
            <w:tcW w:w="8285" w:type="dxa"/>
            <w:tcBorders>
              <w:top w:val="single" w:color="auto" w:sz="4" w:space="0"/>
              <w:left w:val="single" w:color="auto" w:sz="4" w:space="0"/>
              <w:bottom w:val="single" w:color="auto" w:sz="4" w:space="0"/>
              <w:right w:val="single" w:color="auto" w:sz="4" w:space="0"/>
            </w:tcBorders>
            <w:vAlign w:val="center"/>
          </w:tcPr>
          <w:p w14:paraId="457715E1">
            <w:pPr>
              <w:pStyle w:val="25"/>
              <w:snapToGrid w:val="0"/>
              <w:spacing w:line="360" w:lineRule="auto"/>
              <w:rPr>
                <w:rFonts w:hint="eastAsia" w:hAnsi="宋体" w:cs="宋体"/>
                <w:sz w:val="21"/>
              </w:rPr>
            </w:pPr>
            <w:r>
              <w:rPr>
                <w:rFonts w:hint="eastAsia" w:hAnsi="宋体" w:cs="宋体"/>
                <w:sz w:val="21"/>
              </w:rPr>
              <w:t>1.采购代理费支付方式：</w:t>
            </w:r>
          </w:p>
          <w:p w14:paraId="3137032A">
            <w:pPr>
              <w:pStyle w:val="25"/>
              <w:snapToGrid w:val="0"/>
              <w:spacing w:line="360" w:lineRule="auto"/>
              <w:rPr>
                <w:rFonts w:hint="eastAsia" w:hAnsi="宋体" w:cs="宋体"/>
                <w:sz w:val="21"/>
              </w:rPr>
            </w:pPr>
            <w:r>
              <w:rPr>
                <w:rFonts w:hint="eastAsia" w:hAnsi="宋体"/>
                <w:sz w:val="18"/>
                <w:szCs w:val="18"/>
                <w:bdr w:val="single" w:color="auto" w:sz="4" w:space="0"/>
              </w:rPr>
              <w:t>√</w:t>
            </w:r>
            <w:r>
              <w:rPr>
                <w:rFonts w:hint="eastAsia" w:hAnsi="宋体" w:cs="宋体"/>
                <w:sz w:val="21"/>
              </w:rPr>
              <w:t>本项目代理服务费由</w:t>
            </w:r>
            <w:r>
              <w:rPr>
                <w:rFonts w:hint="eastAsia" w:hAnsi="宋体" w:cs="宋体"/>
                <w:sz w:val="21"/>
                <w:u w:val="single"/>
              </w:rPr>
              <w:t>中标人</w:t>
            </w:r>
            <w:r>
              <w:rPr>
                <w:rFonts w:hint="eastAsia" w:hAnsi="宋体" w:cs="宋体"/>
                <w:sz w:val="21"/>
              </w:rPr>
              <w:t>一次性向采购代理机构支付。</w:t>
            </w:r>
          </w:p>
          <w:p w14:paraId="7270B41B">
            <w:pPr>
              <w:pStyle w:val="25"/>
              <w:snapToGrid w:val="0"/>
              <w:spacing w:line="360" w:lineRule="auto"/>
              <w:rPr>
                <w:rFonts w:hint="eastAsia" w:hAnsi="宋体" w:cs="宋体"/>
                <w:sz w:val="21"/>
              </w:rPr>
            </w:pPr>
            <w:r>
              <w:rPr>
                <w:rFonts w:hint="eastAsia" w:hAnsi="宋体" w:cs="宋体"/>
                <w:sz w:val="21"/>
              </w:rPr>
              <w:t>□采购人支付。</w:t>
            </w:r>
          </w:p>
          <w:p w14:paraId="3C5ADE66">
            <w:pPr>
              <w:pStyle w:val="25"/>
              <w:snapToGrid w:val="0"/>
              <w:spacing w:line="360" w:lineRule="auto"/>
              <w:rPr>
                <w:rFonts w:hint="eastAsia" w:hAnsi="宋体" w:cs="宋体"/>
                <w:sz w:val="21"/>
              </w:rPr>
            </w:pPr>
            <w:r>
              <w:rPr>
                <w:rFonts w:hint="eastAsia" w:hAnsi="宋体" w:cs="宋体"/>
                <w:sz w:val="21"/>
              </w:rPr>
              <w:t>2.采购代理费收取标准：</w:t>
            </w:r>
          </w:p>
          <w:p w14:paraId="1D1F0FDE">
            <w:pPr>
              <w:pStyle w:val="25"/>
              <w:snapToGrid w:val="0"/>
              <w:spacing w:line="360" w:lineRule="auto"/>
              <w:rPr>
                <w:rFonts w:hint="eastAsia" w:hAnsi="宋体" w:cs="宋体"/>
                <w:sz w:val="21"/>
              </w:rPr>
            </w:pPr>
            <w:r>
              <w:rPr>
                <w:rFonts w:hint="eastAsia" w:hAnsi="宋体"/>
                <w:sz w:val="18"/>
                <w:szCs w:val="18"/>
                <w:bdr w:val="single" w:color="auto" w:sz="4" w:space="0"/>
              </w:rPr>
              <w:t>√</w:t>
            </w:r>
            <w:r>
              <w:rPr>
                <w:rFonts w:hint="eastAsia" w:hAnsi="宋体" w:cs="宋体"/>
                <w:sz w:val="21"/>
              </w:rPr>
              <w:t>以分标（</w:t>
            </w:r>
            <w:r>
              <w:rPr>
                <w:rFonts w:hint="eastAsia" w:hAnsi="宋体"/>
                <w:sz w:val="18"/>
                <w:szCs w:val="18"/>
                <w:bdr w:val="single" w:color="auto" w:sz="4" w:space="0"/>
              </w:rPr>
              <w:t>√</w:t>
            </w:r>
            <w:r>
              <w:rPr>
                <w:rFonts w:hint="eastAsia" w:hAnsi="宋体" w:cs="宋体"/>
                <w:sz w:val="21"/>
              </w:rPr>
              <w:t>中标金额/□采购预算/□暂定中标金额/□其他</w:t>
            </w:r>
            <w:r>
              <w:rPr>
                <w:rFonts w:hint="eastAsia" w:hAnsi="宋体" w:cs="宋体"/>
                <w:sz w:val="21"/>
                <w:u w:val="single"/>
              </w:rPr>
              <w:t xml:space="preserve"> </w:t>
            </w:r>
            <w:r>
              <w:rPr>
                <w:rFonts w:hAnsi="宋体" w:cs="宋体"/>
                <w:sz w:val="21"/>
                <w:u w:val="single"/>
              </w:rPr>
              <w:t xml:space="preserve">  </w:t>
            </w:r>
            <w:r>
              <w:rPr>
                <w:rFonts w:hint="eastAsia" w:hAnsi="宋体" w:cs="宋体"/>
                <w:sz w:val="21"/>
              </w:rPr>
              <w:t>）为计费额，按本须知正文第</w:t>
            </w:r>
            <w:r>
              <w:rPr>
                <w:rFonts w:hAnsi="宋体" w:cs="宋体"/>
                <w:sz w:val="21"/>
              </w:rPr>
              <w:t>39</w:t>
            </w:r>
            <w:r>
              <w:rPr>
                <w:rFonts w:hint="eastAsia" w:hAnsi="宋体" w:cs="宋体"/>
                <w:sz w:val="21"/>
              </w:rPr>
              <w:t>.</w:t>
            </w:r>
            <w:r>
              <w:rPr>
                <w:rFonts w:hAnsi="宋体" w:cs="宋体"/>
                <w:sz w:val="21"/>
              </w:rPr>
              <w:t>2</w:t>
            </w:r>
            <w:r>
              <w:rPr>
                <w:rFonts w:hint="eastAsia" w:hAnsi="宋体" w:cs="宋体"/>
                <w:sz w:val="21"/>
              </w:rPr>
              <w:t>条规定的收费计算标准（</w:t>
            </w:r>
            <w:r>
              <w:rPr>
                <w:rFonts w:hint="eastAsia" w:hAnsi="宋体"/>
                <w:sz w:val="18"/>
                <w:szCs w:val="18"/>
                <w:bdr w:val="single" w:color="auto" w:sz="4" w:space="0"/>
              </w:rPr>
              <w:t>√</w:t>
            </w:r>
            <w:r>
              <w:rPr>
                <w:rFonts w:hint="eastAsia" w:hAnsi="宋体" w:cs="宋体"/>
                <w:sz w:val="21"/>
              </w:rPr>
              <w:t>货物招标/□服务招标/□工程招标）采用差额定率累进法计算出收费基准价格，采购代理收费以（</w:t>
            </w:r>
            <w:r>
              <w:rPr>
                <w:rFonts w:hint="eastAsia" w:hAnsi="宋体"/>
                <w:sz w:val="18"/>
                <w:szCs w:val="18"/>
                <w:bdr w:val="single" w:color="auto" w:sz="4" w:space="0"/>
              </w:rPr>
              <w:t>√</w:t>
            </w:r>
            <w:r>
              <w:rPr>
                <w:rFonts w:hint="eastAsia" w:hAnsi="宋体" w:cs="宋体"/>
                <w:sz w:val="21"/>
              </w:rPr>
              <w:t>收费基准价格/□收费基准价格下浮</w:t>
            </w:r>
            <w:r>
              <w:rPr>
                <w:rFonts w:hint="eastAsia" w:hAnsi="宋体" w:cs="宋体"/>
                <w:sz w:val="21"/>
                <w:u w:val="single"/>
              </w:rPr>
              <w:t xml:space="preserve">  %</w:t>
            </w:r>
            <w:r>
              <w:rPr>
                <w:rFonts w:hAnsi="宋体" w:cs="宋体"/>
                <w:sz w:val="21"/>
              </w:rPr>
              <w:t>/</w:t>
            </w:r>
            <w:r>
              <w:rPr>
                <w:rFonts w:hint="eastAsia" w:hAnsi="宋体" w:cs="宋体"/>
                <w:sz w:val="21"/>
              </w:rPr>
              <w:t>□收费基准价格上浮</w:t>
            </w:r>
            <w:r>
              <w:rPr>
                <w:rFonts w:hint="eastAsia" w:hAnsi="宋体" w:cs="宋体"/>
                <w:sz w:val="21"/>
                <w:u w:val="single"/>
              </w:rPr>
              <w:t xml:space="preserve"> </w:t>
            </w:r>
            <w:r>
              <w:rPr>
                <w:rFonts w:hAnsi="宋体" w:cs="宋体"/>
                <w:sz w:val="21"/>
                <w:u w:val="single"/>
              </w:rPr>
              <w:t xml:space="preserve">  </w:t>
            </w:r>
            <w:r>
              <w:rPr>
                <w:rFonts w:hint="eastAsia" w:hAnsi="宋体" w:cs="宋体"/>
                <w:sz w:val="21"/>
                <w:u w:val="single"/>
              </w:rPr>
              <w:t>%</w:t>
            </w:r>
            <w:r>
              <w:rPr>
                <w:rFonts w:hint="eastAsia" w:hAnsi="宋体" w:cs="宋体"/>
                <w:sz w:val="21"/>
              </w:rPr>
              <w:t>）收取。</w:t>
            </w:r>
          </w:p>
          <w:p w14:paraId="36467E7A">
            <w:pPr>
              <w:pStyle w:val="25"/>
              <w:snapToGrid w:val="0"/>
              <w:spacing w:line="360" w:lineRule="auto"/>
              <w:rPr>
                <w:rFonts w:hint="eastAsia" w:hAnsi="宋体" w:cs="宋体"/>
                <w:sz w:val="21"/>
                <w:u w:val="single"/>
              </w:rPr>
            </w:pPr>
            <w:r>
              <w:rPr>
                <w:rFonts w:hint="eastAsia" w:hAnsi="宋体" w:cs="宋体"/>
                <w:sz w:val="21"/>
              </w:rPr>
              <w:t>□固定采购代理收费</w:t>
            </w:r>
            <w:r>
              <w:rPr>
                <w:rFonts w:hint="eastAsia" w:hAnsi="宋体" w:cs="宋体"/>
                <w:sz w:val="21"/>
                <w:u w:val="single"/>
              </w:rPr>
              <w:t xml:space="preserve">              。</w:t>
            </w:r>
          </w:p>
          <w:p w14:paraId="7F6FC325">
            <w:pPr>
              <w:pStyle w:val="25"/>
              <w:snapToGrid w:val="0"/>
              <w:spacing w:line="360" w:lineRule="auto"/>
              <w:rPr>
                <w:rFonts w:hint="eastAsia" w:hAnsi="宋体" w:eastAsia="宋体" w:cs="宋体"/>
                <w:sz w:val="21"/>
                <w:lang w:eastAsia="zh-CN"/>
              </w:rPr>
            </w:pPr>
            <w:r>
              <w:rPr>
                <w:rFonts w:hint="eastAsia" w:hAnsi="宋体" w:cs="宋体"/>
                <w:sz w:val="21"/>
              </w:rPr>
              <w:t>3.账户名称：</w:t>
            </w:r>
            <w:r>
              <w:rPr>
                <w:rFonts w:hint="eastAsia" w:hAnsi="宋体" w:cs="宋体"/>
                <w:sz w:val="21"/>
                <w:lang w:eastAsia="zh-CN"/>
              </w:rPr>
              <w:t>广西中信恒泰工程顾问有限公司</w:t>
            </w:r>
          </w:p>
          <w:p w14:paraId="15DCF3BD">
            <w:pPr>
              <w:pStyle w:val="25"/>
              <w:snapToGrid w:val="0"/>
              <w:spacing w:line="360" w:lineRule="auto"/>
              <w:rPr>
                <w:rFonts w:hint="eastAsia" w:hAnsi="宋体" w:eastAsia="宋体" w:cs="宋体"/>
                <w:sz w:val="21"/>
                <w:lang w:eastAsia="zh-CN"/>
              </w:rPr>
            </w:pPr>
            <w:r>
              <w:rPr>
                <w:rFonts w:hint="eastAsia" w:hAnsi="宋体" w:cs="宋体"/>
                <w:sz w:val="21"/>
              </w:rPr>
              <w:t>开户银行：</w:t>
            </w:r>
            <w:r>
              <w:rPr>
                <w:rFonts w:hint="eastAsia" w:hAnsi="宋体" w:cs="宋体"/>
                <w:sz w:val="21"/>
                <w:lang w:eastAsia="zh-CN"/>
              </w:rPr>
              <w:t>建行南宁市金湖广场支行</w:t>
            </w:r>
          </w:p>
          <w:p w14:paraId="4A161B4A">
            <w:pPr>
              <w:pStyle w:val="25"/>
              <w:snapToGrid w:val="0"/>
              <w:spacing w:line="360" w:lineRule="auto"/>
              <w:rPr>
                <w:rFonts w:hint="eastAsia" w:hAnsi="宋体" w:cs="宋体"/>
                <w:sz w:val="21"/>
              </w:rPr>
            </w:pPr>
            <w:r>
              <w:rPr>
                <w:rFonts w:hint="eastAsia" w:hAnsi="宋体" w:cs="宋体"/>
                <w:sz w:val="21"/>
              </w:rPr>
              <w:t>银行账号：</w:t>
            </w:r>
            <w:r>
              <w:rPr>
                <w:rFonts w:hint="eastAsia" w:hAnsi="宋体" w:cs="宋体"/>
                <w:sz w:val="21"/>
                <w:lang w:eastAsia="zh-CN"/>
              </w:rPr>
              <w:t>45001604266052502851</w:t>
            </w:r>
          </w:p>
        </w:tc>
      </w:tr>
      <w:tr w14:paraId="1A251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95B8009">
            <w:pPr>
              <w:snapToGrid w:val="0"/>
              <w:spacing w:line="360" w:lineRule="auto"/>
              <w:jc w:val="center"/>
              <w:rPr>
                <w:rFonts w:hint="eastAsia" w:ascii="宋体" w:hAnsi="宋体"/>
                <w:szCs w:val="21"/>
              </w:rPr>
            </w:pPr>
            <w:r>
              <w:rPr>
                <w:rFonts w:ascii="宋体" w:hAnsi="宋体"/>
                <w:szCs w:val="21"/>
              </w:rPr>
              <w:t>40.1</w:t>
            </w:r>
          </w:p>
        </w:tc>
        <w:tc>
          <w:tcPr>
            <w:tcW w:w="8285" w:type="dxa"/>
            <w:tcBorders>
              <w:top w:val="single" w:color="auto" w:sz="4" w:space="0"/>
              <w:left w:val="single" w:color="auto" w:sz="4" w:space="0"/>
              <w:bottom w:val="single" w:color="auto" w:sz="4" w:space="0"/>
              <w:right w:val="single" w:color="auto" w:sz="4" w:space="0"/>
            </w:tcBorders>
            <w:vAlign w:val="center"/>
          </w:tcPr>
          <w:p w14:paraId="6B7456D1">
            <w:pPr>
              <w:snapToGrid w:val="0"/>
              <w:spacing w:line="360" w:lineRule="auto"/>
              <w:rPr>
                <w:rFonts w:hint="eastAsia" w:ascii="宋体" w:hAnsi="宋体"/>
                <w:szCs w:val="21"/>
              </w:rPr>
            </w:pPr>
            <w:r>
              <w:rPr>
                <w:rFonts w:hint="eastAsia" w:ascii="宋体" w:hAnsi="宋体"/>
                <w:szCs w:val="21"/>
              </w:rPr>
              <w:t>解释：</w:t>
            </w:r>
            <w:r>
              <w:rPr>
                <w:rFonts w:ascii="宋体" w:hAnsi="宋体"/>
                <w:szCs w:val="21"/>
              </w:rPr>
              <w:t>构成本招标文件的各个组成文件应互为解释，互为说明；除招标文件中有特别规定外，仅适用于招标投标阶段的规定，按</w:t>
            </w:r>
            <w:r>
              <w:rPr>
                <w:rFonts w:hint="eastAsia" w:ascii="宋体" w:hAnsi="宋体"/>
                <w:szCs w:val="21"/>
              </w:rPr>
              <w:t>更正公告（澄清公告）</w:t>
            </w:r>
            <w:r>
              <w:rPr>
                <w:rFonts w:ascii="宋体" w:hAnsi="宋体"/>
                <w:szCs w:val="21"/>
              </w:rPr>
              <w:t>、招标公告、</w:t>
            </w:r>
            <w:r>
              <w:rPr>
                <w:rFonts w:hint="eastAsia" w:ascii="宋体" w:hAnsi="宋体"/>
                <w:szCs w:val="21"/>
              </w:rPr>
              <w:t>采购需求、</w:t>
            </w:r>
            <w:r>
              <w:rPr>
                <w:rFonts w:ascii="宋体" w:hAnsi="宋体"/>
                <w:szCs w:val="21"/>
              </w:rPr>
              <w:t>投标人须知、</w:t>
            </w:r>
            <w:r>
              <w:rPr>
                <w:rFonts w:hint="eastAsia" w:ascii="宋体" w:hAnsi="宋体"/>
                <w:szCs w:val="21"/>
              </w:rPr>
              <w:t>评标方法及评标标准</w:t>
            </w:r>
            <w:r>
              <w:rPr>
                <w:rFonts w:ascii="宋体" w:hAnsi="宋体"/>
                <w:szCs w:val="21"/>
              </w:rPr>
              <w:t>、</w:t>
            </w:r>
            <w:r>
              <w:rPr>
                <w:rFonts w:hint="eastAsia" w:ascii="宋体" w:hAnsi="宋体"/>
                <w:szCs w:val="21"/>
              </w:rPr>
              <w:t>拟签订的合同文本、</w:t>
            </w:r>
            <w:r>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szCs w:val="21"/>
              </w:rPr>
              <w:t>更正公告（澄清公告）</w:t>
            </w:r>
            <w:r>
              <w:rPr>
                <w:rFonts w:ascii="宋体" w:hAnsi="宋体"/>
                <w:szCs w:val="21"/>
              </w:rPr>
              <w:t>与同步更新的招标文件不一致时以</w:t>
            </w:r>
            <w:r>
              <w:rPr>
                <w:rFonts w:hint="eastAsia" w:ascii="宋体" w:hAnsi="宋体"/>
                <w:szCs w:val="21"/>
              </w:rPr>
              <w:t>更正公告（澄清公告）</w:t>
            </w:r>
            <w:r>
              <w:rPr>
                <w:rFonts w:ascii="宋体" w:hAnsi="宋体"/>
                <w:szCs w:val="21"/>
              </w:rPr>
              <w:t>为准。按本款前述规定仍不能形成结论的，由</w:t>
            </w:r>
            <w:r>
              <w:rPr>
                <w:rFonts w:hint="eastAsia" w:ascii="宋体" w:hAnsi="宋体"/>
                <w:szCs w:val="21"/>
              </w:rPr>
              <w:t>采购</w:t>
            </w:r>
            <w:r>
              <w:rPr>
                <w:rFonts w:ascii="宋体" w:hAnsi="宋体"/>
                <w:szCs w:val="21"/>
              </w:rPr>
              <w:t>人</w:t>
            </w:r>
            <w:r>
              <w:rPr>
                <w:rFonts w:hint="eastAsia" w:ascii="宋体" w:hAnsi="宋体"/>
                <w:szCs w:val="21"/>
              </w:rPr>
              <w:t>或者采购代理机构</w:t>
            </w:r>
            <w:r>
              <w:rPr>
                <w:rFonts w:ascii="宋体" w:hAnsi="宋体"/>
                <w:szCs w:val="21"/>
              </w:rPr>
              <w:t>负责解释。</w:t>
            </w:r>
          </w:p>
        </w:tc>
      </w:tr>
      <w:tr w14:paraId="761AC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BCB8A84">
            <w:pPr>
              <w:snapToGrid w:val="0"/>
              <w:spacing w:line="360" w:lineRule="auto"/>
              <w:jc w:val="center"/>
              <w:rPr>
                <w:rFonts w:hint="eastAsia" w:ascii="宋体" w:hAnsi="宋体"/>
                <w:szCs w:val="21"/>
              </w:rPr>
            </w:pPr>
            <w:r>
              <w:rPr>
                <w:rFonts w:ascii="宋体" w:hAnsi="宋体"/>
                <w:szCs w:val="21"/>
              </w:rPr>
              <w:t>40.2</w:t>
            </w:r>
          </w:p>
        </w:tc>
        <w:tc>
          <w:tcPr>
            <w:tcW w:w="8285" w:type="dxa"/>
            <w:tcBorders>
              <w:top w:val="single" w:color="auto" w:sz="4" w:space="0"/>
              <w:left w:val="single" w:color="auto" w:sz="4" w:space="0"/>
              <w:bottom w:val="single" w:color="auto" w:sz="4" w:space="0"/>
              <w:right w:val="single" w:color="auto" w:sz="4" w:space="0"/>
            </w:tcBorders>
            <w:vAlign w:val="center"/>
          </w:tcPr>
          <w:p w14:paraId="379986C5">
            <w:pPr>
              <w:pStyle w:val="25"/>
              <w:snapToGrid w:val="0"/>
              <w:spacing w:line="360" w:lineRule="auto"/>
              <w:rPr>
                <w:rFonts w:hint="eastAsia" w:hAnsi="宋体" w:cs="宋体"/>
                <w:bCs/>
                <w:sz w:val="21"/>
              </w:rPr>
            </w:pPr>
            <w:r>
              <w:rPr>
                <w:rFonts w:hint="eastAsia" w:hAnsi="宋体" w:cs="宋体"/>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F264996">
            <w:pPr>
              <w:pStyle w:val="25"/>
              <w:snapToGrid w:val="0"/>
              <w:spacing w:line="360" w:lineRule="auto"/>
              <w:rPr>
                <w:rFonts w:hint="eastAsia" w:hAnsi="宋体" w:cs="宋体"/>
                <w:bCs/>
                <w:sz w:val="21"/>
              </w:rPr>
            </w:pPr>
            <w:r>
              <w:rPr>
                <w:rFonts w:hint="eastAsia" w:hAnsi="宋体" w:cs="宋体"/>
                <w:bCs/>
                <w:sz w:val="21"/>
              </w:rPr>
              <w:t>2.本招标文件所称的“</w:t>
            </w:r>
            <w:r>
              <w:rPr>
                <w:rFonts w:hint="eastAsia" w:hAnsi="宋体"/>
                <w:sz w:val="21"/>
              </w:rPr>
              <w:t>电子签章”“</w:t>
            </w:r>
            <w:r>
              <w:rPr>
                <w:rFonts w:hint="eastAsia" w:hAnsi="宋体" w:cs="宋体"/>
                <w:bCs/>
                <w:sz w:val="21"/>
              </w:rPr>
              <w:t>电子签名”</w:t>
            </w:r>
            <w:r>
              <w:rPr>
                <w:rFonts w:hint="eastAsia" w:hAnsi="宋体"/>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64F61A20">
            <w:pPr>
              <w:pStyle w:val="25"/>
              <w:snapToGrid w:val="0"/>
              <w:spacing w:line="360" w:lineRule="auto"/>
              <w:rPr>
                <w:rFonts w:hint="eastAsia" w:hAnsi="宋体" w:cs="宋体"/>
                <w:bCs/>
                <w:sz w:val="21"/>
              </w:rPr>
            </w:pPr>
            <w:r>
              <w:rPr>
                <w:rFonts w:hint="eastAsia" w:hAnsi="宋体" w:cs="宋体"/>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1B7E8476">
            <w:pPr>
              <w:pStyle w:val="25"/>
              <w:snapToGrid w:val="0"/>
              <w:spacing w:line="360" w:lineRule="auto"/>
              <w:rPr>
                <w:rFonts w:hint="eastAsia" w:hAnsi="宋体" w:cs="宋体"/>
                <w:bCs/>
                <w:sz w:val="21"/>
              </w:rPr>
            </w:pPr>
            <w:r>
              <w:rPr>
                <w:rFonts w:hint="eastAsia" w:hAnsi="宋体" w:cs="宋体"/>
                <w:bCs/>
                <w:sz w:val="21"/>
              </w:rPr>
              <w:t>4.本招标文件中描述投标人的“签字”是指投标人的法定代表人或者委托代理人亲自在文件规定签字处亲笔写上个人的名字的行为，私章、签字章、印鉴、影印等其他形式均不能代替亲笔签字。</w:t>
            </w:r>
          </w:p>
          <w:p w14:paraId="3B284E1B">
            <w:pPr>
              <w:pStyle w:val="25"/>
              <w:snapToGrid w:val="0"/>
              <w:spacing w:line="360" w:lineRule="auto"/>
              <w:rPr>
                <w:sz w:val="21"/>
              </w:rPr>
            </w:pPr>
            <w:r>
              <w:rPr>
                <w:rFonts w:hint="eastAsia" w:hAnsi="宋体" w:cs="宋体"/>
                <w:bCs/>
                <w:sz w:val="21"/>
              </w:rPr>
              <w:t>5.本招标文件所称的“以上”“以下”“以内”“届满”，包括本数；所称的“不满”“超过”“以外”，不包括本数。</w:t>
            </w:r>
          </w:p>
        </w:tc>
      </w:tr>
    </w:tbl>
    <w:p w14:paraId="6B9134EE">
      <w:pPr>
        <w:snapToGrid w:val="0"/>
        <w:rPr>
          <w:rFonts w:hint="eastAsia" w:ascii="宋体" w:hAnsi="宋体"/>
          <w:sz w:val="24"/>
          <w:szCs w:val="20"/>
        </w:rPr>
      </w:pPr>
    </w:p>
    <w:p w14:paraId="687F989F">
      <w:pPr>
        <w:snapToGrid w:val="0"/>
        <w:rPr>
          <w:rFonts w:hint="eastAsia" w:ascii="宋体" w:hAnsi="宋体"/>
          <w:sz w:val="24"/>
          <w:szCs w:val="20"/>
        </w:rPr>
      </w:pPr>
    </w:p>
    <w:p w14:paraId="5C4415E3">
      <w:pPr>
        <w:pStyle w:val="5"/>
        <w:keepNext w:val="0"/>
        <w:keepLines w:val="0"/>
        <w:jc w:val="center"/>
      </w:pPr>
      <w:r>
        <w:br w:type="page"/>
      </w:r>
      <w:r>
        <w:rPr>
          <w:rFonts w:hint="eastAsia"/>
        </w:rPr>
        <w:t>投标人须知正文</w:t>
      </w:r>
    </w:p>
    <w:p w14:paraId="242371BC">
      <w:pPr>
        <w:pStyle w:val="5"/>
        <w:keepNext w:val="0"/>
        <w:keepLines w:val="0"/>
        <w:jc w:val="center"/>
      </w:pPr>
      <w:r>
        <w:rPr>
          <w:rFonts w:hint="eastAsia"/>
        </w:rPr>
        <w:t>一、总  则</w:t>
      </w:r>
    </w:p>
    <w:p w14:paraId="0FB32EFA">
      <w:pPr>
        <w:pStyle w:val="6"/>
        <w:keepNext w:val="0"/>
        <w:keepLines w:val="0"/>
        <w:spacing w:before="0" w:after="0" w:line="360" w:lineRule="auto"/>
        <w:ind w:left="420" w:leftChars="200"/>
        <w:rPr>
          <w:rFonts w:hint="eastAsia" w:ascii="黑体" w:hAnsi="黑体" w:eastAsia="黑体"/>
          <w:sz w:val="24"/>
        </w:rPr>
      </w:pPr>
      <w:bookmarkStart w:id="77" w:name="_Toc254970527"/>
      <w:bookmarkStart w:id="78" w:name="_Toc254970668"/>
      <w:r>
        <w:rPr>
          <w:rFonts w:hint="eastAsia" w:ascii="黑体" w:hAnsi="黑体" w:eastAsia="黑体"/>
          <w:sz w:val="24"/>
        </w:rPr>
        <w:t>1.适用范围</w:t>
      </w:r>
      <w:bookmarkEnd w:id="77"/>
      <w:bookmarkEnd w:id="78"/>
    </w:p>
    <w:p w14:paraId="1DF28AEF">
      <w:pPr>
        <w:snapToGrid w:val="0"/>
        <w:spacing w:line="360" w:lineRule="auto"/>
        <w:ind w:firstLine="420" w:firstLineChars="200"/>
        <w:jc w:val="left"/>
        <w:rPr>
          <w:rFonts w:hint="eastAsia" w:ascii="宋体" w:hAnsi="宋体"/>
          <w:szCs w:val="21"/>
        </w:rPr>
      </w:pPr>
      <w:r>
        <w:rPr>
          <w:rFonts w:hint="eastAsia" w:ascii="宋体" w:hAnsi="宋体"/>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49F9D39B">
      <w:pPr>
        <w:snapToGrid w:val="0"/>
        <w:spacing w:line="360" w:lineRule="auto"/>
        <w:ind w:firstLine="420" w:firstLineChars="200"/>
        <w:jc w:val="left"/>
        <w:rPr>
          <w:rFonts w:hint="eastAsia" w:ascii="宋体" w:hAnsi="宋体" w:cs="宋体"/>
          <w:spacing w:val="-6"/>
          <w:szCs w:val="21"/>
        </w:rPr>
      </w:pPr>
      <w:r>
        <w:rPr>
          <w:rFonts w:hint="eastAsia" w:ascii="宋体" w:hAnsi="宋体"/>
          <w:szCs w:val="21"/>
        </w:rPr>
        <w:t>1.2本招标文件</w:t>
      </w:r>
      <w:r>
        <w:rPr>
          <w:rFonts w:hint="eastAsia" w:ascii="宋体" w:hAnsi="宋体" w:cs="宋体"/>
          <w:spacing w:val="-6"/>
          <w:szCs w:val="21"/>
        </w:rPr>
        <w:t>适用于本项目的所有采购程序和环节（法律、法规另有规定的，从其规定）。</w:t>
      </w:r>
    </w:p>
    <w:p w14:paraId="399761AB">
      <w:pPr>
        <w:pStyle w:val="6"/>
        <w:keepNext w:val="0"/>
        <w:keepLines w:val="0"/>
        <w:spacing w:before="0" w:after="0" w:line="360" w:lineRule="auto"/>
        <w:ind w:left="420" w:leftChars="200"/>
        <w:rPr>
          <w:rFonts w:hint="eastAsia" w:ascii="黑体" w:hAnsi="黑体" w:eastAsia="黑体"/>
          <w:sz w:val="24"/>
        </w:rPr>
      </w:pPr>
      <w:bookmarkStart w:id="79" w:name="_Toc254970528"/>
      <w:bookmarkStart w:id="80" w:name="_Toc254970669"/>
      <w:r>
        <w:rPr>
          <w:rFonts w:hint="eastAsia" w:ascii="黑体" w:hAnsi="黑体" w:eastAsia="黑体"/>
          <w:sz w:val="24"/>
        </w:rPr>
        <w:t>2.定义</w:t>
      </w:r>
      <w:bookmarkEnd w:id="79"/>
      <w:bookmarkEnd w:id="80"/>
    </w:p>
    <w:p w14:paraId="69ADF090">
      <w:pPr>
        <w:snapToGrid w:val="0"/>
        <w:spacing w:line="360" w:lineRule="auto"/>
        <w:ind w:firstLine="420" w:firstLineChars="200"/>
        <w:jc w:val="left"/>
        <w:rPr>
          <w:rFonts w:hint="eastAsia" w:ascii="宋体" w:hAnsi="宋体"/>
          <w:szCs w:val="21"/>
        </w:rPr>
      </w:pPr>
      <w:r>
        <w:rPr>
          <w:rFonts w:hint="eastAsia" w:ascii="宋体" w:hAnsi="宋体"/>
          <w:szCs w:val="21"/>
        </w:rPr>
        <w:t>2.1“采购人”是指依法进行政府采购的国家机关、事业单位、团体组织。</w:t>
      </w:r>
    </w:p>
    <w:p w14:paraId="28958A95">
      <w:pPr>
        <w:snapToGrid w:val="0"/>
        <w:spacing w:line="360" w:lineRule="auto"/>
        <w:ind w:firstLine="420" w:firstLineChars="200"/>
        <w:jc w:val="left"/>
        <w:rPr>
          <w:rFonts w:hint="eastAsia" w:ascii="宋体" w:hAnsi="宋体"/>
          <w:szCs w:val="21"/>
        </w:rPr>
      </w:pPr>
      <w:r>
        <w:rPr>
          <w:rFonts w:hint="eastAsia" w:ascii="宋体" w:hAnsi="宋体"/>
          <w:szCs w:val="21"/>
        </w:rPr>
        <w:t>2.2“采购代理机构”是指政府采购集中采购机构和集中采购机构以外的采购代理机构。</w:t>
      </w:r>
    </w:p>
    <w:p w14:paraId="7DC532C6">
      <w:pPr>
        <w:snapToGrid w:val="0"/>
        <w:spacing w:line="360" w:lineRule="auto"/>
        <w:ind w:firstLine="420" w:firstLineChars="200"/>
        <w:jc w:val="left"/>
        <w:rPr>
          <w:rFonts w:hint="eastAsia" w:ascii="宋体" w:hAnsi="宋体"/>
          <w:szCs w:val="21"/>
        </w:rPr>
      </w:pPr>
      <w:r>
        <w:rPr>
          <w:rFonts w:hint="eastAsia" w:ascii="宋体" w:hAnsi="宋体"/>
          <w:szCs w:val="21"/>
        </w:rPr>
        <w:t>2.3“供应商”是指向采购人提供货物、工程或者服务的法人、其他组织或者自然人。</w:t>
      </w:r>
    </w:p>
    <w:p w14:paraId="31078873">
      <w:pPr>
        <w:snapToGrid w:val="0"/>
        <w:spacing w:line="360" w:lineRule="auto"/>
        <w:ind w:firstLine="420" w:firstLineChars="200"/>
        <w:jc w:val="left"/>
        <w:rPr>
          <w:rFonts w:hint="eastAsia" w:ascii="宋体" w:hAnsi="宋体"/>
          <w:szCs w:val="21"/>
        </w:rPr>
      </w:pPr>
      <w:r>
        <w:rPr>
          <w:rFonts w:hint="eastAsia" w:ascii="宋体" w:hAnsi="宋体"/>
          <w:szCs w:val="21"/>
        </w:rPr>
        <w:t>2.4“投标人”是指响应招标、参加投标竞争的法人、其他组织或者自然人。</w:t>
      </w:r>
    </w:p>
    <w:p w14:paraId="06DB07B5">
      <w:pPr>
        <w:snapToGrid w:val="0"/>
        <w:spacing w:line="360" w:lineRule="auto"/>
        <w:ind w:firstLine="420" w:firstLineChars="200"/>
        <w:jc w:val="left"/>
        <w:rPr>
          <w:rFonts w:hint="eastAsia" w:ascii="宋体" w:hAnsi="宋体"/>
          <w:szCs w:val="21"/>
        </w:rPr>
      </w:pPr>
      <w:r>
        <w:rPr>
          <w:rFonts w:hint="eastAsia" w:ascii="宋体" w:hAnsi="宋体"/>
          <w:szCs w:val="21"/>
        </w:rPr>
        <w:t>2.5“货物”是指各种形态和种类的物品，包括原材料、燃料、设备、产品等。</w:t>
      </w:r>
    </w:p>
    <w:p w14:paraId="50F60443">
      <w:pPr>
        <w:snapToGrid w:val="0"/>
        <w:spacing w:line="360" w:lineRule="auto"/>
        <w:ind w:firstLine="420" w:firstLineChars="200"/>
        <w:jc w:val="left"/>
        <w:rPr>
          <w:rFonts w:hint="eastAsia" w:ascii="宋体" w:hAnsi="宋体"/>
          <w:szCs w:val="21"/>
        </w:rPr>
      </w:pPr>
      <w:r>
        <w:rPr>
          <w:rFonts w:hint="eastAsia" w:ascii="宋体" w:hAnsi="宋体"/>
          <w:szCs w:val="21"/>
        </w:rPr>
        <w:t>2.6“售后服务” 是指商品出售以后所提供的各种服务，包含但不限于投标人须承担的备品备件、包装、运输、装卸、保险、货到就位以及安装、调试、培训、质保以及其他各种服务。</w:t>
      </w:r>
    </w:p>
    <w:p w14:paraId="6C5DF9E0">
      <w:pPr>
        <w:snapToGrid w:val="0"/>
        <w:spacing w:line="360" w:lineRule="auto"/>
        <w:ind w:firstLine="420" w:firstLineChars="200"/>
        <w:jc w:val="left"/>
        <w:rPr>
          <w:rFonts w:hint="eastAsia" w:ascii="宋体" w:hAnsi="宋体"/>
          <w:szCs w:val="21"/>
        </w:rPr>
      </w:pPr>
      <w:r>
        <w:rPr>
          <w:rFonts w:hint="eastAsia" w:ascii="宋体" w:hAnsi="宋体"/>
          <w:szCs w:val="21"/>
        </w:rPr>
        <w:t>2.7“书面形式”是指合同书、信件和数据电文（包括电报、电传、传真、电子数据交换和电子邮件）等可以有形地表现所载内容的形式。</w:t>
      </w:r>
    </w:p>
    <w:p w14:paraId="7FC5878D">
      <w:pPr>
        <w:snapToGrid w:val="0"/>
        <w:spacing w:line="360" w:lineRule="auto"/>
        <w:ind w:firstLine="420" w:firstLineChars="200"/>
        <w:jc w:val="left"/>
        <w:rPr>
          <w:rFonts w:hint="eastAsia" w:ascii="宋体" w:hAnsi="宋体"/>
          <w:szCs w:val="21"/>
        </w:rPr>
      </w:pPr>
      <w:r>
        <w:rPr>
          <w:rFonts w:hint="eastAsia" w:ascii="宋体" w:hAnsi="宋体"/>
          <w:szCs w:val="21"/>
        </w:rPr>
        <w:t>2.8“实质性要求”是指招标文件中已经指明不满足则投标无效的条款，或者不能负偏离的条款，或者采购需求中带“▲”的条款。</w:t>
      </w:r>
    </w:p>
    <w:p w14:paraId="663A9E79">
      <w:pPr>
        <w:snapToGrid w:val="0"/>
        <w:spacing w:line="360" w:lineRule="auto"/>
        <w:ind w:firstLine="420" w:firstLineChars="200"/>
        <w:jc w:val="left"/>
        <w:rPr>
          <w:rFonts w:hint="eastAsia" w:ascii="宋体" w:hAnsi="宋体"/>
          <w:szCs w:val="21"/>
        </w:rPr>
      </w:pPr>
      <w:r>
        <w:rPr>
          <w:rFonts w:hint="eastAsia" w:ascii="宋体" w:hAnsi="宋体"/>
          <w:szCs w:val="21"/>
        </w:rPr>
        <w:t>2.9 “正偏离”，是指投标文件对招标文件“采购需求”中有关条款作出的响应优于条款要求并有利于采购人的情形。</w:t>
      </w:r>
    </w:p>
    <w:p w14:paraId="42206BCE">
      <w:pPr>
        <w:snapToGrid w:val="0"/>
        <w:spacing w:line="360" w:lineRule="auto"/>
        <w:ind w:firstLine="420" w:firstLineChars="200"/>
        <w:jc w:val="left"/>
        <w:rPr>
          <w:rFonts w:hint="eastAsia" w:ascii="宋体" w:hAnsi="宋体"/>
          <w:szCs w:val="21"/>
        </w:rPr>
      </w:pPr>
      <w:r>
        <w:rPr>
          <w:rFonts w:hint="eastAsia" w:ascii="宋体" w:hAnsi="宋体"/>
          <w:szCs w:val="21"/>
        </w:rPr>
        <w:t>2.10“负偏离”，是指投标文件对招标文件“采购需求”中有关条款作出的响应不满足条款要求，导致采购人要求不能得到满足的情形。</w:t>
      </w:r>
    </w:p>
    <w:p w14:paraId="292B596A">
      <w:pPr>
        <w:snapToGrid w:val="0"/>
        <w:spacing w:line="360" w:lineRule="auto"/>
        <w:ind w:firstLine="420" w:firstLineChars="200"/>
        <w:jc w:val="left"/>
        <w:rPr>
          <w:rFonts w:hint="eastAsia" w:ascii="宋体" w:hAnsi="宋体"/>
          <w:szCs w:val="21"/>
        </w:rPr>
      </w:pPr>
      <w:r>
        <w:rPr>
          <w:rFonts w:hint="eastAsia" w:ascii="宋体" w:hAnsi="宋体"/>
          <w:szCs w:val="21"/>
        </w:rPr>
        <w:t>2.11“允许负偏离的条款”是指采购需求中的不属于“实质性要求”的条款。</w:t>
      </w:r>
      <w:bookmarkStart w:id="81" w:name="_Toc254970529"/>
      <w:bookmarkStart w:id="82" w:name="_Toc254970670"/>
    </w:p>
    <w:p w14:paraId="7FC5D11F">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w:t>
      </w:r>
      <w:bookmarkEnd w:id="81"/>
      <w:bookmarkEnd w:id="82"/>
      <w:r>
        <w:rPr>
          <w:rFonts w:hint="eastAsia" w:ascii="黑体" w:hAnsi="黑体" w:eastAsia="黑体"/>
          <w:sz w:val="24"/>
        </w:rPr>
        <w:t>投标人的资格要求</w:t>
      </w:r>
    </w:p>
    <w:p w14:paraId="14C7EDB4">
      <w:pPr>
        <w:snapToGrid w:val="0"/>
        <w:spacing w:line="360" w:lineRule="auto"/>
        <w:ind w:firstLine="420" w:firstLineChars="200"/>
        <w:jc w:val="left"/>
        <w:rPr>
          <w:rFonts w:hint="eastAsia" w:ascii="宋体" w:hAnsi="宋体"/>
          <w:szCs w:val="21"/>
        </w:rPr>
      </w:pPr>
      <w:r>
        <w:rPr>
          <w:rFonts w:hint="eastAsia" w:ascii="宋体" w:hAnsi="宋体"/>
          <w:szCs w:val="21"/>
        </w:rPr>
        <w:t>投标人的资格要求详见“投标人须知前附表”。</w:t>
      </w:r>
    </w:p>
    <w:p w14:paraId="011F78AD">
      <w:pPr>
        <w:pStyle w:val="6"/>
        <w:keepNext w:val="0"/>
        <w:keepLines w:val="0"/>
        <w:spacing w:before="0" w:after="0" w:line="360" w:lineRule="auto"/>
        <w:ind w:left="420" w:leftChars="200"/>
        <w:rPr>
          <w:rFonts w:hint="eastAsia" w:ascii="黑体" w:hAnsi="黑体" w:eastAsia="黑体"/>
          <w:sz w:val="24"/>
        </w:rPr>
      </w:pPr>
      <w:bookmarkStart w:id="83" w:name="_Toc254970530"/>
      <w:bookmarkStart w:id="84" w:name="_Toc254970671"/>
      <w:r>
        <w:rPr>
          <w:rFonts w:hint="eastAsia" w:ascii="黑体" w:hAnsi="黑体" w:eastAsia="黑体"/>
          <w:sz w:val="24"/>
        </w:rPr>
        <w:t>4.投标委托</w:t>
      </w:r>
      <w:bookmarkEnd w:id="83"/>
      <w:bookmarkEnd w:id="84"/>
    </w:p>
    <w:p w14:paraId="62797C5E">
      <w:pPr>
        <w:snapToGrid w:val="0"/>
        <w:spacing w:line="360" w:lineRule="auto"/>
        <w:ind w:firstLine="420" w:firstLineChars="200"/>
        <w:jc w:val="left"/>
        <w:rPr>
          <w:rFonts w:hint="eastAsia" w:ascii="宋体" w:hAnsi="宋体"/>
          <w:szCs w:val="21"/>
        </w:rPr>
      </w:pPr>
      <w:r>
        <w:rPr>
          <w:rFonts w:hint="eastAsia" w:ascii="宋体" w:hAnsi="宋体"/>
          <w:szCs w:val="21"/>
        </w:rPr>
        <w:t>投标人代表参加投标活动过程中必须携带个人有效身份证件。如投标人代表不是法定代表人，须持有授权委托书（按第六章要求格式填写）。</w:t>
      </w:r>
    </w:p>
    <w:p w14:paraId="21FAF993">
      <w:pPr>
        <w:pStyle w:val="6"/>
        <w:keepNext w:val="0"/>
        <w:keepLines w:val="0"/>
        <w:spacing w:before="0" w:after="0" w:line="360" w:lineRule="auto"/>
        <w:ind w:left="420" w:leftChars="200"/>
        <w:rPr>
          <w:rFonts w:hint="eastAsia" w:ascii="黑体" w:hAnsi="黑体" w:eastAsia="黑体"/>
          <w:sz w:val="24"/>
        </w:rPr>
      </w:pPr>
      <w:bookmarkStart w:id="85" w:name="_5.投标费用"/>
      <w:bookmarkEnd w:id="85"/>
      <w:bookmarkStart w:id="86" w:name="_Toc254970672"/>
      <w:bookmarkStart w:id="87" w:name="_Toc254970531"/>
      <w:r>
        <w:rPr>
          <w:rFonts w:hint="eastAsia" w:ascii="黑体" w:hAnsi="黑体" w:eastAsia="黑体"/>
          <w:sz w:val="24"/>
        </w:rPr>
        <w:t>5.投标费用</w:t>
      </w:r>
      <w:bookmarkEnd w:id="86"/>
      <w:bookmarkEnd w:id="87"/>
    </w:p>
    <w:p w14:paraId="659A5697">
      <w:pPr>
        <w:snapToGrid w:val="0"/>
        <w:spacing w:line="360" w:lineRule="auto"/>
        <w:ind w:firstLine="420" w:firstLineChars="200"/>
        <w:jc w:val="left"/>
        <w:rPr>
          <w:rFonts w:hint="eastAsia" w:ascii="宋体" w:hAnsi="宋体"/>
          <w:szCs w:val="21"/>
        </w:rPr>
      </w:pPr>
      <w:r>
        <w:rPr>
          <w:rFonts w:hint="eastAsia" w:ascii="宋体" w:hAnsi="宋体" w:cs="宋体"/>
          <w:szCs w:val="21"/>
        </w:rPr>
        <w:t>投标费用：投标人应承担参与本次采购活动有关的所有费用，包括但不限于获取招标文件、勘查现场、编制和提交投标文件、参加澄清说明、签订合同等，不论投标结果如何，均应自行承担。</w:t>
      </w:r>
    </w:p>
    <w:p w14:paraId="3264B23A">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6.联合体投标</w:t>
      </w:r>
    </w:p>
    <w:p w14:paraId="35C7393E">
      <w:pPr>
        <w:snapToGrid w:val="0"/>
        <w:spacing w:line="360" w:lineRule="auto"/>
        <w:ind w:firstLine="420" w:firstLineChars="200"/>
        <w:jc w:val="left"/>
        <w:rPr>
          <w:rFonts w:hint="eastAsia" w:ascii="宋体" w:hAnsi="宋体"/>
          <w:szCs w:val="21"/>
        </w:rPr>
      </w:pPr>
      <w:r>
        <w:rPr>
          <w:rFonts w:hint="eastAsia" w:ascii="宋体" w:hAnsi="宋体"/>
          <w:szCs w:val="21"/>
        </w:rPr>
        <w:t>6.1本项目是否接受联合体投标，详见“投标人须知前附表”。</w:t>
      </w:r>
    </w:p>
    <w:p w14:paraId="2E1337DA">
      <w:pPr>
        <w:snapToGrid w:val="0"/>
        <w:spacing w:line="360" w:lineRule="auto"/>
        <w:ind w:firstLine="420" w:firstLineChars="200"/>
        <w:jc w:val="left"/>
        <w:rPr>
          <w:rFonts w:hint="eastAsia" w:ascii="宋体" w:hAnsi="宋体"/>
          <w:bCs/>
          <w:szCs w:val="21"/>
        </w:rPr>
      </w:pPr>
      <w:r>
        <w:rPr>
          <w:rFonts w:hint="eastAsia" w:ascii="宋体" w:hAnsi="宋体"/>
          <w:bCs/>
          <w:szCs w:val="21"/>
        </w:rPr>
        <w:t>6.2如接受联合体投标，联合体投标要求详见“投标人须知前附表”。</w:t>
      </w:r>
    </w:p>
    <w:p w14:paraId="09A7508A">
      <w:pPr>
        <w:snapToGrid w:val="0"/>
        <w:spacing w:line="360" w:lineRule="auto"/>
        <w:ind w:firstLine="420" w:firstLineChars="200"/>
        <w:jc w:val="left"/>
        <w:rPr>
          <w:rFonts w:hint="eastAsia" w:ascii="宋体" w:hAnsi="宋体"/>
          <w:szCs w:val="21"/>
        </w:rPr>
      </w:pPr>
      <w:r>
        <w:rPr>
          <w:rFonts w:hint="eastAsia" w:ascii="宋体" w:hAnsi="宋体"/>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3DB2D558">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 xml:space="preserve">7.转包与分包             </w:t>
      </w:r>
    </w:p>
    <w:p w14:paraId="211EE030">
      <w:pPr>
        <w:snapToGrid w:val="0"/>
        <w:spacing w:line="360" w:lineRule="auto"/>
        <w:ind w:firstLine="420" w:firstLineChars="200"/>
        <w:jc w:val="left"/>
        <w:rPr>
          <w:rFonts w:hint="eastAsia" w:ascii="宋体" w:hAnsi="宋体"/>
          <w:szCs w:val="21"/>
        </w:rPr>
      </w:pPr>
      <w:r>
        <w:rPr>
          <w:rFonts w:hint="eastAsia" w:ascii="宋体" w:hAnsi="宋体"/>
          <w:szCs w:val="21"/>
        </w:rPr>
        <w:t>7.1本项目不允许转包。</w:t>
      </w:r>
    </w:p>
    <w:p w14:paraId="41D531B4">
      <w:pPr>
        <w:snapToGrid w:val="0"/>
        <w:spacing w:line="360" w:lineRule="auto"/>
        <w:ind w:firstLine="420" w:firstLineChars="200"/>
        <w:jc w:val="left"/>
        <w:rPr>
          <w:rFonts w:hint="eastAsia" w:ascii="宋体" w:hAnsi="宋体"/>
          <w:szCs w:val="21"/>
        </w:rPr>
      </w:pPr>
      <w:r>
        <w:rPr>
          <w:rFonts w:hint="eastAsia" w:ascii="宋体" w:hAnsi="宋体"/>
          <w:szCs w:val="21"/>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5504E055">
      <w:pPr>
        <w:snapToGrid w:val="0"/>
        <w:spacing w:line="360" w:lineRule="auto"/>
        <w:ind w:firstLine="420" w:firstLineChars="200"/>
        <w:jc w:val="left"/>
        <w:rPr>
          <w:rFonts w:hint="eastAsia" w:ascii="宋体" w:hAnsi="宋体"/>
          <w:szCs w:val="21"/>
        </w:rPr>
      </w:pPr>
      <w:r>
        <w:rPr>
          <w:rFonts w:hint="eastAsia" w:ascii="宋体" w:hAnsi="宋体"/>
          <w:szCs w:val="21"/>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2812B1F8">
      <w:pPr>
        <w:pStyle w:val="6"/>
        <w:keepNext w:val="0"/>
        <w:keepLines w:val="0"/>
        <w:spacing w:before="0" w:after="0" w:line="360" w:lineRule="auto"/>
        <w:ind w:left="420" w:leftChars="200"/>
        <w:rPr>
          <w:rFonts w:hint="eastAsia" w:ascii="黑体" w:hAnsi="黑体" w:eastAsia="黑体"/>
          <w:sz w:val="24"/>
        </w:rPr>
      </w:pPr>
      <w:bookmarkStart w:id="88" w:name="_Toc254970532"/>
      <w:bookmarkStart w:id="89" w:name="_Toc254970673"/>
      <w:r>
        <w:rPr>
          <w:rFonts w:hint="eastAsia" w:ascii="黑体" w:hAnsi="黑体" w:eastAsia="黑体"/>
          <w:sz w:val="24"/>
        </w:rPr>
        <w:t>8.特别说明</w:t>
      </w:r>
      <w:bookmarkEnd w:id="88"/>
      <w:bookmarkEnd w:id="89"/>
    </w:p>
    <w:p w14:paraId="1DD483F9">
      <w:pPr>
        <w:snapToGrid w:val="0"/>
        <w:spacing w:line="360" w:lineRule="auto"/>
        <w:ind w:firstLine="420" w:firstLineChars="200"/>
        <w:jc w:val="left"/>
        <w:rPr>
          <w:rFonts w:hint="eastAsia" w:ascii="宋体" w:hAnsi="宋体"/>
          <w:szCs w:val="21"/>
        </w:rPr>
      </w:pPr>
      <w:bookmarkStart w:id="90" w:name="_8.1提供相同品牌产品且通过资格审查、符合性审查的不同投标人参加同一合"/>
      <w:bookmarkEnd w:id="90"/>
      <w:r>
        <w:rPr>
          <w:rFonts w:hint="eastAsia" w:ascii="宋体" w:hAnsi="宋体"/>
          <w:szCs w:val="21"/>
        </w:rPr>
        <w:fldChar w:fldCharType="begin"/>
      </w:r>
      <w:r>
        <w:rPr>
          <w:rFonts w:hint="eastAsia" w:ascii="宋体" w:hAnsi="宋体"/>
          <w:szCs w:val="21"/>
        </w:rPr>
        <w:instrText xml:space="preserve"> HYPERLINK  \l "_8.1" </w:instrText>
      </w:r>
      <w:r>
        <w:rPr>
          <w:rFonts w:hint="eastAsia" w:ascii="宋体" w:hAnsi="宋体"/>
          <w:szCs w:val="21"/>
        </w:rPr>
        <w:fldChar w:fldCharType="separate"/>
      </w:r>
      <w:r>
        <w:rPr>
          <w:rFonts w:hint="eastAsia" w:ascii="宋体" w:hAnsi="宋体"/>
          <w:szCs w:val="21"/>
        </w:rPr>
        <w:t>8.1</w:t>
      </w:r>
      <w:r>
        <w:rPr>
          <w:rFonts w:hint="eastAsia" w:ascii="宋体" w:hAnsi="宋体"/>
          <w:szCs w:val="21"/>
        </w:rPr>
        <w:fldChar w:fldCharType="end"/>
      </w:r>
      <w:r>
        <w:rPr>
          <w:rFonts w:hint="eastAsia" w:ascii="宋体" w:hAnsi="宋体"/>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b/>
          <w:bCs/>
          <w:szCs w:val="21"/>
        </w:rPr>
        <w:t>其他投标无效</w:t>
      </w:r>
      <w:r>
        <w:rPr>
          <w:rFonts w:hint="eastAsia" w:ascii="宋体" w:hAnsi="宋体"/>
          <w:szCs w:val="21"/>
        </w:rPr>
        <w:t>。</w:t>
      </w:r>
    </w:p>
    <w:p w14:paraId="44C7DE8B">
      <w:pPr>
        <w:snapToGrid w:val="0"/>
        <w:spacing w:line="360" w:lineRule="auto"/>
        <w:ind w:firstLine="420" w:firstLineChars="200"/>
        <w:jc w:val="left"/>
        <w:rPr>
          <w:rFonts w:hint="eastAsia" w:ascii="宋体" w:hAnsi="宋体"/>
          <w:szCs w:val="21"/>
        </w:rPr>
      </w:pPr>
      <w:r>
        <w:rPr>
          <w:rFonts w:hint="eastAsia" w:ascii="宋体" w:hAnsi="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32E0CA8D">
      <w:pPr>
        <w:snapToGrid w:val="0"/>
        <w:spacing w:line="360" w:lineRule="auto"/>
        <w:ind w:firstLine="420" w:firstLineChars="200"/>
        <w:jc w:val="left"/>
        <w:rPr>
          <w:rFonts w:hint="eastAsia" w:ascii="宋体" w:hAnsi="宋体"/>
          <w:szCs w:val="21"/>
        </w:rPr>
      </w:pPr>
      <w:r>
        <w:rPr>
          <w:rFonts w:hint="eastAsia" w:ascii="宋体" w:hAnsi="宋体"/>
          <w:szCs w:val="21"/>
        </w:rPr>
        <w:t>非单一产品采购项目，多家投标人提供的核心产品品牌相同的，按前两款规定处理。</w:t>
      </w:r>
    </w:p>
    <w:p w14:paraId="4815A492">
      <w:pPr>
        <w:snapToGrid w:val="0"/>
        <w:spacing w:line="360" w:lineRule="auto"/>
        <w:ind w:firstLine="420" w:firstLineChars="200"/>
        <w:jc w:val="left"/>
        <w:rPr>
          <w:rFonts w:hint="eastAsia" w:ascii="宋体" w:hAnsi="宋体"/>
          <w:szCs w:val="21"/>
        </w:rPr>
      </w:pPr>
      <w:r>
        <w:rPr>
          <w:rFonts w:hint="eastAsia" w:ascii="宋体" w:hAnsi="宋体"/>
          <w:szCs w:val="21"/>
        </w:rPr>
        <w:t>8.2如果本招标文件要求提供投标人或制造商的资格、信誉、荣誉、业绩与企业认证等材料的，资格、信誉、荣誉、业绩与企业认证等必须为投标人或者制造商所拥有或自身获得 。</w:t>
      </w:r>
    </w:p>
    <w:p w14:paraId="340471CA">
      <w:pPr>
        <w:snapToGrid w:val="0"/>
        <w:spacing w:line="360" w:lineRule="auto"/>
        <w:ind w:firstLine="420" w:firstLineChars="200"/>
        <w:jc w:val="left"/>
        <w:rPr>
          <w:rFonts w:hint="eastAsia" w:ascii="宋体" w:hAnsi="宋体"/>
          <w:szCs w:val="21"/>
        </w:rPr>
      </w:pPr>
      <w:r>
        <w:rPr>
          <w:rFonts w:hint="eastAsia" w:ascii="宋体" w:hAnsi="宋体"/>
          <w:szCs w:val="21"/>
        </w:rPr>
        <w:t>8.3投标人应仔细阅读招标文件的所有内容，按照招标文件的要求提交投标文件，并对所提供的全部资料的真实性承担法律责任。</w:t>
      </w:r>
    </w:p>
    <w:p w14:paraId="472AB68F">
      <w:pPr>
        <w:snapToGrid w:val="0"/>
        <w:spacing w:line="360" w:lineRule="auto"/>
        <w:ind w:firstLine="420" w:firstLineChars="200"/>
        <w:jc w:val="left"/>
        <w:rPr>
          <w:rFonts w:hint="eastAsia" w:ascii="宋体" w:hAnsi="宋体"/>
          <w:szCs w:val="21"/>
        </w:rPr>
      </w:pPr>
      <w:r>
        <w:rPr>
          <w:rFonts w:hint="eastAsia" w:ascii="宋体" w:hAnsi="宋体"/>
          <w:szCs w:val="21"/>
        </w:rPr>
        <w:t>8.4投标人在投标活动中提供任何虚假材料，将报监管部门查处；中标后发现的，中标人须依照《中华人民共和国消费者权益保护法》规定赔偿采购人，且民事赔偿并不免除违法投标人的行政与刑事责任。</w:t>
      </w:r>
    </w:p>
    <w:p w14:paraId="69EB5068">
      <w:pPr>
        <w:pStyle w:val="6"/>
        <w:keepNext w:val="0"/>
        <w:keepLines w:val="0"/>
        <w:spacing w:before="0" w:after="0" w:line="360" w:lineRule="auto"/>
        <w:ind w:left="420" w:leftChars="200"/>
        <w:rPr>
          <w:rFonts w:hint="eastAsia" w:ascii="黑体" w:hAnsi="黑体" w:eastAsia="黑体"/>
          <w:sz w:val="24"/>
        </w:rPr>
      </w:pPr>
      <w:r>
        <w:rPr>
          <w:rFonts w:ascii="黑体" w:hAnsi="黑体" w:eastAsia="黑体"/>
          <w:sz w:val="24"/>
        </w:rPr>
        <w:t>9.</w:t>
      </w:r>
      <w:r>
        <w:rPr>
          <w:rFonts w:hint="eastAsia" w:ascii="黑体" w:hAnsi="黑体" w:eastAsia="黑体"/>
          <w:sz w:val="24"/>
        </w:rPr>
        <w:t>回避与串通投标</w:t>
      </w:r>
    </w:p>
    <w:p w14:paraId="23EAEA97">
      <w:pPr>
        <w:snapToGrid w:val="0"/>
        <w:spacing w:line="360" w:lineRule="auto"/>
        <w:ind w:firstLine="420" w:firstLineChars="200"/>
        <w:jc w:val="left"/>
        <w:rPr>
          <w:rFonts w:hint="eastAsia" w:ascii="宋体" w:hAnsi="宋体"/>
          <w:szCs w:val="21"/>
        </w:rPr>
      </w:pPr>
      <w:r>
        <w:rPr>
          <w:rFonts w:hint="eastAsia" w:ascii="宋体" w:hAnsi="宋体"/>
          <w:szCs w:val="21"/>
        </w:rPr>
        <w:t>9.1在政府采购活动中，采购人员及相关人员与供应商有下列利害关系之一的，应当回避：</w:t>
      </w:r>
    </w:p>
    <w:p w14:paraId="5CB44BC5">
      <w:pPr>
        <w:snapToGrid w:val="0"/>
        <w:spacing w:line="360" w:lineRule="auto"/>
        <w:ind w:firstLine="420" w:firstLineChars="200"/>
        <w:jc w:val="left"/>
        <w:rPr>
          <w:rFonts w:hint="eastAsia" w:ascii="宋体" w:hAnsi="宋体"/>
          <w:szCs w:val="21"/>
        </w:rPr>
      </w:pPr>
      <w:r>
        <w:rPr>
          <w:rFonts w:hint="eastAsia" w:ascii="宋体" w:hAnsi="宋体"/>
          <w:szCs w:val="21"/>
        </w:rPr>
        <w:t>（1）参加采购活动前3年内与供应商存在劳动关系；</w:t>
      </w:r>
    </w:p>
    <w:p w14:paraId="280892E0">
      <w:pPr>
        <w:snapToGrid w:val="0"/>
        <w:spacing w:line="360" w:lineRule="auto"/>
        <w:ind w:firstLine="420" w:firstLineChars="200"/>
        <w:jc w:val="left"/>
        <w:rPr>
          <w:rFonts w:hint="eastAsia" w:ascii="宋体" w:hAnsi="宋体"/>
          <w:szCs w:val="21"/>
        </w:rPr>
      </w:pPr>
      <w:r>
        <w:rPr>
          <w:rFonts w:hint="eastAsia" w:ascii="宋体" w:hAnsi="宋体"/>
          <w:szCs w:val="21"/>
        </w:rPr>
        <w:t>（2）参加采购活动前3年内担任供应商的董事、监事；</w:t>
      </w:r>
    </w:p>
    <w:p w14:paraId="277B6F36">
      <w:pPr>
        <w:snapToGrid w:val="0"/>
        <w:spacing w:line="360" w:lineRule="auto"/>
        <w:ind w:firstLine="420" w:firstLineChars="200"/>
        <w:jc w:val="left"/>
        <w:rPr>
          <w:rFonts w:hint="eastAsia" w:ascii="宋体" w:hAnsi="宋体"/>
          <w:szCs w:val="21"/>
        </w:rPr>
      </w:pPr>
      <w:r>
        <w:rPr>
          <w:rFonts w:hint="eastAsia" w:ascii="宋体" w:hAnsi="宋体"/>
          <w:szCs w:val="21"/>
        </w:rPr>
        <w:t>（3）参加采购活动前3年内是供应商的控股股东或者实际控制人；</w:t>
      </w:r>
    </w:p>
    <w:p w14:paraId="5E8C81B0">
      <w:pPr>
        <w:snapToGrid w:val="0"/>
        <w:spacing w:line="360" w:lineRule="auto"/>
        <w:ind w:firstLine="420" w:firstLineChars="200"/>
        <w:jc w:val="left"/>
        <w:rPr>
          <w:rFonts w:hint="eastAsia" w:ascii="宋体" w:hAnsi="宋体"/>
          <w:szCs w:val="21"/>
        </w:rPr>
      </w:pPr>
      <w:r>
        <w:rPr>
          <w:rFonts w:hint="eastAsia" w:ascii="宋体" w:hAnsi="宋体"/>
          <w:szCs w:val="21"/>
        </w:rPr>
        <w:t>（4）与供应商的法定代表人或者负责人有夫妻、直系血亲、三代以内旁系血亲或者近姻亲关系；</w:t>
      </w:r>
    </w:p>
    <w:p w14:paraId="1EC08B86">
      <w:pPr>
        <w:snapToGrid w:val="0"/>
        <w:spacing w:line="360" w:lineRule="auto"/>
        <w:ind w:firstLine="420" w:firstLineChars="200"/>
        <w:jc w:val="left"/>
        <w:rPr>
          <w:rFonts w:hint="eastAsia" w:ascii="宋体" w:hAnsi="宋体"/>
          <w:szCs w:val="21"/>
        </w:rPr>
      </w:pPr>
      <w:r>
        <w:rPr>
          <w:rFonts w:hint="eastAsia" w:ascii="宋体" w:hAnsi="宋体"/>
          <w:szCs w:val="21"/>
        </w:rPr>
        <w:t>（5）与供应商有其他可能影响政府采购活动公平、公正进行的关系。</w:t>
      </w:r>
    </w:p>
    <w:p w14:paraId="658270B0">
      <w:pPr>
        <w:snapToGrid w:val="0"/>
        <w:spacing w:line="360" w:lineRule="auto"/>
        <w:ind w:firstLine="420" w:firstLineChars="200"/>
        <w:jc w:val="left"/>
        <w:rPr>
          <w:rFonts w:hint="eastAsia" w:ascii="宋体" w:hAnsi="宋体"/>
          <w:szCs w:val="21"/>
        </w:rPr>
      </w:pPr>
      <w:r>
        <w:rPr>
          <w:rFonts w:hint="eastAsia" w:ascii="宋体" w:hAnsi="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CF5959">
      <w:pPr>
        <w:snapToGrid w:val="0"/>
        <w:spacing w:line="360" w:lineRule="auto"/>
        <w:ind w:firstLine="422" w:firstLineChars="200"/>
        <w:jc w:val="left"/>
        <w:rPr>
          <w:rFonts w:hint="eastAsia" w:ascii="宋体" w:hAnsi="宋体"/>
          <w:b/>
          <w:bCs/>
          <w:szCs w:val="21"/>
        </w:rPr>
      </w:pPr>
      <w:r>
        <w:rPr>
          <w:rFonts w:hint="eastAsia" w:ascii="宋体" w:hAnsi="宋体"/>
          <w:b/>
          <w:bCs/>
          <w:szCs w:val="21"/>
        </w:rPr>
        <w:t>9.2有下列情形之一的视为投标人相互串通投标，投标文件将被视为无效：</w:t>
      </w:r>
    </w:p>
    <w:p w14:paraId="58A6E57A">
      <w:pPr>
        <w:snapToGrid w:val="0"/>
        <w:spacing w:line="360" w:lineRule="auto"/>
        <w:ind w:firstLine="422" w:firstLineChars="200"/>
        <w:jc w:val="left"/>
        <w:rPr>
          <w:rFonts w:hint="eastAsia" w:ascii="宋体" w:hAnsi="宋体"/>
          <w:b/>
          <w:bCs/>
          <w:szCs w:val="21"/>
        </w:rPr>
      </w:pPr>
      <w:r>
        <w:rPr>
          <w:rFonts w:hint="eastAsia" w:ascii="宋体" w:hAnsi="宋体"/>
          <w:b/>
          <w:bCs/>
          <w:szCs w:val="21"/>
        </w:rPr>
        <w:t xml:space="preserve">（1）不同投标人的投标文件由同一单位或者个人编制；或者不同投标人报名的IP地址一致的；或者编制标书硬件设备CPU编号、硬盘编号、网卡地址一致的情况。 </w:t>
      </w:r>
    </w:p>
    <w:p w14:paraId="15216DF8">
      <w:pPr>
        <w:snapToGrid w:val="0"/>
        <w:spacing w:line="360" w:lineRule="auto"/>
        <w:ind w:firstLine="422" w:firstLineChars="200"/>
        <w:jc w:val="left"/>
        <w:rPr>
          <w:rFonts w:hint="eastAsia" w:ascii="宋体" w:hAnsi="宋体"/>
          <w:b/>
          <w:bCs/>
          <w:szCs w:val="21"/>
        </w:rPr>
      </w:pPr>
      <w:r>
        <w:rPr>
          <w:rFonts w:hint="eastAsia" w:ascii="宋体" w:hAnsi="宋体"/>
          <w:b/>
          <w:bCs/>
          <w:szCs w:val="21"/>
        </w:rPr>
        <w:t>（2）不同投标人委托同一单位或者个人办理投标事宜；</w:t>
      </w:r>
    </w:p>
    <w:p w14:paraId="307DB00A">
      <w:pPr>
        <w:snapToGrid w:val="0"/>
        <w:spacing w:line="360" w:lineRule="auto"/>
        <w:ind w:firstLine="422" w:firstLineChars="200"/>
        <w:jc w:val="left"/>
        <w:rPr>
          <w:rFonts w:hint="eastAsia" w:ascii="宋体" w:hAnsi="宋体"/>
          <w:b/>
          <w:bCs/>
          <w:szCs w:val="21"/>
        </w:rPr>
      </w:pPr>
      <w:r>
        <w:rPr>
          <w:rFonts w:hint="eastAsia" w:ascii="宋体" w:hAnsi="宋体"/>
          <w:b/>
          <w:bCs/>
          <w:szCs w:val="21"/>
        </w:rPr>
        <w:t>（3）不同的投标人的投标文件载明的项目管理员为同一个人；</w:t>
      </w:r>
    </w:p>
    <w:p w14:paraId="32DAE16C">
      <w:pPr>
        <w:snapToGrid w:val="0"/>
        <w:spacing w:line="360" w:lineRule="auto"/>
        <w:ind w:firstLine="422" w:firstLineChars="200"/>
        <w:jc w:val="left"/>
        <w:rPr>
          <w:rFonts w:hint="eastAsia" w:ascii="宋体" w:hAnsi="宋体"/>
          <w:b/>
          <w:bCs/>
          <w:szCs w:val="21"/>
        </w:rPr>
      </w:pPr>
      <w:r>
        <w:rPr>
          <w:rFonts w:hint="eastAsia" w:ascii="宋体" w:hAnsi="宋体"/>
          <w:b/>
          <w:bCs/>
          <w:szCs w:val="21"/>
        </w:rPr>
        <w:t>（4）不同投标人的投标文件异常一致或者投标报价呈规律性差异；</w:t>
      </w:r>
    </w:p>
    <w:p w14:paraId="295E90D8">
      <w:pPr>
        <w:snapToGrid w:val="0"/>
        <w:spacing w:line="360" w:lineRule="auto"/>
        <w:ind w:firstLine="422" w:firstLineChars="200"/>
        <w:jc w:val="left"/>
        <w:rPr>
          <w:rFonts w:hint="eastAsia" w:ascii="宋体" w:hAnsi="宋体"/>
          <w:b/>
          <w:bCs/>
          <w:szCs w:val="21"/>
        </w:rPr>
      </w:pPr>
      <w:r>
        <w:rPr>
          <w:rFonts w:hint="eastAsia" w:ascii="宋体" w:hAnsi="宋体"/>
          <w:b/>
          <w:bCs/>
          <w:szCs w:val="21"/>
        </w:rPr>
        <w:t>（5）不同投标人的投标文件相互混装；</w:t>
      </w:r>
    </w:p>
    <w:p w14:paraId="13B4D53A">
      <w:pPr>
        <w:snapToGrid w:val="0"/>
        <w:spacing w:line="360" w:lineRule="auto"/>
        <w:ind w:firstLine="422" w:firstLineChars="200"/>
        <w:jc w:val="left"/>
        <w:rPr>
          <w:rFonts w:hint="eastAsia" w:ascii="宋体" w:hAnsi="宋体"/>
          <w:b/>
          <w:bCs/>
          <w:szCs w:val="21"/>
        </w:rPr>
      </w:pPr>
      <w:r>
        <w:rPr>
          <w:rFonts w:hint="eastAsia" w:ascii="宋体" w:hAnsi="宋体"/>
          <w:b/>
          <w:bCs/>
          <w:szCs w:val="21"/>
        </w:rPr>
        <w:t>（6）不同投标人的投标保证金从同一单位或者个人账户转出。</w:t>
      </w:r>
    </w:p>
    <w:p w14:paraId="403CAE23">
      <w:pPr>
        <w:snapToGrid w:val="0"/>
        <w:spacing w:line="360" w:lineRule="auto"/>
        <w:ind w:firstLine="420" w:firstLineChars="200"/>
        <w:jc w:val="left"/>
        <w:rPr>
          <w:rFonts w:hint="eastAsia" w:ascii="宋体" w:hAnsi="宋体"/>
          <w:szCs w:val="21"/>
        </w:rPr>
      </w:pPr>
      <w:r>
        <w:rPr>
          <w:rFonts w:hint="eastAsia" w:ascii="宋体" w:hAnsi="宋体"/>
          <w:szCs w:val="21"/>
        </w:rPr>
        <w:t>9.3供应商有下列情形之一的，属于恶意串通行为，将报同级监督管理部门：</w:t>
      </w:r>
    </w:p>
    <w:p w14:paraId="4A72908A">
      <w:pPr>
        <w:snapToGrid w:val="0"/>
        <w:spacing w:line="360" w:lineRule="auto"/>
        <w:ind w:firstLine="420" w:firstLineChars="200"/>
        <w:jc w:val="left"/>
        <w:rPr>
          <w:rFonts w:hint="eastAsia" w:ascii="宋体" w:hAnsi="宋体"/>
          <w:szCs w:val="21"/>
        </w:rPr>
      </w:pPr>
      <w:r>
        <w:rPr>
          <w:rFonts w:hint="eastAsia" w:ascii="宋体" w:hAnsi="宋体"/>
          <w:szCs w:val="21"/>
        </w:rPr>
        <w:t>（1）供应商直接或者间接从采购人或者采购代理机构处获得其他供应商的相关信息并修改其投标文件或者响应文件；</w:t>
      </w:r>
    </w:p>
    <w:p w14:paraId="6CD56932">
      <w:pPr>
        <w:snapToGrid w:val="0"/>
        <w:spacing w:line="360" w:lineRule="auto"/>
        <w:ind w:firstLine="420" w:firstLineChars="200"/>
        <w:jc w:val="left"/>
        <w:rPr>
          <w:rFonts w:hint="eastAsia" w:ascii="宋体" w:hAnsi="宋体"/>
          <w:szCs w:val="21"/>
        </w:rPr>
      </w:pPr>
      <w:r>
        <w:rPr>
          <w:rFonts w:hint="eastAsia" w:ascii="宋体" w:hAnsi="宋体"/>
          <w:szCs w:val="21"/>
        </w:rPr>
        <w:t>（2）供应商按照采购人或者采购代理机构的授意撤换、修改投标文件或者响应文件；</w:t>
      </w:r>
    </w:p>
    <w:p w14:paraId="16FE1260">
      <w:pPr>
        <w:snapToGrid w:val="0"/>
        <w:spacing w:line="360" w:lineRule="auto"/>
        <w:ind w:firstLine="420" w:firstLineChars="200"/>
        <w:jc w:val="left"/>
        <w:rPr>
          <w:rFonts w:hint="eastAsia" w:ascii="宋体" w:hAnsi="宋体"/>
          <w:szCs w:val="21"/>
        </w:rPr>
      </w:pPr>
      <w:r>
        <w:rPr>
          <w:rFonts w:hint="eastAsia" w:ascii="宋体" w:hAnsi="宋体"/>
          <w:szCs w:val="21"/>
        </w:rPr>
        <w:t>（3）供应商之间协商报价、技术方案等投标文件或者响应文件的实质性内容；</w:t>
      </w:r>
    </w:p>
    <w:p w14:paraId="547A7B2C">
      <w:pPr>
        <w:snapToGrid w:val="0"/>
        <w:spacing w:line="360" w:lineRule="auto"/>
        <w:ind w:firstLine="420" w:firstLineChars="200"/>
        <w:jc w:val="left"/>
        <w:rPr>
          <w:rFonts w:hint="eastAsia" w:ascii="宋体" w:hAnsi="宋体"/>
          <w:szCs w:val="21"/>
        </w:rPr>
      </w:pPr>
      <w:r>
        <w:rPr>
          <w:rFonts w:hint="eastAsia" w:ascii="宋体" w:hAnsi="宋体"/>
          <w:szCs w:val="21"/>
        </w:rPr>
        <w:t>（4）属于同一集团、协会、商会等组织成员的供应商按照该组织要求协同参加政府采购活动；</w:t>
      </w:r>
    </w:p>
    <w:p w14:paraId="685A9A68">
      <w:pPr>
        <w:snapToGrid w:val="0"/>
        <w:spacing w:line="360" w:lineRule="auto"/>
        <w:ind w:firstLine="420" w:firstLineChars="200"/>
        <w:jc w:val="left"/>
        <w:rPr>
          <w:rFonts w:hint="eastAsia" w:ascii="宋体" w:hAnsi="宋体"/>
          <w:szCs w:val="21"/>
        </w:rPr>
      </w:pPr>
      <w:r>
        <w:rPr>
          <w:rFonts w:hint="eastAsia" w:ascii="宋体" w:hAnsi="宋体"/>
          <w:szCs w:val="21"/>
        </w:rPr>
        <w:t>（5）供应商之间事先约定一致抬高或者压低投标报价，或者在招标项目中事先约定轮流以高价位或者低价位中标，或者事先约定由某一特定供应商中标，然后再参加投标；</w:t>
      </w:r>
    </w:p>
    <w:p w14:paraId="40F7ACDD">
      <w:pPr>
        <w:snapToGrid w:val="0"/>
        <w:spacing w:line="360" w:lineRule="auto"/>
        <w:ind w:firstLine="420" w:firstLineChars="200"/>
        <w:jc w:val="left"/>
        <w:rPr>
          <w:rFonts w:hint="eastAsia" w:ascii="宋体" w:hAnsi="宋体"/>
          <w:szCs w:val="21"/>
        </w:rPr>
      </w:pPr>
      <w:r>
        <w:rPr>
          <w:rFonts w:hint="eastAsia" w:ascii="宋体" w:hAnsi="宋体"/>
          <w:szCs w:val="21"/>
        </w:rPr>
        <w:t>（6）供应商之间商定部分供应商放弃参加政府采购活动或者放弃中标；</w:t>
      </w:r>
    </w:p>
    <w:p w14:paraId="5F8D1595">
      <w:pPr>
        <w:snapToGrid w:val="0"/>
        <w:spacing w:line="360" w:lineRule="auto"/>
        <w:ind w:firstLine="420" w:firstLineChars="200"/>
        <w:jc w:val="left"/>
        <w:rPr>
          <w:rFonts w:hint="eastAsia" w:ascii="宋体" w:hAnsi="宋体"/>
          <w:szCs w:val="21"/>
        </w:rPr>
      </w:pPr>
      <w:r>
        <w:rPr>
          <w:rFonts w:hint="eastAsia" w:ascii="宋体" w:hAnsi="宋体"/>
          <w:szCs w:val="21"/>
        </w:rPr>
        <w:t>（7）供应商与采购人或者采购代理机构之间、供应商相互之间，为谋求特定供应商中标或者排斥其他供应商的其他串通行为。</w:t>
      </w:r>
    </w:p>
    <w:p w14:paraId="0F96AB25">
      <w:pPr>
        <w:pStyle w:val="25"/>
        <w:snapToGrid w:val="0"/>
        <w:spacing w:line="360" w:lineRule="auto"/>
        <w:ind w:left="2" w:leftChars="1" w:firstLine="422" w:firstLineChars="200"/>
        <w:rPr>
          <w:rFonts w:hint="eastAsia" w:hAnsi="宋体"/>
          <w:b/>
          <w:kern w:val="2"/>
          <w:sz w:val="21"/>
        </w:rPr>
      </w:pPr>
    </w:p>
    <w:p w14:paraId="6AD8483E">
      <w:pPr>
        <w:pStyle w:val="5"/>
        <w:keepNext w:val="0"/>
        <w:keepLines w:val="0"/>
        <w:jc w:val="center"/>
      </w:pPr>
      <w:bookmarkStart w:id="91" w:name="_Toc254970675"/>
      <w:bookmarkStart w:id="92" w:name="_Toc254970534"/>
      <w:r>
        <w:rPr>
          <w:rFonts w:hint="eastAsia"/>
        </w:rPr>
        <w:t>二、招标文件</w:t>
      </w:r>
      <w:bookmarkEnd w:id="91"/>
      <w:bookmarkEnd w:id="92"/>
    </w:p>
    <w:p w14:paraId="4FA84E0F">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10.招标文件的组成</w:t>
      </w:r>
    </w:p>
    <w:p w14:paraId="2B0B89FF">
      <w:pPr>
        <w:snapToGrid w:val="0"/>
        <w:spacing w:line="360" w:lineRule="auto"/>
        <w:ind w:firstLine="420"/>
        <w:jc w:val="left"/>
        <w:rPr>
          <w:rFonts w:hint="eastAsia" w:ascii="宋体" w:hAnsi="宋体"/>
          <w:szCs w:val="21"/>
        </w:rPr>
      </w:pPr>
      <w:r>
        <w:rPr>
          <w:rFonts w:hint="eastAsia" w:ascii="宋体" w:hAnsi="宋体"/>
          <w:szCs w:val="21"/>
        </w:rPr>
        <w:t>（1）招标公告；</w:t>
      </w:r>
    </w:p>
    <w:p w14:paraId="7338A6F3">
      <w:pPr>
        <w:snapToGrid w:val="0"/>
        <w:spacing w:line="360" w:lineRule="auto"/>
        <w:ind w:firstLine="420"/>
        <w:jc w:val="left"/>
        <w:rPr>
          <w:rFonts w:hint="eastAsia" w:ascii="宋体" w:hAnsi="宋体"/>
          <w:szCs w:val="21"/>
        </w:rPr>
      </w:pPr>
      <w:r>
        <w:rPr>
          <w:rFonts w:hint="eastAsia" w:ascii="宋体" w:hAnsi="宋体"/>
          <w:szCs w:val="21"/>
        </w:rPr>
        <w:t xml:space="preserve">（2）采购需求； </w:t>
      </w:r>
    </w:p>
    <w:p w14:paraId="205BCC8A">
      <w:pPr>
        <w:snapToGrid w:val="0"/>
        <w:spacing w:line="360" w:lineRule="auto"/>
        <w:ind w:firstLine="420"/>
        <w:jc w:val="left"/>
        <w:rPr>
          <w:rFonts w:hint="eastAsia" w:ascii="宋体" w:hAnsi="宋体"/>
          <w:szCs w:val="21"/>
        </w:rPr>
      </w:pPr>
      <w:r>
        <w:rPr>
          <w:rFonts w:hint="eastAsia" w:ascii="宋体" w:hAnsi="宋体"/>
          <w:szCs w:val="21"/>
        </w:rPr>
        <w:t>（3）投标人须知；</w:t>
      </w:r>
    </w:p>
    <w:p w14:paraId="042DE62A">
      <w:pPr>
        <w:snapToGrid w:val="0"/>
        <w:spacing w:line="360" w:lineRule="auto"/>
        <w:ind w:firstLine="420"/>
        <w:jc w:val="left"/>
        <w:rPr>
          <w:rFonts w:hint="eastAsia" w:ascii="宋体" w:hAnsi="宋体"/>
          <w:szCs w:val="21"/>
        </w:rPr>
      </w:pPr>
      <w:r>
        <w:rPr>
          <w:rFonts w:hint="eastAsia" w:ascii="宋体" w:hAnsi="宋体"/>
          <w:szCs w:val="21"/>
        </w:rPr>
        <w:t>（4）评标方法及评标标准；</w:t>
      </w:r>
    </w:p>
    <w:p w14:paraId="1B164A24">
      <w:pPr>
        <w:snapToGrid w:val="0"/>
        <w:spacing w:line="360" w:lineRule="auto"/>
        <w:ind w:firstLine="420"/>
        <w:jc w:val="left"/>
        <w:rPr>
          <w:rFonts w:hint="eastAsia" w:ascii="宋体" w:hAnsi="宋体"/>
          <w:szCs w:val="21"/>
        </w:rPr>
      </w:pPr>
      <w:r>
        <w:rPr>
          <w:rFonts w:hint="eastAsia" w:ascii="宋体" w:hAnsi="宋体"/>
          <w:szCs w:val="21"/>
        </w:rPr>
        <w:t>（5）拟签订的合同文本；</w:t>
      </w:r>
    </w:p>
    <w:p w14:paraId="53A22AB3">
      <w:pPr>
        <w:snapToGrid w:val="0"/>
        <w:spacing w:line="360" w:lineRule="auto"/>
        <w:ind w:firstLine="420"/>
        <w:jc w:val="left"/>
        <w:rPr>
          <w:rFonts w:hint="eastAsia" w:ascii="宋体" w:hAnsi="宋体"/>
          <w:szCs w:val="21"/>
        </w:rPr>
      </w:pPr>
      <w:r>
        <w:rPr>
          <w:rFonts w:hint="eastAsia" w:ascii="宋体" w:hAnsi="宋体"/>
          <w:szCs w:val="21"/>
        </w:rPr>
        <w:t>（6）投标文件格式。</w:t>
      </w:r>
    </w:p>
    <w:p w14:paraId="0392DF7A">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11.招标文件的澄清、修改 、现场考察和答疑会</w:t>
      </w:r>
    </w:p>
    <w:p w14:paraId="3374275F">
      <w:pPr>
        <w:snapToGrid w:val="0"/>
        <w:spacing w:line="360" w:lineRule="auto"/>
        <w:ind w:firstLine="420" w:firstLineChars="200"/>
        <w:jc w:val="left"/>
        <w:rPr>
          <w:rFonts w:hint="eastAsia" w:ascii="宋体" w:hAnsi="宋体"/>
          <w:szCs w:val="21"/>
        </w:rPr>
      </w:pPr>
      <w:r>
        <w:rPr>
          <w:rFonts w:hint="eastAsia" w:ascii="宋体" w:hAnsi="宋体"/>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7A236F4">
      <w:pPr>
        <w:snapToGrid w:val="0"/>
        <w:spacing w:line="360" w:lineRule="auto"/>
        <w:ind w:firstLine="420" w:firstLineChars="200"/>
        <w:jc w:val="left"/>
        <w:rPr>
          <w:rFonts w:hint="eastAsia" w:ascii="宋体" w:hAnsi="宋体"/>
          <w:szCs w:val="21"/>
        </w:rPr>
      </w:pPr>
      <w:r>
        <w:rPr>
          <w:rFonts w:hint="eastAsia" w:ascii="宋体" w:hAnsi="宋体"/>
          <w:szCs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9B97982">
      <w:pPr>
        <w:snapToGrid w:val="0"/>
        <w:spacing w:line="360" w:lineRule="auto"/>
        <w:ind w:firstLine="420" w:firstLineChars="200"/>
        <w:jc w:val="left"/>
        <w:rPr>
          <w:rFonts w:hint="eastAsia" w:ascii="宋体" w:hAnsi="宋体"/>
          <w:szCs w:val="21"/>
        </w:rPr>
      </w:pPr>
      <w:r>
        <w:rPr>
          <w:rFonts w:hint="eastAsia" w:ascii="宋体" w:hAnsi="宋体"/>
          <w:szCs w:val="21"/>
        </w:rPr>
        <w:t>11.2</w:t>
      </w:r>
      <w:bookmarkStart w:id="93" w:name="_Hlk53134511"/>
      <w:r>
        <w:rPr>
          <w:rFonts w:hint="eastAsia" w:ascii="宋体" w:hAnsi="宋体"/>
          <w:szCs w:val="21"/>
        </w:rPr>
        <w:t>采购人或者采购代理机构可以在招标文件提供期限截止后，组织已获取招标文件的潜在投标人现场考察或者召开开标前答疑会，具体详见“投标人须知前附表”。</w:t>
      </w:r>
    </w:p>
    <w:bookmarkEnd w:id="93"/>
    <w:p w14:paraId="4DDCD91C">
      <w:pPr>
        <w:pStyle w:val="5"/>
        <w:keepNext w:val="0"/>
        <w:keepLines w:val="0"/>
        <w:jc w:val="center"/>
      </w:pPr>
      <w:bookmarkStart w:id="94" w:name="_Toc254970535"/>
      <w:bookmarkStart w:id="95" w:name="_Toc254970676"/>
      <w:r>
        <w:rPr>
          <w:rFonts w:hint="eastAsia"/>
        </w:rPr>
        <w:t>三、投标文件的编制</w:t>
      </w:r>
      <w:bookmarkEnd w:id="94"/>
      <w:bookmarkEnd w:id="95"/>
    </w:p>
    <w:p w14:paraId="3E44F8F5">
      <w:pPr>
        <w:pStyle w:val="6"/>
        <w:keepNext w:val="0"/>
        <w:keepLines w:val="0"/>
        <w:spacing w:before="0" w:after="0" w:line="360" w:lineRule="auto"/>
        <w:ind w:left="420" w:leftChars="200"/>
        <w:rPr>
          <w:rFonts w:hint="eastAsia" w:ascii="黑体" w:hAnsi="黑体" w:eastAsia="黑体"/>
          <w:sz w:val="24"/>
        </w:rPr>
      </w:pPr>
      <w:bookmarkStart w:id="96" w:name="_Toc254970677"/>
      <w:bookmarkStart w:id="97" w:name="_Toc254970536"/>
      <w:r>
        <w:rPr>
          <w:rFonts w:hint="eastAsia" w:ascii="黑体" w:hAnsi="黑体" w:eastAsia="黑体"/>
          <w:sz w:val="24"/>
        </w:rPr>
        <w:t>12.投标文件的编制原则</w:t>
      </w:r>
    </w:p>
    <w:p w14:paraId="5AA4E570">
      <w:pPr>
        <w:snapToGrid w:val="0"/>
        <w:spacing w:line="360" w:lineRule="auto"/>
        <w:ind w:firstLine="420"/>
        <w:jc w:val="left"/>
        <w:rPr>
          <w:rFonts w:hint="eastAsia" w:ascii="宋体" w:hAnsi="宋体" w:cs="Courier New"/>
          <w:szCs w:val="21"/>
        </w:rPr>
      </w:pPr>
      <w:r>
        <w:rPr>
          <w:rFonts w:ascii="宋体" w:hAnsi="宋体"/>
          <w:szCs w:val="21"/>
        </w:rPr>
        <w:t>投标人必须按照招标文件的要求编制投标文件。投标文件必须对招标文件提出的要求和条件作出明确响应。</w:t>
      </w:r>
    </w:p>
    <w:p w14:paraId="6859CCAF">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13.投标文件的组成</w:t>
      </w:r>
      <w:bookmarkEnd w:id="96"/>
      <w:bookmarkEnd w:id="97"/>
    </w:p>
    <w:p w14:paraId="65EA91A3">
      <w:pPr>
        <w:snapToGrid w:val="0"/>
        <w:spacing w:line="360" w:lineRule="auto"/>
        <w:ind w:firstLine="420" w:firstLineChars="200"/>
        <w:jc w:val="left"/>
        <w:rPr>
          <w:rFonts w:hint="eastAsia" w:ascii="宋体" w:hAnsi="宋体"/>
          <w:szCs w:val="21"/>
        </w:rPr>
      </w:pPr>
      <w:r>
        <w:rPr>
          <w:rFonts w:hint="eastAsia" w:ascii="宋体" w:hAnsi="宋体"/>
          <w:szCs w:val="21"/>
        </w:rPr>
        <w:t>投标文件由报价文件、资格证明文件、商务及技术文件三部分组成。</w:t>
      </w:r>
    </w:p>
    <w:p w14:paraId="7A4408EB">
      <w:pPr>
        <w:snapToGrid w:val="0"/>
        <w:spacing w:line="360" w:lineRule="auto"/>
        <w:ind w:firstLine="420" w:firstLineChars="200"/>
        <w:jc w:val="left"/>
        <w:rPr>
          <w:rFonts w:hint="eastAsia" w:ascii="宋体" w:hAnsi="宋体"/>
          <w:szCs w:val="21"/>
        </w:rPr>
      </w:pPr>
      <w:bookmarkStart w:id="98" w:name="_13.1报价文件:_具体材料见“投标人须知前附表”。"/>
      <w:bookmarkEnd w:id="98"/>
      <w:r>
        <w:rPr>
          <w:rFonts w:hint="eastAsia" w:ascii="宋体" w:hAnsi="宋体"/>
          <w:szCs w:val="21"/>
        </w:rPr>
        <w:t>（1）报价文件：具体材料见“投标人须知前附表”。</w:t>
      </w:r>
    </w:p>
    <w:p w14:paraId="0BE63BC1">
      <w:pPr>
        <w:snapToGrid w:val="0"/>
        <w:spacing w:line="360" w:lineRule="auto"/>
        <w:ind w:firstLine="420" w:firstLineChars="200"/>
        <w:jc w:val="left"/>
        <w:rPr>
          <w:rFonts w:hint="eastAsia" w:ascii="宋体" w:hAnsi="宋体"/>
          <w:szCs w:val="21"/>
        </w:rPr>
      </w:pPr>
      <w:bookmarkStart w:id="99" w:name="_13.2资格证明文件：具体材料见“投标人须知前附表”。"/>
      <w:bookmarkEnd w:id="99"/>
      <w:r>
        <w:rPr>
          <w:rFonts w:hint="eastAsia" w:ascii="宋体" w:hAnsi="宋体"/>
          <w:szCs w:val="21"/>
        </w:rPr>
        <w:t>（2）资格证明文件：具体材料见“投标人须知前附表”。</w:t>
      </w:r>
    </w:p>
    <w:p w14:paraId="1D0F4C97">
      <w:pPr>
        <w:snapToGrid w:val="0"/>
        <w:spacing w:line="360" w:lineRule="auto"/>
        <w:ind w:firstLine="420" w:firstLineChars="200"/>
        <w:jc w:val="left"/>
        <w:rPr>
          <w:rFonts w:hint="eastAsia" w:ascii="宋体" w:hAnsi="宋体"/>
          <w:szCs w:val="21"/>
        </w:rPr>
      </w:pPr>
      <w:bookmarkStart w:id="100" w:name="_13.3商务文件:_具体材料见“投标人须知前附表”。"/>
      <w:bookmarkEnd w:id="100"/>
      <w:r>
        <w:rPr>
          <w:rFonts w:hint="eastAsia" w:ascii="宋体" w:hAnsi="宋体"/>
          <w:szCs w:val="21"/>
        </w:rPr>
        <w:t>（3）商务及技术文件：具体材料见“投标人须知前附表”。</w:t>
      </w:r>
    </w:p>
    <w:p w14:paraId="289E0573">
      <w:pPr>
        <w:pStyle w:val="6"/>
        <w:keepNext w:val="0"/>
        <w:keepLines w:val="0"/>
        <w:spacing w:before="0" w:after="0" w:line="360" w:lineRule="auto"/>
        <w:ind w:left="420" w:leftChars="200"/>
        <w:rPr>
          <w:rFonts w:hint="eastAsia" w:ascii="黑体" w:hAnsi="黑体" w:eastAsia="黑体"/>
          <w:sz w:val="24"/>
        </w:rPr>
      </w:pPr>
      <w:bookmarkStart w:id="101" w:name="_13.4技术文件：具体材料见“投标人须知前附表”。"/>
      <w:bookmarkEnd w:id="101"/>
      <w:bookmarkStart w:id="102" w:name="_13.5投标文件电子版：具体材料见“投标人须知前附表”。"/>
      <w:bookmarkEnd w:id="102"/>
      <w:bookmarkStart w:id="103" w:name="_Toc254970678"/>
      <w:bookmarkStart w:id="104" w:name="_Toc254970537"/>
      <w:r>
        <w:rPr>
          <w:rFonts w:hint="eastAsia" w:ascii="黑体" w:hAnsi="黑体" w:eastAsia="黑体"/>
          <w:sz w:val="24"/>
        </w:rPr>
        <w:t>14.投标文件的语言及计量</w:t>
      </w:r>
      <w:bookmarkEnd w:id="103"/>
      <w:bookmarkEnd w:id="104"/>
    </w:p>
    <w:p w14:paraId="0B8E12CD">
      <w:pPr>
        <w:snapToGrid w:val="0"/>
        <w:spacing w:line="360" w:lineRule="auto"/>
        <w:ind w:firstLine="420" w:firstLineChars="200"/>
        <w:jc w:val="left"/>
        <w:rPr>
          <w:rFonts w:hint="eastAsia" w:ascii="宋体" w:hAnsi="宋体"/>
          <w:szCs w:val="21"/>
        </w:rPr>
      </w:pPr>
      <w:r>
        <w:rPr>
          <w:rFonts w:hint="eastAsia" w:ascii="宋体" w:hAnsi="宋体"/>
          <w:szCs w:val="21"/>
        </w:rPr>
        <w:t>14.1语言文字</w:t>
      </w:r>
    </w:p>
    <w:p w14:paraId="4D92E381">
      <w:pPr>
        <w:snapToGrid w:val="0"/>
        <w:spacing w:line="360" w:lineRule="auto"/>
        <w:ind w:firstLine="420" w:firstLineChars="200"/>
        <w:jc w:val="left"/>
        <w:rPr>
          <w:rFonts w:hint="eastAsia" w:ascii="宋体" w:hAnsi="宋体"/>
          <w:szCs w:val="21"/>
        </w:rPr>
      </w:pPr>
      <w:r>
        <w:rPr>
          <w:rFonts w:hint="eastAsia" w:ascii="宋体" w:hAnsi="宋体"/>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3ABC11D">
      <w:pPr>
        <w:snapToGrid w:val="0"/>
        <w:spacing w:line="360" w:lineRule="auto"/>
        <w:ind w:firstLine="420" w:firstLineChars="200"/>
        <w:jc w:val="left"/>
        <w:rPr>
          <w:rFonts w:hint="eastAsia" w:ascii="宋体" w:hAnsi="宋体"/>
          <w:szCs w:val="21"/>
        </w:rPr>
      </w:pPr>
      <w:r>
        <w:rPr>
          <w:rFonts w:hint="eastAsia" w:ascii="宋体" w:hAnsi="宋体"/>
          <w:szCs w:val="21"/>
        </w:rPr>
        <w:t>14.2投标计量单位</w:t>
      </w:r>
    </w:p>
    <w:p w14:paraId="463A0996">
      <w:pPr>
        <w:snapToGrid w:val="0"/>
        <w:spacing w:line="360" w:lineRule="auto"/>
        <w:ind w:firstLine="420" w:firstLineChars="200"/>
        <w:jc w:val="left"/>
        <w:rPr>
          <w:rFonts w:hint="eastAsia" w:ascii="宋体" w:hAnsi="宋体"/>
          <w:szCs w:val="21"/>
        </w:rPr>
      </w:pPr>
      <w:r>
        <w:rPr>
          <w:rFonts w:hint="eastAsia" w:ascii="宋体" w:hAnsi="宋体"/>
          <w:szCs w:val="21"/>
        </w:rPr>
        <w:t>招标文件已有明确规定的，使用招标文件规定的计量单位；招标文件没有规定的，应采用中华人民共和国法定计量单位，货币种类为人民币，</w:t>
      </w:r>
      <w:r>
        <w:rPr>
          <w:rFonts w:hint="eastAsia" w:ascii="宋体" w:hAnsi="宋体"/>
          <w:b/>
          <w:bCs/>
          <w:szCs w:val="21"/>
        </w:rPr>
        <w:t>否则视同未响应</w:t>
      </w:r>
      <w:r>
        <w:rPr>
          <w:rFonts w:hint="eastAsia" w:ascii="宋体" w:hAnsi="宋体"/>
          <w:szCs w:val="21"/>
        </w:rPr>
        <w:t>。</w:t>
      </w:r>
    </w:p>
    <w:p w14:paraId="3DBA2E2C">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15.投标的风险</w:t>
      </w:r>
    </w:p>
    <w:p w14:paraId="261BE6EF">
      <w:pPr>
        <w:pStyle w:val="25"/>
        <w:snapToGrid w:val="0"/>
        <w:spacing w:line="360" w:lineRule="auto"/>
        <w:ind w:firstLine="420" w:firstLineChars="200"/>
        <w:jc w:val="left"/>
        <w:rPr>
          <w:rFonts w:hint="eastAsia" w:hAnsi="宋体"/>
          <w:sz w:val="21"/>
        </w:rPr>
      </w:pPr>
      <w:r>
        <w:rPr>
          <w:rFonts w:hint="eastAsia" w:hAnsi="宋体"/>
          <w:sz w:val="21"/>
        </w:rPr>
        <w:t>投标人没有按照招标文件要求提供全部资料，或者投标人没有对招标文件作出实质性响应是投标人的风险，并可能导致其投标被拒绝。</w:t>
      </w:r>
    </w:p>
    <w:p w14:paraId="2ADE6E01">
      <w:pPr>
        <w:pStyle w:val="6"/>
        <w:keepNext w:val="0"/>
        <w:keepLines w:val="0"/>
        <w:spacing w:before="0" w:after="0" w:line="360" w:lineRule="auto"/>
        <w:ind w:left="420" w:leftChars="200"/>
        <w:rPr>
          <w:rFonts w:hint="eastAsia" w:ascii="黑体" w:hAnsi="黑体" w:eastAsia="黑体"/>
          <w:sz w:val="24"/>
        </w:rPr>
      </w:pPr>
      <w:bookmarkStart w:id="105" w:name="_Toc254970538"/>
      <w:bookmarkStart w:id="106" w:name="_Toc254970679"/>
      <w:r>
        <w:rPr>
          <w:rFonts w:hint="eastAsia" w:ascii="黑体" w:hAnsi="黑体" w:eastAsia="黑体"/>
          <w:sz w:val="24"/>
        </w:rPr>
        <w:t>16.投标报价</w:t>
      </w:r>
      <w:bookmarkEnd w:id="105"/>
      <w:bookmarkEnd w:id="106"/>
    </w:p>
    <w:p w14:paraId="5778C6B0">
      <w:pPr>
        <w:pStyle w:val="25"/>
        <w:snapToGrid w:val="0"/>
        <w:spacing w:line="360" w:lineRule="auto"/>
        <w:ind w:firstLine="420" w:firstLineChars="200"/>
        <w:jc w:val="left"/>
        <w:rPr>
          <w:rFonts w:hint="eastAsia" w:hAnsi="宋体"/>
          <w:sz w:val="21"/>
        </w:rPr>
      </w:pPr>
      <w:r>
        <w:rPr>
          <w:rFonts w:hint="eastAsia" w:hAnsi="宋体"/>
          <w:sz w:val="21"/>
        </w:rPr>
        <w:t>16.1投标报价应按“第六章　投标文件格式”中“开标一览表”格式填写。</w:t>
      </w:r>
    </w:p>
    <w:p w14:paraId="30802CA0">
      <w:pPr>
        <w:pStyle w:val="25"/>
        <w:snapToGrid w:val="0"/>
        <w:spacing w:line="360" w:lineRule="auto"/>
        <w:ind w:firstLine="420" w:firstLineChars="200"/>
        <w:jc w:val="left"/>
        <w:rPr>
          <w:rFonts w:hint="eastAsia" w:hAnsi="宋体"/>
          <w:sz w:val="21"/>
        </w:rPr>
      </w:pPr>
      <w:bookmarkStart w:id="107" w:name="_16.2投标报价具体定义见投标人须知前附表。"/>
      <w:bookmarkEnd w:id="107"/>
      <w:r>
        <w:rPr>
          <w:rFonts w:hint="eastAsia" w:hAnsi="宋体"/>
          <w:sz w:val="21"/>
        </w:rPr>
        <w:t>16.2投标报价具体包括内容详见“投标人须知前附表”。</w:t>
      </w:r>
    </w:p>
    <w:p w14:paraId="7A49ABE2">
      <w:pPr>
        <w:pStyle w:val="25"/>
        <w:snapToGrid w:val="0"/>
        <w:spacing w:line="360" w:lineRule="auto"/>
        <w:ind w:firstLine="420" w:firstLineChars="200"/>
        <w:jc w:val="left"/>
        <w:rPr>
          <w:rFonts w:hint="eastAsia" w:hAnsi="宋体"/>
          <w:sz w:val="21"/>
        </w:rPr>
      </w:pPr>
      <w:r>
        <w:rPr>
          <w:rFonts w:hint="eastAsia" w:hAnsi="宋体"/>
          <w:sz w:val="21"/>
        </w:rPr>
        <w:t>16.3投标人必须就所投每个分标的全部内容分别作完整唯一总价报价，不得存在漏项报价；投标人必须就所投分标的单项内容作唯一报价。</w:t>
      </w:r>
    </w:p>
    <w:p w14:paraId="54C9E351">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17.投标有效期</w:t>
      </w:r>
    </w:p>
    <w:p w14:paraId="68C6B6EE">
      <w:pPr>
        <w:pStyle w:val="25"/>
        <w:snapToGrid w:val="0"/>
        <w:spacing w:line="360" w:lineRule="auto"/>
        <w:ind w:firstLine="420" w:firstLineChars="200"/>
        <w:jc w:val="left"/>
        <w:rPr>
          <w:rFonts w:hint="eastAsia" w:hAnsi="宋体"/>
          <w:sz w:val="21"/>
        </w:rPr>
      </w:pPr>
      <w:bookmarkStart w:id="108" w:name="_17.1投标有效期应按“投标人须知中的前附表”规定的期限。"/>
      <w:bookmarkEnd w:id="108"/>
      <w:r>
        <w:rPr>
          <w:rFonts w:hint="eastAsia" w:hAnsi="宋体"/>
          <w:sz w:val="21"/>
        </w:rPr>
        <w:t>17.1投标有效期是指为保证采购人有足够的时间在开标后完成评标、定标、合同签订等工作而要求投标人提交的投标文件在一定时间内保持有效的期限。</w:t>
      </w:r>
    </w:p>
    <w:p w14:paraId="7ADD6AE9">
      <w:pPr>
        <w:pStyle w:val="25"/>
        <w:snapToGrid w:val="0"/>
        <w:spacing w:line="360" w:lineRule="auto"/>
        <w:ind w:firstLine="420" w:firstLineChars="200"/>
        <w:jc w:val="left"/>
        <w:rPr>
          <w:rFonts w:hint="eastAsia" w:hAnsi="宋体"/>
          <w:sz w:val="21"/>
        </w:rPr>
      </w:pPr>
      <w:r>
        <w:rPr>
          <w:rFonts w:hint="eastAsia" w:hAnsi="宋体"/>
          <w:sz w:val="21"/>
        </w:rPr>
        <w:t>17.2</w:t>
      </w:r>
      <w:bookmarkStart w:id="109" w:name="_Toc254970540"/>
      <w:bookmarkStart w:id="110" w:name="_Toc254970681"/>
      <w:r>
        <w:rPr>
          <w:rFonts w:hint="eastAsia" w:hAnsi="宋体"/>
          <w:sz w:val="21"/>
        </w:rPr>
        <w:t xml:space="preserve"> 投标有效期应按招标文件规定的期限作出承诺，具体详见“投标人须知前附表”。</w:t>
      </w:r>
      <w:r>
        <w:rPr>
          <w:rFonts w:hint="eastAsia" w:hAnsi="宋体"/>
          <w:b/>
          <w:bCs/>
          <w:sz w:val="21"/>
        </w:rPr>
        <w:t>承诺的投标有效期低于招标文件规定期限的，按无效投标处理</w:t>
      </w:r>
      <w:r>
        <w:rPr>
          <w:rFonts w:hint="eastAsia" w:hAnsi="宋体"/>
          <w:sz w:val="21"/>
        </w:rPr>
        <w:t>。</w:t>
      </w:r>
    </w:p>
    <w:p w14:paraId="7E1BC629">
      <w:pPr>
        <w:pStyle w:val="25"/>
        <w:snapToGrid w:val="0"/>
        <w:spacing w:line="360" w:lineRule="auto"/>
        <w:ind w:firstLine="420" w:firstLineChars="200"/>
        <w:jc w:val="left"/>
        <w:rPr>
          <w:rFonts w:hint="eastAsia" w:hAnsi="宋体"/>
          <w:sz w:val="21"/>
        </w:rPr>
      </w:pPr>
      <w:r>
        <w:rPr>
          <w:rFonts w:hint="eastAsia" w:hAnsi="宋体"/>
          <w:sz w:val="21"/>
        </w:rPr>
        <w:t>17.3投标人的投标文件在投标有效期内均保持有效。</w:t>
      </w:r>
      <w:bookmarkEnd w:id="109"/>
      <w:bookmarkEnd w:id="110"/>
    </w:p>
    <w:p w14:paraId="6F1045BE">
      <w:pPr>
        <w:pStyle w:val="25"/>
        <w:snapToGrid w:val="0"/>
        <w:spacing w:line="360" w:lineRule="auto"/>
        <w:ind w:firstLine="422" w:firstLineChars="200"/>
        <w:jc w:val="left"/>
        <w:rPr>
          <w:rFonts w:hint="eastAsia" w:hAnsi="宋体"/>
          <w:b/>
          <w:sz w:val="21"/>
        </w:rPr>
      </w:pPr>
    </w:p>
    <w:p w14:paraId="5EB98BEC">
      <w:pPr>
        <w:pStyle w:val="6"/>
        <w:keepNext w:val="0"/>
        <w:keepLines w:val="0"/>
        <w:spacing w:before="0" w:after="0" w:line="360" w:lineRule="auto"/>
        <w:ind w:left="420" w:leftChars="200"/>
        <w:rPr>
          <w:rFonts w:hint="eastAsia" w:ascii="黑体" w:hAnsi="黑体" w:eastAsia="黑体"/>
          <w:sz w:val="24"/>
        </w:rPr>
      </w:pPr>
      <w:bookmarkStart w:id="111" w:name="_18.投标保证金"/>
      <w:bookmarkEnd w:id="111"/>
      <w:bookmarkStart w:id="112" w:name="_Toc254970682"/>
      <w:bookmarkStart w:id="113" w:name="_Toc254970541"/>
      <w:r>
        <w:rPr>
          <w:rFonts w:hint="eastAsia" w:ascii="黑体" w:hAnsi="黑体" w:eastAsia="黑体"/>
          <w:sz w:val="24"/>
        </w:rPr>
        <w:t>18.投标保证金</w:t>
      </w:r>
      <w:bookmarkEnd w:id="112"/>
      <w:bookmarkEnd w:id="113"/>
    </w:p>
    <w:p w14:paraId="48CB83FF">
      <w:pPr>
        <w:pStyle w:val="25"/>
        <w:snapToGrid w:val="0"/>
        <w:spacing w:line="360" w:lineRule="auto"/>
        <w:ind w:firstLine="420" w:firstLineChars="200"/>
        <w:jc w:val="left"/>
        <w:rPr>
          <w:rFonts w:hint="eastAsia" w:hAnsi="宋体"/>
          <w:bCs/>
          <w:sz w:val="21"/>
        </w:rPr>
      </w:pPr>
      <w:r>
        <w:rPr>
          <w:rFonts w:hint="eastAsia" w:hAnsi="宋体"/>
          <w:bCs/>
          <w:sz w:val="21"/>
        </w:rPr>
        <w:t>18.1投标人须按“投标人须知前附表” 的规定提交投标保证金。</w:t>
      </w:r>
    </w:p>
    <w:p w14:paraId="15D1AEA9">
      <w:pPr>
        <w:pStyle w:val="25"/>
        <w:snapToGrid w:val="0"/>
        <w:spacing w:line="360" w:lineRule="auto"/>
        <w:ind w:firstLine="420" w:firstLineChars="200"/>
        <w:jc w:val="left"/>
        <w:rPr>
          <w:rFonts w:hint="eastAsia" w:hAnsi="宋体"/>
          <w:bCs/>
          <w:sz w:val="21"/>
        </w:rPr>
      </w:pPr>
      <w:r>
        <w:rPr>
          <w:rFonts w:hint="eastAsia" w:hAnsi="宋体"/>
          <w:bCs/>
          <w:sz w:val="21"/>
        </w:rPr>
        <w:t>18.2投标保证金的退还</w:t>
      </w:r>
    </w:p>
    <w:p w14:paraId="34FEDD8F">
      <w:pPr>
        <w:pStyle w:val="25"/>
        <w:snapToGrid w:val="0"/>
        <w:spacing w:line="360" w:lineRule="auto"/>
        <w:ind w:firstLine="420" w:firstLineChars="200"/>
        <w:jc w:val="left"/>
        <w:rPr>
          <w:rFonts w:hint="eastAsia" w:hAnsi="宋体"/>
          <w:bCs/>
          <w:sz w:val="21"/>
        </w:rPr>
      </w:pPr>
      <w:r>
        <w:rPr>
          <w:rFonts w:hint="eastAsia" w:hAnsi="宋体"/>
          <w:bCs/>
          <w:sz w:val="21"/>
        </w:rPr>
        <w:t xml:space="preserve">未中标人的投标保证金自中标通知书发出之日起5个工作日内退还；中标人的投标保证金自政府采购合同签订之日起5个工作日内退还。 </w:t>
      </w:r>
    </w:p>
    <w:p w14:paraId="245FA0EF">
      <w:pPr>
        <w:pStyle w:val="25"/>
        <w:snapToGrid w:val="0"/>
        <w:spacing w:line="360" w:lineRule="auto"/>
        <w:ind w:firstLine="420" w:firstLineChars="200"/>
        <w:jc w:val="left"/>
        <w:rPr>
          <w:rFonts w:hint="eastAsia" w:hAnsi="宋体"/>
          <w:bCs/>
          <w:sz w:val="21"/>
        </w:rPr>
      </w:pPr>
      <w:r>
        <w:rPr>
          <w:rFonts w:hint="eastAsia" w:hAnsi="宋体"/>
          <w:bCs/>
          <w:sz w:val="21"/>
        </w:rPr>
        <w:t>18.3除逾期退还投标保证金和终止招标的情形以外，投标保证金不计息。</w:t>
      </w:r>
    </w:p>
    <w:p w14:paraId="57761ACC">
      <w:pPr>
        <w:pStyle w:val="25"/>
        <w:snapToGrid w:val="0"/>
        <w:spacing w:line="360" w:lineRule="auto"/>
        <w:ind w:firstLine="420" w:firstLineChars="200"/>
        <w:jc w:val="left"/>
        <w:rPr>
          <w:rFonts w:hint="eastAsia" w:hAnsi="宋体"/>
          <w:bCs/>
          <w:sz w:val="21"/>
        </w:rPr>
      </w:pPr>
      <w:r>
        <w:rPr>
          <w:rFonts w:hint="eastAsia" w:hAnsi="宋体"/>
          <w:bCs/>
          <w:sz w:val="21"/>
        </w:rPr>
        <w:t xml:space="preserve">18.4投标人有下列情形之一的，投标保证金将不予退还： </w:t>
      </w:r>
    </w:p>
    <w:p w14:paraId="3A1900B1">
      <w:pPr>
        <w:pStyle w:val="25"/>
        <w:snapToGrid w:val="0"/>
        <w:spacing w:line="360" w:lineRule="auto"/>
        <w:ind w:firstLine="420" w:firstLineChars="200"/>
        <w:jc w:val="left"/>
        <w:rPr>
          <w:rFonts w:hint="eastAsia" w:hAnsi="宋体"/>
          <w:bCs/>
          <w:sz w:val="21"/>
        </w:rPr>
      </w:pPr>
      <w:r>
        <w:rPr>
          <w:rFonts w:hint="eastAsia" w:hAnsi="宋体"/>
          <w:bCs/>
          <w:sz w:val="21"/>
        </w:rPr>
        <w:t>（1）投标人在投标有效期内撤销投标文件的；</w:t>
      </w:r>
    </w:p>
    <w:p w14:paraId="6CFEF68A">
      <w:pPr>
        <w:pStyle w:val="25"/>
        <w:snapToGrid w:val="0"/>
        <w:spacing w:line="360" w:lineRule="auto"/>
        <w:ind w:firstLine="420" w:firstLineChars="200"/>
        <w:jc w:val="left"/>
        <w:rPr>
          <w:rFonts w:hint="eastAsia" w:hAnsi="宋体"/>
          <w:bCs/>
          <w:sz w:val="21"/>
        </w:rPr>
      </w:pPr>
      <w:r>
        <w:rPr>
          <w:rFonts w:hint="eastAsia" w:hAnsi="宋体"/>
          <w:bCs/>
          <w:sz w:val="21"/>
        </w:rPr>
        <w:t>（2）未按规定提交履约保证金的；</w:t>
      </w:r>
    </w:p>
    <w:p w14:paraId="75318824">
      <w:pPr>
        <w:pStyle w:val="25"/>
        <w:snapToGrid w:val="0"/>
        <w:spacing w:line="360" w:lineRule="auto"/>
        <w:ind w:firstLine="420" w:firstLineChars="200"/>
        <w:jc w:val="left"/>
        <w:rPr>
          <w:rFonts w:hint="eastAsia" w:hAnsi="宋体"/>
          <w:bCs/>
          <w:sz w:val="21"/>
        </w:rPr>
      </w:pPr>
      <w:r>
        <w:rPr>
          <w:rFonts w:hint="eastAsia" w:hAnsi="宋体"/>
          <w:bCs/>
          <w:sz w:val="21"/>
        </w:rPr>
        <w:t>（3）投标人在投标过程中弄虚作假，提供虚假材料的；</w:t>
      </w:r>
    </w:p>
    <w:p w14:paraId="55F87814">
      <w:pPr>
        <w:pStyle w:val="25"/>
        <w:snapToGrid w:val="0"/>
        <w:spacing w:line="360" w:lineRule="auto"/>
        <w:ind w:firstLine="420" w:firstLineChars="200"/>
        <w:jc w:val="left"/>
        <w:rPr>
          <w:rFonts w:hint="eastAsia" w:hAnsi="宋体"/>
          <w:bCs/>
          <w:sz w:val="21"/>
        </w:rPr>
      </w:pPr>
      <w:r>
        <w:rPr>
          <w:rFonts w:hint="eastAsia" w:hAnsi="宋体"/>
          <w:bCs/>
          <w:sz w:val="21"/>
        </w:rPr>
        <w:t>（4）中标人无正当理由不与采购人签订合同的；</w:t>
      </w:r>
    </w:p>
    <w:p w14:paraId="0F8714EF">
      <w:pPr>
        <w:pStyle w:val="25"/>
        <w:snapToGrid w:val="0"/>
        <w:spacing w:line="360" w:lineRule="auto"/>
        <w:ind w:firstLine="420" w:firstLineChars="200"/>
        <w:jc w:val="left"/>
        <w:rPr>
          <w:rFonts w:hint="eastAsia" w:hAnsi="宋体"/>
          <w:bCs/>
          <w:sz w:val="21"/>
        </w:rPr>
      </w:pPr>
      <w:r>
        <w:rPr>
          <w:rFonts w:hint="eastAsia" w:hAnsi="宋体"/>
          <w:bCs/>
          <w:sz w:val="21"/>
        </w:rPr>
        <w:t>（5）投标人出现本章第9.2、9.3情形的；</w:t>
      </w:r>
    </w:p>
    <w:p w14:paraId="6D51B55C">
      <w:pPr>
        <w:pStyle w:val="25"/>
        <w:snapToGrid w:val="0"/>
        <w:spacing w:line="360" w:lineRule="auto"/>
        <w:ind w:firstLine="420" w:firstLineChars="200"/>
        <w:jc w:val="left"/>
        <w:rPr>
          <w:rFonts w:hint="eastAsia" w:hAnsi="宋体"/>
          <w:bCs/>
          <w:sz w:val="21"/>
        </w:rPr>
      </w:pPr>
      <w:r>
        <w:rPr>
          <w:rFonts w:hint="eastAsia" w:hAnsi="宋体"/>
          <w:bCs/>
          <w:sz w:val="21"/>
        </w:rPr>
        <w:t>（6）法律法规规定的其他情形。</w:t>
      </w:r>
    </w:p>
    <w:p w14:paraId="4CC71466">
      <w:pPr>
        <w:pStyle w:val="6"/>
        <w:keepNext w:val="0"/>
        <w:keepLines w:val="0"/>
        <w:spacing w:before="0" w:after="0" w:line="360" w:lineRule="auto"/>
        <w:ind w:left="420" w:leftChars="200"/>
        <w:rPr>
          <w:rFonts w:hint="eastAsia" w:ascii="黑体" w:hAnsi="黑体" w:eastAsia="黑体"/>
          <w:sz w:val="24"/>
        </w:rPr>
      </w:pPr>
      <w:bookmarkStart w:id="114" w:name="_Toc254970683"/>
      <w:bookmarkStart w:id="115" w:name="_Toc254970542"/>
      <w:r>
        <w:rPr>
          <w:rFonts w:hint="eastAsia" w:ascii="黑体" w:hAnsi="黑体" w:eastAsia="黑体"/>
          <w:sz w:val="24"/>
        </w:rPr>
        <w:t>19.投标文件的</w:t>
      </w:r>
      <w:bookmarkEnd w:id="114"/>
      <w:bookmarkEnd w:id="115"/>
      <w:r>
        <w:rPr>
          <w:rFonts w:hint="eastAsia" w:ascii="黑体" w:hAnsi="黑体" w:eastAsia="黑体"/>
          <w:sz w:val="24"/>
        </w:rPr>
        <w:t>编制</w:t>
      </w:r>
    </w:p>
    <w:p w14:paraId="7971A240">
      <w:pPr>
        <w:pStyle w:val="25"/>
        <w:snapToGrid w:val="0"/>
        <w:spacing w:line="360" w:lineRule="auto"/>
        <w:ind w:firstLine="420" w:firstLineChars="200"/>
        <w:jc w:val="left"/>
        <w:rPr>
          <w:rFonts w:hint="eastAsia" w:hAnsi="宋体"/>
          <w:bCs/>
          <w:sz w:val="21"/>
        </w:rPr>
      </w:pPr>
      <w:r>
        <w:rPr>
          <w:rFonts w:hint="eastAsia" w:hAnsi="宋体"/>
          <w:bCs/>
          <w:sz w:val="21"/>
        </w:rPr>
        <w:t xml:space="preserve"> </w:t>
      </w:r>
      <w:bookmarkStart w:id="116" w:name="_Toc254970685"/>
      <w:bookmarkStart w:id="117" w:name="_Toc254970544"/>
      <w:r>
        <w:rPr>
          <w:rFonts w:hint="eastAsia" w:hAnsi="宋体"/>
          <w:bCs/>
          <w:sz w:val="21"/>
        </w:rPr>
        <w:t>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3803D023">
      <w:pPr>
        <w:pStyle w:val="25"/>
        <w:snapToGrid w:val="0"/>
        <w:spacing w:line="360" w:lineRule="auto"/>
        <w:ind w:firstLine="420" w:firstLineChars="200"/>
        <w:jc w:val="left"/>
        <w:rPr>
          <w:rFonts w:hint="eastAsia" w:hAnsi="宋体"/>
          <w:bCs/>
          <w:sz w:val="21"/>
        </w:rPr>
      </w:pPr>
      <w:bookmarkStart w:id="118" w:name="_19.2投标文件应按报价文件、资格证明文件、商务文件、技术文件分别编制"/>
      <w:bookmarkEnd w:id="118"/>
      <w:r>
        <w:rPr>
          <w:rFonts w:hint="eastAsia" w:hAnsi="宋体"/>
          <w:bCs/>
          <w:sz w:val="21"/>
        </w:rPr>
        <w:t>19.2为确保网上操作合法、有效和安全，投标人应当在投标截止时间前完成在广西政府采购云平台的身份认证，确保在电子投标过程中能够对相关数据电文进行加密和使用电子签章。</w:t>
      </w:r>
    </w:p>
    <w:p w14:paraId="54C4F573">
      <w:pPr>
        <w:pStyle w:val="25"/>
        <w:snapToGrid w:val="0"/>
        <w:spacing w:line="360" w:lineRule="auto"/>
        <w:ind w:firstLine="420" w:firstLineChars="200"/>
        <w:jc w:val="left"/>
        <w:rPr>
          <w:rFonts w:hint="eastAsia" w:hAnsi="宋体"/>
          <w:bCs/>
          <w:sz w:val="21"/>
        </w:rPr>
      </w:pPr>
      <w:r>
        <w:rPr>
          <w:rFonts w:hint="eastAsia" w:hAnsi="宋体"/>
          <w:bCs/>
          <w:sz w:val="21"/>
        </w:rPr>
        <w:t>19.3投标文件须由投标人在规定位置签字（或者电子签名）、盖章（具体以投标人须知前附表或投标文件格式规定为准），</w:t>
      </w:r>
      <w:r>
        <w:rPr>
          <w:rFonts w:hint="eastAsia" w:hAnsi="宋体"/>
          <w:b/>
          <w:sz w:val="21"/>
        </w:rPr>
        <w:t>否则按无效投标处理</w:t>
      </w:r>
      <w:r>
        <w:rPr>
          <w:rFonts w:hint="eastAsia" w:hAnsi="宋体"/>
          <w:bCs/>
          <w:sz w:val="21"/>
        </w:rPr>
        <w:t>。</w:t>
      </w:r>
    </w:p>
    <w:p w14:paraId="438C9802">
      <w:pPr>
        <w:pStyle w:val="25"/>
        <w:snapToGrid w:val="0"/>
        <w:spacing w:line="360" w:lineRule="auto"/>
        <w:ind w:firstLine="420" w:firstLineChars="200"/>
        <w:jc w:val="left"/>
        <w:rPr>
          <w:rFonts w:hint="eastAsia" w:hAnsi="宋体"/>
          <w:bCs/>
          <w:sz w:val="21"/>
        </w:rPr>
      </w:pPr>
      <w:r>
        <w:rPr>
          <w:rFonts w:hint="eastAsia" w:hAnsi="宋体"/>
          <w:bCs/>
          <w:sz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b/>
          <w:sz w:val="21"/>
        </w:rPr>
        <w:t>否则按无效投标处理</w:t>
      </w:r>
      <w:r>
        <w:rPr>
          <w:rFonts w:hint="eastAsia" w:hAnsi="宋体"/>
          <w:bCs/>
          <w:sz w:val="21"/>
        </w:rPr>
        <w:t>。</w:t>
      </w:r>
    </w:p>
    <w:p w14:paraId="7B957404">
      <w:pPr>
        <w:pStyle w:val="25"/>
        <w:snapToGrid w:val="0"/>
        <w:spacing w:line="360" w:lineRule="auto"/>
        <w:ind w:firstLine="420" w:firstLineChars="200"/>
        <w:jc w:val="left"/>
        <w:rPr>
          <w:rFonts w:hint="eastAsia" w:hAnsi="宋体"/>
          <w:bCs/>
          <w:sz w:val="21"/>
        </w:rPr>
      </w:pPr>
      <w:r>
        <w:rPr>
          <w:rFonts w:hint="eastAsia" w:hAnsi="宋体"/>
          <w:bCs/>
          <w:sz w:val="21"/>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76FBED5F">
      <w:pPr>
        <w:spacing w:line="360" w:lineRule="auto"/>
        <w:ind w:firstLine="480" w:firstLineChars="200"/>
        <w:rPr>
          <w:rFonts w:hint="eastAsia" w:ascii="黑体" w:hAnsi="黑体" w:eastAsia="黑体"/>
          <w:sz w:val="24"/>
        </w:rPr>
      </w:pPr>
      <w:r>
        <w:rPr>
          <w:rFonts w:hint="eastAsia" w:ascii="黑体" w:hAnsi="黑体" w:eastAsia="黑体"/>
          <w:sz w:val="24"/>
        </w:rPr>
        <w:t>20.电子备份投标文件</w:t>
      </w:r>
    </w:p>
    <w:p w14:paraId="3A2D2234">
      <w:pPr>
        <w:spacing w:line="360" w:lineRule="auto"/>
        <w:ind w:firstLine="420" w:firstLineChars="200"/>
        <w:rPr>
          <w:rFonts w:hint="eastAsia" w:ascii="黑体" w:hAnsi="黑体" w:eastAsia="黑体"/>
          <w:sz w:val="24"/>
        </w:rPr>
      </w:pPr>
      <w:r>
        <w:rPr>
          <w:rFonts w:hint="eastAsia"/>
        </w:rPr>
        <w:t>电子备份投标文件是指通过在线编制生成且后缀名为“</w:t>
      </w:r>
      <w:r>
        <w:t>bfbs</w:t>
      </w:r>
      <w:r>
        <w:rPr>
          <w:rFonts w:hint="eastAsia"/>
        </w:rPr>
        <w:t>”的文件，是否接受电子备份投标文件详见</w:t>
      </w:r>
      <w:r>
        <w:rPr>
          <w:rFonts w:hint="eastAsia" w:hAnsi="宋体"/>
          <w:bCs/>
          <w:szCs w:val="21"/>
        </w:rPr>
        <w:t>“投标人须知前附表”。</w:t>
      </w:r>
    </w:p>
    <w:p w14:paraId="012CA994">
      <w:pPr>
        <w:pStyle w:val="6"/>
        <w:keepNext w:val="0"/>
        <w:keepLines w:val="0"/>
        <w:numPr>
          <w:ilvl w:val="4"/>
          <w:numId w:val="8"/>
        </w:numPr>
        <w:spacing w:before="0" w:after="0" w:line="360" w:lineRule="auto"/>
        <w:ind w:left="420" w:leftChars="200"/>
        <w:rPr>
          <w:rFonts w:hint="eastAsia" w:ascii="黑体" w:hAnsi="黑体" w:eastAsia="黑体"/>
          <w:sz w:val="24"/>
        </w:rPr>
      </w:pPr>
      <w:r>
        <w:rPr>
          <w:rFonts w:hint="eastAsia" w:ascii="黑体" w:hAnsi="黑体" w:eastAsia="黑体"/>
          <w:sz w:val="24"/>
        </w:rPr>
        <w:t>21.投标文件的提交</w:t>
      </w:r>
    </w:p>
    <w:p w14:paraId="7D38CB94">
      <w:pPr>
        <w:spacing w:line="360" w:lineRule="auto"/>
        <w:ind w:firstLine="420" w:firstLineChars="200"/>
        <w:rPr>
          <w:rFonts w:hint="eastAsia" w:hAnsi="宋体"/>
          <w:b/>
        </w:rPr>
      </w:pPr>
      <w:bookmarkStart w:id="119" w:name="_21.1投标人必须在“投标人须知中的前附表”规定的投标文件接收时间和投"/>
      <w:bookmarkEnd w:id="119"/>
      <w:r>
        <w:rPr>
          <w:rFonts w:hAnsi="宋体"/>
          <w:bCs/>
          <w:szCs w:val="21"/>
        </w:rPr>
        <w:t>21.1</w:t>
      </w:r>
      <w:r>
        <w:rPr>
          <w:rFonts w:hint="eastAsia" w:hAnsi="宋体"/>
          <w:bCs/>
          <w:szCs w:val="21"/>
        </w:rPr>
        <w:t>投标人必须在“投标人须知前附表”规定的</w:t>
      </w:r>
      <w:r>
        <w:rPr>
          <w:rFonts w:hint="eastAsia" w:ascii="宋体" w:hAnsi="宋体"/>
          <w:szCs w:val="21"/>
        </w:rPr>
        <w:t>提交投标文件截止时间前将</w:t>
      </w:r>
      <w:r>
        <w:rPr>
          <w:rFonts w:hint="eastAsia" w:hAnsi="宋体"/>
          <w:bCs/>
          <w:szCs w:val="21"/>
        </w:rPr>
        <w:t>电子投标文件提交至投标地点。电子投标文件应在制作完成后，在投标截止时间前通过有效数字证书（</w:t>
      </w:r>
      <w:r>
        <w:rPr>
          <w:rFonts w:hAnsi="宋体"/>
          <w:bCs/>
          <w:szCs w:val="21"/>
        </w:rPr>
        <w:t>CA</w:t>
      </w:r>
      <w:r>
        <w:rPr>
          <w:rFonts w:hint="eastAsia" w:hAnsi="宋体"/>
          <w:bCs/>
          <w:szCs w:val="21"/>
        </w:rPr>
        <w:t>认证锁）进行电子签章、加密，然后通过网络将加密的电子投标文件递交至</w:t>
      </w:r>
      <w:r>
        <w:rPr>
          <w:rFonts w:hint="eastAsia" w:ascii="宋体" w:hAnsi="宋体"/>
          <w:b/>
          <w:szCs w:val="21"/>
        </w:rPr>
        <w:t>广西政府采购云平台</w:t>
      </w:r>
      <w:r>
        <w:rPr>
          <w:rFonts w:hint="eastAsia" w:hAnsi="宋体"/>
          <w:bCs/>
          <w:szCs w:val="21"/>
        </w:rPr>
        <w:t>。</w:t>
      </w:r>
      <w:r>
        <w:rPr>
          <w:rFonts w:hAnsi="宋体"/>
          <w:bCs/>
          <w:szCs w:val="21"/>
        </w:rPr>
        <w:t xml:space="preserve"> </w:t>
      </w:r>
      <w:r>
        <w:rPr>
          <w:rFonts w:hAnsi="宋体"/>
          <w:b/>
        </w:rPr>
        <w:t xml:space="preserve"> </w:t>
      </w:r>
    </w:p>
    <w:p w14:paraId="203C82D8">
      <w:pPr>
        <w:spacing w:line="360" w:lineRule="auto"/>
        <w:ind w:firstLine="422" w:firstLineChars="200"/>
        <w:rPr>
          <w:rFonts w:hint="eastAsia" w:ascii="宋体" w:hAnsi="宋体"/>
          <w:b/>
          <w:szCs w:val="20"/>
        </w:rPr>
      </w:pPr>
      <w:r>
        <w:rPr>
          <w:rFonts w:hint="eastAsia" w:ascii="宋体" w:hAnsi="宋体"/>
          <w:b/>
          <w:szCs w:val="21"/>
        </w:rPr>
        <w:t>21.2未在规定时间内提交或者未按照招标文件要求加密的电子投标文件，广西政府采购云平台将拒收。</w:t>
      </w:r>
    </w:p>
    <w:p w14:paraId="2C402E55">
      <w:pPr>
        <w:pStyle w:val="6"/>
        <w:keepNext w:val="0"/>
        <w:keepLines w:val="0"/>
        <w:numPr>
          <w:ilvl w:val="4"/>
          <w:numId w:val="8"/>
        </w:numPr>
        <w:spacing w:before="0" w:after="0" w:line="360" w:lineRule="auto"/>
        <w:ind w:left="420" w:leftChars="200"/>
        <w:rPr>
          <w:rFonts w:hint="eastAsia" w:ascii="黑体" w:hAnsi="黑体" w:eastAsia="黑体"/>
          <w:sz w:val="24"/>
        </w:rPr>
      </w:pPr>
      <w:r>
        <w:rPr>
          <w:rFonts w:hint="eastAsia" w:ascii="黑体" w:hAnsi="黑体" w:eastAsia="黑体"/>
          <w:sz w:val="24"/>
        </w:rPr>
        <w:t>22. 投标文件的补充、修改、撤回与退回</w:t>
      </w:r>
    </w:p>
    <w:p w14:paraId="524B0D3C">
      <w:pPr>
        <w:snapToGrid w:val="0"/>
        <w:spacing w:line="360" w:lineRule="auto"/>
        <w:ind w:firstLine="420"/>
        <w:jc w:val="left"/>
        <w:rPr>
          <w:rFonts w:hint="eastAsia" w:ascii="宋体" w:hAnsi="宋体"/>
          <w:szCs w:val="21"/>
        </w:rPr>
      </w:pPr>
      <w:bookmarkStart w:id="120" w:name="_Toc254970543"/>
      <w:bookmarkStart w:id="121" w:name="_Toc254970684"/>
      <w:r>
        <w:rPr>
          <w:rFonts w:hint="eastAsia" w:ascii="宋体" w:hAnsi="宋体" w:cs="宋体"/>
          <w:szCs w:val="21"/>
        </w:rPr>
        <w:t>22.1</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szCs w:val="21"/>
        </w:rPr>
        <w:t>（补充、修改或者撤回方式可</w:t>
      </w:r>
      <w:r>
        <w:rPr>
          <w:rFonts w:hint="eastAsia" w:ascii="宋体" w:hAnsi="宋体"/>
          <w:szCs w:val="21"/>
        </w:rPr>
        <w:t>登录</w:t>
      </w:r>
      <w:r>
        <w:rPr>
          <w:rFonts w:hint="eastAsia" w:ascii="宋体" w:hAnsi="宋体" w:cs="宋体"/>
          <w:kern w:val="0"/>
          <w:szCs w:val="21"/>
        </w:rPr>
        <w:t>广西政府采购云平台，</w:t>
      </w:r>
      <w:r>
        <w:rPr>
          <w:rFonts w:hint="eastAsia" w:ascii="宋体" w:hAnsi="宋体"/>
          <w:szCs w:val="21"/>
        </w:rPr>
        <w:t>依次进入“服务中心”中查看</w:t>
      </w:r>
      <w:r>
        <w:rPr>
          <w:rFonts w:hint="eastAsia" w:ascii="宋体" w:hAnsi="宋体" w:cs="宋体"/>
          <w:szCs w:val="21"/>
        </w:rPr>
        <w:t xml:space="preserve"> “电子投标文件制作与投送教程”）</w:t>
      </w:r>
    </w:p>
    <w:bookmarkEnd w:id="120"/>
    <w:bookmarkEnd w:id="121"/>
    <w:p w14:paraId="2FA07089">
      <w:pPr>
        <w:pStyle w:val="117"/>
        <w:spacing w:before="0"/>
        <w:ind w:firstLine="420"/>
        <w:rPr>
          <w:rFonts w:hint="eastAsia" w:ascii="宋体" w:hAnsi="宋体" w:cs="宋体"/>
          <w:sz w:val="21"/>
          <w:szCs w:val="21"/>
        </w:rPr>
      </w:pPr>
      <w:r>
        <w:rPr>
          <w:rFonts w:hint="eastAsia" w:ascii="宋体" w:hAnsi="宋体" w:cs="宋体"/>
          <w:sz w:val="21"/>
          <w:szCs w:val="21"/>
        </w:rPr>
        <w:t>22.2广西政府采购云平台收到投标文件后向供应商发出确认回执通知。在投标截止时间前，除供应商补充、修改或者撤回投标文件外，任何单位和个人不得解密或提取投标文件。</w:t>
      </w:r>
    </w:p>
    <w:p w14:paraId="4B326603">
      <w:pPr>
        <w:spacing w:line="360" w:lineRule="auto"/>
        <w:ind w:firstLine="420" w:firstLineChars="200"/>
        <w:rPr>
          <w:rFonts w:hint="eastAsia" w:ascii="宋体" w:hAnsi="宋体" w:cs="宋体"/>
          <w:szCs w:val="21"/>
        </w:rPr>
      </w:pPr>
      <w:r>
        <w:rPr>
          <w:rFonts w:hint="eastAsia" w:ascii="宋体" w:hAnsi="宋体" w:cs="宋体"/>
          <w:szCs w:val="21"/>
        </w:rPr>
        <w:t>22.3在投标截止时间后，采购人和采购代理机构对已提交的投标文件概不退回。</w:t>
      </w:r>
    </w:p>
    <w:p w14:paraId="5DE483D9">
      <w:pPr>
        <w:pStyle w:val="5"/>
        <w:keepNext w:val="0"/>
        <w:keepLines w:val="0"/>
        <w:jc w:val="center"/>
      </w:pPr>
      <w:r>
        <w:rPr>
          <w:rFonts w:hint="eastAsia"/>
        </w:rPr>
        <w:t>四、开    标</w:t>
      </w:r>
      <w:bookmarkEnd w:id="116"/>
      <w:bookmarkEnd w:id="117"/>
    </w:p>
    <w:p w14:paraId="29D83DE2">
      <w:pPr>
        <w:pStyle w:val="6"/>
        <w:keepNext w:val="0"/>
        <w:keepLines w:val="0"/>
        <w:spacing w:before="0" w:after="0" w:line="360" w:lineRule="auto"/>
        <w:ind w:left="420" w:leftChars="200"/>
        <w:rPr>
          <w:rFonts w:hint="eastAsia" w:ascii="黑体" w:hAnsi="黑体" w:eastAsia="黑体"/>
          <w:sz w:val="24"/>
        </w:rPr>
      </w:pPr>
      <w:bookmarkStart w:id="122" w:name="_23.开标时间和地点"/>
      <w:bookmarkEnd w:id="122"/>
      <w:r>
        <w:rPr>
          <w:rFonts w:hint="eastAsia" w:ascii="黑体" w:hAnsi="黑体" w:eastAsia="黑体"/>
          <w:sz w:val="24"/>
        </w:rPr>
        <w:t>23.开标时间和地点</w:t>
      </w:r>
    </w:p>
    <w:p w14:paraId="209799D8">
      <w:pPr>
        <w:spacing w:line="360" w:lineRule="auto"/>
        <w:ind w:firstLine="420" w:firstLineChars="200"/>
        <w:rPr>
          <w:rFonts w:hint="eastAsia" w:hAnsi="宋体"/>
          <w:bCs/>
        </w:rPr>
      </w:pPr>
      <w:r>
        <w:rPr>
          <w:rFonts w:hint="eastAsia" w:hAnsi="宋体"/>
          <w:bCs/>
        </w:rPr>
        <w:t>开标时间及地点详见“投标人须知前附表”</w:t>
      </w:r>
    </w:p>
    <w:p w14:paraId="5884D183">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24.开标程序</w:t>
      </w:r>
    </w:p>
    <w:p w14:paraId="7704DA03">
      <w:pPr>
        <w:pStyle w:val="7"/>
        <w:spacing w:line="360" w:lineRule="auto"/>
      </w:pPr>
      <w:r>
        <w:t>24.1</w:t>
      </w:r>
      <w:r>
        <w:rPr>
          <w:rFonts w:hint="eastAsia"/>
        </w:rPr>
        <w:t>提交投标文件截止时间止，投标人不足</w:t>
      </w:r>
      <w:r>
        <w:t>3</w:t>
      </w:r>
      <w:r>
        <w:rPr>
          <w:rFonts w:hint="eastAsia"/>
        </w:rPr>
        <w:t>家的，不得开标。</w:t>
      </w:r>
    </w:p>
    <w:p w14:paraId="1502849D">
      <w:pPr>
        <w:pStyle w:val="7"/>
        <w:spacing w:line="360" w:lineRule="auto"/>
      </w:pPr>
      <w:r>
        <w:t>24.2</w:t>
      </w:r>
      <w:r>
        <w:rPr>
          <w:rFonts w:hint="eastAsia"/>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1E8BF9C7">
      <w:pPr>
        <w:pStyle w:val="7"/>
        <w:spacing w:line="360" w:lineRule="auto"/>
      </w:pPr>
      <w:r>
        <w:t>24.3</w:t>
      </w:r>
      <w:r>
        <w:rPr>
          <w:rFonts w:hint="eastAsia"/>
        </w:rPr>
        <w:t>开标程序</w:t>
      </w:r>
    </w:p>
    <w:p w14:paraId="5026CAA4">
      <w:pPr>
        <w:pStyle w:val="7"/>
        <w:spacing w:line="360" w:lineRule="auto"/>
      </w:pPr>
      <w:r>
        <w:rPr>
          <w:rFonts w:hint="eastAsia"/>
        </w:rPr>
        <w:t>（</w:t>
      </w:r>
      <w:r>
        <w:t>1</w:t>
      </w:r>
      <w:r>
        <w:rPr>
          <w:rFonts w:hint="eastAsia"/>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szCs w:val="21"/>
        </w:rPr>
        <w:t>“投标人须知前附表”</w:t>
      </w:r>
      <w:r>
        <w:rPr>
          <w:rFonts w:hint="eastAsia"/>
        </w:rPr>
        <w:t>规定的时间内自行进行投标文件解密。投标人的法定代表人或其委托代理人须凭加密时所用的</w:t>
      </w:r>
      <w:r>
        <w:t>CA</w:t>
      </w:r>
      <w:r>
        <w:rPr>
          <w:rFonts w:hint="eastAsia"/>
        </w:rPr>
        <w:t>锁准时登录到广西政府采购云平台电子开标大厅签到并对电子投标文件解密。</w:t>
      </w:r>
      <w:r>
        <w:rPr>
          <w:rFonts w:hint="eastAsia"/>
          <w:b/>
        </w:rPr>
        <w:t>投标人未在规定的时间内解密投标文件或者解密失败的，</w:t>
      </w:r>
      <w:r>
        <w:rPr>
          <w:rFonts w:hint="eastAsia" w:ascii="宋体" w:hAnsi="宋体"/>
          <w:b/>
          <w:szCs w:val="21"/>
        </w:rPr>
        <w:t>投标人的投标文件作无效处理</w:t>
      </w:r>
      <w:r>
        <w:rPr>
          <w:rFonts w:hint="eastAsia"/>
          <w:b/>
        </w:rPr>
        <w:t>。</w:t>
      </w:r>
    </w:p>
    <w:p w14:paraId="21D5250C">
      <w:pPr>
        <w:pStyle w:val="7"/>
        <w:spacing w:line="360" w:lineRule="auto"/>
      </w:pPr>
      <w:r>
        <w:rPr>
          <w:rFonts w:hint="eastAsia"/>
        </w:rPr>
        <w:t>（</w:t>
      </w:r>
      <w:r>
        <w:t>2</w:t>
      </w:r>
      <w:r>
        <w:rPr>
          <w:rFonts w:hint="eastAsia"/>
        </w:rPr>
        <w:t>）电子唱标。投标文件解密结束，宣布的内容均在广西政府采购云平台远程开标大厅展示，具体详见</w:t>
      </w:r>
      <w:r>
        <w:rPr>
          <w:rFonts w:hint="eastAsia" w:hAnsi="宋体"/>
          <w:bCs/>
        </w:rPr>
        <w:t>“投标人须知前附表”</w:t>
      </w:r>
      <w:r>
        <w:rPr>
          <w:rFonts w:hint="eastAsia"/>
        </w:rPr>
        <w:t>；</w:t>
      </w:r>
    </w:p>
    <w:p w14:paraId="4C0F170B">
      <w:pPr>
        <w:pStyle w:val="7"/>
        <w:spacing w:line="360" w:lineRule="auto"/>
      </w:pPr>
      <w:r>
        <w:rPr>
          <w:rFonts w:hint="eastAsia"/>
        </w:rPr>
        <w:t>（</w:t>
      </w:r>
      <w:r>
        <w:t>3</w:t>
      </w:r>
      <w:r>
        <w:rPr>
          <w:rFonts w:hint="eastAsia"/>
        </w:rPr>
        <w:t>）开标过程由采购代理机构如实记录，并电子留痕，由参加电子开标的各投标人代表对电子开标记录在开标记录公布后</w:t>
      </w:r>
      <w:r>
        <w:t>15</w:t>
      </w:r>
      <w:r>
        <w:rPr>
          <w:rFonts w:hint="eastAsia"/>
        </w:rPr>
        <w:t>分钟内进行当场校核及勘误，并线上确认是否有异议，未确认的视同认可开标结果。</w:t>
      </w:r>
    </w:p>
    <w:p w14:paraId="3BAE22D1">
      <w:pPr>
        <w:pStyle w:val="7"/>
        <w:spacing w:line="360" w:lineRule="auto"/>
      </w:pPr>
      <w:r>
        <w:rPr>
          <w:rFonts w:hint="eastAsia"/>
        </w:rPr>
        <w:t>（</w:t>
      </w:r>
      <w:r>
        <w:t>4</w:t>
      </w:r>
      <w:r>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0AFDE30">
      <w:pPr>
        <w:pStyle w:val="7"/>
        <w:spacing w:line="360" w:lineRule="auto"/>
        <w:rPr>
          <w:szCs w:val="21"/>
        </w:rPr>
      </w:pPr>
      <w:r>
        <w:rPr>
          <w:rFonts w:hint="eastAsia"/>
          <w:szCs w:val="21"/>
        </w:rPr>
        <w:t>（</w:t>
      </w:r>
      <w:r>
        <w:rPr>
          <w:szCs w:val="21"/>
        </w:rPr>
        <w:t>5</w:t>
      </w:r>
      <w:r>
        <w:rPr>
          <w:rFonts w:hint="eastAsia"/>
          <w:szCs w:val="21"/>
        </w:rPr>
        <w:t>）开标结束。</w:t>
      </w:r>
    </w:p>
    <w:p w14:paraId="5006C465">
      <w:pPr>
        <w:pStyle w:val="25"/>
        <w:snapToGrid w:val="0"/>
        <w:spacing w:line="360" w:lineRule="auto"/>
        <w:ind w:firstLine="420" w:firstLineChars="200"/>
        <w:rPr>
          <w:rFonts w:hint="eastAsia" w:hAnsi="宋体"/>
          <w:sz w:val="21"/>
        </w:rPr>
      </w:pPr>
      <w:r>
        <w:rPr>
          <w:rFonts w:hint="eastAsia"/>
          <w:sz w:val="21"/>
        </w:rPr>
        <w:t>特别说明：如遇广西政府采购云平台电子化开标或评审程序调整的，按调整后执行。</w:t>
      </w:r>
    </w:p>
    <w:p w14:paraId="2E685963">
      <w:pPr>
        <w:pStyle w:val="25"/>
        <w:snapToGrid w:val="0"/>
        <w:spacing w:line="360" w:lineRule="auto"/>
        <w:ind w:left="689" w:leftChars="228" w:hanging="210" w:hangingChars="100"/>
        <w:rPr>
          <w:rFonts w:hint="eastAsia" w:hAnsi="宋体"/>
          <w:sz w:val="21"/>
        </w:rPr>
      </w:pPr>
    </w:p>
    <w:p w14:paraId="1EEA7033">
      <w:pPr>
        <w:pStyle w:val="5"/>
        <w:keepNext w:val="0"/>
        <w:keepLines w:val="0"/>
        <w:jc w:val="center"/>
      </w:pPr>
      <w:r>
        <w:rPr>
          <w:rFonts w:hint="eastAsia"/>
        </w:rPr>
        <w:t>五、资格审查</w:t>
      </w:r>
    </w:p>
    <w:p w14:paraId="33F0DB62">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25.资格审查</w:t>
      </w:r>
    </w:p>
    <w:p w14:paraId="71037304">
      <w:pPr>
        <w:pStyle w:val="25"/>
        <w:snapToGrid w:val="0"/>
        <w:spacing w:line="360" w:lineRule="auto"/>
        <w:ind w:firstLine="420" w:firstLineChars="200"/>
        <w:jc w:val="left"/>
        <w:rPr>
          <w:rFonts w:hint="eastAsia" w:hAnsi="宋体"/>
          <w:bCs/>
          <w:sz w:val="21"/>
        </w:rPr>
      </w:pPr>
      <w:r>
        <w:rPr>
          <w:rFonts w:hint="eastAsia" w:hAnsi="宋体"/>
          <w:bCs/>
          <w:sz w:val="21"/>
        </w:rPr>
        <w:t>25.1开标结束后，采购人或者采购代理机构通过电子开评标系统依据招标文件对电子投标文件进行线上资格审查。</w:t>
      </w:r>
    </w:p>
    <w:p w14:paraId="3072E649">
      <w:pPr>
        <w:pStyle w:val="25"/>
        <w:snapToGrid w:val="0"/>
        <w:spacing w:line="360" w:lineRule="auto"/>
        <w:ind w:firstLine="420" w:firstLineChars="200"/>
        <w:jc w:val="left"/>
        <w:rPr>
          <w:rFonts w:hint="eastAsia" w:hAnsi="宋体"/>
          <w:bCs/>
          <w:sz w:val="21"/>
        </w:rPr>
      </w:pPr>
      <w:r>
        <w:rPr>
          <w:rFonts w:hint="eastAsia" w:hAnsi="宋体"/>
          <w:bCs/>
          <w:sz w:val="21"/>
        </w:rPr>
        <w:t>25.2资格审查标准为本招标文件中载明对投标人资格要求的条件。本项目资格审查采用合格制，凡符合招标文件规定的投标人资格要求的投标人均通过资格审查。</w:t>
      </w:r>
    </w:p>
    <w:p w14:paraId="504FA8E2">
      <w:pPr>
        <w:pStyle w:val="25"/>
        <w:snapToGrid w:val="0"/>
        <w:spacing w:line="360" w:lineRule="auto"/>
        <w:ind w:firstLine="422" w:firstLineChars="200"/>
        <w:jc w:val="left"/>
        <w:rPr>
          <w:rFonts w:hint="eastAsia" w:hAnsi="宋体"/>
          <w:b/>
          <w:sz w:val="21"/>
        </w:rPr>
      </w:pPr>
      <w:bookmarkStart w:id="123" w:name="_25.3_投标人有下列情形之一的，资格审查不通过而导致其投标无效："/>
      <w:bookmarkEnd w:id="123"/>
      <w:r>
        <w:rPr>
          <w:rFonts w:hint="eastAsia" w:hAnsi="宋体"/>
          <w:b/>
          <w:sz w:val="21"/>
        </w:rPr>
        <w:t>25.3 投标人有下列情形之一的，资格审查不通过，作无效投标处理：</w:t>
      </w:r>
    </w:p>
    <w:p w14:paraId="41458928">
      <w:pPr>
        <w:pStyle w:val="25"/>
        <w:snapToGrid w:val="0"/>
        <w:spacing w:line="360" w:lineRule="auto"/>
        <w:ind w:firstLine="422" w:firstLineChars="200"/>
        <w:jc w:val="left"/>
        <w:rPr>
          <w:rFonts w:hint="eastAsia" w:hAnsi="宋体"/>
          <w:b/>
          <w:sz w:val="21"/>
        </w:rPr>
      </w:pPr>
      <w:r>
        <w:rPr>
          <w:rFonts w:hint="eastAsia" w:hAnsi="宋体"/>
          <w:b/>
          <w:sz w:val="21"/>
        </w:rPr>
        <w:t>（1）不具备招标文件中规定的资格要求的；</w:t>
      </w:r>
    </w:p>
    <w:p w14:paraId="6F2DA66A">
      <w:pPr>
        <w:pStyle w:val="25"/>
        <w:snapToGrid w:val="0"/>
        <w:spacing w:line="360" w:lineRule="auto"/>
        <w:ind w:firstLine="422" w:firstLineChars="200"/>
        <w:jc w:val="left"/>
        <w:rPr>
          <w:rFonts w:hint="eastAsia" w:hAnsi="宋体"/>
          <w:b/>
          <w:sz w:val="21"/>
        </w:rPr>
      </w:pPr>
      <w:r>
        <w:rPr>
          <w:rFonts w:hint="eastAsia" w:hAnsi="宋体"/>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378A5E2C">
      <w:pPr>
        <w:pStyle w:val="25"/>
        <w:snapToGrid w:val="0"/>
        <w:spacing w:line="360" w:lineRule="auto"/>
        <w:ind w:firstLine="422" w:firstLineChars="200"/>
        <w:jc w:val="left"/>
        <w:rPr>
          <w:rFonts w:hint="eastAsia" w:hAnsi="宋体"/>
          <w:b/>
          <w:sz w:val="21"/>
        </w:rPr>
      </w:pPr>
      <w:r>
        <w:rPr>
          <w:rFonts w:hint="eastAsia" w:hAnsi="宋体"/>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6752786A">
      <w:pPr>
        <w:pStyle w:val="25"/>
        <w:snapToGrid w:val="0"/>
        <w:spacing w:line="360" w:lineRule="auto"/>
        <w:ind w:firstLine="422" w:firstLineChars="200"/>
        <w:jc w:val="left"/>
        <w:rPr>
          <w:rFonts w:hint="eastAsia" w:hAnsi="宋体"/>
          <w:b/>
          <w:sz w:val="21"/>
        </w:rPr>
      </w:pPr>
      <w:r>
        <w:rPr>
          <w:rFonts w:hint="eastAsia" w:hAnsi="宋体"/>
          <w:b/>
          <w:sz w:val="21"/>
        </w:rPr>
        <w:t>（4）投标文件中的资格证明文件缺少任一项“投标人须知前附表”资格证明文件规定“必须提供”的文件资料的；</w:t>
      </w:r>
    </w:p>
    <w:p w14:paraId="342BF186">
      <w:pPr>
        <w:pStyle w:val="25"/>
        <w:snapToGrid w:val="0"/>
        <w:spacing w:line="360" w:lineRule="auto"/>
        <w:ind w:firstLine="422" w:firstLineChars="200"/>
        <w:jc w:val="left"/>
        <w:rPr>
          <w:rFonts w:hint="eastAsia" w:hAnsi="宋体"/>
          <w:b/>
          <w:sz w:val="21"/>
        </w:rPr>
      </w:pPr>
      <w:r>
        <w:rPr>
          <w:rFonts w:hint="eastAsia" w:hAnsi="宋体"/>
          <w:b/>
          <w:sz w:val="21"/>
        </w:rPr>
        <w:t>（5）投标文件中的资格证明文件出现任一项不符合“投标人须知前附表”资格证明文件规定“必须提供”的文件资料要求或者无效的。</w:t>
      </w:r>
    </w:p>
    <w:p w14:paraId="318908EF">
      <w:pPr>
        <w:pStyle w:val="25"/>
        <w:snapToGrid w:val="0"/>
        <w:spacing w:line="360" w:lineRule="auto"/>
        <w:ind w:firstLine="422" w:firstLineChars="200"/>
        <w:jc w:val="left"/>
        <w:rPr>
          <w:rFonts w:hint="eastAsia" w:hAnsi="宋体"/>
          <w:b/>
          <w:sz w:val="21"/>
        </w:rPr>
      </w:pPr>
      <w:r>
        <w:rPr>
          <w:rFonts w:hint="eastAsia" w:hAnsi="宋体"/>
          <w:b/>
          <w:sz w:val="21"/>
        </w:rPr>
        <w:t>25.4合格投标人不足3家的，不得评标。</w:t>
      </w:r>
    </w:p>
    <w:p w14:paraId="7D23CE3E">
      <w:pPr>
        <w:pStyle w:val="25"/>
        <w:snapToGrid w:val="0"/>
        <w:spacing w:line="360" w:lineRule="auto"/>
        <w:ind w:left="689" w:leftChars="228" w:hanging="210" w:hangingChars="100"/>
        <w:rPr>
          <w:rFonts w:hint="eastAsia" w:hAnsi="宋体"/>
          <w:sz w:val="21"/>
        </w:rPr>
      </w:pPr>
    </w:p>
    <w:p w14:paraId="4989B8B1">
      <w:pPr>
        <w:pStyle w:val="5"/>
        <w:keepNext w:val="0"/>
        <w:keepLines w:val="0"/>
        <w:jc w:val="center"/>
      </w:pPr>
      <w:r>
        <w:rPr>
          <w:rFonts w:hint="eastAsia"/>
        </w:rPr>
        <w:t>六、评   标</w:t>
      </w:r>
    </w:p>
    <w:p w14:paraId="69900865">
      <w:pPr>
        <w:pStyle w:val="6"/>
        <w:keepNext w:val="0"/>
        <w:keepLines w:val="0"/>
        <w:spacing w:before="0" w:after="0" w:line="360" w:lineRule="auto"/>
        <w:ind w:left="420" w:leftChars="200"/>
        <w:rPr>
          <w:rFonts w:hint="eastAsia" w:ascii="黑体" w:hAnsi="黑体" w:eastAsia="黑体"/>
          <w:sz w:val="24"/>
        </w:rPr>
      </w:pPr>
      <w:bookmarkStart w:id="124" w:name="_26.组建评标委员会"/>
      <w:bookmarkEnd w:id="124"/>
      <w:r>
        <w:rPr>
          <w:rFonts w:hint="eastAsia" w:ascii="黑体" w:hAnsi="黑体" w:eastAsia="黑体"/>
          <w:sz w:val="24"/>
        </w:rPr>
        <w:t>26.组建评标委员会</w:t>
      </w:r>
    </w:p>
    <w:p w14:paraId="2F080438">
      <w:pPr>
        <w:pStyle w:val="25"/>
        <w:snapToGrid w:val="0"/>
        <w:spacing w:line="360" w:lineRule="auto"/>
        <w:ind w:firstLine="420" w:firstLineChars="200"/>
        <w:rPr>
          <w:rFonts w:hint="eastAsia" w:hAnsi="宋体"/>
          <w:sz w:val="21"/>
        </w:rPr>
      </w:pPr>
      <w:r>
        <w:rPr>
          <w:rFonts w:hint="eastAsia" w:hAnsi="宋体"/>
          <w:sz w:val="21"/>
        </w:rPr>
        <w:t>26.1评标委员会由采购人代表和评审专家组成，具体人数详见“投标人须知前附表”，其中评审专家不得少于成员总数的三分之二。</w:t>
      </w:r>
    </w:p>
    <w:p w14:paraId="212ECB0D">
      <w:pPr>
        <w:pStyle w:val="25"/>
        <w:snapToGrid w:val="0"/>
        <w:spacing w:line="360" w:lineRule="auto"/>
        <w:ind w:left="2" w:leftChars="1" w:firstLine="420" w:firstLineChars="200"/>
        <w:rPr>
          <w:rFonts w:hint="eastAsia" w:hAnsi="宋体"/>
          <w:sz w:val="21"/>
        </w:rPr>
      </w:pPr>
      <w:r>
        <w:rPr>
          <w:rFonts w:hint="eastAsia" w:hAnsi="宋体"/>
          <w:sz w:val="21"/>
        </w:rPr>
        <w:t>26.2参加过采购项目前期咨询论证的专家，不得参加该采购项目的评审活动。</w:t>
      </w:r>
    </w:p>
    <w:p w14:paraId="26D9B888">
      <w:pPr>
        <w:pStyle w:val="25"/>
        <w:snapToGrid w:val="0"/>
        <w:spacing w:line="360" w:lineRule="auto"/>
        <w:ind w:left="2" w:leftChars="1" w:firstLine="420" w:firstLineChars="200"/>
        <w:rPr>
          <w:rFonts w:hint="eastAsia" w:hAnsi="宋体"/>
          <w:sz w:val="21"/>
        </w:rPr>
      </w:pPr>
      <w:r>
        <w:rPr>
          <w:rFonts w:hint="eastAsia" w:hAnsi="宋体"/>
          <w:sz w:val="21"/>
        </w:rPr>
        <w:t>26.3</w:t>
      </w:r>
      <w:r>
        <w:rPr>
          <w:rFonts w:hint="eastAsia" w:hAnsi="宋体"/>
          <w:bCs/>
          <w:sz w:val="21"/>
        </w:rPr>
        <w:t>采购代理机构应当基于广西政府采购云平台抽（选）取评审专家。</w:t>
      </w:r>
    </w:p>
    <w:p w14:paraId="0CFD7C6F">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27.评标的依据</w:t>
      </w:r>
    </w:p>
    <w:p w14:paraId="2968D0E3">
      <w:pPr>
        <w:pStyle w:val="25"/>
        <w:snapToGrid w:val="0"/>
        <w:spacing w:line="360" w:lineRule="auto"/>
        <w:ind w:firstLine="420" w:firstLineChars="200"/>
        <w:rPr>
          <w:rFonts w:hint="eastAsia" w:hAnsi="宋体"/>
          <w:sz w:val="21"/>
        </w:rPr>
      </w:pPr>
      <w:r>
        <w:rPr>
          <w:rFonts w:hint="eastAsia" w:hAnsi="宋体"/>
          <w:sz w:val="21"/>
        </w:rPr>
        <w:t>评标委员会以</w:t>
      </w:r>
      <w:r>
        <w:rPr>
          <w:rFonts w:hint="eastAsia" w:hAnsi="宋体" w:cs="宋体"/>
          <w:sz w:val="21"/>
        </w:rPr>
        <w:t>“第四章 评标方法和评标标准”</w:t>
      </w:r>
      <w:r>
        <w:rPr>
          <w:rFonts w:hint="eastAsia" w:hAnsi="宋体"/>
          <w:sz w:val="21"/>
        </w:rPr>
        <w:t>为依据对投标文件进行评审，</w:t>
      </w:r>
      <w:r>
        <w:rPr>
          <w:rFonts w:hAnsi="宋体"/>
          <w:sz w:val="21"/>
        </w:rPr>
        <w:t>没有规定的方法、评审因素和标准，不作为评标依据。</w:t>
      </w:r>
    </w:p>
    <w:p w14:paraId="0281B545">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28.评标原则</w:t>
      </w:r>
    </w:p>
    <w:p w14:paraId="688C7F28">
      <w:pPr>
        <w:pStyle w:val="25"/>
        <w:snapToGrid w:val="0"/>
        <w:spacing w:line="360" w:lineRule="auto"/>
        <w:ind w:firstLine="420" w:firstLineChars="200"/>
        <w:rPr>
          <w:rFonts w:hint="eastAsia" w:hAnsi="宋体"/>
          <w:sz w:val="21"/>
        </w:rPr>
      </w:pPr>
      <w:r>
        <w:rPr>
          <w:rFonts w:hint="eastAsia" w:hAnsi="宋体"/>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585F75B">
      <w:pPr>
        <w:pStyle w:val="25"/>
        <w:snapToGrid w:val="0"/>
        <w:spacing w:line="360" w:lineRule="auto"/>
        <w:ind w:firstLine="420" w:firstLineChars="200"/>
        <w:rPr>
          <w:rFonts w:hint="eastAsia" w:hAnsi="宋体"/>
          <w:sz w:val="21"/>
        </w:rPr>
      </w:pPr>
      <w:r>
        <w:rPr>
          <w:rFonts w:hint="eastAsia" w:hAnsi="宋体"/>
          <w:sz w:val="21"/>
        </w:rPr>
        <w:t>28.2</w:t>
      </w:r>
      <w:bookmarkStart w:id="125" w:name="_28.3评标方法。本项目将按须知前附表规定的评标办法进行评标，具体评标"/>
      <w:bookmarkEnd w:id="125"/>
      <w:r>
        <w:rPr>
          <w:rFonts w:hint="eastAsia" w:hAnsi="宋体"/>
          <w:sz w:val="21"/>
        </w:rPr>
        <w:t>评委表决。评标委员会成员对需要共同认定的事项存在争议的，应当按照少数服从多数的原则作出结论。</w:t>
      </w:r>
    </w:p>
    <w:p w14:paraId="62209F9B">
      <w:pPr>
        <w:pStyle w:val="25"/>
        <w:snapToGrid w:val="0"/>
        <w:spacing w:line="360" w:lineRule="auto"/>
        <w:ind w:firstLine="420" w:firstLineChars="200"/>
        <w:rPr>
          <w:rFonts w:hint="eastAsia" w:hAnsi="宋体"/>
          <w:sz w:val="21"/>
        </w:rPr>
      </w:pPr>
      <w:r>
        <w:rPr>
          <w:rFonts w:hint="eastAsia" w:hAnsi="宋体"/>
          <w:sz w:val="21"/>
        </w:rPr>
        <w:t>28.</w:t>
      </w:r>
      <w:r>
        <w:rPr>
          <w:rFonts w:hAnsi="宋体"/>
          <w:sz w:val="21"/>
        </w:rPr>
        <w:t>3</w:t>
      </w:r>
      <w:r>
        <w:rPr>
          <w:rFonts w:hint="eastAsia" w:hAnsi="宋体"/>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F1E1A15">
      <w:pPr>
        <w:pStyle w:val="25"/>
        <w:snapToGrid w:val="0"/>
        <w:spacing w:line="360" w:lineRule="auto"/>
        <w:ind w:firstLine="420" w:firstLineChars="200"/>
        <w:rPr>
          <w:rFonts w:hint="eastAsia" w:hAnsi="宋体"/>
          <w:sz w:val="21"/>
        </w:rPr>
      </w:pPr>
      <w:r>
        <w:rPr>
          <w:rFonts w:hint="eastAsia" w:hAnsi="宋体"/>
          <w:sz w:val="21"/>
        </w:rPr>
        <w:t>2</w:t>
      </w:r>
      <w:r>
        <w:rPr>
          <w:rFonts w:hAnsi="宋体"/>
          <w:sz w:val="21"/>
        </w:rPr>
        <w:t>8.4</w:t>
      </w:r>
      <w:r>
        <w:rPr>
          <w:rFonts w:hint="eastAsia" w:hAnsi="宋体"/>
          <w:sz w:val="21"/>
        </w:rPr>
        <w:t>评标过程的监控。本项目电子评标过程实行网上留痕、全程录音、录像监控，</w:t>
      </w:r>
      <w:r>
        <w:rPr>
          <w:rFonts w:hint="eastAsia" w:hAnsi="宋体"/>
          <w:b/>
          <w:sz w:val="21"/>
        </w:rPr>
        <w:t>投标人在评标过程中所进行的试图影响评标结果的不公正活动，可能导致其投标按无效处理。</w:t>
      </w:r>
    </w:p>
    <w:p w14:paraId="625D3C59">
      <w:pPr>
        <w:pStyle w:val="6"/>
        <w:keepNext w:val="0"/>
        <w:keepLines w:val="0"/>
        <w:spacing w:before="0" w:after="0" w:line="360" w:lineRule="auto"/>
        <w:ind w:left="420" w:leftChars="200"/>
        <w:rPr>
          <w:rFonts w:hint="eastAsia" w:ascii="黑体" w:hAnsi="黑体" w:eastAsia="黑体"/>
          <w:sz w:val="21"/>
          <w:szCs w:val="21"/>
        </w:rPr>
      </w:pPr>
      <w:r>
        <w:rPr>
          <w:rFonts w:hint="eastAsia" w:ascii="黑体" w:hAnsi="黑体" w:eastAsia="黑体"/>
          <w:sz w:val="21"/>
          <w:szCs w:val="21"/>
        </w:rPr>
        <w:t>29.评标方法及中标候选人推荐</w:t>
      </w:r>
    </w:p>
    <w:p w14:paraId="214205E6">
      <w:pPr>
        <w:pStyle w:val="25"/>
        <w:snapToGrid w:val="0"/>
        <w:spacing w:line="360" w:lineRule="auto"/>
        <w:ind w:firstLine="420" w:firstLineChars="200"/>
        <w:rPr>
          <w:rFonts w:hint="eastAsia" w:hAnsi="宋体"/>
          <w:sz w:val="21"/>
        </w:rPr>
      </w:pPr>
      <w:r>
        <w:rPr>
          <w:rFonts w:hint="eastAsia" w:hAnsi="宋体"/>
          <w:sz w:val="21"/>
        </w:rPr>
        <w:t>2</w:t>
      </w:r>
      <w:r>
        <w:rPr>
          <w:rFonts w:hAnsi="宋体"/>
          <w:sz w:val="21"/>
        </w:rPr>
        <w:t>9.1</w:t>
      </w:r>
      <w:r>
        <w:rPr>
          <w:rFonts w:hint="eastAsia" w:hAnsi="宋体"/>
          <w:sz w:val="21"/>
        </w:rPr>
        <w:t>本项目的评标方法详见“投标人须知前附表”。</w:t>
      </w:r>
    </w:p>
    <w:p w14:paraId="6DCD8FFF">
      <w:pPr>
        <w:pStyle w:val="25"/>
        <w:snapToGrid w:val="0"/>
        <w:spacing w:line="360" w:lineRule="auto"/>
        <w:ind w:firstLine="420" w:firstLineChars="200"/>
        <w:rPr>
          <w:rFonts w:hint="eastAsia" w:hAnsi="宋体"/>
          <w:sz w:val="21"/>
        </w:rPr>
      </w:pPr>
      <w:r>
        <w:rPr>
          <w:rFonts w:hint="eastAsia" w:hAnsi="宋体"/>
          <w:sz w:val="21"/>
        </w:rPr>
        <w:t>2</w:t>
      </w:r>
      <w:r>
        <w:rPr>
          <w:rFonts w:hAnsi="宋体"/>
          <w:sz w:val="21"/>
        </w:rPr>
        <w:t>9.2</w:t>
      </w:r>
      <w:r>
        <w:rPr>
          <w:rFonts w:hAnsi="宋体" w:cs="宋体"/>
          <w:sz w:val="21"/>
        </w:rPr>
        <w:t xml:space="preserve"> </w:t>
      </w:r>
      <w:r>
        <w:rPr>
          <w:rFonts w:hint="eastAsia" w:hAnsi="宋体" w:cs="宋体"/>
          <w:sz w:val="21"/>
        </w:rPr>
        <w:t>商务/技术要求</w:t>
      </w:r>
      <w:r>
        <w:rPr>
          <w:rFonts w:hint="eastAsia" w:hAnsi="宋体"/>
          <w:sz w:val="21"/>
        </w:rPr>
        <w:t>允许负偏离的条款数</w:t>
      </w:r>
      <w:r>
        <w:rPr>
          <w:rFonts w:hAnsi="宋体"/>
          <w:sz w:val="21"/>
        </w:rPr>
        <w:t>详见</w:t>
      </w:r>
      <w:r>
        <w:rPr>
          <w:rFonts w:hint="eastAsia" w:hAnsi="宋体"/>
          <w:sz w:val="21"/>
        </w:rPr>
        <w:t>“投标人须知前附表”。</w:t>
      </w:r>
    </w:p>
    <w:p w14:paraId="4C6B7CF5">
      <w:pPr>
        <w:pStyle w:val="25"/>
        <w:snapToGrid w:val="0"/>
        <w:spacing w:line="360" w:lineRule="auto"/>
        <w:ind w:firstLine="420" w:firstLineChars="200"/>
        <w:rPr>
          <w:rFonts w:hint="eastAsia" w:hAnsi="宋体" w:cs="宋体"/>
          <w:sz w:val="21"/>
        </w:rPr>
      </w:pPr>
      <w:r>
        <w:rPr>
          <w:rFonts w:hint="eastAsia" w:hAnsi="宋体"/>
          <w:sz w:val="21"/>
        </w:rPr>
        <w:t>2</w:t>
      </w:r>
      <w:r>
        <w:rPr>
          <w:rFonts w:hAnsi="宋体"/>
          <w:sz w:val="21"/>
        </w:rPr>
        <w:t>9.3</w:t>
      </w:r>
      <w:r>
        <w:rPr>
          <w:rFonts w:hAnsi="宋体" w:cs="宋体"/>
          <w:sz w:val="21"/>
        </w:rPr>
        <w:t xml:space="preserve"> </w:t>
      </w:r>
      <w:r>
        <w:rPr>
          <w:rFonts w:hAnsi="宋体"/>
          <w:sz w:val="21"/>
        </w:rPr>
        <w:t>中标候选人推荐数量详见</w:t>
      </w:r>
      <w:r>
        <w:rPr>
          <w:rFonts w:hint="eastAsia" w:hAnsi="宋体"/>
          <w:sz w:val="21"/>
        </w:rPr>
        <w:t>“投标人须知前附表”。</w:t>
      </w:r>
    </w:p>
    <w:p w14:paraId="4139A83D">
      <w:pPr>
        <w:spacing w:line="360" w:lineRule="auto"/>
        <w:ind w:firstLine="420" w:firstLineChars="200"/>
        <w:rPr>
          <w:rFonts w:hint="eastAsia" w:hAnsi="宋体"/>
          <w:szCs w:val="21"/>
        </w:rPr>
      </w:pPr>
      <w:r>
        <w:rPr>
          <w:rFonts w:hint="eastAsia" w:hAnsi="宋体"/>
          <w:szCs w:val="21"/>
        </w:rPr>
        <w:t>29.</w:t>
      </w:r>
      <w:r>
        <w:rPr>
          <w:rFonts w:hAnsi="宋体"/>
          <w:szCs w:val="21"/>
        </w:rPr>
        <w:t>4</w:t>
      </w:r>
      <w:r>
        <w:rPr>
          <w:rFonts w:hint="eastAsia" w:hAnsi="宋体"/>
          <w:szCs w:val="21"/>
        </w:rPr>
        <w:t xml:space="preserve"> 电子交易活动的中止。采购过程中出现以下情形，导致电子交易平台无法正常运行，或者无法保证电子交易的公平、公正和安全时，采购代理机构可以中止电子交易活动：</w:t>
      </w:r>
    </w:p>
    <w:p w14:paraId="13BC9370">
      <w:pPr>
        <w:spacing w:line="360" w:lineRule="auto"/>
        <w:ind w:firstLine="420" w:firstLineChars="200"/>
        <w:rPr>
          <w:rFonts w:hint="eastAsia" w:hAnsi="宋体"/>
          <w:szCs w:val="21"/>
        </w:rPr>
      </w:pPr>
      <w:r>
        <w:rPr>
          <w:rFonts w:hint="eastAsia" w:hAnsi="宋体"/>
          <w:szCs w:val="21"/>
        </w:rPr>
        <w:t xml:space="preserve">（1）电子交易平台发生故障而无法登录访问的； </w:t>
      </w:r>
    </w:p>
    <w:p w14:paraId="3B330B37">
      <w:pPr>
        <w:spacing w:line="360" w:lineRule="auto"/>
        <w:ind w:firstLine="420" w:firstLineChars="200"/>
        <w:rPr>
          <w:rFonts w:hint="eastAsia" w:hAnsi="宋体"/>
          <w:szCs w:val="21"/>
        </w:rPr>
      </w:pPr>
      <w:r>
        <w:rPr>
          <w:rFonts w:hint="eastAsia" w:hAnsi="宋体"/>
          <w:szCs w:val="21"/>
        </w:rPr>
        <w:t>（2）电子交易平台应用或数据库出现错误，不能进行正常操作的；</w:t>
      </w:r>
    </w:p>
    <w:p w14:paraId="2821494B">
      <w:pPr>
        <w:spacing w:line="360" w:lineRule="auto"/>
        <w:ind w:firstLine="420" w:firstLineChars="200"/>
        <w:rPr>
          <w:rFonts w:hint="eastAsia" w:hAnsi="宋体"/>
          <w:szCs w:val="21"/>
        </w:rPr>
      </w:pPr>
      <w:r>
        <w:rPr>
          <w:rFonts w:hint="eastAsia" w:hAnsi="宋体"/>
          <w:szCs w:val="21"/>
        </w:rPr>
        <w:t>（3）电子交易平台发现严重安全漏洞，有潜在泄密危险的；</w:t>
      </w:r>
    </w:p>
    <w:p w14:paraId="441CFC58">
      <w:pPr>
        <w:spacing w:line="360" w:lineRule="auto"/>
        <w:ind w:firstLine="420" w:firstLineChars="200"/>
        <w:rPr>
          <w:rFonts w:hint="eastAsia" w:hAnsi="宋体"/>
          <w:szCs w:val="21"/>
        </w:rPr>
      </w:pPr>
      <w:r>
        <w:rPr>
          <w:rFonts w:hint="eastAsia" w:hAnsi="宋体"/>
          <w:szCs w:val="21"/>
        </w:rPr>
        <w:t xml:space="preserve">（4）病毒发作导致不能进行正常操作的； </w:t>
      </w:r>
    </w:p>
    <w:p w14:paraId="5D2750A5">
      <w:pPr>
        <w:spacing w:line="360" w:lineRule="auto"/>
        <w:ind w:firstLine="420" w:firstLineChars="200"/>
        <w:rPr>
          <w:rFonts w:hint="eastAsia" w:hAnsi="宋体"/>
          <w:szCs w:val="21"/>
        </w:rPr>
      </w:pPr>
      <w:r>
        <w:rPr>
          <w:rFonts w:hint="eastAsia" w:hAnsi="宋体"/>
          <w:szCs w:val="21"/>
        </w:rPr>
        <w:t>（5）其他无法保证电子交易的公平、公正和安全的情况。</w:t>
      </w:r>
    </w:p>
    <w:p w14:paraId="4EF3EBDD">
      <w:pPr>
        <w:spacing w:line="360" w:lineRule="auto"/>
        <w:ind w:firstLine="420" w:firstLineChars="200"/>
        <w:rPr>
          <w:rFonts w:hint="eastAsia" w:hAnsi="宋体"/>
          <w:szCs w:val="21"/>
        </w:rPr>
      </w:pPr>
      <w:r>
        <w:rPr>
          <w:rFonts w:hint="eastAsia" w:hAnsi="宋体"/>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31417C62">
      <w:pPr>
        <w:snapToGrid w:val="0"/>
        <w:spacing w:line="360" w:lineRule="auto"/>
        <w:ind w:firstLine="420" w:firstLineChars="200"/>
        <w:rPr>
          <w:rFonts w:hint="eastAsia" w:ascii="宋体" w:hAnsi="宋体"/>
          <w:szCs w:val="21"/>
        </w:rPr>
      </w:pPr>
      <w:r>
        <w:rPr>
          <w:rFonts w:hint="eastAsia" w:ascii="宋体" w:hAnsi="宋体"/>
          <w:szCs w:val="21"/>
        </w:rPr>
        <w:t>29.5出现下列情形之一的，应予废标：</w:t>
      </w:r>
    </w:p>
    <w:p w14:paraId="7419AB37">
      <w:pPr>
        <w:snapToGrid w:val="0"/>
        <w:spacing w:line="360" w:lineRule="auto"/>
        <w:ind w:firstLine="420" w:firstLineChars="200"/>
        <w:rPr>
          <w:rFonts w:hint="eastAsia" w:ascii="宋体" w:hAnsi="宋体"/>
          <w:szCs w:val="21"/>
        </w:rPr>
      </w:pPr>
      <w:r>
        <w:rPr>
          <w:rFonts w:hint="eastAsia" w:ascii="宋体" w:hAnsi="宋体"/>
          <w:szCs w:val="21"/>
        </w:rPr>
        <w:t>（1）符合专业条件的供应商或者对招标文件作实质响应的供应商不足三家的；</w:t>
      </w:r>
    </w:p>
    <w:p w14:paraId="4F722357">
      <w:pPr>
        <w:snapToGrid w:val="0"/>
        <w:spacing w:line="360" w:lineRule="auto"/>
        <w:ind w:firstLine="420" w:firstLineChars="200"/>
        <w:rPr>
          <w:rFonts w:hint="eastAsia" w:ascii="宋体" w:hAnsi="宋体"/>
          <w:szCs w:val="21"/>
        </w:rPr>
      </w:pPr>
      <w:r>
        <w:rPr>
          <w:rFonts w:hint="eastAsia" w:ascii="宋体" w:hAnsi="宋体"/>
          <w:szCs w:val="21"/>
        </w:rPr>
        <w:t>（2）出现影响采购公正的违法、违规行为的；</w:t>
      </w:r>
    </w:p>
    <w:p w14:paraId="4F4E5A45">
      <w:pPr>
        <w:snapToGrid w:val="0"/>
        <w:spacing w:line="360" w:lineRule="auto"/>
        <w:ind w:firstLine="420" w:firstLineChars="200"/>
        <w:rPr>
          <w:rFonts w:hint="eastAsia" w:ascii="宋体" w:hAnsi="宋体"/>
          <w:szCs w:val="21"/>
        </w:rPr>
      </w:pPr>
      <w:r>
        <w:rPr>
          <w:rFonts w:hint="eastAsia" w:ascii="宋体" w:hAnsi="宋体"/>
          <w:szCs w:val="21"/>
        </w:rPr>
        <w:t>（3）投标人的报价均超过了采购预算，采购人不能支付的；</w:t>
      </w:r>
    </w:p>
    <w:p w14:paraId="5C417347">
      <w:pPr>
        <w:snapToGrid w:val="0"/>
        <w:spacing w:line="360" w:lineRule="auto"/>
        <w:ind w:firstLine="420" w:firstLineChars="200"/>
        <w:rPr>
          <w:rFonts w:hint="eastAsia" w:ascii="宋体" w:hAnsi="宋体"/>
          <w:szCs w:val="21"/>
        </w:rPr>
      </w:pPr>
      <w:r>
        <w:rPr>
          <w:rFonts w:hint="eastAsia" w:ascii="宋体" w:hAnsi="宋体"/>
          <w:szCs w:val="21"/>
        </w:rPr>
        <w:t>（4）因重大变故，采购任务取消的。</w:t>
      </w:r>
    </w:p>
    <w:p w14:paraId="7EE0DAFB">
      <w:pPr>
        <w:snapToGrid w:val="0"/>
        <w:spacing w:line="360" w:lineRule="auto"/>
        <w:ind w:firstLine="420" w:firstLineChars="200"/>
        <w:rPr>
          <w:rFonts w:hint="eastAsia" w:ascii="宋体" w:hAnsi="宋体"/>
          <w:szCs w:val="21"/>
        </w:rPr>
      </w:pPr>
      <w:r>
        <w:rPr>
          <w:rFonts w:hint="eastAsia" w:ascii="宋体" w:hAnsi="宋体"/>
          <w:szCs w:val="21"/>
        </w:rPr>
        <w:t>废标后，采购人应当将废标理由通知所有投标人。</w:t>
      </w:r>
    </w:p>
    <w:p w14:paraId="08F65C66">
      <w:pPr>
        <w:pStyle w:val="25"/>
        <w:snapToGrid w:val="0"/>
        <w:spacing w:line="360" w:lineRule="auto"/>
        <w:rPr>
          <w:rFonts w:hint="eastAsia" w:hAnsi="宋体"/>
          <w:sz w:val="21"/>
        </w:rPr>
      </w:pPr>
    </w:p>
    <w:p w14:paraId="69E40550">
      <w:pPr>
        <w:pStyle w:val="5"/>
        <w:keepNext w:val="0"/>
        <w:keepLines w:val="0"/>
        <w:jc w:val="center"/>
      </w:pPr>
      <w:bookmarkStart w:id="126" w:name="_Toc254970546"/>
      <w:bookmarkStart w:id="127" w:name="_Toc254970687"/>
      <w:r>
        <w:rPr>
          <w:rFonts w:hint="eastAsia"/>
        </w:rPr>
        <w:t>七、</w:t>
      </w:r>
      <w:bookmarkEnd w:id="126"/>
      <w:bookmarkEnd w:id="127"/>
      <w:r>
        <w:rPr>
          <w:rFonts w:hint="eastAsia"/>
        </w:rPr>
        <w:t>中标和合同</w:t>
      </w:r>
    </w:p>
    <w:p w14:paraId="2350469F">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30</w:t>
      </w:r>
      <w:r>
        <w:rPr>
          <w:rFonts w:ascii="黑体" w:hAnsi="黑体" w:eastAsia="黑体"/>
          <w:sz w:val="24"/>
        </w:rPr>
        <w:t xml:space="preserve"> </w:t>
      </w:r>
      <w:r>
        <w:rPr>
          <w:rFonts w:hint="eastAsia" w:ascii="黑体" w:hAnsi="黑体" w:eastAsia="黑体"/>
          <w:sz w:val="24"/>
        </w:rPr>
        <w:t>.确定中标人</w:t>
      </w:r>
    </w:p>
    <w:p w14:paraId="60DAB852">
      <w:pPr>
        <w:pStyle w:val="25"/>
        <w:snapToGrid w:val="0"/>
        <w:spacing w:line="360" w:lineRule="auto"/>
        <w:ind w:firstLine="420" w:firstLineChars="200"/>
        <w:rPr>
          <w:rFonts w:hint="eastAsia" w:hAnsi="宋体"/>
          <w:sz w:val="21"/>
        </w:rPr>
      </w:pPr>
      <w:r>
        <w:rPr>
          <w:rFonts w:hint="eastAsia" w:hAnsi="宋体"/>
          <w:sz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3BCD089E">
      <w:pPr>
        <w:pStyle w:val="25"/>
        <w:snapToGrid w:val="0"/>
        <w:spacing w:line="360" w:lineRule="auto"/>
        <w:ind w:firstLine="420" w:firstLineChars="200"/>
        <w:rPr>
          <w:rFonts w:hint="eastAsia" w:hAnsi="宋体"/>
          <w:sz w:val="21"/>
        </w:rPr>
      </w:pPr>
      <w:r>
        <w:rPr>
          <w:rFonts w:hint="eastAsia" w:hAnsi="宋体"/>
          <w:sz w:val="21"/>
        </w:rPr>
        <w:t>30.2采购人在收到评标报告5个工作日内未按评标报告推荐的中标候选人顺序确定中标人，又不能说明合法理由的，视同按评标报告推荐的顺序确定排名第一的中标候选人为中标人。</w:t>
      </w:r>
    </w:p>
    <w:p w14:paraId="15584A42">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31. 结果公告</w:t>
      </w:r>
    </w:p>
    <w:p w14:paraId="6C80EF47">
      <w:pPr>
        <w:pStyle w:val="25"/>
        <w:snapToGrid w:val="0"/>
        <w:spacing w:line="360" w:lineRule="auto"/>
        <w:ind w:firstLine="420" w:firstLineChars="200"/>
        <w:rPr>
          <w:rFonts w:hint="eastAsia" w:hAnsi="宋体"/>
          <w:sz w:val="21"/>
        </w:rPr>
      </w:pPr>
      <w:r>
        <w:rPr>
          <w:rFonts w:hint="eastAsia" w:hAnsi="宋体"/>
          <w:sz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EDF9C1A">
      <w:pPr>
        <w:pStyle w:val="25"/>
        <w:snapToGrid w:val="0"/>
        <w:spacing w:line="360" w:lineRule="auto"/>
        <w:ind w:firstLine="420" w:firstLineChars="200"/>
        <w:rPr>
          <w:rFonts w:hint="eastAsia" w:hAnsi="宋体"/>
          <w:sz w:val="21"/>
        </w:rPr>
      </w:pPr>
      <w:r>
        <w:rPr>
          <w:rFonts w:hint="eastAsia" w:hAnsi="宋体"/>
          <w:sz w:val="21"/>
        </w:rPr>
        <w:t>以上信息查询记录及相关证据与招标文件一并保存。</w:t>
      </w:r>
    </w:p>
    <w:p w14:paraId="6BA19CE9">
      <w:pPr>
        <w:pStyle w:val="25"/>
        <w:snapToGrid w:val="0"/>
        <w:spacing w:line="360" w:lineRule="auto"/>
        <w:ind w:firstLine="420" w:firstLineChars="200"/>
        <w:rPr>
          <w:rFonts w:hint="eastAsia" w:hAnsi="宋体"/>
          <w:sz w:val="21"/>
        </w:rPr>
      </w:pPr>
      <w:r>
        <w:rPr>
          <w:rFonts w:hint="eastAsia" w:hAnsi="宋体"/>
          <w:sz w:val="21"/>
        </w:rPr>
        <w:t>31.2中标人享受《政府采购促进中小企业发展管理办法》（财库〔2020〕46号）规定的中小企业扶持政策的，采购人、采购代理机构应当随中标结果公开中标人的《中小企业声明函》。</w:t>
      </w:r>
    </w:p>
    <w:p w14:paraId="4475F935">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32.发出中标通知书</w:t>
      </w:r>
    </w:p>
    <w:p w14:paraId="238DA625">
      <w:pPr>
        <w:pStyle w:val="25"/>
        <w:snapToGrid w:val="0"/>
        <w:spacing w:line="360" w:lineRule="auto"/>
        <w:ind w:firstLine="420" w:firstLineChars="200"/>
        <w:rPr>
          <w:rFonts w:hint="eastAsia" w:hAnsi="宋体"/>
          <w:sz w:val="21"/>
        </w:rPr>
      </w:pPr>
      <w:r>
        <w:rPr>
          <w:rFonts w:hint="eastAsia" w:hAnsi="宋体"/>
          <w:sz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7DEA461C">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33. 无义务解释未中标原因</w:t>
      </w:r>
    </w:p>
    <w:p w14:paraId="288B8456">
      <w:pPr>
        <w:pStyle w:val="25"/>
        <w:snapToGrid w:val="0"/>
        <w:spacing w:line="360" w:lineRule="auto"/>
        <w:ind w:firstLine="420" w:firstLineChars="200"/>
        <w:rPr>
          <w:rFonts w:hint="eastAsia" w:hAnsi="宋体"/>
          <w:sz w:val="21"/>
        </w:rPr>
      </w:pPr>
      <w:r>
        <w:rPr>
          <w:rFonts w:hint="eastAsia" w:hAnsi="宋体"/>
          <w:sz w:val="21"/>
        </w:rPr>
        <w:t>采购代理机构无义务向未中标的投标人解释未中标原因。</w:t>
      </w:r>
    </w:p>
    <w:p w14:paraId="62B8D410">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34.合同授予标准</w:t>
      </w:r>
    </w:p>
    <w:p w14:paraId="4AD55DD0">
      <w:pPr>
        <w:snapToGrid w:val="0"/>
        <w:spacing w:line="360" w:lineRule="auto"/>
        <w:ind w:firstLine="420" w:firstLineChars="200"/>
        <w:rPr>
          <w:rFonts w:hint="eastAsia" w:ascii="宋体" w:hAnsi="宋体"/>
          <w:szCs w:val="21"/>
        </w:rPr>
      </w:pPr>
      <w:r>
        <w:rPr>
          <w:rFonts w:hint="eastAsia" w:ascii="宋体" w:hAnsi="宋体" w:cs="Courier New"/>
          <w:szCs w:val="21"/>
        </w:rPr>
        <w:t>合同将授予被确定实质上响应招标文件要求，具备履行合同能力的中标人。</w:t>
      </w:r>
    </w:p>
    <w:p w14:paraId="4E4E7FAF">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35.履约保证金</w:t>
      </w:r>
    </w:p>
    <w:p w14:paraId="1882D4BB">
      <w:pPr>
        <w:pStyle w:val="25"/>
        <w:snapToGrid w:val="0"/>
        <w:spacing w:line="360" w:lineRule="auto"/>
        <w:ind w:firstLine="420" w:firstLineChars="200"/>
        <w:rPr>
          <w:rFonts w:hint="eastAsia" w:hAnsi="宋体"/>
          <w:sz w:val="21"/>
        </w:rPr>
      </w:pPr>
      <w:bookmarkStart w:id="128" w:name="_39.1中标人须于签订合同前按本须知前附表规定的金额转账或电汇到指定账"/>
      <w:bookmarkEnd w:id="128"/>
      <w:r>
        <w:rPr>
          <w:rFonts w:hint="eastAsia" w:hAnsi="宋体"/>
          <w:sz w:val="21"/>
        </w:rPr>
        <w:t>35.1 履约保证金的金额、提交方式、缴纳期限、退付的时间和条件详见 “投标人须知前附表”。中标人未按规定提交履约保证金的，视为拒绝与采购人签订合同。</w:t>
      </w:r>
    </w:p>
    <w:p w14:paraId="08C75603">
      <w:pPr>
        <w:pStyle w:val="25"/>
        <w:snapToGrid w:val="0"/>
        <w:spacing w:line="360" w:lineRule="auto"/>
        <w:ind w:firstLine="420" w:firstLineChars="200"/>
        <w:rPr>
          <w:rFonts w:hint="eastAsia" w:hAnsi="宋体"/>
          <w:sz w:val="21"/>
        </w:rPr>
      </w:pPr>
      <w:r>
        <w:rPr>
          <w:rFonts w:hint="eastAsia" w:hAnsi="宋体"/>
          <w:sz w:val="21"/>
        </w:rPr>
        <w:t>35.2在履约保证金退还日期前，若中标人的开户名称、开户银行、账号有变动的，请以书面形式通知履约保证金收取单位，否则由此产生的后果由中标人自行承担。</w:t>
      </w:r>
    </w:p>
    <w:p w14:paraId="3FE8FD80">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36.签订合同</w:t>
      </w:r>
    </w:p>
    <w:p w14:paraId="71A600DC">
      <w:pPr>
        <w:pStyle w:val="25"/>
        <w:snapToGrid w:val="0"/>
        <w:spacing w:line="360" w:lineRule="auto"/>
        <w:ind w:firstLine="420" w:firstLineChars="200"/>
        <w:rPr>
          <w:rFonts w:hint="eastAsia" w:hAnsi="宋体"/>
          <w:sz w:val="21"/>
        </w:rPr>
      </w:pPr>
      <w:bookmarkStart w:id="129" w:name="_40.1投标人接到中标通知书后，按须知前附表规定向采购人出示相关资格证"/>
      <w:bookmarkEnd w:id="129"/>
      <w:r>
        <w:rPr>
          <w:rFonts w:hint="eastAsia" w:hAnsi="宋体"/>
          <w:sz w:val="21"/>
        </w:rPr>
        <w:t>36.1签订电子采购合同：中标人领取电子中标通知书后，在</w:t>
      </w:r>
      <w:r>
        <w:rPr>
          <w:rFonts w:hint="eastAsia" w:hAnsi="宋体"/>
          <w:sz w:val="21"/>
          <w:lang w:val="zh-CN"/>
        </w:rPr>
        <w:t>规定的日期、时间、地点，由法定代表人或其授权代表与采购人代表签订电子采购合同。如中标人为联合体的，由联合体成员各方法定代表人或其授权代表与采购人代表签订合同。</w:t>
      </w:r>
    </w:p>
    <w:p w14:paraId="11F817CF">
      <w:pPr>
        <w:pStyle w:val="25"/>
        <w:snapToGrid w:val="0"/>
        <w:spacing w:line="360" w:lineRule="auto"/>
        <w:ind w:firstLine="420" w:firstLineChars="200"/>
        <w:rPr>
          <w:rFonts w:hint="eastAsia" w:hAnsi="宋体"/>
          <w:sz w:val="21"/>
        </w:rPr>
      </w:pPr>
      <w:r>
        <w:rPr>
          <w:rFonts w:hint="eastAsia" w:hAnsi="宋体"/>
          <w:sz w:val="21"/>
        </w:rPr>
        <w:t>线下签订纸质合同：投标人领取中标通知书后，按“投标人须知前附表”规定向采购人出示相关证明材料，经采购人核验合格后方可签订合同。</w:t>
      </w:r>
    </w:p>
    <w:p w14:paraId="5848A89C">
      <w:pPr>
        <w:pStyle w:val="25"/>
        <w:snapToGrid w:val="0"/>
        <w:spacing w:line="360" w:lineRule="auto"/>
        <w:ind w:firstLine="420" w:firstLineChars="200"/>
        <w:rPr>
          <w:rFonts w:hint="eastAsia" w:hAnsi="宋体"/>
          <w:sz w:val="21"/>
        </w:rPr>
      </w:pPr>
      <w:r>
        <w:rPr>
          <w:rFonts w:hint="eastAsia" w:hAnsi="宋体"/>
          <w:sz w:val="21"/>
        </w:rPr>
        <w:t>36.2签订合同时间：按中标通知书规定的时间与采购人签订合同。</w:t>
      </w:r>
    </w:p>
    <w:p w14:paraId="22E55528">
      <w:pPr>
        <w:pStyle w:val="25"/>
        <w:snapToGrid w:val="0"/>
        <w:spacing w:line="360" w:lineRule="auto"/>
        <w:ind w:firstLine="420" w:firstLineChars="200"/>
        <w:rPr>
          <w:rFonts w:hint="eastAsia" w:hAnsi="宋体"/>
          <w:sz w:val="21"/>
        </w:rPr>
      </w:pPr>
      <w:r>
        <w:rPr>
          <w:rFonts w:hint="eastAsia" w:hAnsi="宋体"/>
          <w:sz w:val="21"/>
        </w:rPr>
        <w:t>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0F445C4C">
      <w:pPr>
        <w:pStyle w:val="25"/>
        <w:snapToGrid w:val="0"/>
        <w:spacing w:line="360" w:lineRule="auto"/>
        <w:ind w:firstLine="420" w:firstLineChars="200"/>
        <w:rPr>
          <w:rFonts w:hint="eastAsia" w:hAnsi="宋体"/>
          <w:sz w:val="21"/>
        </w:rPr>
      </w:pPr>
      <w:r>
        <w:rPr>
          <w:rFonts w:hint="eastAsia" w:hAnsi="宋体"/>
          <w:sz w:val="21"/>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B87A23C">
      <w:pPr>
        <w:pStyle w:val="25"/>
        <w:snapToGrid w:val="0"/>
        <w:spacing w:line="360" w:lineRule="auto"/>
        <w:ind w:firstLine="420" w:firstLineChars="200"/>
        <w:rPr>
          <w:rFonts w:hint="eastAsia" w:hAnsi="宋体"/>
          <w:sz w:val="21"/>
        </w:rPr>
      </w:pPr>
      <w:r>
        <w:rPr>
          <w:rFonts w:hint="eastAsia" w:hAnsi="宋体"/>
          <w:sz w:val="21"/>
        </w:rPr>
        <w:t>36.5采购人或中标人不得单方面向合同另一方提出任何招标文件没有约定的条件或不合理的要求，作为签订合同的条件；也不得协商另行订立背离招标文件和合同实质性内容的协议。</w:t>
      </w:r>
    </w:p>
    <w:p w14:paraId="613F2BDF">
      <w:pPr>
        <w:pStyle w:val="25"/>
        <w:snapToGrid w:val="0"/>
        <w:spacing w:line="360" w:lineRule="auto"/>
        <w:ind w:firstLine="420" w:firstLineChars="200"/>
        <w:rPr>
          <w:rFonts w:hint="eastAsia" w:hAnsi="宋体"/>
          <w:sz w:val="21"/>
        </w:rPr>
      </w:pPr>
      <w:r>
        <w:rPr>
          <w:rFonts w:hint="eastAsia" w:hAnsi="宋体"/>
          <w:sz w:val="21"/>
        </w:rPr>
        <w:t>36.6如签订合同并生效后，供应商无故拒绝或延期，除按照合同条款处理外，将承担相应的法律责任。</w:t>
      </w:r>
    </w:p>
    <w:p w14:paraId="34D1F3B7">
      <w:pPr>
        <w:pStyle w:val="25"/>
        <w:snapToGrid w:val="0"/>
        <w:spacing w:line="360" w:lineRule="auto"/>
        <w:ind w:firstLine="420" w:firstLineChars="200"/>
        <w:rPr>
          <w:rFonts w:hint="eastAsia" w:hAnsi="宋体"/>
          <w:sz w:val="21"/>
        </w:rPr>
      </w:pPr>
      <w:r>
        <w:rPr>
          <w:rFonts w:hint="eastAsia" w:hAnsi="宋体"/>
          <w:sz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23146B26">
      <w:pPr>
        <w:pStyle w:val="6"/>
        <w:keepNext w:val="0"/>
        <w:keepLines w:val="0"/>
        <w:spacing w:before="0" w:after="0" w:line="360" w:lineRule="auto"/>
        <w:ind w:left="420" w:leftChars="200"/>
        <w:rPr>
          <w:rFonts w:hint="eastAsia" w:ascii="黑体" w:hAnsi="黑体" w:eastAsia="黑体"/>
          <w:sz w:val="24"/>
        </w:rPr>
      </w:pPr>
      <w:bookmarkStart w:id="130" w:name="_41.政府采购合同公告"/>
      <w:bookmarkEnd w:id="130"/>
      <w:r>
        <w:rPr>
          <w:rFonts w:hint="eastAsia" w:ascii="黑体" w:hAnsi="黑体" w:eastAsia="黑体"/>
          <w:sz w:val="24"/>
        </w:rPr>
        <w:t>37.政府采购合同公告</w:t>
      </w:r>
    </w:p>
    <w:p w14:paraId="41DE2715">
      <w:pPr>
        <w:pStyle w:val="25"/>
        <w:snapToGrid w:val="0"/>
        <w:spacing w:line="360" w:lineRule="auto"/>
        <w:ind w:firstLine="420" w:firstLineChars="200"/>
        <w:rPr>
          <w:rFonts w:hint="eastAsia" w:hAnsi="宋体"/>
          <w:sz w:val="21"/>
        </w:rPr>
      </w:pPr>
      <w:r>
        <w:rPr>
          <w:rFonts w:hint="eastAsia" w:hAnsi="宋体"/>
          <w:sz w:val="21"/>
        </w:rPr>
        <w:t>采购人或者受托采购代理机构应当自政府采购合同签订之日起2个工作日内，将政府采购合同在省级以上人民政府财政部门指定的媒体上公告，</w:t>
      </w:r>
      <w:r>
        <w:rPr>
          <w:rFonts w:hAnsi="宋体"/>
          <w:sz w:val="21"/>
        </w:rPr>
        <w:t>但政府采购合同中涉及国家秘密、商业秘密的内容除外。</w:t>
      </w:r>
    </w:p>
    <w:p w14:paraId="1D70A4FF">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w:t>
      </w:r>
      <w:r>
        <w:rPr>
          <w:rFonts w:ascii="黑体" w:hAnsi="黑体" w:eastAsia="黑体"/>
          <w:sz w:val="24"/>
        </w:rPr>
        <w:t>8.</w:t>
      </w:r>
      <w:r>
        <w:rPr>
          <w:rFonts w:hint="eastAsia" w:ascii="黑体" w:hAnsi="黑体" w:eastAsia="黑体"/>
          <w:sz w:val="24"/>
        </w:rPr>
        <w:t xml:space="preserve"> 询问、质疑和投诉</w:t>
      </w:r>
    </w:p>
    <w:p w14:paraId="449F127A">
      <w:pPr>
        <w:pStyle w:val="7"/>
        <w:spacing w:line="360" w:lineRule="auto"/>
        <w:rPr>
          <w:rFonts w:hint="eastAsia" w:ascii="宋体" w:hAnsi="宋体"/>
          <w:szCs w:val="21"/>
        </w:rPr>
      </w:pPr>
      <w:r>
        <w:rPr>
          <w:rFonts w:ascii="宋体" w:hAnsi="宋体"/>
          <w:szCs w:val="21"/>
        </w:rPr>
        <w:t>38.1</w:t>
      </w:r>
      <w:r>
        <w:rPr>
          <w:rFonts w:hint="eastAsia" w:ascii="宋体" w:hAnsi="宋体"/>
          <w:szCs w:val="21"/>
        </w:rPr>
        <w:t>供应商对政府采购活动事项有疑问的，可以向采购人提出询问，采购人或者采购代理机构应当在3个工作日内对供应商依法提出的询问作出答复，但答复的内容不得涉及商业秘密。</w:t>
      </w:r>
    </w:p>
    <w:p w14:paraId="27BC0333">
      <w:pPr>
        <w:pStyle w:val="25"/>
        <w:snapToGrid w:val="0"/>
        <w:spacing w:line="360" w:lineRule="auto"/>
        <w:ind w:firstLine="420" w:firstLineChars="200"/>
        <w:rPr>
          <w:rFonts w:hint="eastAsia" w:hAnsi="宋体"/>
          <w:sz w:val="21"/>
        </w:rPr>
      </w:pPr>
      <w:r>
        <w:rPr>
          <w:rFonts w:hint="eastAsia" w:hAnsi="宋体"/>
          <w:sz w:val="21"/>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35FA07FE">
      <w:pPr>
        <w:pStyle w:val="25"/>
        <w:snapToGrid w:val="0"/>
        <w:spacing w:line="360" w:lineRule="auto"/>
        <w:ind w:firstLine="420" w:firstLineChars="200"/>
        <w:rPr>
          <w:rFonts w:hint="eastAsia" w:hAnsi="宋体"/>
          <w:sz w:val="21"/>
        </w:rPr>
      </w:pPr>
      <w:r>
        <w:rPr>
          <w:rFonts w:hint="eastAsia" w:hAnsi="宋体"/>
          <w:sz w:val="21"/>
        </w:rPr>
        <w:t>（1）对可以质疑的招标文件提出质疑的，为收到招标文件之日或者招标文件公告期限届满之日；</w:t>
      </w:r>
    </w:p>
    <w:p w14:paraId="102503D9">
      <w:pPr>
        <w:pStyle w:val="25"/>
        <w:snapToGrid w:val="0"/>
        <w:spacing w:line="360" w:lineRule="auto"/>
        <w:ind w:firstLine="420" w:firstLineChars="200"/>
        <w:rPr>
          <w:rFonts w:hint="eastAsia" w:hAnsi="宋体"/>
          <w:sz w:val="21"/>
        </w:rPr>
      </w:pPr>
      <w:r>
        <w:rPr>
          <w:rFonts w:hint="eastAsia" w:hAnsi="宋体"/>
          <w:sz w:val="21"/>
        </w:rPr>
        <w:t>（2）对采购过程提出质疑的，为各采购程序环节结束之日；</w:t>
      </w:r>
    </w:p>
    <w:p w14:paraId="71FC45E2">
      <w:pPr>
        <w:pStyle w:val="25"/>
        <w:snapToGrid w:val="0"/>
        <w:spacing w:line="360" w:lineRule="auto"/>
        <w:ind w:firstLine="420" w:firstLineChars="200"/>
        <w:rPr>
          <w:rFonts w:hint="eastAsia" w:hAnsi="宋体"/>
          <w:sz w:val="21"/>
        </w:rPr>
      </w:pPr>
      <w:r>
        <w:rPr>
          <w:rFonts w:hint="eastAsia" w:hAnsi="宋体"/>
          <w:sz w:val="21"/>
        </w:rPr>
        <w:t>（3）对中标结果提出质疑的，为中标结果公告期限届满之日。</w:t>
      </w:r>
    </w:p>
    <w:p w14:paraId="322E433B">
      <w:pPr>
        <w:pStyle w:val="25"/>
        <w:snapToGrid w:val="0"/>
        <w:spacing w:line="360" w:lineRule="auto"/>
        <w:ind w:firstLine="420" w:firstLineChars="200"/>
        <w:rPr>
          <w:rFonts w:hint="eastAsia" w:hAnsi="宋体"/>
          <w:sz w:val="21"/>
        </w:rPr>
      </w:pPr>
      <w:r>
        <w:rPr>
          <w:rFonts w:hint="eastAsia" w:hAnsi="宋体"/>
          <w:sz w:val="21"/>
        </w:rPr>
        <w:t>38.3 供应商提出质疑应当提交质疑函和必要的证明材料，针对同一采购程序环节的质疑必须在法定质疑期内一次性提出。质疑函应当包括下列内容（质疑函格式后附）：</w:t>
      </w:r>
    </w:p>
    <w:p w14:paraId="4BDA0CB6">
      <w:pPr>
        <w:pStyle w:val="25"/>
        <w:snapToGrid w:val="0"/>
        <w:spacing w:line="360" w:lineRule="auto"/>
        <w:ind w:firstLine="420" w:firstLineChars="200"/>
        <w:rPr>
          <w:rFonts w:hint="eastAsia" w:hAnsi="宋体"/>
          <w:sz w:val="21"/>
        </w:rPr>
      </w:pPr>
      <w:r>
        <w:rPr>
          <w:rFonts w:hint="eastAsia" w:hAnsi="宋体"/>
          <w:sz w:val="21"/>
        </w:rPr>
        <w:t>（1）供应商的姓名或者名称、地址、邮编、联系人及联系电话；</w:t>
      </w:r>
    </w:p>
    <w:p w14:paraId="00A61A57">
      <w:pPr>
        <w:pStyle w:val="25"/>
        <w:snapToGrid w:val="0"/>
        <w:spacing w:line="360" w:lineRule="auto"/>
        <w:ind w:firstLine="420" w:firstLineChars="200"/>
        <w:rPr>
          <w:rFonts w:hint="eastAsia" w:hAnsi="宋体"/>
          <w:sz w:val="21"/>
        </w:rPr>
      </w:pPr>
      <w:r>
        <w:rPr>
          <w:rFonts w:hint="eastAsia" w:hAnsi="宋体"/>
          <w:sz w:val="21"/>
        </w:rPr>
        <w:t>（2）质疑项目的名称、编号；</w:t>
      </w:r>
    </w:p>
    <w:p w14:paraId="3053AAE4">
      <w:pPr>
        <w:pStyle w:val="25"/>
        <w:snapToGrid w:val="0"/>
        <w:spacing w:line="360" w:lineRule="auto"/>
        <w:ind w:firstLine="420" w:firstLineChars="200"/>
        <w:rPr>
          <w:rFonts w:hint="eastAsia" w:hAnsi="宋体"/>
          <w:sz w:val="21"/>
        </w:rPr>
      </w:pPr>
      <w:r>
        <w:rPr>
          <w:rFonts w:hint="eastAsia" w:hAnsi="宋体"/>
          <w:sz w:val="21"/>
        </w:rPr>
        <w:t>（3）具体、明确的质疑事项和与质疑事项相关的请求；</w:t>
      </w:r>
    </w:p>
    <w:p w14:paraId="127EAC43">
      <w:pPr>
        <w:pStyle w:val="25"/>
        <w:snapToGrid w:val="0"/>
        <w:spacing w:line="360" w:lineRule="auto"/>
        <w:ind w:firstLine="420" w:firstLineChars="200"/>
        <w:rPr>
          <w:rFonts w:hint="eastAsia" w:hAnsi="宋体"/>
          <w:sz w:val="21"/>
        </w:rPr>
      </w:pPr>
      <w:r>
        <w:rPr>
          <w:rFonts w:hint="eastAsia" w:hAnsi="宋体"/>
          <w:sz w:val="21"/>
        </w:rPr>
        <w:t>（4）事实依据；</w:t>
      </w:r>
    </w:p>
    <w:p w14:paraId="40FF6D7E">
      <w:pPr>
        <w:pStyle w:val="25"/>
        <w:snapToGrid w:val="0"/>
        <w:spacing w:line="360" w:lineRule="auto"/>
        <w:ind w:firstLine="420" w:firstLineChars="200"/>
        <w:rPr>
          <w:rFonts w:hint="eastAsia" w:hAnsi="宋体"/>
          <w:sz w:val="21"/>
        </w:rPr>
      </w:pPr>
      <w:r>
        <w:rPr>
          <w:rFonts w:hint="eastAsia" w:hAnsi="宋体"/>
          <w:sz w:val="21"/>
        </w:rPr>
        <w:t>（5）必要的法律依据；</w:t>
      </w:r>
    </w:p>
    <w:p w14:paraId="5DE5DADF">
      <w:pPr>
        <w:pStyle w:val="25"/>
        <w:snapToGrid w:val="0"/>
        <w:spacing w:line="360" w:lineRule="auto"/>
        <w:ind w:firstLine="420" w:firstLineChars="200"/>
        <w:rPr>
          <w:rFonts w:hint="eastAsia" w:hAnsi="宋体"/>
          <w:sz w:val="21"/>
        </w:rPr>
      </w:pPr>
      <w:r>
        <w:rPr>
          <w:rFonts w:hint="eastAsia" w:hAnsi="宋体"/>
          <w:sz w:val="21"/>
        </w:rPr>
        <w:t>（6）提出质疑的日期。</w:t>
      </w:r>
    </w:p>
    <w:p w14:paraId="3D2C3CAA">
      <w:pPr>
        <w:pStyle w:val="25"/>
        <w:snapToGrid w:val="0"/>
        <w:spacing w:line="360" w:lineRule="auto"/>
        <w:ind w:firstLine="420" w:firstLineChars="200"/>
        <w:rPr>
          <w:rFonts w:hint="eastAsia" w:hAnsi="宋体"/>
          <w:sz w:val="21"/>
        </w:rPr>
      </w:pPr>
      <w:r>
        <w:rPr>
          <w:rFonts w:hint="eastAsia" w:hAnsi="宋体"/>
          <w:sz w:val="21"/>
        </w:rPr>
        <w:t>供应商为自然人的，应当由本人签字；供应商为法人或者其他组织的，应当由法定代表人、主要负责人，或者其委托代理人签字或者盖章，并加盖公章。</w:t>
      </w:r>
    </w:p>
    <w:p w14:paraId="05890B76">
      <w:pPr>
        <w:pStyle w:val="25"/>
        <w:snapToGrid w:val="0"/>
        <w:spacing w:line="360" w:lineRule="auto"/>
        <w:ind w:firstLine="420" w:firstLineChars="200"/>
        <w:rPr>
          <w:rFonts w:hint="eastAsia" w:hAnsi="宋体"/>
          <w:sz w:val="21"/>
        </w:rPr>
      </w:pPr>
      <w:r>
        <w:rPr>
          <w:rFonts w:hint="eastAsia" w:hAnsi="宋体"/>
          <w:sz w:val="21"/>
        </w:rPr>
        <w:t>38.4采购人、采购代理机构认为供应商质疑不成立，或者成立但未对中标结果构成影响的，继续开展采购活动；认为供应商质疑成立且影响或者可能影响中标结果的，按照下列情况处理：</w:t>
      </w:r>
    </w:p>
    <w:p w14:paraId="79DF9283">
      <w:pPr>
        <w:pStyle w:val="25"/>
        <w:snapToGrid w:val="0"/>
        <w:spacing w:line="360" w:lineRule="auto"/>
        <w:ind w:firstLine="420" w:firstLineChars="200"/>
        <w:rPr>
          <w:rFonts w:hint="eastAsia" w:hAnsi="宋体"/>
          <w:sz w:val="21"/>
        </w:rPr>
      </w:pPr>
      <w:r>
        <w:rPr>
          <w:rFonts w:hint="eastAsia" w:hAnsi="宋体"/>
          <w:sz w:val="21"/>
        </w:rPr>
        <w:t>（一）对招标文件提出的质疑，依法通过澄清或者修改可以继续开展采购活动的，澄清或者修改招标文件后继续开展采购活动；否则应当修改招标文件后重新开展采购活动。</w:t>
      </w:r>
    </w:p>
    <w:p w14:paraId="253C6CBF">
      <w:pPr>
        <w:pStyle w:val="25"/>
        <w:snapToGrid w:val="0"/>
        <w:spacing w:line="360" w:lineRule="auto"/>
        <w:ind w:firstLine="420" w:firstLineChars="200"/>
        <w:rPr>
          <w:rFonts w:hint="eastAsia" w:hAnsi="宋体"/>
          <w:sz w:val="21"/>
        </w:rPr>
      </w:pPr>
      <w:r>
        <w:rPr>
          <w:rFonts w:hint="eastAsia" w:hAnsi="宋体"/>
          <w:sz w:val="21"/>
        </w:rPr>
        <w:t>（二）对采购过程、中标结果提出的质疑，合格供应商符合法定数量时，可以从合格的中标候选人中另行确定中标人的，应当依法另行确定中标人；否则应当重新开展采购活动。</w:t>
      </w:r>
    </w:p>
    <w:p w14:paraId="21A3EA38">
      <w:pPr>
        <w:pStyle w:val="25"/>
        <w:snapToGrid w:val="0"/>
        <w:spacing w:line="360" w:lineRule="auto"/>
        <w:ind w:firstLine="420" w:firstLineChars="200"/>
        <w:rPr>
          <w:rFonts w:hint="eastAsia" w:hAnsi="宋体"/>
          <w:sz w:val="21"/>
        </w:rPr>
      </w:pPr>
      <w:r>
        <w:rPr>
          <w:rFonts w:hint="eastAsia" w:hAnsi="宋体"/>
          <w:sz w:val="21"/>
        </w:rPr>
        <w:t>质疑答复导致中标结果改变的，采购人或者采购代理机构应当将有关情况书面报告本级财政部门。</w:t>
      </w:r>
    </w:p>
    <w:p w14:paraId="02DDB279">
      <w:pPr>
        <w:pStyle w:val="25"/>
        <w:snapToGrid w:val="0"/>
        <w:spacing w:line="360" w:lineRule="auto"/>
        <w:ind w:firstLine="420" w:firstLineChars="200"/>
        <w:rPr>
          <w:rFonts w:hint="eastAsia" w:hAnsi="宋体"/>
          <w:sz w:val="21"/>
        </w:rPr>
      </w:pPr>
      <w:r>
        <w:rPr>
          <w:rFonts w:hint="eastAsia" w:hAnsi="宋体"/>
          <w:sz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5D02891">
      <w:pPr>
        <w:pStyle w:val="5"/>
        <w:keepNext w:val="0"/>
        <w:keepLines w:val="0"/>
        <w:jc w:val="center"/>
      </w:pPr>
      <w:r>
        <w:rPr>
          <w:rFonts w:hint="eastAsia"/>
        </w:rPr>
        <w:t>八、其他事项</w:t>
      </w:r>
    </w:p>
    <w:p w14:paraId="2F7E24B9">
      <w:pPr>
        <w:pStyle w:val="6"/>
        <w:keepNext w:val="0"/>
        <w:keepLines w:val="0"/>
        <w:spacing w:before="0" w:after="0" w:line="360" w:lineRule="auto"/>
        <w:ind w:left="420" w:leftChars="200"/>
        <w:rPr>
          <w:rFonts w:hint="eastAsia" w:ascii="黑体" w:hAnsi="黑体" w:eastAsia="黑体"/>
          <w:sz w:val="24"/>
        </w:rPr>
      </w:pPr>
      <w:bookmarkStart w:id="131" w:name="_42.代理服务费"/>
      <w:bookmarkEnd w:id="131"/>
      <w:r>
        <w:rPr>
          <w:rFonts w:hint="eastAsia" w:ascii="黑体" w:hAnsi="黑体" w:eastAsia="黑体"/>
          <w:sz w:val="24"/>
        </w:rPr>
        <w:t>3</w:t>
      </w:r>
      <w:r>
        <w:rPr>
          <w:rFonts w:ascii="黑体" w:hAnsi="黑体" w:eastAsia="黑体"/>
          <w:sz w:val="24"/>
        </w:rPr>
        <w:t>9</w:t>
      </w:r>
      <w:r>
        <w:rPr>
          <w:rFonts w:hint="eastAsia" w:ascii="黑体" w:hAnsi="黑体" w:eastAsia="黑体"/>
          <w:sz w:val="24"/>
        </w:rPr>
        <w:t>.代理服务费</w:t>
      </w:r>
    </w:p>
    <w:p w14:paraId="4E3C749B">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3</w:t>
      </w:r>
      <w:r>
        <w:rPr>
          <w:rFonts w:ascii="宋体" w:hAnsi="宋体"/>
          <w:b w:val="0"/>
          <w:sz w:val="21"/>
          <w:szCs w:val="21"/>
        </w:rPr>
        <w:t>9</w:t>
      </w:r>
      <w:r>
        <w:rPr>
          <w:rFonts w:hint="eastAsia" w:ascii="宋体" w:hAnsi="宋体"/>
          <w:b w:val="0"/>
          <w:sz w:val="21"/>
          <w:szCs w:val="21"/>
        </w:rPr>
        <w:t>.1代理服务收取标准及缴费账户详见“投标人须知前附表”，投标人为联合体的，可以由联合体中的一方或者多方共同交纳代理服务费。</w:t>
      </w:r>
    </w:p>
    <w:p w14:paraId="6A3533DC">
      <w:pPr>
        <w:pStyle w:val="6"/>
        <w:keepNext w:val="0"/>
        <w:keepLines w:val="0"/>
        <w:spacing w:before="0" w:after="0" w:line="360" w:lineRule="auto"/>
        <w:ind w:left="420" w:leftChars="200"/>
        <w:rPr>
          <w:rFonts w:hint="eastAsia" w:ascii="宋体" w:hAnsi="宋体"/>
          <w:szCs w:val="21"/>
        </w:rPr>
      </w:pPr>
      <w:r>
        <w:rPr>
          <w:rFonts w:hint="eastAsia" w:ascii="宋体" w:hAnsi="宋体"/>
          <w:sz w:val="21"/>
          <w:szCs w:val="21"/>
        </w:rPr>
        <w:t>3</w:t>
      </w:r>
      <w:r>
        <w:rPr>
          <w:rFonts w:ascii="宋体" w:hAnsi="宋体"/>
          <w:sz w:val="21"/>
          <w:szCs w:val="21"/>
        </w:rPr>
        <w:t>9</w:t>
      </w:r>
      <w:r>
        <w:rPr>
          <w:rFonts w:hint="eastAsia" w:ascii="宋体" w:hAnsi="宋体"/>
          <w:sz w:val="21"/>
          <w:szCs w:val="21"/>
        </w:rPr>
        <w:t>.2代理服务收费标准：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47E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l2br w:val="single" w:color="auto" w:sz="4" w:space="0"/>
            </w:tcBorders>
          </w:tcPr>
          <w:p w14:paraId="1864A74B">
            <w:pPr>
              <w:spacing w:line="360" w:lineRule="auto"/>
              <w:rPr>
                <w:rFonts w:hint="eastAsia" w:ascii="宋体" w:hAnsi="宋体"/>
                <w:szCs w:val="21"/>
              </w:rPr>
            </w:pPr>
            <w:r>
              <w:rPr>
                <w:rFonts w:hint="eastAsia" w:ascii="宋体" w:hAnsi="宋体"/>
                <w:szCs w:val="21"/>
              </w:rPr>
              <w:t xml:space="preserve">               费率</w:t>
            </w:r>
          </w:p>
          <w:p w14:paraId="1208351F">
            <w:pPr>
              <w:spacing w:line="360" w:lineRule="auto"/>
              <w:rPr>
                <w:rFonts w:hint="eastAsia" w:ascii="宋体" w:hAnsi="宋体"/>
                <w:szCs w:val="21"/>
              </w:rPr>
            </w:pPr>
            <w:r>
              <w:rPr>
                <w:rFonts w:hint="eastAsia" w:ascii="宋体" w:hAnsi="宋体"/>
                <w:szCs w:val="21"/>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223C2FBF">
            <w:pPr>
              <w:spacing w:line="360" w:lineRule="auto"/>
              <w:ind w:firstLine="105" w:firstLineChars="50"/>
              <w:jc w:val="center"/>
              <w:rPr>
                <w:rFonts w:hint="eastAsia" w:ascii="宋体" w:hAnsi="宋体"/>
                <w:szCs w:val="21"/>
              </w:rPr>
            </w:pPr>
            <w:r>
              <w:rPr>
                <w:rFonts w:hint="eastAsia" w:ascii="宋体" w:hAnsi="宋体"/>
                <w:szCs w:val="21"/>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43087F3A">
            <w:pPr>
              <w:spacing w:line="360" w:lineRule="auto"/>
              <w:jc w:val="center"/>
              <w:rPr>
                <w:rFonts w:hint="eastAsia" w:ascii="宋体" w:hAnsi="宋体"/>
                <w:szCs w:val="21"/>
              </w:rPr>
            </w:pPr>
            <w:r>
              <w:rPr>
                <w:rFonts w:hint="eastAsia" w:ascii="宋体" w:hAnsi="宋体"/>
                <w:szCs w:val="21"/>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4FF91264">
            <w:pPr>
              <w:spacing w:line="360" w:lineRule="auto"/>
              <w:jc w:val="center"/>
              <w:rPr>
                <w:rFonts w:hint="eastAsia" w:ascii="宋体" w:hAnsi="宋体"/>
                <w:szCs w:val="21"/>
              </w:rPr>
            </w:pPr>
            <w:r>
              <w:rPr>
                <w:rFonts w:hint="eastAsia" w:ascii="宋体" w:hAnsi="宋体"/>
                <w:szCs w:val="21"/>
              </w:rPr>
              <w:t>工程招标</w:t>
            </w:r>
          </w:p>
        </w:tc>
      </w:tr>
      <w:tr w14:paraId="0A76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5784AE60">
            <w:pPr>
              <w:spacing w:line="360" w:lineRule="auto"/>
              <w:rPr>
                <w:rFonts w:hint="eastAsia" w:ascii="宋体" w:hAnsi="宋体"/>
                <w:szCs w:val="21"/>
              </w:rPr>
            </w:pPr>
            <w:r>
              <w:rPr>
                <w:rFonts w:hint="eastAsia" w:ascii="宋体" w:hAnsi="宋体"/>
                <w:szCs w:val="21"/>
              </w:rPr>
              <w:t>100万元以下</w:t>
            </w:r>
          </w:p>
        </w:tc>
        <w:tc>
          <w:tcPr>
            <w:tcW w:w="1659" w:type="dxa"/>
            <w:tcBorders>
              <w:top w:val="single" w:color="auto" w:sz="4" w:space="0"/>
              <w:left w:val="single" w:color="auto" w:sz="4" w:space="0"/>
              <w:bottom w:val="single" w:color="auto" w:sz="4" w:space="0"/>
              <w:right w:val="single" w:color="auto" w:sz="4" w:space="0"/>
            </w:tcBorders>
          </w:tcPr>
          <w:p w14:paraId="17EDA053">
            <w:pPr>
              <w:spacing w:line="360" w:lineRule="auto"/>
              <w:rPr>
                <w:rFonts w:hint="eastAsia" w:ascii="宋体" w:hAnsi="宋体"/>
                <w:szCs w:val="21"/>
              </w:rPr>
            </w:pPr>
            <w:r>
              <w:rPr>
                <w:rFonts w:hint="eastAsia" w:ascii="宋体" w:hAnsi="宋体" w:cs="宋体"/>
                <w:kern w:val="0"/>
                <w:szCs w:val="21"/>
              </w:rPr>
              <w:t xml:space="preserve">  1.5%                </w:t>
            </w:r>
          </w:p>
        </w:tc>
        <w:tc>
          <w:tcPr>
            <w:tcW w:w="1687" w:type="dxa"/>
            <w:tcBorders>
              <w:top w:val="single" w:color="auto" w:sz="4" w:space="0"/>
              <w:left w:val="single" w:color="auto" w:sz="4" w:space="0"/>
              <w:bottom w:val="single" w:color="auto" w:sz="4" w:space="0"/>
              <w:right w:val="single" w:color="auto" w:sz="4" w:space="0"/>
            </w:tcBorders>
          </w:tcPr>
          <w:p w14:paraId="2086B2EC">
            <w:pPr>
              <w:spacing w:line="360" w:lineRule="auto"/>
              <w:ind w:firstLine="210" w:firstLineChars="100"/>
              <w:rPr>
                <w:rFonts w:hint="eastAsia" w:ascii="宋体" w:hAnsi="宋体"/>
                <w:szCs w:val="21"/>
              </w:rPr>
            </w:pPr>
            <w:r>
              <w:rPr>
                <w:rFonts w:hint="eastAsia" w:ascii="宋体" w:hAnsi="宋体" w:cs="宋体"/>
                <w:kern w:val="0"/>
                <w:szCs w:val="21"/>
              </w:rPr>
              <w:t>1.5%</w:t>
            </w:r>
          </w:p>
        </w:tc>
        <w:tc>
          <w:tcPr>
            <w:tcW w:w="1659" w:type="dxa"/>
            <w:tcBorders>
              <w:top w:val="single" w:color="auto" w:sz="4" w:space="0"/>
              <w:left w:val="single" w:color="auto" w:sz="4" w:space="0"/>
              <w:bottom w:val="single" w:color="auto" w:sz="4" w:space="0"/>
              <w:right w:val="single" w:color="auto" w:sz="4" w:space="0"/>
            </w:tcBorders>
          </w:tcPr>
          <w:p w14:paraId="60C1E57B">
            <w:pPr>
              <w:spacing w:line="360" w:lineRule="auto"/>
              <w:ind w:firstLine="210" w:firstLineChars="100"/>
              <w:rPr>
                <w:rFonts w:hint="eastAsia" w:ascii="宋体" w:hAnsi="宋体"/>
                <w:szCs w:val="21"/>
              </w:rPr>
            </w:pPr>
            <w:r>
              <w:rPr>
                <w:rFonts w:hint="eastAsia" w:ascii="宋体" w:hAnsi="宋体" w:cs="宋体"/>
                <w:kern w:val="0"/>
                <w:szCs w:val="21"/>
              </w:rPr>
              <w:t xml:space="preserve">1.0% </w:t>
            </w:r>
          </w:p>
        </w:tc>
      </w:tr>
      <w:tr w14:paraId="40F4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1F014E8F">
            <w:pPr>
              <w:spacing w:line="360" w:lineRule="auto"/>
              <w:rPr>
                <w:rFonts w:hint="eastAsia" w:ascii="宋体" w:hAnsi="宋体"/>
                <w:szCs w:val="21"/>
              </w:rPr>
            </w:pPr>
            <w:r>
              <w:rPr>
                <w:rFonts w:hint="eastAsia" w:ascii="宋体" w:hAnsi="宋体"/>
                <w:szCs w:val="21"/>
              </w:rPr>
              <w:t>100万元～500万元</w:t>
            </w:r>
          </w:p>
        </w:tc>
        <w:tc>
          <w:tcPr>
            <w:tcW w:w="1659" w:type="dxa"/>
            <w:tcBorders>
              <w:top w:val="single" w:color="auto" w:sz="4" w:space="0"/>
              <w:left w:val="single" w:color="auto" w:sz="4" w:space="0"/>
              <w:bottom w:val="single" w:color="auto" w:sz="4" w:space="0"/>
              <w:right w:val="single" w:color="auto" w:sz="4" w:space="0"/>
            </w:tcBorders>
          </w:tcPr>
          <w:p w14:paraId="75113342">
            <w:pPr>
              <w:spacing w:line="360" w:lineRule="auto"/>
              <w:ind w:firstLine="210" w:firstLineChars="100"/>
              <w:rPr>
                <w:rFonts w:hint="eastAsia" w:ascii="宋体" w:hAnsi="宋体"/>
                <w:szCs w:val="21"/>
              </w:rPr>
            </w:pPr>
            <w:r>
              <w:rPr>
                <w:rFonts w:hint="eastAsia" w:ascii="宋体" w:hAnsi="宋体" w:cs="宋体"/>
                <w:kern w:val="0"/>
                <w:szCs w:val="21"/>
              </w:rPr>
              <w:t xml:space="preserve">1.1%                 </w:t>
            </w:r>
          </w:p>
        </w:tc>
        <w:tc>
          <w:tcPr>
            <w:tcW w:w="1687" w:type="dxa"/>
            <w:tcBorders>
              <w:top w:val="single" w:color="auto" w:sz="4" w:space="0"/>
              <w:left w:val="single" w:color="auto" w:sz="4" w:space="0"/>
              <w:bottom w:val="single" w:color="auto" w:sz="4" w:space="0"/>
              <w:right w:val="single" w:color="auto" w:sz="4" w:space="0"/>
            </w:tcBorders>
          </w:tcPr>
          <w:p w14:paraId="6DA69488">
            <w:pPr>
              <w:spacing w:line="360" w:lineRule="auto"/>
              <w:ind w:firstLine="210" w:firstLineChars="100"/>
              <w:rPr>
                <w:rFonts w:hint="eastAsia" w:ascii="宋体" w:hAnsi="宋体"/>
                <w:szCs w:val="21"/>
              </w:rPr>
            </w:pPr>
            <w:r>
              <w:rPr>
                <w:rFonts w:hint="eastAsia" w:ascii="宋体" w:hAnsi="宋体" w:cs="宋体"/>
                <w:kern w:val="0"/>
                <w:szCs w:val="21"/>
              </w:rPr>
              <w:t>0.8%</w:t>
            </w:r>
          </w:p>
        </w:tc>
        <w:tc>
          <w:tcPr>
            <w:tcW w:w="1659" w:type="dxa"/>
            <w:tcBorders>
              <w:top w:val="single" w:color="auto" w:sz="4" w:space="0"/>
              <w:left w:val="single" w:color="auto" w:sz="4" w:space="0"/>
              <w:bottom w:val="single" w:color="auto" w:sz="4" w:space="0"/>
              <w:right w:val="single" w:color="auto" w:sz="4" w:space="0"/>
            </w:tcBorders>
          </w:tcPr>
          <w:p w14:paraId="20AEDCEF">
            <w:pPr>
              <w:spacing w:line="360" w:lineRule="auto"/>
              <w:ind w:firstLine="210" w:firstLineChars="100"/>
              <w:rPr>
                <w:rFonts w:hint="eastAsia" w:ascii="宋体" w:hAnsi="宋体"/>
                <w:szCs w:val="21"/>
              </w:rPr>
            </w:pPr>
            <w:r>
              <w:rPr>
                <w:rFonts w:hint="eastAsia" w:ascii="宋体" w:hAnsi="宋体" w:cs="宋体"/>
                <w:kern w:val="0"/>
                <w:szCs w:val="21"/>
              </w:rPr>
              <w:t xml:space="preserve">0.7% </w:t>
            </w:r>
          </w:p>
        </w:tc>
      </w:tr>
      <w:tr w14:paraId="2D9F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6E73538F">
            <w:pPr>
              <w:spacing w:line="360" w:lineRule="auto"/>
              <w:rPr>
                <w:rFonts w:hint="eastAsia" w:ascii="宋体" w:hAnsi="宋体"/>
                <w:szCs w:val="21"/>
              </w:rPr>
            </w:pPr>
            <w:r>
              <w:rPr>
                <w:rFonts w:hint="eastAsia" w:ascii="宋体" w:hAnsi="宋体"/>
                <w:szCs w:val="21"/>
              </w:rPr>
              <w:t>500万元～1000万元</w:t>
            </w:r>
          </w:p>
        </w:tc>
        <w:tc>
          <w:tcPr>
            <w:tcW w:w="1659" w:type="dxa"/>
            <w:tcBorders>
              <w:top w:val="single" w:color="auto" w:sz="4" w:space="0"/>
              <w:left w:val="single" w:color="auto" w:sz="4" w:space="0"/>
              <w:bottom w:val="single" w:color="auto" w:sz="4" w:space="0"/>
              <w:right w:val="single" w:color="auto" w:sz="4" w:space="0"/>
            </w:tcBorders>
          </w:tcPr>
          <w:p w14:paraId="14657895">
            <w:pPr>
              <w:spacing w:line="360" w:lineRule="auto"/>
              <w:rPr>
                <w:rFonts w:hint="eastAsia" w:ascii="宋体" w:hAnsi="宋体"/>
                <w:szCs w:val="21"/>
              </w:rPr>
            </w:pPr>
            <w:r>
              <w:rPr>
                <w:rFonts w:hint="eastAsia" w:ascii="宋体" w:hAnsi="宋体" w:cs="宋体"/>
                <w:kern w:val="0"/>
                <w:szCs w:val="21"/>
              </w:rPr>
              <w:t xml:space="preserve">  0.8%                </w:t>
            </w:r>
          </w:p>
        </w:tc>
        <w:tc>
          <w:tcPr>
            <w:tcW w:w="1687" w:type="dxa"/>
            <w:tcBorders>
              <w:top w:val="single" w:color="auto" w:sz="4" w:space="0"/>
              <w:left w:val="single" w:color="auto" w:sz="4" w:space="0"/>
              <w:bottom w:val="single" w:color="auto" w:sz="4" w:space="0"/>
              <w:right w:val="single" w:color="auto" w:sz="4" w:space="0"/>
            </w:tcBorders>
          </w:tcPr>
          <w:p w14:paraId="7D75BE78">
            <w:pPr>
              <w:spacing w:line="360" w:lineRule="auto"/>
              <w:ind w:firstLine="210" w:firstLineChars="100"/>
              <w:rPr>
                <w:rFonts w:hint="eastAsia" w:ascii="宋体" w:hAnsi="宋体"/>
                <w:szCs w:val="21"/>
              </w:rPr>
            </w:pPr>
            <w:r>
              <w:rPr>
                <w:rFonts w:hint="eastAsia" w:ascii="宋体" w:hAnsi="宋体" w:cs="宋体"/>
                <w:kern w:val="0"/>
                <w:szCs w:val="21"/>
              </w:rPr>
              <w:t>0.45%</w:t>
            </w:r>
          </w:p>
        </w:tc>
        <w:tc>
          <w:tcPr>
            <w:tcW w:w="1659" w:type="dxa"/>
            <w:tcBorders>
              <w:top w:val="single" w:color="auto" w:sz="4" w:space="0"/>
              <w:left w:val="single" w:color="auto" w:sz="4" w:space="0"/>
              <w:bottom w:val="single" w:color="auto" w:sz="4" w:space="0"/>
              <w:right w:val="single" w:color="auto" w:sz="4" w:space="0"/>
            </w:tcBorders>
          </w:tcPr>
          <w:p w14:paraId="3132202F">
            <w:pPr>
              <w:spacing w:line="360" w:lineRule="auto"/>
              <w:ind w:firstLine="210" w:firstLineChars="100"/>
              <w:rPr>
                <w:rFonts w:hint="eastAsia" w:ascii="宋体" w:hAnsi="宋体"/>
                <w:szCs w:val="21"/>
              </w:rPr>
            </w:pPr>
            <w:r>
              <w:rPr>
                <w:rFonts w:hint="eastAsia" w:ascii="宋体" w:hAnsi="宋体" w:cs="宋体"/>
                <w:kern w:val="0"/>
                <w:szCs w:val="21"/>
              </w:rPr>
              <w:t>0.55%</w:t>
            </w:r>
          </w:p>
        </w:tc>
      </w:tr>
      <w:tr w14:paraId="19F0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40C1E497">
            <w:pPr>
              <w:spacing w:line="360" w:lineRule="auto"/>
              <w:rPr>
                <w:rFonts w:hint="eastAsia" w:ascii="宋体" w:hAnsi="宋体"/>
                <w:szCs w:val="21"/>
              </w:rPr>
            </w:pPr>
            <w:r>
              <w:rPr>
                <w:rFonts w:hint="eastAsia" w:ascii="宋体" w:hAnsi="宋体"/>
                <w:szCs w:val="21"/>
              </w:rPr>
              <w:t>1000万元～5000万元</w:t>
            </w:r>
          </w:p>
        </w:tc>
        <w:tc>
          <w:tcPr>
            <w:tcW w:w="1659" w:type="dxa"/>
            <w:tcBorders>
              <w:top w:val="single" w:color="auto" w:sz="4" w:space="0"/>
              <w:left w:val="single" w:color="auto" w:sz="4" w:space="0"/>
              <w:bottom w:val="single" w:color="auto" w:sz="4" w:space="0"/>
              <w:right w:val="single" w:color="auto" w:sz="4" w:space="0"/>
            </w:tcBorders>
          </w:tcPr>
          <w:p w14:paraId="57C41655">
            <w:pPr>
              <w:spacing w:line="360" w:lineRule="auto"/>
              <w:ind w:firstLine="210" w:firstLineChars="100"/>
              <w:rPr>
                <w:rFonts w:hint="eastAsia" w:ascii="宋体" w:hAnsi="宋体"/>
                <w:szCs w:val="21"/>
              </w:rPr>
            </w:pPr>
            <w:r>
              <w:rPr>
                <w:rFonts w:hint="eastAsia" w:ascii="宋体" w:hAnsi="宋体" w:cs="宋体"/>
                <w:kern w:val="0"/>
                <w:szCs w:val="21"/>
              </w:rPr>
              <w:t xml:space="preserve">0.5%                </w:t>
            </w:r>
          </w:p>
        </w:tc>
        <w:tc>
          <w:tcPr>
            <w:tcW w:w="1687" w:type="dxa"/>
            <w:tcBorders>
              <w:top w:val="single" w:color="auto" w:sz="4" w:space="0"/>
              <w:left w:val="single" w:color="auto" w:sz="4" w:space="0"/>
              <w:bottom w:val="single" w:color="auto" w:sz="4" w:space="0"/>
              <w:right w:val="single" w:color="auto" w:sz="4" w:space="0"/>
            </w:tcBorders>
          </w:tcPr>
          <w:p w14:paraId="2ED56FA1">
            <w:pPr>
              <w:spacing w:line="360" w:lineRule="auto"/>
              <w:ind w:firstLine="210" w:firstLineChars="100"/>
              <w:rPr>
                <w:rFonts w:hint="eastAsia" w:ascii="宋体" w:hAnsi="宋体"/>
                <w:szCs w:val="21"/>
              </w:rPr>
            </w:pPr>
            <w:r>
              <w:rPr>
                <w:rFonts w:hint="eastAsia" w:ascii="宋体" w:hAnsi="宋体" w:cs="宋体"/>
                <w:kern w:val="0"/>
                <w:szCs w:val="21"/>
              </w:rPr>
              <w:t>0.25%</w:t>
            </w:r>
          </w:p>
        </w:tc>
        <w:tc>
          <w:tcPr>
            <w:tcW w:w="1659" w:type="dxa"/>
            <w:tcBorders>
              <w:top w:val="single" w:color="auto" w:sz="4" w:space="0"/>
              <w:left w:val="single" w:color="auto" w:sz="4" w:space="0"/>
              <w:bottom w:val="single" w:color="auto" w:sz="4" w:space="0"/>
              <w:right w:val="single" w:color="auto" w:sz="4" w:space="0"/>
            </w:tcBorders>
          </w:tcPr>
          <w:p w14:paraId="3E6C4CC5">
            <w:pPr>
              <w:spacing w:line="360" w:lineRule="auto"/>
              <w:ind w:firstLine="210" w:firstLineChars="100"/>
              <w:rPr>
                <w:rFonts w:hint="eastAsia" w:ascii="宋体" w:hAnsi="宋体"/>
                <w:szCs w:val="21"/>
              </w:rPr>
            </w:pPr>
            <w:r>
              <w:rPr>
                <w:rFonts w:hint="eastAsia" w:ascii="宋体" w:hAnsi="宋体" w:cs="宋体"/>
                <w:kern w:val="0"/>
                <w:szCs w:val="21"/>
              </w:rPr>
              <w:t xml:space="preserve">0.35% </w:t>
            </w:r>
          </w:p>
        </w:tc>
      </w:tr>
      <w:tr w14:paraId="2A97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7C92E232">
            <w:pPr>
              <w:spacing w:line="360" w:lineRule="auto"/>
              <w:rPr>
                <w:rFonts w:hint="eastAsia" w:ascii="宋体" w:hAnsi="宋体"/>
                <w:szCs w:val="21"/>
              </w:rPr>
            </w:pPr>
            <w:r>
              <w:rPr>
                <w:rFonts w:hint="eastAsia" w:ascii="宋体" w:hAnsi="宋体"/>
                <w:szCs w:val="21"/>
              </w:rPr>
              <w:t>5000万元～1亿元</w:t>
            </w:r>
          </w:p>
        </w:tc>
        <w:tc>
          <w:tcPr>
            <w:tcW w:w="1659" w:type="dxa"/>
            <w:tcBorders>
              <w:top w:val="single" w:color="auto" w:sz="4" w:space="0"/>
              <w:left w:val="single" w:color="auto" w:sz="4" w:space="0"/>
              <w:bottom w:val="single" w:color="auto" w:sz="4" w:space="0"/>
              <w:right w:val="single" w:color="auto" w:sz="4" w:space="0"/>
            </w:tcBorders>
          </w:tcPr>
          <w:p w14:paraId="17F67A6D">
            <w:pPr>
              <w:spacing w:line="360" w:lineRule="auto"/>
              <w:ind w:firstLine="210" w:firstLineChars="100"/>
              <w:rPr>
                <w:rFonts w:hint="eastAsia" w:ascii="宋体" w:hAnsi="宋体"/>
                <w:szCs w:val="21"/>
              </w:rPr>
            </w:pPr>
            <w:r>
              <w:rPr>
                <w:rFonts w:hint="eastAsia" w:ascii="宋体" w:hAnsi="宋体" w:cs="宋体"/>
                <w:kern w:val="0"/>
                <w:szCs w:val="21"/>
              </w:rPr>
              <w:t xml:space="preserve">0.25%                 </w:t>
            </w:r>
          </w:p>
        </w:tc>
        <w:tc>
          <w:tcPr>
            <w:tcW w:w="1687" w:type="dxa"/>
            <w:tcBorders>
              <w:top w:val="single" w:color="auto" w:sz="4" w:space="0"/>
              <w:left w:val="single" w:color="auto" w:sz="4" w:space="0"/>
              <w:bottom w:val="single" w:color="auto" w:sz="4" w:space="0"/>
              <w:right w:val="single" w:color="auto" w:sz="4" w:space="0"/>
            </w:tcBorders>
          </w:tcPr>
          <w:p w14:paraId="08E8DA16">
            <w:pPr>
              <w:spacing w:line="360" w:lineRule="auto"/>
              <w:ind w:firstLine="210" w:firstLineChars="100"/>
              <w:rPr>
                <w:rFonts w:hint="eastAsia" w:ascii="宋体" w:hAnsi="宋体"/>
                <w:szCs w:val="21"/>
              </w:rPr>
            </w:pPr>
            <w:r>
              <w:rPr>
                <w:rFonts w:hint="eastAsia" w:ascii="宋体" w:hAnsi="宋体" w:cs="宋体"/>
                <w:kern w:val="0"/>
                <w:szCs w:val="21"/>
              </w:rPr>
              <w:t>0.1%</w:t>
            </w:r>
          </w:p>
        </w:tc>
        <w:tc>
          <w:tcPr>
            <w:tcW w:w="1659" w:type="dxa"/>
            <w:tcBorders>
              <w:top w:val="single" w:color="auto" w:sz="4" w:space="0"/>
              <w:left w:val="single" w:color="auto" w:sz="4" w:space="0"/>
              <w:bottom w:val="single" w:color="auto" w:sz="4" w:space="0"/>
              <w:right w:val="single" w:color="auto" w:sz="4" w:space="0"/>
            </w:tcBorders>
          </w:tcPr>
          <w:p w14:paraId="519DB52B">
            <w:pPr>
              <w:spacing w:line="360" w:lineRule="auto"/>
              <w:ind w:firstLine="210" w:firstLineChars="100"/>
              <w:rPr>
                <w:rFonts w:hint="eastAsia" w:ascii="宋体" w:hAnsi="宋体"/>
                <w:szCs w:val="21"/>
              </w:rPr>
            </w:pPr>
            <w:r>
              <w:rPr>
                <w:rFonts w:hint="eastAsia" w:ascii="宋体" w:hAnsi="宋体" w:cs="宋体"/>
                <w:kern w:val="0"/>
                <w:szCs w:val="21"/>
              </w:rPr>
              <w:t>0.2%</w:t>
            </w:r>
          </w:p>
        </w:tc>
      </w:tr>
      <w:tr w14:paraId="37D1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68FD3C50">
            <w:pPr>
              <w:spacing w:line="360" w:lineRule="auto"/>
              <w:rPr>
                <w:rFonts w:hint="eastAsia" w:ascii="宋体" w:hAnsi="宋体"/>
                <w:szCs w:val="21"/>
              </w:rPr>
            </w:pPr>
            <w:r>
              <w:rPr>
                <w:rFonts w:hint="eastAsia" w:ascii="宋体" w:hAnsi="宋体"/>
                <w:szCs w:val="21"/>
              </w:rPr>
              <w:t>1亿元～5亿元</w:t>
            </w:r>
          </w:p>
        </w:tc>
        <w:tc>
          <w:tcPr>
            <w:tcW w:w="1659" w:type="dxa"/>
            <w:tcBorders>
              <w:top w:val="single" w:color="auto" w:sz="4" w:space="0"/>
              <w:left w:val="single" w:color="auto" w:sz="4" w:space="0"/>
              <w:bottom w:val="single" w:color="auto" w:sz="4" w:space="0"/>
              <w:right w:val="single" w:color="auto" w:sz="4" w:space="0"/>
            </w:tcBorders>
          </w:tcPr>
          <w:p w14:paraId="6083E5A1">
            <w:pPr>
              <w:spacing w:line="360" w:lineRule="auto"/>
              <w:ind w:firstLine="210" w:firstLineChars="100"/>
              <w:rPr>
                <w:rFonts w:hint="eastAsia" w:ascii="宋体" w:hAnsi="宋体"/>
                <w:szCs w:val="21"/>
              </w:rPr>
            </w:pPr>
            <w:r>
              <w:rPr>
                <w:rFonts w:hint="eastAsia" w:ascii="宋体" w:hAnsi="宋体"/>
                <w:szCs w:val="21"/>
              </w:rPr>
              <w:t>0.05%</w:t>
            </w:r>
          </w:p>
        </w:tc>
        <w:tc>
          <w:tcPr>
            <w:tcW w:w="1687" w:type="dxa"/>
            <w:tcBorders>
              <w:top w:val="single" w:color="auto" w:sz="4" w:space="0"/>
              <w:left w:val="single" w:color="auto" w:sz="4" w:space="0"/>
              <w:bottom w:val="single" w:color="auto" w:sz="4" w:space="0"/>
              <w:right w:val="single" w:color="auto" w:sz="4" w:space="0"/>
            </w:tcBorders>
          </w:tcPr>
          <w:p w14:paraId="17B0FA28">
            <w:pPr>
              <w:spacing w:line="360" w:lineRule="auto"/>
              <w:rPr>
                <w:rFonts w:hint="eastAsia" w:ascii="宋体" w:hAnsi="宋体"/>
                <w:szCs w:val="21"/>
              </w:rPr>
            </w:pPr>
            <w:r>
              <w:rPr>
                <w:rFonts w:hint="eastAsia" w:ascii="宋体" w:hAnsi="宋体"/>
                <w:szCs w:val="21"/>
              </w:rPr>
              <w:t xml:space="preserve">  0.05%</w:t>
            </w:r>
          </w:p>
        </w:tc>
        <w:tc>
          <w:tcPr>
            <w:tcW w:w="1659" w:type="dxa"/>
            <w:tcBorders>
              <w:top w:val="single" w:color="auto" w:sz="4" w:space="0"/>
              <w:left w:val="single" w:color="auto" w:sz="4" w:space="0"/>
              <w:bottom w:val="single" w:color="auto" w:sz="4" w:space="0"/>
              <w:right w:val="single" w:color="auto" w:sz="4" w:space="0"/>
            </w:tcBorders>
          </w:tcPr>
          <w:p w14:paraId="710668CD">
            <w:pPr>
              <w:spacing w:line="360" w:lineRule="auto"/>
              <w:rPr>
                <w:rFonts w:hint="eastAsia" w:ascii="宋体" w:hAnsi="宋体"/>
                <w:szCs w:val="21"/>
              </w:rPr>
            </w:pPr>
            <w:r>
              <w:rPr>
                <w:rFonts w:hint="eastAsia" w:ascii="宋体" w:hAnsi="宋体"/>
                <w:szCs w:val="21"/>
              </w:rPr>
              <w:t xml:space="preserve">  0.05%</w:t>
            </w:r>
          </w:p>
        </w:tc>
      </w:tr>
      <w:tr w14:paraId="33A0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3884EF28">
            <w:pPr>
              <w:spacing w:line="360" w:lineRule="auto"/>
              <w:rPr>
                <w:rFonts w:hint="eastAsia" w:ascii="宋体" w:hAnsi="宋体"/>
                <w:szCs w:val="21"/>
              </w:rPr>
            </w:pPr>
            <w:r>
              <w:rPr>
                <w:rFonts w:hint="eastAsia" w:ascii="宋体" w:hAnsi="宋体"/>
                <w:szCs w:val="21"/>
              </w:rPr>
              <w:t>5亿元～10亿元</w:t>
            </w:r>
          </w:p>
        </w:tc>
        <w:tc>
          <w:tcPr>
            <w:tcW w:w="1659" w:type="dxa"/>
            <w:tcBorders>
              <w:top w:val="single" w:color="auto" w:sz="4" w:space="0"/>
              <w:left w:val="single" w:color="auto" w:sz="4" w:space="0"/>
              <w:bottom w:val="single" w:color="auto" w:sz="4" w:space="0"/>
              <w:right w:val="single" w:color="auto" w:sz="4" w:space="0"/>
            </w:tcBorders>
          </w:tcPr>
          <w:p w14:paraId="15932813">
            <w:pPr>
              <w:spacing w:line="360" w:lineRule="auto"/>
              <w:ind w:firstLine="105" w:firstLineChars="50"/>
              <w:rPr>
                <w:rFonts w:hint="eastAsia" w:ascii="宋体" w:hAnsi="宋体"/>
                <w:szCs w:val="21"/>
              </w:rPr>
            </w:pPr>
            <w:r>
              <w:rPr>
                <w:rFonts w:hint="eastAsia" w:ascii="宋体" w:hAnsi="宋体"/>
                <w:szCs w:val="21"/>
              </w:rPr>
              <w:t>0.035%</w:t>
            </w:r>
          </w:p>
        </w:tc>
        <w:tc>
          <w:tcPr>
            <w:tcW w:w="1687" w:type="dxa"/>
            <w:tcBorders>
              <w:top w:val="single" w:color="auto" w:sz="4" w:space="0"/>
              <w:left w:val="single" w:color="auto" w:sz="4" w:space="0"/>
              <w:bottom w:val="single" w:color="auto" w:sz="4" w:space="0"/>
              <w:right w:val="single" w:color="auto" w:sz="4" w:space="0"/>
            </w:tcBorders>
          </w:tcPr>
          <w:p w14:paraId="7E27C6C9">
            <w:pPr>
              <w:spacing w:line="360" w:lineRule="auto"/>
              <w:rPr>
                <w:rFonts w:hint="eastAsia" w:ascii="宋体" w:hAnsi="宋体"/>
                <w:szCs w:val="21"/>
              </w:rPr>
            </w:pPr>
            <w:r>
              <w:rPr>
                <w:rFonts w:hint="eastAsia" w:ascii="宋体" w:hAnsi="宋体"/>
                <w:szCs w:val="21"/>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7F717FB0">
            <w:pPr>
              <w:spacing w:line="360" w:lineRule="auto"/>
              <w:ind w:firstLine="105" w:firstLineChars="50"/>
              <w:rPr>
                <w:rFonts w:hint="eastAsia" w:ascii="宋体" w:hAnsi="宋体"/>
                <w:szCs w:val="21"/>
              </w:rPr>
            </w:pPr>
            <w:r>
              <w:rPr>
                <w:rFonts w:hint="eastAsia" w:ascii="宋体" w:hAnsi="宋体"/>
                <w:szCs w:val="21"/>
              </w:rPr>
              <w:t>0.035%</w:t>
            </w:r>
          </w:p>
        </w:tc>
      </w:tr>
      <w:tr w14:paraId="3F29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2809AB59">
            <w:pPr>
              <w:spacing w:line="360" w:lineRule="auto"/>
              <w:rPr>
                <w:rFonts w:hint="eastAsia" w:ascii="宋体" w:hAnsi="宋体"/>
                <w:szCs w:val="21"/>
              </w:rPr>
            </w:pPr>
            <w:r>
              <w:rPr>
                <w:rFonts w:hint="eastAsia" w:ascii="宋体" w:hAnsi="宋体"/>
                <w:szCs w:val="21"/>
              </w:rPr>
              <w:t>10亿元～50亿元</w:t>
            </w:r>
          </w:p>
        </w:tc>
        <w:tc>
          <w:tcPr>
            <w:tcW w:w="1659" w:type="dxa"/>
            <w:tcBorders>
              <w:top w:val="single" w:color="auto" w:sz="4" w:space="0"/>
              <w:left w:val="single" w:color="auto" w:sz="4" w:space="0"/>
              <w:bottom w:val="single" w:color="auto" w:sz="4" w:space="0"/>
              <w:right w:val="single" w:color="auto" w:sz="4" w:space="0"/>
            </w:tcBorders>
          </w:tcPr>
          <w:p w14:paraId="2801BACC">
            <w:pPr>
              <w:spacing w:line="360" w:lineRule="auto"/>
              <w:ind w:firstLine="105" w:firstLineChars="50"/>
              <w:rPr>
                <w:rFonts w:hint="eastAsia" w:ascii="宋体" w:hAnsi="宋体"/>
                <w:szCs w:val="21"/>
              </w:rPr>
            </w:pPr>
            <w:r>
              <w:rPr>
                <w:rFonts w:hint="eastAsia" w:ascii="宋体" w:hAnsi="宋体"/>
                <w:szCs w:val="21"/>
              </w:rPr>
              <w:t>0.008%</w:t>
            </w:r>
          </w:p>
        </w:tc>
        <w:tc>
          <w:tcPr>
            <w:tcW w:w="1687" w:type="dxa"/>
            <w:tcBorders>
              <w:top w:val="single" w:color="auto" w:sz="4" w:space="0"/>
              <w:left w:val="single" w:color="auto" w:sz="4" w:space="0"/>
              <w:bottom w:val="single" w:color="auto" w:sz="4" w:space="0"/>
              <w:right w:val="single" w:color="auto" w:sz="4" w:space="0"/>
            </w:tcBorders>
          </w:tcPr>
          <w:p w14:paraId="095690CD">
            <w:pPr>
              <w:spacing w:line="360" w:lineRule="auto"/>
              <w:ind w:firstLine="210" w:firstLineChars="100"/>
              <w:rPr>
                <w:rFonts w:hint="eastAsia" w:ascii="宋体" w:hAnsi="宋体"/>
                <w:szCs w:val="21"/>
              </w:rPr>
            </w:pPr>
            <w:r>
              <w:rPr>
                <w:rFonts w:hint="eastAsia" w:ascii="宋体" w:hAnsi="宋体"/>
                <w:szCs w:val="21"/>
              </w:rPr>
              <w:t>0.008%</w:t>
            </w:r>
          </w:p>
        </w:tc>
        <w:tc>
          <w:tcPr>
            <w:tcW w:w="1659" w:type="dxa"/>
            <w:tcBorders>
              <w:top w:val="single" w:color="auto" w:sz="4" w:space="0"/>
              <w:left w:val="single" w:color="auto" w:sz="4" w:space="0"/>
              <w:bottom w:val="single" w:color="auto" w:sz="4" w:space="0"/>
              <w:right w:val="single" w:color="auto" w:sz="4" w:space="0"/>
            </w:tcBorders>
          </w:tcPr>
          <w:p w14:paraId="17F714A8">
            <w:pPr>
              <w:spacing w:line="360" w:lineRule="auto"/>
              <w:ind w:firstLine="105" w:firstLineChars="50"/>
              <w:rPr>
                <w:rFonts w:hint="eastAsia" w:ascii="宋体" w:hAnsi="宋体"/>
                <w:szCs w:val="21"/>
              </w:rPr>
            </w:pPr>
            <w:r>
              <w:rPr>
                <w:rFonts w:hint="eastAsia" w:ascii="宋体" w:hAnsi="宋体"/>
                <w:szCs w:val="21"/>
              </w:rPr>
              <w:t>0.008%</w:t>
            </w:r>
          </w:p>
        </w:tc>
      </w:tr>
      <w:tr w14:paraId="4927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5C4476D8">
            <w:pPr>
              <w:spacing w:line="360" w:lineRule="auto"/>
              <w:rPr>
                <w:rFonts w:hint="eastAsia" w:ascii="宋体" w:hAnsi="宋体"/>
                <w:szCs w:val="21"/>
              </w:rPr>
            </w:pPr>
            <w:r>
              <w:rPr>
                <w:rFonts w:hint="eastAsia" w:ascii="宋体" w:hAnsi="宋体"/>
                <w:szCs w:val="21"/>
              </w:rPr>
              <w:t>50亿元～100亿元</w:t>
            </w:r>
          </w:p>
        </w:tc>
        <w:tc>
          <w:tcPr>
            <w:tcW w:w="1659" w:type="dxa"/>
            <w:tcBorders>
              <w:top w:val="single" w:color="auto" w:sz="4" w:space="0"/>
              <w:left w:val="single" w:color="auto" w:sz="4" w:space="0"/>
              <w:bottom w:val="single" w:color="auto" w:sz="4" w:space="0"/>
              <w:right w:val="single" w:color="auto" w:sz="4" w:space="0"/>
            </w:tcBorders>
          </w:tcPr>
          <w:p w14:paraId="2229B502">
            <w:pPr>
              <w:spacing w:line="360" w:lineRule="auto"/>
              <w:rPr>
                <w:rFonts w:hint="eastAsia" w:ascii="宋体" w:hAnsi="宋体"/>
                <w:szCs w:val="21"/>
              </w:rPr>
            </w:pPr>
            <w:r>
              <w:rPr>
                <w:rFonts w:hint="eastAsia" w:ascii="宋体" w:hAnsi="宋体"/>
                <w:szCs w:val="21"/>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4358C95E">
            <w:pPr>
              <w:spacing w:line="360" w:lineRule="auto"/>
              <w:ind w:firstLine="210" w:firstLineChars="100"/>
              <w:rPr>
                <w:rFonts w:hint="eastAsia" w:ascii="宋体" w:hAnsi="宋体"/>
                <w:szCs w:val="21"/>
              </w:rPr>
            </w:pPr>
            <w:r>
              <w:rPr>
                <w:rFonts w:hint="eastAsia" w:ascii="宋体" w:hAnsi="宋体"/>
                <w:szCs w:val="21"/>
              </w:rPr>
              <w:t>0.006%</w:t>
            </w:r>
          </w:p>
        </w:tc>
        <w:tc>
          <w:tcPr>
            <w:tcW w:w="1659" w:type="dxa"/>
            <w:tcBorders>
              <w:top w:val="single" w:color="auto" w:sz="4" w:space="0"/>
              <w:left w:val="single" w:color="auto" w:sz="4" w:space="0"/>
              <w:bottom w:val="single" w:color="auto" w:sz="4" w:space="0"/>
              <w:right w:val="single" w:color="auto" w:sz="4" w:space="0"/>
            </w:tcBorders>
          </w:tcPr>
          <w:p w14:paraId="7F2081DD">
            <w:pPr>
              <w:spacing w:line="360" w:lineRule="auto"/>
              <w:ind w:firstLine="105" w:firstLineChars="50"/>
              <w:rPr>
                <w:rFonts w:hint="eastAsia" w:ascii="宋体" w:hAnsi="宋体"/>
                <w:szCs w:val="21"/>
              </w:rPr>
            </w:pPr>
            <w:r>
              <w:rPr>
                <w:rFonts w:hint="eastAsia" w:ascii="宋体" w:hAnsi="宋体"/>
                <w:szCs w:val="21"/>
              </w:rPr>
              <w:t>0.006%</w:t>
            </w:r>
          </w:p>
        </w:tc>
      </w:tr>
      <w:tr w14:paraId="6B77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tcPr>
          <w:p w14:paraId="2738CEC6">
            <w:pPr>
              <w:spacing w:line="360" w:lineRule="auto"/>
              <w:rPr>
                <w:rFonts w:hint="eastAsia" w:ascii="宋体" w:hAnsi="宋体"/>
                <w:szCs w:val="21"/>
              </w:rPr>
            </w:pPr>
            <w:r>
              <w:rPr>
                <w:rFonts w:hint="eastAsia" w:ascii="宋体" w:hAnsi="宋体"/>
                <w:szCs w:val="21"/>
              </w:rPr>
              <w:t>100亿以上</w:t>
            </w:r>
          </w:p>
        </w:tc>
        <w:tc>
          <w:tcPr>
            <w:tcW w:w="1659" w:type="dxa"/>
            <w:tcBorders>
              <w:top w:val="single" w:color="auto" w:sz="4" w:space="0"/>
              <w:left w:val="single" w:color="auto" w:sz="4" w:space="0"/>
              <w:bottom w:val="single" w:color="auto" w:sz="4" w:space="0"/>
              <w:right w:val="single" w:color="auto" w:sz="4" w:space="0"/>
            </w:tcBorders>
          </w:tcPr>
          <w:p w14:paraId="48BA6D66">
            <w:pPr>
              <w:spacing w:line="360" w:lineRule="auto"/>
              <w:rPr>
                <w:rFonts w:hint="eastAsia" w:ascii="宋体" w:hAnsi="宋体"/>
                <w:szCs w:val="21"/>
              </w:rPr>
            </w:pPr>
            <w:r>
              <w:rPr>
                <w:rFonts w:hint="eastAsia" w:ascii="宋体" w:hAnsi="宋体"/>
                <w:szCs w:val="21"/>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48ED0A3E">
            <w:pPr>
              <w:spacing w:line="360" w:lineRule="auto"/>
              <w:ind w:firstLine="210" w:firstLineChars="100"/>
              <w:rPr>
                <w:rFonts w:hint="eastAsia" w:ascii="宋体" w:hAnsi="宋体"/>
                <w:szCs w:val="21"/>
              </w:rPr>
            </w:pPr>
            <w:r>
              <w:rPr>
                <w:rFonts w:hint="eastAsia" w:ascii="宋体" w:hAnsi="宋体"/>
                <w:szCs w:val="21"/>
              </w:rPr>
              <w:t>0.004%</w:t>
            </w:r>
          </w:p>
        </w:tc>
        <w:tc>
          <w:tcPr>
            <w:tcW w:w="1659" w:type="dxa"/>
            <w:tcBorders>
              <w:top w:val="single" w:color="auto" w:sz="4" w:space="0"/>
              <w:left w:val="single" w:color="auto" w:sz="4" w:space="0"/>
              <w:bottom w:val="single" w:color="auto" w:sz="4" w:space="0"/>
              <w:right w:val="single" w:color="auto" w:sz="4" w:space="0"/>
            </w:tcBorders>
          </w:tcPr>
          <w:p w14:paraId="56049759">
            <w:pPr>
              <w:spacing w:line="360" w:lineRule="auto"/>
              <w:ind w:firstLine="105" w:firstLineChars="50"/>
              <w:rPr>
                <w:rFonts w:hint="eastAsia" w:ascii="宋体" w:hAnsi="宋体"/>
                <w:szCs w:val="21"/>
              </w:rPr>
            </w:pPr>
            <w:r>
              <w:rPr>
                <w:rFonts w:hint="eastAsia" w:ascii="宋体" w:hAnsi="宋体"/>
                <w:szCs w:val="21"/>
              </w:rPr>
              <w:t>0.004%</w:t>
            </w:r>
          </w:p>
        </w:tc>
      </w:tr>
    </w:tbl>
    <w:p w14:paraId="6414028D">
      <w:pPr>
        <w:spacing w:line="360" w:lineRule="auto"/>
        <w:ind w:firstLine="420" w:firstLineChars="200"/>
        <w:rPr>
          <w:rFonts w:hint="eastAsia" w:ascii="宋体" w:hAnsi="宋体" w:cs="宋体"/>
          <w:szCs w:val="21"/>
        </w:rPr>
      </w:pPr>
      <w:r>
        <w:rPr>
          <w:rFonts w:hint="eastAsia" w:ascii="宋体" w:hAnsi="宋体"/>
          <w:szCs w:val="21"/>
        </w:rPr>
        <w:t>注：</w:t>
      </w:r>
      <w:r>
        <w:rPr>
          <w:rFonts w:ascii="宋体" w:hAnsi="宋体" w:cs="宋体"/>
          <w:szCs w:val="21"/>
        </w:rPr>
        <w:t xml:space="preserve"> </w:t>
      </w:r>
    </w:p>
    <w:p w14:paraId="6B525215">
      <w:pPr>
        <w:spacing w:line="360" w:lineRule="auto"/>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按本表费率计算的收费为</w:t>
      </w:r>
      <w:r>
        <w:rPr>
          <w:rFonts w:hint="eastAsia" w:ascii="宋体" w:hAnsi="宋体" w:cs="宋体"/>
          <w:szCs w:val="21"/>
        </w:rPr>
        <w:t>采购</w:t>
      </w:r>
      <w:r>
        <w:rPr>
          <w:rFonts w:ascii="宋体" w:hAnsi="宋体" w:cs="宋体"/>
          <w:szCs w:val="21"/>
        </w:rPr>
        <w:t>代理的收费基准价格</w:t>
      </w:r>
      <w:r>
        <w:rPr>
          <w:rFonts w:hint="eastAsia" w:ascii="宋体" w:hAnsi="宋体" w:cs="宋体"/>
          <w:szCs w:val="21"/>
        </w:rPr>
        <w:t>；</w:t>
      </w:r>
    </w:p>
    <w:p w14:paraId="2D9543B4">
      <w:pPr>
        <w:spacing w:line="360" w:lineRule="auto"/>
        <w:ind w:firstLine="420" w:firstLineChars="200"/>
        <w:rPr>
          <w:rFonts w:hint="eastAsia" w:ascii="宋体" w:hAnsi="宋体" w:cs="宋体"/>
          <w:szCs w:val="21"/>
        </w:rPr>
      </w:pPr>
      <w:r>
        <w:rPr>
          <w:rFonts w:hint="eastAsia" w:ascii="宋体" w:hAnsi="宋体" w:cs="宋体"/>
          <w:szCs w:val="21"/>
        </w:rPr>
        <w:t>（2）采购</w:t>
      </w:r>
      <w:r>
        <w:rPr>
          <w:rFonts w:ascii="宋体" w:hAnsi="宋体" w:cs="宋体"/>
          <w:szCs w:val="21"/>
        </w:rPr>
        <w:t>代理收费按差额定率累进法计算。</w:t>
      </w:r>
    </w:p>
    <w:p w14:paraId="3EF5C0A8">
      <w:pPr>
        <w:spacing w:line="360" w:lineRule="auto"/>
        <w:ind w:firstLine="420" w:firstLineChars="200"/>
        <w:rPr>
          <w:rFonts w:hint="eastAsia" w:ascii="宋体" w:hAnsi="宋体" w:cs="宋体"/>
          <w:szCs w:val="21"/>
        </w:rPr>
      </w:pPr>
      <w:r>
        <w:rPr>
          <w:rFonts w:ascii="宋体" w:hAnsi="宋体" w:cs="宋体"/>
          <w:szCs w:val="21"/>
        </w:rPr>
        <w:t>例如：某</w:t>
      </w:r>
      <w:r>
        <w:rPr>
          <w:rFonts w:hint="eastAsia" w:ascii="宋体" w:hAnsi="宋体" w:cs="宋体"/>
          <w:szCs w:val="21"/>
        </w:rPr>
        <w:t>货物采购</w:t>
      </w:r>
      <w:r>
        <w:rPr>
          <w:rFonts w:ascii="宋体" w:hAnsi="宋体" w:cs="宋体"/>
          <w:szCs w:val="21"/>
        </w:rPr>
        <w:t>代理业务</w:t>
      </w:r>
      <w:r>
        <w:rPr>
          <w:rFonts w:hint="eastAsia" w:ascii="宋体" w:hAnsi="宋体" w:cs="宋体"/>
          <w:szCs w:val="21"/>
        </w:rPr>
        <w:t>中标</w:t>
      </w:r>
      <w:r>
        <w:rPr>
          <w:rFonts w:ascii="宋体" w:hAnsi="宋体" w:cs="宋体"/>
          <w:szCs w:val="21"/>
        </w:rPr>
        <w:t>金额</w:t>
      </w:r>
      <w:r>
        <w:rPr>
          <w:rFonts w:hint="eastAsia" w:ascii="宋体" w:hAnsi="宋体" w:cs="宋体"/>
          <w:szCs w:val="21"/>
        </w:rPr>
        <w:t>或者暂定价</w:t>
      </w:r>
      <w:r>
        <w:rPr>
          <w:rFonts w:ascii="宋体" w:hAnsi="宋体" w:cs="宋体"/>
          <w:szCs w:val="21"/>
        </w:rPr>
        <w:t>为200万元，计算</w:t>
      </w:r>
      <w:r>
        <w:rPr>
          <w:rFonts w:hint="eastAsia" w:ascii="宋体" w:hAnsi="宋体" w:cs="宋体"/>
          <w:szCs w:val="21"/>
        </w:rPr>
        <w:t>采购</w:t>
      </w:r>
      <w:r>
        <w:rPr>
          <w:rFonts w:ascii="宋体" w:hAnsi="宋体" w:cs="宋体"/>
          <w:szCs w:val="21"/>
        </w:rPr>
        <w:t>代理收费额如下：</w:t>
      </w:r>
    </w:p>
    <w:p w14:paraId="6AF6ADA6">
      <w:pPr>
        <w:spacing w:line="360" w:lineRule="auto"/>
        <w:ind w:firstLine="420" w:firstLineChars="200"/>
        <w:rPr>
          <w:rFonts w:hint="eastAsia" w:ascii="宋体" w:hAnsi="宋体" w:cs="宋体"/>
          <w:szCs w:val="21"/>
        </w:rPr>
      </w:pPr>
      <w:r>
        <w:rPr>
          <w:rFonts w:ascii="宋体" w:hAnsi="宋体" w:cs="宋体"/>
          <w:szCs w:val="21"/>
        </w:rPr>
        <w:t>100 万元×l.5 ％＝ 1.5 万元</w:t>
      </w:r>
    </w:p>
    <w:p w14:paraId="2FA08C13">
      <w:pPr>
        <w:spacing w:line="360" w:lineRule="auto"/>
        <w:ind w:firstLine="420" w:firstLineChars="200"/>
        <w:rPr>
          <w:rFonts w:hint="eastAsia" w:ascii="宋体" w:hAnsi="宋体" w:cs="宋体"/>
          <w:szCs w:val="21"/>
        </w:rPr>
      </w:pPr>
      <w:r>
        <w:rPr>
          <w:rFonts w:ascii="宋体" w:hAnsi="宋体" w:cs="宋体"/>
          <w:szCs w:val="21"/>
        </w:rPr>
        <w:t>（ 200 － 100 ）万元 ×1.1％＝1.1万元</w:t>
      </w:r>
    </w:p>
    <w:p w14:paraId="36DB46C7">
      <w:pPr>
        <w:pStyle w:val="25"/>
        <w:snapToGrid w:val="0"/>
        <w:spacing w:line="360" w:lineRule="auto"/>
        <w:ind w:firstLine="420" w:firstLineChars="200"/>
        <w:rPr>
          <w:rFonts w:hint="eastAsia" w:hAnsi="宋体" w:cs="宋体"/>
          <w:sz w:val="21"/>
        </w:rPr>
      </w:pPr>
      <w:r>
        <w:rPr>
          <w:rFonts w:hAnsi="宋体" w:cs="宋体"/>
          <w:sz w:val="21"/>
        </w:rPr>
        <w:t>合计收费＝ 1.5</w:t>
      </w:r>
      <w:r>
        <w:rPr>
          <w:rFonts w:hint="eastAsia" w:hAnsi="宋体" w:cs="宋体"/>
          <w:sz w:val="21"/>
        </w:rPr>
        <w:t>+</w:t>
      </w:r>
      <w:r>
        <w:rPr>
          <w:rFonts w:hAnsi="宋体" w:cs="宋体"/>
          <w:sz w:val="21"/>
        </w:rPr>
        <w:t>1.1＝ 2.6 （万元）</w:t>
      </w:r>
    </w:p>
    <w:p w14:paraId="331AAE58">
      <w:pPr>
        <w:pStyle w:val="6"/>
        <w:keepNext w:val="0"/>
        <w:keepLines w:val="0"/>
        <w:spacing w:before="0" w:after="0" w:line="360" w:lineRule="auto"/>
        <w:rPr>
          <w:rFonts w:hint="eastAsia" w:ascii="黑体" w:hAnsi="黑体" w:eastAsia="黑体"/>
          <w:sz w:val="24"/>
        </w:rPr>
      </w:pPr>
      <w:r>
        <w:rPr>
          <w:rFonts w:ascii="黑体" w:hAnsi="黑体" w:eastAsia="黑体"/>
          <w:sz w:val="24"/>
        </w:rPr>
        <w:t>40. 需要补充的其他内容</w:t>
      </w:r>
    </w:p>
    <w:p w14:paraId="1BA151F5">
      <w:pPr>
        <w:pStyle w:val="25"/>
        <w:spacing w:line="360" w:lineRule="auto"/>
        <w:ind w:firstLine="420" w:firstLineChars="200"/>
        <w:contextualSpacing/>
        <w:rPr>
          <w:rFonts w:hint="eastAsia" w:hAnsi="宋体" w:cs="宋体"/>
          <w:sz w:val="21"/>
        </w:rPr>
      </w:pPr>
      <w:r>
        <w:rPr>
          <w:rFonts w:hint="eastAsia" w:hAnsi="宋体" w:cs="宋体"/>
          <w:sz w:val="21"/>
        </w:rPr>
        <w:t>40.1本招标文件解释规则详见“投标人须知前附表”。</w:t>
      </w:r>
    </w:p>
    <w:p w14:paraId="20C38745">
      <w:pPr>
        <w:pStyle w:val="25"/>
        <w:spacing w:line="360" w:lineRule="auto"/>
        <w:ind w:firstLine="420" w:firstLineChars="200"/>
        <w:contextualSpacing/>
        <w:rPr>
          <w:rFonts w:hint="eastAsia" w:hAnsi="宋体" w:cs="宋体"/>
          <w:sz w:val="21"/>
        </w:rPr>
      </w:pPr>
      <w:r>
        <w:rPr>
          <w:rFonts w:hint="eastAsia" w:hAnsi="宋体" w:cs="宋体"/>
          <w:sz w:val="21"/>
        </w:rPr>
        <w:t>40.2 其他事项详见“投标人须知前附表”。</w:t>
      </w:r>
    </w:p>
    <w:p w14:paraId="51CA057E">
      <w:pPr>
        <w:pStyle w:val="25"/>
        <w:spacing w:line="360" w:lineRule="auto"/>
        <w:ind w:firstLine="420" w:firstLineChars="200"/>
        <w:contextualSpacing/>
        <w:rPr>
          <w:rFonts w:hint="eastAsia" w:hAnsi="宋体" w:cs="宋体"/>
          <w:sz w:val="21"/>
        </w:rPr>
      </w:pPr>
      <w:r>
        <w:rPr>
          <w:rFonts w:hint="eastAsia" w:hAnsi="宋体" w:cs="宋体"/>
          <w:sz w:val="21"/>
        </w:rPr>
        <w:t>40.3</w:t>
      </w:r>
      <w:bookmarkStart w:id="132" w:name="_Hlk65857140"/>
      <w:r>
        <w:rPr>
          <w:rFonts w:hint="eastAsia" w:hAnsi="宋体" w:cs="宋体"/>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4E2DE41">
      <w:pPr>
        <w:pStyle w:val="25"/>
        <w:spacing w:line="360" w:lineRule="auto"/>
        <w:ind w:firstLine="420" w:firstLineChars="200"/>
        <w:contextualSpacing/>
        <w:rPr>
          <w:rFonts w:hint="eastAsia" w:hAnsi="宋体" w:cs="宋体"/>
          <w:sz w:val="21"/>
        </w:rPr>
      </w:pPr>
      <w:r>
        <w:rPr>
          <w:rFonts w:hint="eastAsia" w:hAnsi="宋体" w:cs="宋体"/>
          <w:sz w:val="21"/>
        </w:rPr>
        <w:t>（1）在货物采购项目中，货物由中小企业制造，即货物由中小企业生产且使用该中小企业商号或者注册商标，不对其中涉及的工程承建商和服务的承接商作出要求；</w:t>
      </w:r>
    </w:p>
    <w:p w14:paraId="52402D94">
      <w:pPr>
        <w:pStyle w:val="25"/>
        <w:spacing w:line="360" w:lineRule="auto"/>
        <w:ind w:firstLine="420" w:firstLineChars="200"/>
        <w:contextualSpacing/>
        <w:rPr>
          <w:rFonts w:hint="eastAsia" w:hAnsi="宋体" w:cs="宋体"/>
          <w:sz w:val="21"/>
        </w:rPr>
      </w:pPr>
      <w:r>
        <w:rPr>
          <w:rFonts w:hint="eastAsia" w:hAnsi="宋体" w:cs="宋体"/>
          <w:sz w:val="21"/>
        </w:rPr>
        <w:t>（2）在工程采购项目中，工程由中小企业承建，即工程施工单位为中小企业，不对其中涉及的货物的制造商和服务的承接商作出要求；</w:t>
      </w:r>
    </w:p>
    <w:p w14:paraId="2C562151">
      <w:pPr>
        <w:pStyle w:val="25"/>
        <w:spacing w:line="360" w:lineRule="auto"/>
        <w:ind w:firstLine="420" w:firstLineChars="200"/>
        <w:contextualSpacing/>
        <w:rPr>
          <w:rFonts w:hint="eastAsia" w:hAnsi="宋体" w:cs="宋体"/>
          <w:sz w:val="21"/>
        </w:rPr>
      </w:pPr>
      <w:r>
        <w:rPr>
          <w:rFonts w:hint="eastAsia" w:hAnsi="宋体" w:cs="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51EC9D3C">
      <w:pPr>
        <w:pStyle w:val="25"/>
        <w:spacing w:line="360" w:lineRule="auto"/>
        <w:ind w:firstLine="420" w:firstLineChars="200"/>
        <w:contextualSpacing/>
        <w:rPr>
          <w:rFonts w:hint="eastAsia" w:hAnsi="宋体" w:cs="宋体"/>
          <w:sz w:val="21"/>
        </w:rPr>
      </w:pPr>
      <w:r>
        <w:rPr>
          <w:rFonts w:hint="eastAsia" w:hAnsi="宋体" w:cs="宋体"/>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42E5E7B">
      <w:pPr>
        <w:pStyle w:val="25"/>
        <w:spacing w:line="360" w:lineRule="auto"/>
        <w:ind w:firstLine="420" w:firstLineChars="200"/>
        <w:contextualSpacing/>
        <w:rPr>
          <w:rFonts w:hint="eastAsia" w:hAnsi="宋体" w:cs="宋体"/>
          <w:sz w:val="21"/>
        </w:rPr>
      </w:pPr>
      <w:r>
        <w:rPr>
          <w:rFonts w:hint="eastAsia" w:hAnsi="宋体" w:cs="宋体"/>
          <w:sz w:val="21"/>
        </w:rPr>
        <w:t>依据本招标文件规定享受扶持政策获得政府采购合同的，小微企业不得将合同分包给大中型企业，中型企业不得将合同分包给大型企业。</w:t>
      </w:r>
      <w:bookmarkEnd w:id="132"/>
    </w:p>
    <w:p w14:paraId="7523D10A">
      <w:pPr>
        <w:pStyle w:val="18"/>
        <w:ind w:left="479" w:leftChars="114" w:hanging="240" w:hangingChars="100"/>
        <w:rPr>
          <w:rFonts w:hint="eastAsia" w:hAnsi="宋体"/>
        </w:rPr>
      </w:pPr>
    </w:p>
    <w:p w14:paraId="38589F9D">
      <w:pPr>
        <w:pStyle w:val="25"/>
        <w:snapToGrid w:val="0"/>
        <w:spacing w:before="120" w:after="120"/>
        <w:rPr>
          <w:rFonts w:hint="eastAsia" w:hAnsi="宋体"/>
        </w:rPr>
      </w:pPr>
    </w:p>
    <w:p w14:paraId="27136FB3">
      <w:pPr>
        <w:pStyle w:val="25"/>
        <w:snapToGrid w:val="0"/>
        <w:spacing w:before="120" w:after="120"/>
        <w:rPr>
          <w:rFonts w:hint="eastAsia" w:hAnsi="宋体"/>
        </w:rPr>
      </w:pPr>
    </w:p>
    <w:p w14:paraId="2F73719F">
      <w:pPr>
        <w:pStyle w:val="25"/>
        <w:snapToGrid w:val="0"/>
        <w:spacing w:before="120" w:after="120"/>
        <w:rPr>
          <w:rFonts w:hint="eastAsia" w:hAnsi="宋体"/>
        </w:rPr>
      </w:pPr>
    </w:p>
    <w:p w14:paraId="32228FF8">
      <w:pPr>
        <w:pStyle w:val="25"/>
        <w:snapToGrid w:val="0"/>
        <w:spacing w:before="120" w:after="120"/>
        <w:rPr>
          <w:rFonts w:hint="eastAsia" w:hAnsi="宋体"/>
        </w:rPr>
      </w:pPr>
    </w:p>
    <w:p w14:paraId="640B3ABE">
      <w:pPr>
        <w:pStyle w:val="25"/>
        <w:snapToGrid w:val="0"/>
        <w:spacing w:before="120" w:after="120"/>
        <w:rPr>
          <w:rFonts w:hint="eastAsia" w:hAnsi="宋体"/>
        </w:rPr>
      </w:pPr>
    </w:p>
    <w:p w14:paraId="438C27F6">
      <w:pPr>
        <w:pStyle w:val="25"/>
        <w:snapToGrid w:val="0"/>
        <w:spacing w:before="120" w:after="120"/>
        <w:rPr>
          <w:rFonts w:hint="eastAsia" w:hAnsi="宋体"/>
        </w:rPr>
      </w:pPr>
    </w:p>
    <w:p w14:paraId="61E3C769">
      <w:pPr>
        <w:pStyle w:val="25"/>
        <w:snapToGrid w:val="0"/>
        <w:spacing w:before="120" w:after="120"/>
        <w:rPr>
          <w:rFonts w:hint="eastAsia" w:hAnsi="宋体"/>
        </w:rPr>
      </w:pPr>
    </w:p>
    <w:p w14:paraId="4807213B">
      <w:pPr>
        <w:pStyle w:val="25"/>
        <w:snapToGrid w:val="0"/>
        <w:spacing w:before="120" w:after="120"/>
        <w:rPr>
          <w:rFonts w:hint="eastAsia" w:hAnsi="宋体"/>
        </w:rPr>
      </w:pPr>
    </w:p>
    <w:p w14:paraId="2F66F3CF">
      <w:pPr>
        <w:pStyle w:val="25"/>
        <w:snapToGrid w:val="0"/>
        <w:spacing w:before="120" w:after="120"/>
        <w:rPr>
          <w:rFonts w:hint="eastAsia" w:hAnsi="宋体"/>
        </w:rPr>
      </w:pPr>
    </w:p>
    <w:p w14:paraId="5B432D98">
      <w:pPr>
        <w:pStyle w:val="25"/>
        <w:snapToGrid w:val="0"/>
        <w:spacing w:before="120" w:after="120"/>
        <w:rPr>
          <w:rFonts w:hint="eastAsia" w:hAnsi="宋体"/>
        </w:rPr>
      </w:pPr>
    </w:p>
    <w:p w14:paraId="6DDEBC2C">
      <w:pPr>
        <w:pStyle w:val="25"/>
        <w:snapToGrid w:val="0"/>
        <w:spacing w:before="120" w:after="120"/>
        <w:rPr>
          <w:rFonts w:hint="eastAsia" w:hAnsi="宋体"/>
        </w:rPr>
      </w:pPr>
    </w:p>
    <w:p w14:paraId="5CD63F00">
      <w:pPr>
        <w:pStyle w:val="25"/>
        <w:snapToGrid w:val="0"/>
        <w:spacing w:before="120" w:after="120"/>
        <w:rPr>
          <w:rFonts w:hint="eastAsia" w:hAnsi="宋体"/>
        </w:rPr>
      </w:pPr>
    </w:p>
    <w:p w14:paraId="22DFBE08">
      <w:pPr>
        <w:pStyle w:val="25"/>
        <w:snapToGrid w:val="0"/>
        <w:spacing w:before="120" w:after="120"/>
        <w:rPr>
          <w:rFonts w:hint="eastAsia" w:hAnsi="宋体"/>
        </w:rPr>
      </w:pPr>
    </w:p>
    <w:p w14:paraId="3267F169">
      <w:pPr>
        <w:pStyle w:val="3"/>
        <w:jc w:val="center"/>
      </w:pPr>
      <w:bookmarkStart w:id="133" w:name="_Toc254970548"/>
      <w:bookmarkStart w:id="134" w:name="_Toc330456896"/>
      <w:bookmarkStart w:id="135" w:name="_Toc254970689"/>
      <w:bookmarkStart w:id="136" w:name="_Toc74320803"/>
      <w:r>
        <w:rPr>
          <w:rFonts w:hint="eastAsia"/>
        </w:rPr>
        <w:t>第四章  评标方法及评标标准</w:t>
      </w:r>
      <w:bookmarkEnd w:id="133"/>
      <w:bookmarkEnd w:id="134"/>
      <w:bookmarkEnd w:id="135"/>
      <w:bookmarkEnd w:id="136"/>
    </w:p>
    <w:p w14:paraId="56E4E955">
      <w:pPr>
        <w:pStyle w:val="25"/>
        <w:spacing w:before="120" w:after="120"/>
        <w:rPr>
          <w:rFonts w:hint="eastAsia" w:hAnsi="宋体"/>
          <w:b/>
        </w:rPr>
      </w:pPr>
      <w:bookmarkStart w:id="137" w:name="_Toc254970549"/>
      <w:bookmarkStart w:id="138" w:name="_Toc254970690"/>
    </w:p>
    <w:bookmarkEnd w:id="137"/>
    <w:bookmarkEnd w:id="138"/>
    <w:p w14:paraId="31B54C80">
      <w:pPr>
        <w:pStyle w:val="25"/>
        <w:spacing w:before="120" w:after="120"/>
        <w:rPr>
          <w:rFonts w:hint="eastAsia" w:hAnsi="宋体"/>
          <w:bCs/>
          <w:sz w:val="32"/>
          <w:szCs w:val="32"/>
        </w:rPr>
      </w:pPr>
    </w:p>
    <w:p w14:paraId="78A0B2D2">
      <w:pPr>
        <w:pStyle w:val="25"/>
        <w:spacing w:before="120" w:after="120"/>
        <w:rPr>
          <w:rFonts w:hint="eastAsia" w:hAnsi="宋体"/>
          <w:bCs/>
          <w:sz w:val="32"/>
          <w:szCs w:val="32"/>
        </w:rPr>
      </w:pPr>
    </w:p>
    <w:p w14:paraId="0F2DF12B">
      <w:pPr>
        <w:pStyle w:val="25"/>
        <w:spacing w:before="120" w:after="120"/>
        <w:rPr>
          <w:rFonts w:hint="eastAsia" w:hAnsi="宋体"/>
          <w:bCs/>
          <w:sz w:val="32"/>
          <w:szCs w:val="32"/>
        </w:rPr>
      </w:pPr>
    </w:p>
    <w:p w14:paraId="1BA4DACF">
      <w:pPr>
        <w:spacing w:before="120" w:beforeLines="50" w:after="120" w:afterLines="50" w:line="400" w:lineRule="exact"/>
        <w:rPr>
          <w:rFonts w:hint="eastAsia" w:ascii="宋体" w:hAnsi="宋体"/>
          <w:b/>
          <w:sz w:val="24"/>
        </w:rPr>
      </w:pPr>
    </w:p>
    <w:p w14:paraId="2D27617B">
      <w:pPr>
        <w:spacing w:before="120" w:beforeLines="50" w:after="120" w:afterLines="50" w:line="400" w:lineRule="exact"/>
        <w:rPr>
          <w:rFonts w:hint="eastAsia" w:ascii="宋体" w:hAnsi="宋体"/>
          <w:b/>
          <w:sz w:val="24"/>
        </w:rPr>
      </w:pPr>
    </w:p>
    <w:p w14:paraId="1FB4FD79">
      <w:pPr>
        <w:spacing w:before="120" w:beforeLines="50" w:after="120" w:afterLines="50" w:line="400" w:lineRule="exact"/>
        <w:rPr>
          <w:rFonts w:hint="eastAsia" w:ascii="宋体" w:hAnsi="宋体"/>
          <w:b/>
          <w:sz w:val="24"/>
        </w:rPr>
      </w:pPr>
    </w:p>
    <w:p w14:paraId="57443CFC">
      <w:pPr>
        <w:spacing w:before="120" w:beforeLines="50" w:after="120" w:afterLines="50" w:line="400" w:lineRule="exact"/>
        <w:rPr>
          <w:rFonts w:hint="eastAsia" w:ascii="宋体" w:hAnsi="宋体"/>
          <w:b/>
          <w:sz w:val="24"/>
        </w:rPr>
      </w:pPr>
    </w:p>
    <w:p w14:paraId="7739B552">
      <w:pPr>
        <w:spacing w:before="120" w:beforeLines="50" w:after="120" w:afterLines="50" w:line="400" w:lineRule="exact"/>
        <w:rPr>
          <w:rFonts w:hint="eastAsia" w:ascii="宋体" w:hAnsi="宋体"/>
          <w:b/>
          <w:sz w:val="24"/>
        </w:rPr>
      </w:pPr>
    </w:p>
    <w:p w14:paraId="26E980A0">
      <w:pPr>
        <w:spacing w:before="120" w:beforeLines="50" w:after="120" w:afterLines="50" w:line="400" w:lineRule="exact"/>
        <w:rPr>
          <w:rFonts w:hint="eastAsia" w:ascii="宋体" w:hAnsi="宋体"/>
          <w:b/>
          <w:sz w:val="24"/>
        </w:rPr>
      </w:pPr>
    </w:p>
    <w:p w14:paraId="35BC2529">
      <w:pPr>
        <w:spacing w:before="120" w:beforeLines="50" w:after="120" w:afterLines="50" w:line="400" w:lineRule="exact"/>
        <w:rPr>
          <w:rFonts w:hint="eastAsia" w:ascii="宋体" w:hAnsi="宋体"/>
          <w:b/>
          <w:sz w:val="24"/>
        </w:rPr>
      </w:pPr>
    </w:p>
    <w:p w14:paraId="3E0D20C3">
      <w:pPr>
        <w:pStyle w:val="25"/>
        <w:spacing w:line="360" w:lineRule="exact"/>
        <w:rPr>
          <w:rFonts w:hint="eastAsia" w:hAnsi="宋体"/>
          <w:b/>
          <w:sz w:val="24"/>
        </w:rPr>
      </w:pPr>
      <w:r>
        <w:rPr>
          <w:rFonts w:hAnsi="宋体"/>
          <w:b/>
          <w:sz w:val="24"/>
        </w:rPr>
        <w:br w:type="page"/>
      </w:r>
    </w:p>
    <w:p w14:paraId="2B592D50">
      <w:pPr>
        <w:pStyle w:val="5"/>
        <w:keepNext w:val="0"/>
        <w:keepLines w:val="0"/>
        <w:jc w:val="center"/>
        <w:rPr>
          <w:sz w:val="30"/>
          <w:szCs w:val="30"/>
        </w:rPr>
      </w:pPr>
      <w:r>
        <w:rPr>
          <w:rFonts w:hint="eastAsia"/>
          <w:sz w:val="30"/>
          <w:szCs w:val="30"/>
        </w:rPr>
        <w:t>一、评标方法</w:t>
      </w:r>
    </w:p>
    <w:p w14:paraId="060C85D0">
      <w:pPr>
        <w:pStyle w:val="25"/>
        <w:spacing w:line="360" w:lineRule="auto"/>
        <w:ind w:firstLine="420"/>
        <w:rPr>
          <w:rFonts w:hint="eastAsia" w:hAnsi="宋体"/>
          <w:sz w:val="21"/>
        </w:rPr>
      </w:pPr>
      <w:r>
        <w:rPr>
          <w:rFonts w:hint="eastAsia" w:hAnsi="宋体"/>
          <w:sz w:val="21"/>
        </w:rPr>
        <w:t>综合评分法，是指投标文件满足招标文件全部实质性要求，且按照评审因素的量化指标评审得分最高的投标人为中标候选人的评标方法。</w:t>
      </w:r>
    </w:p>
    <w:p w14:paraId="4B458B2D">
      <w:pPr>
        <w:pStyle w:val="25"/>
        <w:spacing w:line="360" w:lineRule="auto"/>
        <w:ind w:firstLine="420"/>
        <w:rPr>
          <w:rFonts w:hint="eastAsia" w:hAnsi="宋体"/>
          <w:sz w:val="21"/>
        </w:rPr>
      </w:pPr>
      <w:r>
        <w:rPr>
          <w:rFonts w:hint="eastAsia" w:hAnsi="宋体"/>
          <w:sz w:val="21"/>
        </w:rPr>
        <w:t>最低评标价法，是指投标文件满足招标文件全部实质性要求，且投标报价最低的投标人为中标候选人的评标方法。</w:t>
      </w:r>
    </w:p>
    <w:p w14:paraId="4C1EF505">
      <w:pPr>
        <w:pStyle w:val="5"/>
        <w:keepNext w:val="0"/>
        <w:keepLines w:val="0"/>
        <w:jc w:val="center"/>
        <w:rPr>
          <w:sz w:val="30"/>
          <w:szCs w:val="30"/>
        </w:rPr>
      </w:pPr>
      <w:r>
        <w:rPr>
          <w:rFonts w:hint="eastAsia"/>
          <w:sz w:val="30"/>
          <w:szCs w:val="30"/>
        </w:rPr>
        <w:t>二、评标程序</w:t>
      </w:r>
    </w:p>
    <w:p w14:paraId="29F288A0">
      <w:pPr>
        <w:pStyle w:val="6"/>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1.符合性审查</w:t>
      </w:r>
    </w:p>
    <w:p w14:paraId="017E4B52">
      <w:pPr>
        <w:pStyle w:val="25"/>
        <w:snapToGrid w:val="0"/>
        <w:spacing w:line="360" w:lineRule="auto"/>
        <w:ind w:left="1" w:firstLine="420"/>
        <w:rPr>
          <w:rFonts w:hint="eastAsia" w:hAnsi="宋体"/>
          <w:b/>
          <w:kern w:val="2"/>
          <w:sz w:val="21"/>
        </w:rPr>
      </w:pPr>
      <w:r>
        <w:rPr>
          <w:rFonts w:hint="eastAsia" w:hAnsi="宋体"/>
          <w:b/>
          <w:kern w:val="2"/>
          <w:sz w:val="21"/>
        </w:rPr>
        <w:t>评标委员会应当对符合资格的投标人的投标文件进行投标报价、商务、技术等实质性内容符合性审查，以确定其是否满足招标文件的实质性要求。</w:t>
      </w:r>
    </w:p>
    <w:p w14:paraId="0CC26A7C">
      <w:pPr>
        <w:pStyle w:val="6"/>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符合性审查不通过而导致投标无效的情形</w:t>
      </w:r>
    </w:p>
    <w:p w14:paraId="57720DE3">
      <w:pPr>
        <w:snapToGrid w:val="0"/>
        <w:spacing w:line="360" w:lineRule="auto"/>
        <w:ind w:firstLine="422" w:firstLineChars="200"/>
        <w:rPr>
          <w:rFonts w:hint="eastAsia" w:ascii="宋体" w:hAnsi="宋体"/>
          <w:b/>
          <w:szCs w:val="21"/>
        </w:rPr>
      </w:pPr>
      <w:r>
        <w:rPr>
          <w:rFonts w:hint="eastAsia" w:ascii="宋体" w:hAnsi="宋体"/>
          <w:b/>
          <w:szCs w:val="21"/>
        </w:rPr>
        <w:t>投标人的投标文件中存在对招标文件的任何实质性要求和条件的负偏离，将被视为投标无效。</w:t>
      </w:r>
    </w:p>
    <w:p w14:paraId="5FB9113F">
      <w:pPr>
        <w:pStyle w:val="25"/>
        <w:snapToGrid w:val="0"/>
        <w:spacing w:line="360" w:lineRule="auto"/>
        <w:ind w:left="1" w:firstLine="420"/>
        <w:rPr>
          <w:rFonts w:hint="eastAsia" w:hAnsi="宋体"/>
          <w:b/>
          <w:kern w:val="2"/>
          <w:sz w:val="21"/>
        </w:rPr>
      </w:pPr>
      <w:r>
        <w:rPr>
          <w:rFonts w:hint="eastAsia" w:hAnsi="宋体"/>
          <w:b/>
          <w:kern w:val="2"/>
          <w:sz w:val="21"/>
        </w:rPr>
        <w:t>2.1在报价评审时，如发现下列情形之一的，将被视为投标无效：</w:t>
      </w:r>
    </w:p>
    <w:p w14:paraId="5623665F">
      <w:pPr>
        <w:pStyle w:val="7"/>
        <w:numPr>
          <w:ilvl w:val="0"/>
          <w:numId w:val="9"/>
        </w:numPr>
        <w:spacing w:line="360" w:lineRule="auto"/>
        <w:ind w:firstLine="422"/>
        <w:rPr>
          <w:rFonts w:hint="eastAsia" w:ascii="宋体" w:hAnsi="宋体"/>
          <w:b/>
          <w:szCs w:val="21"/>
        </w:rPr>
      </w:pPr>
      <w:r>
        <w:rPr>
          <w:rFonts w:hint="eastAsia" w:ascii="宋体" w:hAnsi="宋体"/>
          <w:b/>
          <w:spacing w:val="-6"/>
          <w:szCs w:val="21"/>
        </w:rPr>
        <w:t>报价文件</w:t>
      </w:r>
      <w:r>
        <w:rPr>
          <w:rFonts w:hint="eastAsia" w:ascii="宋体" w:hAnsi="宋体"/>
          <w:b/>
          <w:szCs w:val="21"/>
        </w:rPr>
        <w:t>未提供“投标人须知前附表”第13条“报价文件”规定中“必须提供”的文件资料的；</w:t>
      </w:r>
    </w:p>
    <w:p w14:paraId="659462E3">
      <w:pPr>
        <w:pStyle w:val="7"/>
        <w:numPr>
          <w:ilvl w:val="0"/>
          <w:numId w:val="9"/>
        </w:numPr>
        <w:spacing w:line="360" w:lineRule="auto"/>
        <w:ind w:firstLine="422"/>
        <w:rPr>
          <w:rFonts w:hint="eastAsia" w:ascii="宋体" w:hAnsi="宋体"/>
          <w:b/>
          <w:szCs w:val="21"/>
        </w:rPr>
      </w:pPr>
      <w:r>
        <w:rPr>
          <w:rFonts w:hint="eastAsia" w:ascii="宋体" w:hAnsi="宋体"/>
          <w:b/>
          <w:szCs w:val="21"/>
        </w:rPr>
        <w:t>未采用人民币报价或者未按照招标文件标明的币种报价的；</w:t>
      </w:r>
    </w:p>
    <w:p w14:paraId="4AA0ED1F">
      <w:pPr>
        <w:pStyle w:val="7"/>
        <w:numPr>
          <w:ilvl w:val="0"/>
          <w:numId w:val="9"/>
        </w:numPr>
        <w:spacing w:line="360" w:lineRule="auto"/>
        <w:ind w:firstLine="422"/>
        <w:rPr>
          <w:rFonts w:hint="eastAsia" w:ascii="宋体" w:hAnsi="宋体"/>
          <w:b/>
          <w:szCs w:val="21"/>
        </w:rPr>
      </w:pPr>
      <w:r>
        <w:rPr>
          <w:rFonts w:hint="eastAsia" w:ascii="宋体" w:hAnsi="宋体"/>
          <w:b/>
          <w:szCs w:val="21"/>
        </w:rPr>
        <w:t>各分标报价超出招标文件相应分标规定最高限价，或者超出相应分标采购预算金额的；</w:t>
      </w:r>
    </w:p>
    <w:p w14:paraId="735E0FC6">
      <w:pPr>
        <w:pStyle w:val="7"/>
        <w:numPr>
          <w:ilvl w:val="0"/>
          <w:numId w:val="9"/>
        </w:numPr>
        <w:spacing w:line="360" w:lineRule="auto"/>
        <w:ind w:firstLine="422"/>
        <w:rPr>
          <w:rFonts w:hint="eastAsia" w:ascii="宋体" w:hAnsi="宋体"/>
          <w:b/>
          <w:szCs w:val="21"/>
        </w:rPr>
      </w:pPr>
      <w:r>
        <w:rPr>
          <w:rFonts w:hint="eastAsia" w:ascii="宋体" w:hAnsi="宋体"/>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CD6AF48">
      <w:pPr>
        <w:pStyle w:val="7"/>
        <w:numPr>
          <w:ilvl w:val="0"/>
          <w:numId w:val="9"/>
        </w:numPr>
        <w:spacing w:line="360" w:lineRule="auto"/>
        <w:ind w:firstLine="422"/>
        <w:rPr>
          <w:rFonts w:hint="eastAsia" w:ascii="宋体" w:hAnsi="宋体"/>
          <w:b/>
          <w:szCs w:val="21"/>
        </w:rPr>
      </w:pPr>
      <w:r>
        <w:rPr>
          <w:rFonts w:hint="eastAsia" w:ascii="宋体" w:hAnsi="宋体"/>
          <w:b/>
          <w:szCs w:val="21"/>
        </w:rPr>
        <w:t>修正后的报价，投标人不确认的；</w:t>
      </w:r>
    </w:p>
    <w:p w14:paraId="7EB79E82">
      <w:pPr>
        <w:pStyle w:val="7"/>
        <w:numPr>
          <w:ilvl w:val="0"/>
          <w:numId w:val="9"/>
        </w:numPr>
        <w:spacing w:line="360" w:lineRule="auto"/>
        <w:ind w:firstLine="422"/>
        <w:rPr>
          <w:rFonts w:hint="eastAsia" w:ascii="宋体" w:hAnsi="宋体"/>
          <w:b/>
          <w:szCs w:val="21"/>
        </w:rPr>
      </w:pPr>
      <w:r>
        <w:rPr>
          <w:rFonts w:hint="eastAsia" w:ascii="宋体" w:hAnsi="宋体"/>
          <w:b/>
          <w:szCs w:val="21"/>
        </w:rPr>
        <w:t>投标人属于本章第</w:t>
      </w:r>
      <w:r>
        <w:rPr>
          <w:rFonts w:ascii="宋体" w:hAnsi="宋体"/>
          <w:b/>
          <w:szCs w:val="21"/>
        </w:rPr>
        <w:t>5.1</w:t>
      </w:r>
      <w:r>
        <w:rPr>
          <w:rFonts w:hint="eastAsia" w:ascii="宋体" w:hAnsi="宋体"/>
          <w:b/>
          <w:szCs w:val="21"/>
        </w:rPr>
        <w:t>条（2）或者第5</w:t>
      </w:r>
      <w:r>
        <w:rPr>
          <w:rFonts w:ascii="宋体" w:hAnsi="宋体"/>
          <w:b/>
          <w:szCs w:val="21"/>
        </w:rPr>
        <w:t>.2条</w:t>
      </w:r>
      <w:r>
        <w:rPr>
          <w:rFonts w:hint="eastAsia" w:ascii="宋体" w:hAnsi="宋体"/>
          <w:b/>
          <w:szCs w:val="21"/>
        </w:rPr>
        <w:t>（2）项情形的；</w:t>
      </w:r>
    </w:p>
    <w:p w14:paraId="26A5C34F">
      <w:pPr>
        <w:pStyle w:val="7"/>
        <w:numPr>
          <w:ilvl w:val="0"/>
          <w:numId w:val="9"/>
        </w:numPr>
        <w:spacing w:line="360" w:lineRule="auto"/>
        <w:ind w:firstLine="422"/>
        <w:rPr>
          <w:rFonts w:hint="eastAsia" w:ascii="宋体" w:hAnsi="宋体"/>
          <w:b/>
          <w:szCs w:val="21"/>
        </w:rPr>
      </w:pPr>
      <w:r>
        <w:rPr>
          <w:rFonts w:hint="eastAsia" w:ascii="宋体" w:hAnsi="宋体"/>
          <w:b/>
          <w:spacing w:val="-6"/>
          <w:szCs w:val="21"/>
        </w:rPr>
        <w:t>报价文件</w:t>
      </w:r>
      <w:r>
        <w:rPr>
          <w:rFonts w:hint="eastAsia" w:ascii="宋体" w:hAnsi="宋体"/>
          <w:b/>
          <w:szCs w:val="21"/>
        </w:rPr>
        <w:t>响应的标的数量及单位与招标文件要求实质性不一致的。</w:t>
      </w:r>
    </w:p>
    <w:p w14:paraId="07D2208D">
      <w:pPr>
        <w:pStyle w:val="25"/>
        <w:snapToGrid w:val="0"/>
        <w:spacing w:line="360" w:lineRule="auto"/>
        <w:ind w:left="1" w:firstLine="420"/>
        <w:rPr>
          <w:rFonts w:hint="eastAsia" w:hAnsi="宋体"/>
          <w:b/>
          <w:kern w:val="2"/>
          <w:sz w:val="21"/>
        </w:rPr>
      </w:pPr>
      <w:r>
        <w:rPr>
          <w:rFonts w:hint="eastAsia" w:hAnsi="宋体"/>
          <w:b/>
          <w:kern w:val="2"/>
          <w:sz w:val="21"/>
        </w:rPr>
        <w:t>2.2在商务及技术评审时，如发现下列情形之一的，将被视为投标无效：</w:t>
      </w:r>
    </w:p>
    <w:p w14:paraId="707FA059">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投标文件未按招标文件要求签署、盖章的；</w:t>
      </w:r>
    </w:p>
    <w:p w14:paraId="73382334">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委托代理人未能出具有效身份证或者出具的身份证与授权委托书中的信息不符的；</w:t>
      </w:r>
    </w:p>
    <w:p w14:paraId="433E0866">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为无效投标保证金的或者未按照招标文件的规定提交投标保证金的；</w:t>
      </w:r>
    </w:p>
    <w:p w14:paraId="6DA236A9">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投标文件未提供“投标人须知前附表”第13条“商务及技术文件”规定中“必须提供”或者“委托时必须提供”的文件资料的；</w:t>
      </w:r>
    </w:p>
    <w:p w14:paraId="4AAE1E2E">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允许负偏离的条款数超过“投标人须知前附表”规定项数的；</w:t>
      </w:r>
    </w:p>
    <w:p w14:paraId="296FE151">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投标文件的实质性内容未使用中文表述、使用计量单位不符合招标文件要求的；</w:t>
      </w:r>
    </w:p>
    <w:p w14:paraId="052A8A86">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投标文件中的文件资料因填写不齐全或者内容虚假或者出现其他情形而导致被评标委员会认定无效的；</w:t>
      </w:r>
    </w:p>
    <w:p w14:paraId="6B1D148D">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投标文件含有采购人不能接受的附加条件的；</w:t>
      </w:r>
    </w:p>
    <w:p w14:paraId="2F4D0CA6">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属于投标人须知正文第</w:t>
      </w:r>
      <w:r>
        <w:rPr>
          <w:rFonts w:ascii="宋体" w:hAnsi="宋体"/>
          <w:b/>
          <w:szCs w:val="21"/>
        </w:rPr>
        <w:t>9.2</w:t>
      </w:r>
      <w:r>
        <w:rPr>
          <w:rFonts w:hint="eastAsia" w:ascii="宋体" w:hAnsi="宋体"/>
          <w:b/>
          <w:szCs w:val="21"/>
        </w:rPr>
        <w:t>条情形的；</w:t>
      </w:r>
    </w:p>
    <w:p w14:paraId="6914D72D">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投标文件标注的项目名称或者项目编号与招标文件标注的项目名称或者项目编号不一致的；</w:t>
      </w:r>
    </w:p>
    <w:p w14:paraId="5F16FF51">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投标文件中承诺的投标有效期低于招标文件要求的期限的；</w:t>
      </w:r>
    </w:p>
    <w:p w14:paraId="0CD45394">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招标文件明确不允许分包，投标文件拟分包的；</w:t>
      </w:r>
    </w:p>
    <w:p w14:paraId="1F9AFEF6">
      <w:pPr>
        <w:pStyle w:val="19"/>
        <w:numPr>
          <w:ilvl w:val="0"/>
          <w:numId w:val="10"/>
        </w:numPr>
        <w:snapToGrid w:val="0"/>
        <w:spacing w:line="360" w:lineRule="auto"/>
        <w:ind w:firstLine="413" w:firstLineChars="0"/>
        <w:rPr>
          <w:rFonts w:hint="eastAsia" w:ascii="宋体" w:hAnsi="宋体" w:eastAsia="宋体"/>
          <w:b/>
          <w:kern w:val="2"/>
          <w:sz w:val="21"/>
          <w:szCs w:val="21"/>
        </w:rPr>
      </w:pPr>
      <w:r>
        <w:rPr>
          <w:rFonts w:hint="eastAsia" w:ascii="宋体" w:hAnsi="宋体" w:eastAsia="宋体"/>
          <w:b/>
          <w:kern w:val="2"/>
          <w:sz w:val="21"/>
          <w:szCs w:val="21"/>
        </w:rPr>
        <w:t>虚假投标，或者出现其他情形而导致被评标委员会认定无效的；</w:t>
      </w:r>
    </w:p>
    <w:p w14:paraId="5BF25199">
      <w:pPr>
        <w:pStyle w:val="19"/>
        <w:numPr>
          <w:ilvl w:val="0"/>
          <w:numId w:val="10"/>
        </w:numPr>
        <w:snapToGrid w:val="0"/>
        <w:spacing w:line="360" w:lineRule="auto"/>
        <w:ind w:firstLine="413" w:firstLineChars="0"/>
        <w:rPr>
          <w:rFonts w:hint="eastAsia" w:ascii="宋体" w:hAnsi="宋体" w:eastAsia="宋体"/>
          <w:b/>
          <w:kern w:val="2"/>
          <w:sz w:val="21"/>
          <w:szCs w:val="21"/>
        </w:rPr>
      </w:pPr>
      <w:r>
        <w:rPr>
          <w:rFonts w:hint="eastAsia" w:ascii="宋体" w:hAnsi="宋体" w:eastAsia="宋体"/>
          <w:b/>
          <w:kern w:val="2"/>
          <w:sz w:val="21"/>
          <w:szCs w:val="21"/>
        </w:rPr>
        <w:t>招标文件未载明允许提供备选（替代）投标方案或明确不允许提供备选（替代）投标方案时，投标人提供了备选（替代）投标方案的；</w:t>
      </w:r>
    </w:p>
    <w:p w14:paraId="6A151953">
      <w:pPr>
        <w:pStyle w:val="19"/>
        <w:numPr>
          <w:ilvl w:val="0"/>
          <w:numId w:val="10"/>
        </w:numPr>
        <w:snapToGrid w:val="0"/>
        <w:spacing w:line="360" w:lineRule="auto"/>
        <w:ind w:firstLine="413" w:firstLineChars="0"/>
        <w:rPr>
          <w:rFonts w:hint="eastAsia" w:ascii="宋体" w:hAnsi="宋体" w:eastAsia="宋体"/>
          <w:b/>
          <w:kern w:val="2"/>
          <w:sz w:val="21"/>
          <w:szCs w:val="21"/>
        </w:rPr>
      </w:pPr>
      <w:r>
        <w:rPr>
          <w:rFonts w:hint="eastAsia" w:ascii="宋体" w:hAnsi="宋体" w:eastAsia="宋体"/>
          <w:b/>
          <w:kern w:val="2"/>
          <w:sz w:val="21"/>
          <w:szCs w:val="21"/>
        </w:rPr>
        <w:t>未响应招标文件实质性要求的。</w:t>
      </w:r>
    </w:p>
    <w:p w14:paraId="71B279A2">
      <w:pPr>
        <w:numPr>
          <w:ilvl w:val="0"/>
          <w:numId w:val="10"/>
        </w:numPr>
        <w:snapToGrid w:val="0"/>
        <w:spacing w:line="360" w:lineRule="auto"/>
        <w:ind w:firstLine="422" w:firstLineChars="200"/>
        <w:rPr>
          <w:rFonts w:hint="eastAsia" w:ascii="宋体" w:hAnsi="宋体"/>
          <w:b/>
          <w:szCs w:val="21"/>
        </w:rPr>
      </w:pPr>
      <w:r>
        <w:rPr>
          <w:rFonts w:hint="eastAsia" w:ascii="宋体" w:hAnsi="宋体"/>
          <w:b/>
          <w:szCs w:val="21"/>
        </w:rPr>
        <w:t>法律、法规和招标文件规定的其他无效情形。</w:t>
      </w:r>
    </w:p>
    <w:p w14:paraId="0D993A52">
      <w:pPr>
        <w:pStyle w:val="6"/>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澄清补正</w:t>
      </w:r>
    </w:p>
    <w:p w14:paraId="4548E5DF">
      <w:pPr>
        <w:spacing w:line="360" w:lineRule="auto"/>
        <w:ind w:firstLine="420" w:firstLineChars="200"/>
        <w:rPr>
          <w:rFonts w:hint="eastAsia" w:ascii="宋体" w:hAnsi="宋体" w:cs="Courier New"/>
          <w:b/>
          <w:szCs w:val="21"/>
        </w:rPr>
      </w:pPr>
      <w:r>
        <w:rPr>
          <w:rFonts w:hint="eastAsia" w:ascii="宋体" w:hAnsi="宋体" w:cs="Courier New"/>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4E8597E">
      <w:pPr>
        <w:spacing w:line="360" w:lineRule="auto"/>
        <w:ind w:firstLine="420" w:firstLineChars="200"/>
        <w:rPr>
          <w:rFonts w:hint="eastAsia"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C11365B">
      <w:pPr>
        <w:spacing w:line="360" w:lineRule="auto"/>
        <w:ind w:firstLine="420" w:firstLineChars="200"/>
        <w:rPr>
          <w:rFonts w:hint="eastAsia" w:ascii="宋体" w:hAnsi="宋体" w:cs="Courier New"/>
          <w:szCs w:val="21"/>
        </w:rPr>
      </w:pPr>
      <w:r>
        <w:rPr>
          <w:rFonts w:hint="eastAsia" w:ascii="宋体" w:hAnsi="宋体" w:cs="Courier New"/>
          <w:szCs w:val="21"/>
        </w:rPr>
        <w:t>未按评标委员会的要求作出明确澄清、说明或者更正的投标人的投标文件将按照有利于采购人的原则由评标委员会进行判定。</w:t>
      </w:r>
    </w:p>
    <w:p w14:paraId="4C6E4B49">
      <w:pPr>
        <w:pStyle w:val="6"/>
        <w:keepNext w:val="0"/>
        <w:keepLines w:val="0"/>
        <w:spacing w:before="0" w:after="0" w:line="360" w:lineRule="auto"/>
        <w:ind w:left="420" w:leftChars="200"/>
        <w:rPr>
          <w:rFonts w:hint="eastAsia" w:ascii="宋体" w:hAnsi="宋体"/>
          <w:sz w:val="21"/>
          <w:szCs w:val="21"/>
        </w:rPr>
      </w:pPr>
      <w:r>
        <w:rPr>
          <w:rFonts w:ascii="宋体" w:hAnsi="宋体"/>
          <w:sz w:val="21"/>
          <w:szCs w:val="21"/>
        </w:rPr>
        <w:t>4.</w:t>
      </w:r>
      <w:r>
        <w:rPr>
          <w:rFonts w:hint="eastAsia" w:ascii="宋体" w:hAnsi="宋体"/>
          <w:sz w:val="21"/>
          <w:szCs w:val="21"/>
        </w:rPr>
        <w:t>投标文件修正</w:t>
      </w:r>
    </w:p>
    <w:p w14:paraId="6CA64072">
      <w:pPr>
        <w:pStyle w:val="25"/>
        <w:snapToGrid w:val="0"/>
        <w:spacing w:line="360" w:lineRule="auto"/>
        <w:ind w:left="1" w:firstLine="420"/>
        <w:rPr>
          <w:rFonts w:hint="eastAsia" w:hAnsi="宋体"/>
          <w:bCs/>
          <w:kern w:val="2"/>
          <w:sz w:val="21"/>
        </w:rPr>
      </w:pPr>
      <w:r>
        <w:rPr>
          <w:rFonts w:hint="eastAsia" w:hAnsi="宋体"/>
          <w:bCs/>
          <w:kern w:val="2"/>
          <w:sz w:val="21"/>
        </w:rPr>
        <w:t xml:space="preserve">4.1投标文件报价出现前后不一致的，按照下列规定修正： </w:t>
      </w:r>
    </w:p>
    <w:p w14:paraId="323D1C94">
      <w:pPr>
        <w:pStyle w:val="25"/>
        <w:snapToGrid w:val="0"/>
        <w:spacing w:line="360" w:lineRule="auto"/>
        <w:ind w:firstLine="420" w:firstLineChars="200"/>
        <w:rPr>
          <w:rFonts w:hint="eastAsia" w:hAnsi="宋体"/>
          <w:sz w:val="21"/>
        </w:rPr>
      </w:pPr>
      <w:r>
        <w:rPr>
          <w:rFonts w:hint="eastAsia" w:hAnsi="宋体"/>
          <w:sz w:val="21"/>
        </w:rPr>
        <w:t>（1）投标文件中开标一览表（报价表）内容与投标文件中相应内容不一致的，以开标一览表（报价表）为准；</w:t>
      </w:r>
    </w:p>
    <w:p w14:paraId="2F325A28">
      <w:pPr>
        <w:pStyle w:val="25"/>
        <w:snapToGrid w:val="0"/>
        <w:spacing w:line="360" w:lineRule="auto"/>
        <w:ind w:firstLine="420" w:firstLineChars="200"/>
        <w:rPr>
          <w:rFonts w:hint="eastAsia" w:hAnsi="宋体"/>
          <w:sz w:val="21"/>
        </w:rPr>
      </w:pPr>
      <w:r>
        <w:rPr>
          <w:rFonts w:hint="eastAsia" w:hAnsi="宋体"/>
          <w:sz w:val="21"/>
        </w:rPr>
        <w:t>（2）大写金额和小写金额不一致的，以大写金额为准；</w:t>
      </w:r>
    </w:p>
    <w:p w14:paraId="6D4DB531">
      <w:pPr>
        <w:pStyle w:val="25"/>
        <w:snapToGrid w:val="0"/>
        <w:spacing w:line="360" w:lineRule="auto"/>
        <w:ind w:firstLine="420" w:firstLineChars="200"/>
        <w:rPr>
          <w:rFonts w:hint="eastAsia" w:hAnsi="宋体"/>
          <w:sz w:val="21"/>
        </w:rPr>
      </w:pPr>
      <w:r>
        <w:rPr>
          <w:rFonts w:hint="eastAsia" w:hAnsi="宋体"/>
          <w:sz w:val="21"/>
        </w:rPr>
        <w:t>（3）单价金额小数点或者百分比有明显错位的，以开标一览表的总价为准，并修改单价；</w:t>
      </w:r>
    </w:p>
    <w:p w14:paraId="306FBE34">
      <w:pPr>
        <w:pStyle w:val="25"/>
        <w:snapToGrid w:val="0"/>
        <w:spacing w:line="360" w:lineRule="auto"/>
        <w:ind w:firstLine="420" w:firstLineChars="200"/>
        <w:rPr>
          <w:rFonts w:hint="eastAsia" w:hAnsi="宋体"/>
          <w:sz w:val="21"/>
        </w:rPr>
      </w:pPr>
      <w:r>
        <w:rPr>
          <w:rFonts w:hint="eastAsia" w:hAnsi="宋体"/>
          <w:sz w:val="21"/>
        </w:rPr>
        <w:t>（4）总价金额与按单价汇总金额不一致的，以单价金额计算结果为准。</w:t>
      </w:r>
    </w:p>
    <w:p w14:paraId="694DC212">
      <w:pPr>
        <w:pStyle w:val="25"/>
        <w:snapToGrid w:val="0"/>
        <w:spacing w:line="360" w:lineRule="auto"/>
        <w:ind w:firstLine="420" w:firstLineChars="200"/>
        <w:rPr>
          <w:rFonts w:hint="eastAsia" w:hAnsi="宋体"/>
          <w:sz w:val="21"/>
        </w:rPr>
      </w:pPr>
      <w:r>
        <w:rPr>
          <w:rFonts w:hint="eastAsia" w:hAnsi="宋体"/>
          <w:sz w:val="21"/>
        </w:rPr>
        <w:t>同时出现两种以上不一致的，按照以上（1）-（4）规定的顺序修正。修正后的报价经投标人确认后产生约束力，投标人不确认的，</w:t>
      </w:r>
      <w:r>
        <w:rPr>
          <w:rFonts w:hint="eastAsia" w:hAnsi="宋体"/>
          <w:b/>
          <w:kern w:val="2"/>
          <w:sz w:val="21"/>
        </w:rPr>
        <w:t>其投标无效</w:t>
      </w:r>
      <w:r>
        <w:rPr>
          <w:rFonts w:hint="eastAsia" w:hAnsi="宋体"/>
          <w:sz w:val="21"/>
        </w:rPr>
        <w:t>。</w:t>
      </w:r>
    </w:p>
    <w:p w14:paraId="1C54B685">
      <w:pPr>
        <w:pStyle w:val="25"/>
        <w:snapToGrid w:val="0"/>
        <w:spacing w:line="360" w:lineRule="auto"/>
        <w:ind w:firstLine="420" w:firstLineChars="200"/>
        <w:rPr>
          <w:rFonts w:hint="eastAsia" w:hAnsi="宋体"/>
          <w:sz w:val="21"/>
        </w:rPr>
      </w:pPr>
      <w:r>
        <w:rPr>
          <w:rFonts w:hint="eastAsia" w:hAnsi="宋体"/>
          <w:sz w:val="21"/>
        </w:rPr>
        <w:t>4.2经投标人确认修正后的报价若超过采购预算金额或者最高限价，</w:t>
      </w:r>
      <w:r>
        <w:rPr>
          <w:rFonts w:hint="eastAsia" w:hAnsi="宋体"/>
          <w:b/>
          <w:bCs/>
          <w:sz w:val="21"/>
        </w:rPr>
        <w:t>投标人的投标文件作无效投标处理</w:t>
      </w:r>
      <w:r>
        <w:rPr>
          <w:rFonts w:hint="eastAsia" w:hAnsi="宋体"/>
          <w:sz w:val="21"/>
        </w:rPr>
        <w:t>。</w:t>
      </w:r>
    </w:p>
    <w:p w14:paraId="43F5F942">
      <w:pPr>
        <w:snapToGrid w:val="0"/>
        <w:spacing w:line="360" w:lineRule="auto"/>
        <w:ind w:firstLine="420" w:firstLineChars="200"/>
        <w:rPr>
          <w:rFonts w:hint="eastAsia"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35526C09">
      <w:pPr>
        <w:pStyle w:val="6"/>
        <w:keepNext w:val="0"/>
        <w:keepLines w:val="0"/>
        <w:spacing w:before="0" w:after="0" w:line="360" w:lineRule="auto"/>
        <w:ind w:left="420" w:leftChars="200"/>
        <w:rPr>
          <w:rFonts w:hint="eastAsia" w:ascii="宋体" w:hAnsi="宋体"/>
          <w:sz w:val="21"/>
          <w:szCs w:val="21"/>
        </w:rPr>
      </w:pPr>
      <w:r>
        <w:rPr>
          <w:rFonts w:ascii="宋体" w:hAnsi="宋体"/>
          <w:sz w:val="21"/>
          <w:szCs w:val="21"/>
        </w:rPr>
        <w:t>5.</w:t>
      </w:r>
      <w:r>
        <w:rPr>
          <w:rFonts w:hint="eastAsia" w:ascii="宋体" w:hAnsi="宋体"/>
          <w:sz w:val="21"/>
          <w:szCs w:val="21"/>
        </w:rPr>
        <w:t>比较与评价</w:t>
      </w:r>
    </w:p>
    <w:p w14:paraId="3C941A03">
      <w:pPr>
        <w:snapToGrid w:val="0"/>
        <w:spacing w:line="360" w:lineRule="auto"/>
        <w:ind w:firstLine="420" w:firstLineChars="200"/>
        <w:rPr>
          <w:rFonts w:hint="eastAsia" w:ascii="宋体" w:hAnsi="宋体"/>
          <w:szCs w:val="21"/>
        </w:rPr>
      </w:pPr>
      <w:r>
        <w:rPr>
          <w:rFonts w:hint="eastAsia" w:ascii="宋体" w:hAnsi="宋体"/>
          <w:szCs w:val="21"/>
        </w:rPr>
        <w:t>5.1采用综合评分法的</w:t>
      </w:r>
    </w:p>
    <w:p w14:paraId="4B9ACC76">
      <w:pPr>
        <w:snapToGrid w:val="0"/>
        <w:spacing w:line="360" w:lineRule="auto"/>
        <w:ind w:firstLine="420" w:firstLineChars="200"/>
        <w:rPr>
          <w:rFonts w:hint="eastAsia"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01422BCA">
      <w:pPr>
        <w:snapToGrid w:val="0"/>
        <w:spacing w:line="360" w:lineRule="auto"/>
        <w:ind w:firstLine="420" w:firstLineChars="200"/>
        <w:rPr>
          <w:rFonts w:hint="eastAsia" w:ascii="宋体" w:hAnsi="宋体"/>
          <w:szCs w:val="21"/>
        </w:rPr>
      </w:pPr>
      <w:r>
        <w:rPr>
          <w:rFonts w:hint="eastAsia" w:ascii="宋体" w:hAnsi="宋体"/>
          <w:szCs w:val="21"/>
        </w:rPr>
        <w:t>（2）评标委员会独立对每个投标人的投标文件进行评价，并汇总每个投标人的得分。</w:t>
      </w:r>
    </w:p>
    <w:p w14:paraId="66B8D348">
      <w:pPr>
        <w:snapToGrid w:val="0"/>
        <w:spacing w:line="360" w:lineRule="auto"/>
        <w:ind w:firstLine="420" w:firstLineChars="200"/>
        <w:rPr>
          <w:rFonts w:hint="eastAsia" w:ascii="宋体" w:hAnsi="宋体"/>
          <w:szCs w:val="21"/>
        </w:rPr>
      </w:pPr>
      <w:r>
        <w:rPr>
          <w:rFonts w:hint="eastAsia" w:ascii="宋体" w:hAnsi="宋体"/>
          <w:szCs w:val="21"/>
        </w:rPr>
        <w:t>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宋体" w:hAnsi="宋体"/>
          <w:b/>
          <w:szCs w:val="21"/>
        </w:rPr>
        <w:t>投标人不能证明其报价合理性的，评标委员会将其作为无效投标处理</w:t>
      </w:r>
      <w:r>
        <w:rPr>
          <w:rFonts w:hint="eastAsia" w:ascii="宋体" w:hAnsi="宋体"/>
          <w:szCs w:val="21"/>
        </w:rPr>
        <w:t>。</w:t>
      </w:r>
    </w:p>
    <w:p w14:paraId="4F0EEFD6">
      <w:pPr>
        <w:snapToGrid w:val="0"/>
        <w:spacing w:line="360" w:lineRule="auto"/>
        <w:ind w:firstLine="420" w:firstLineChars="200"/>
        <w:rPr>
          <w:rFonts w:hint="eastAsia" w:ascii="宋体" w:hAnsi="宋体"/>
          <w:szCs w:val="21"/>
        </w:rPr>
      </w:pPr>
      <w:r>
        <w:rPr>
          <w:rFonts w:hint="eastAsia" w:ascii="宋体" w:hAnsi="宋体"/>
          <w:szCs w:val="21"/>
        </w:rPr>
        <w:t>（3）评标委员会按照招标文件中规定的评标方法和标准计算各投标人的报价得分。在计算过程中，不得去掉最高报价或者最低报价。</w:t>
      </w:r>
    </w:p>
    <w:p w14:paraId="6DBE7785">
      <w:pPr>
        <w:snapToGrid w:val="0"/>
        <w:spacing w:line="360" w:lineRule="auto"/>
        <w:ind w:firstLine="420" w:firstLineChars="200"/>
        <w:rPr>
          <w:rFonts w:hint="eastAsia" w:ascii="宋体" w:hAnsi="宋体"/>
          <w:szCs w:val="21"/>
        </w:rPr>
      </w:pPr>
      <w:r>
        <w:rPr>
          <w:rFonts w:hint="eastAsia" w:ascii="宋体" w:hAnsi="宋体"/>
          <w:szCs w:val="21"/>
        </w:rPr>
        <w:t>（4）各投标人的得分为所有评委的有效评分的算术平均数。</w:t>
      </w:r>
    </w:p>
    <w:p w14:paraId="04036A8E">
      <w:pPr>
        <w:snapToGrid w:val="0"/>
        <w:spacing w:line="360" w:lineRule="auto"/>
        <w:ind w:firstLine="420" w:firstLineChars="200"/>
        <w:rPr>
          <w:rFonts w:hint="eastAsia" w:ascii="宋体" w:hAnsi="宋体"/>
          <w:szCs w:val="21"/>
        </w:rPr>
      </w:pPr>
      <w:r>
        <w:rPr>
          <w:rFonts w:hint="eastAsia" w:ascii="宋体" w:hAnsi="宋体"/>
          <w:szCs w:val="21"/>
        </w:rPr>
        <w:t>（5）评标委员会按照招标文件中的规定推荐中标候选人。</w:t>
      </w:r>
    </w:p>
    <w:p w14:paraId="665C16F6">
      <w:pPr>
        <w:snapToGrid w:val="0"/>
        <w:spacing w:line="360" w:lineRule="auto"/>
        <w:ind w:firstLine="420" w:firstLineChars="200"/>
        <w:rPr>
          <w:rFonts w:hint="eastAsia"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91F9DC4">
      <w:pPr>
        <w:snapToGrid w:val="0"/>
        <w:spacing w:line="360" w:lineRule="auto"/>
        <w:ind w:firstLine="420" w:firstLineChars="200"/>
        <w:rPr>
          <w:rFonts w:hint="eastAsia" w:ascii="宋体" w:hAnsi="宋体"/>
          <w:szCs w:val="21"/>
        </w:rPr>
      </w:pPr>
      <w:r>
        <w:rPr>
          <w:rFonts w:hint="eastAsia" w:ascii="宋体" w:hAnsi="宋体"/>
          <w:szCs w:val="21"/>
        </w:rPr>
        <w:t>5.2采用</w:t>
      </w:r>
      <w:r>
        <w:rPr>
          <w:rFonts w:hint="eastAsia" w:hAnsi="宋体"/>
        </w:rPr>
        <w:t>最低评标价法</w:t>
      </w:r>
      <w:r>
        <w:rPr>
          <w:rFonts w:hint="eastAsia" w:ascii="宋体" w:hAnsi="宋体"/>
          <w:szCs w:val="21"/>
        </w:rPr>
        <w:t>的</w:t>
      </w:r>
    </w:p>
    <w:p w14:paraId="10DC327C">
      <w:pPr>
        <w:snapToGrid w:val="0"/>
        <w:spacing w:line="360" w:lineRule="auto"/>
        <w:ind w:firstLine="424" w:firstLineChars="202"/>
        <w:jc w:val="left"/>
        <w:rPr>
          <w:rFonts w:hint="eastAsia" w:ascii="宋体" w:hAnsi="宋体"/>
          <w:szCs w:val="21"/>
        </w:rPr>
      </w:pPr>
      <w:r>
        <w:rPr>
          <w:rFonts w:hint="eastAsia" w:ascii="宋体" w:hAnsi="宋体"/>
          <w:szCs w:val="21"/>
        </w:rPr>
        <w:t>（1）评标委员会按照招标文件中规定的评标方法及评标标准，对符合性审查合格的投标文件报价进行比较。</w:t>
      </w:r>
    </w:p>
    <w:p w14:paraId="018B910A">
      <w:pPr>
        <w:snapToGrid w:val="0"/>
        <w:spacing w:line="360" w:lineRule="auto"/>
        <w:ind w:firstLine="399" w:firstLineChars="202"/>
        <w:jc w:val="left"/>
        <w:rPr>
          <w:rFonts w:hint="eastAsia" w:ascii="宋体" w:hAnsi="宋体"/>
          <w:spacing w:val="-6"/>
          <w:szCs w:val="21"/>
        </w:rPr>
      </w:pPr>
      <w:r>
        <w:rPr>
          <w:rFonts w:hint="eastAsia" w:ascii="宋体" w:hAnsi="宋体"/>
          <w:spacing w:val="-6"/>
          <w:szCs w:val="21"/>
        </w:rPr>
        <w:t>（2）评标委员会认为投标人的报价明显低于其他通过符合性审查的投标人的报价，有可能影响产品质量或者不能诚信履约的，应当要求其在评标现场合理的时间内提供书面说明，必要时提交相关证明材料；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宋体" w:hAnsi="宋体"/>
          <w:b/>
          <w:spacing w:val="-6"/>
          <w:szCs w:val="21"/>
        </w:rPr>
        <w:t>投标人不能证明其报价合理性的，评标委员会应当将其作为无效投标处理。</w:t>
      </w:r>
    </w:p>
    <w:p w14:paraId="587E6750">
      <w:pPr>
        <w:snapToGrid w:val="0"/>
        <w:spacing w:line="360" w:lineRule="auto"/>
        <w:ind w:firstLine="424" w:firstLineChars="202"/>
        <w:jc w:val="left"/>
        <w:rPr>
          <w:rFonts w:hint="eastAsia" w:ascii="宋体" w:hAnsi="宋体"/>
          <w:szCs w:val="21"/>
        </w:rPr>
      </w:pPr>
      <w:r>
        <w:rPr>
          <w:rFonts w:hint="eastAsia" w:ascii="宋体" w:hAnsi="宋体"/>
          <w:szCs w:val="21"/>
        </w:rPr>
        <w:t>（3）评标委员会按照招标文件中的规定推荐中标候选人。</w:t>
      </w:r>
    </w:p>
    <w:p w14:paraId="60E13131">
      <w:pPr>
        <w:snapToGrid w:val="0"/>
        <w:spacing w:line="360" w:lineRule="auto"/>
        <w:ind w:firstLine="424" w:firstLineChars="202"/>
        <w:jc w:val="left"/>
        <w:rPr>
          <w:rFonts w:hint="eastAsia" w:ascii="宋体" w:hAnsi="宋体"/>
          <w:szCs w:val="21"/>
        </w:rP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8C2FAD3">
      <w:pPr>
        <w:pStyle w:val="5"/>
        <w:keepNext w:val="0"/>
        <w:keepLines w:val="0"/>
        <w:spacing w:line="360" w:lineRule="auto"/>
        <w:jc w:val="center"/>
        <w:rPr>
          <w:sz w:val="30"/>
          <w:szCs w:val="30"/>
        </w:rPr>
      </w:pPr>
      <w:r>
        <w:br w:type="page"/>
      </w:r>
      <w:r>
        <w:rPr>
          <w:rFonts w:hint="eastAsia"/>
          <w:sz w:val="30"/>
          <w:szCs w:val="30"/>
        </w:rPr>
        <w:t>三、评标标准</w:t>
      </w:r>
    </w:p>
    <w:p w14:paraId="0A4162A7">
      <w:pPr>
        <w:spacing w:line="360" w:lineRule="auto"/>
        <w:jc w:val="center"/>
        <w:rPr>
          <w:b/>
          <w:bCs/>
          <w:sz w:val="32"/>
          <w:szCs w:val="32"/>
        </w:rPr>
      </w:pPr>
      <w:r>
        <w:rPr>
          <w:rFonts w:hint="eastAsia"/>
          <w:b/>
          <w:bCs/>
          <w:sz w:val="32"/>
          <w:szCs w:val="32"/>
        </w:rPr>
        <w:t>综合评分法</w:t>
      </w:r>
    </w:p>
    <w:p w14:paraId="78B5B95E">
      <w:pPr>
        <w:pStyle w:val="2"/>
        <w:ind w:left="0" w:leftChars="0" w:right="1470"/>
        <w:rPr>
          <w:rFonts w:hint="eastAsia" w:ascii="宋体" w:hAnsi="宋体" w:cs="宋体"/>
        </w:rPr>
      </w:pPr>
      <w:r>
        <w:rPr>
          <w:rFonts w:hint="eastAsia" w:ascii="宋体" w:hAnsi="宋体" w:cs="宋体"/>
          <w:b/>
          <w:bCs/>
          <w:szCs w:val="21"/>
        </w:rPr>
        <w:t>1分标</w:t>
      </w:r>
    </w:p>
    <w:tbl>
      <w:tblPr>
        <w:tblStyle w:val="48"/>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180"/>
        <w:gridCol w:w="6425"/>
      </w:tblGrid>
      <w:tr w14:paraId="3171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45" w:type="dxa"/>
            <w:gridSpan w:val="2"/>
            <w:tcBorders>
              <w:top w:val="single" w:color="auto" w:sz="4" w:space="0"/>
              <w:left w:val="single" w:color="auto" w:sz="4" w:space="0"/>
              <w:bottom w:val="single" w:color="auto" w:sz="4" w:space="0"/>
              <w:right w:val="single" w:color="auto" w:sz="4" w:space="0"/>
            </w:tcBorders>
            <w:vAlign w:val="center"/>
          </w:tcPr>
          <w:p w14:paraId="5331B816">
            <w:pPr>
              <w:adjustRightInd w:val="0"/>
              <w:spacing w:line="410" w:lineRule="exact"/>
              <w:jc w:val="center"/>
              <w:textAlignment w:val="baseline"/>
              <w:rPr>
                <w:rFonts w:hint="eastAsia" w:ascii="宋体" w:hAnsi="宋体"/>
                <w:b/>
                <w:szCs w:val="21"/>
              </w:rPr>
            </w:pPr>
            <w:r>
              <w:rPr>
                <w:rFonts w:hint="eastAsia" w:ascii="宋体" w:hAnsi="宋体"/>
                <w:b/>
                <w:szCs w:val="21"/>
              </w:rPr>
              <w:t>序号</w:t>
            </w:r>
          </w:p>
        </w:tc>
        <w:tc>
          <w:tcPr>
            <w:tcW w:w="1180" w:type="dxa"/>
            <w:tcBorders>
              <w:top w:val="single" w:color="auto" w:sz="4" w:space="0"/>
              <w:left w:val="single" w:color="auto" w:sz="4" w:space="0"/>
              <w:bottom w:val="single" w:color="auto" w:sz="4" w:space="0"/>
              <w:right w:val="single" w:color="auto" w:sz="4" w:space="0"/>
            </w:tcBorders>
            <w:vAlign w:val="center"/>
          </w:tcPr>
          <w:p w14:paraId="3D52D611">
            <w:pPr>
              <w:adjustRightInd w:val="0"/>
              <w:spacing w:line="410" w:lineRule="exact"/>
              <w:jc w:val="center"/>
              <w:textAlignment w:val="baseline"/>
              <w:rPr>
                <w:rFonts w:hint="eastAsia" w:ascii="宋体" w:hAnsi="宋体"/>
                <w:szCs w:val="21"/>
              </w:rPr>
            </w:pPr>
            <w:r>
              <w:rPr>
                <w:rFonts w:hint="eastAsia" w:ascii="宋体" w:hAnsi="宋体"/>
                <w:b/>
                <w:szCs w:val="21"/>
              </w:rPr>
              <w:t>评审因素</w:t>
            </w:r>
          </w:p>
        </w:tc>
        <w:tc>
          <w:tcPr>
            <w:tcW w:w="6425" w:type="dxa"/>
            <w:tcBorders>
              <w:top w:val="single" w:color="auto" w:sz="4" w:space="0"/>
              <w:left w:val="single" w:color="auto" w:sz="4" w:space="0"/>
              <w:bottom w:val="single" w:color="auto" w:sz="4" w:space="0"/>
              <w:right w:val="single" w:color="auto" w:sz="4" w:space="0"/>
            </w:tcBorders>
            <w:vAlign w:val="center"/>
          </w:tcPr>
          <w:p w14:paraId="37F3B04B">
            <w:pPr>
              <w:adjustRightInd w:val="0"/>
              <w:spacing w:line="410" w:lineRule="exact"/>
              <w:jc w:val="center"/>
              <w:textAlignment w:val="baseline"/>
              <w:rPr>
                <w:rFonts w:hint="eastAsia" w:ascii="宋体" w:hAnsi="宋体"/>
                <w:b/>
                <w:szCs w:val="21"/>
              </w:rPr>
            </w:pPr>
            <w:r>
              <w:rPr>
                <w:rFonts w:hint="eastAsia" w:ascii="宋体" w:hAnsi="宋体"/>
                <w:b/>
                <w:szCs w:val="21"/>
              </w:rPr>
              <w:t>评标标准</w:t>
            </w:r>
          </w:p>
        </w:tc>
      </w:tr>
      <w:tr w14:paraId="6580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7D527357">
            <w:pPr>
              <w:adjustRightInd w:val="0"/>
              <w:spacing w:line="360" w:lineRule="auto"/>
              <w:jc w:val="center"/>
              <w:textAlignment w:val="baseline"/>
              <w:rPr>
                <w:rFonts w:hint="eastAsia" w:ascii="宋体" w:hAnsi="宋体"/>
                <w:b/>
                <w:szCs w:val="21"/>
              </w:rPr>
            </w:pPr>
            <w:r>
              <w:rPr>
                <w:rFonts w:hint="eastAsia" w:ascii="宋体" w:hAnsi="宋体"/>
                <w:b/>
                <w:szCs w:val="21"/>
              </w:rPr>
              <w:t>1</w:t>
            </w:r>
          </w:p>
        </w:tc>
        <w:tc>
          <w:tcPr>
            <w:tcW w:w="1320" w:type="dxa"/>
            <w:tcBorders>
              <w:top w:val="single" w:color="auto" w:sz="4" w:space="0"/>
              <w:left w:val="single" w:color="auto" w:sz="4" w:space="0"/>
              <w:bottom w:val="single" w:color="auto" w:sz="4" w:space="0"/>
              <w:right w:val="single" w:color="auto" w:sz="4" w:space="0"/>
            </w:tcBorders>
            <w:vAlign w:val="center"/>
          </w:tcPr>
          <w:p w14:paraId="1628D656">
            <w:pPr>
              <w:adjustRightInd w:val="0"/>
              <w:spacing w:line="360" w:lineRule="auto"/>
              <w:jc w:val="center"/>
              <w:textAlignment w:val="baseline"/>
              <w:rPr>
                <w:rFonts w:hint="eastAsia" w:ascii="宋体" w:hAnsi="宋体"/>
                <w:b/>
                <w:szCs w:val="21"/>
              </w:rPr>
            </w:pPr>
            <w:r>
              <w:rPr>
                <w:rFonts w:hint="eastAsia" w:ascii="宋体" w:hAnsi="宋体"/>
                <w:b/>
                <w:szCs w:val="21"/>
              </w:rPr>
              <w:t>价格分</w:t>
            </w:r>
          </w:p>
          <w:p w14:paraId="18EAFA1F">
            <w:pPr>
              <w:adjustRightInd w:val="0"/>
              <w:spacing w:line="360" w:lineRule="auto"/>
              <w:jc w:val="center"/>
              <w:textAlignment w:val="baseline"/>
              <w:rPr>
                <w:rFonts w:hint="eastAsia" w:ascii="宋体" w:hAnsi="宋体"/>
                <w:b/>
                <w:bCs/>
                <w:szCs w:val="21"/>
              </w:rPr>
            </w:pPr>
            <w:r>
              <w:rPr>
                <w:rFonts w:hint="eastAsia" w:ascii="宋体" w:hAnsi="宋体"/>
                <w:b/>
                <w:bCs/>
                <w:szCs w:val="21"/>
              </w:rPr>
              <w:t>（满分30分）</w:t>
            </w:r>
          </w:p>
        </w:tc>
        <w:tc>
          <w:tcPr>
            <w:tcW w:w="1180" w:type="dxa"/>
            <w:tcBorders>
              <w:top w:val="single" w:color="auto" w:sz="4" w:space="0"/>
              <w:left w:val="single" w:color="auto" w:sz="4" w:space="0"/>
              <w:bottom w:val="single" w:color="auto" w:sz="4" w:space="0"/>
              <w:right w:val="single" w:color="auto" w:sz="4" w:space="0"/>
            </w:tcBorders>
            <w:vAlign w:val="center"/>
          </w:tcPr>
          <w:p w14:paraId="634FB026">
            <w:pPr>
              <w:adjustRightInd w:val="0"/>
              <w:spacing w:line="360" w:lineRule="auto"/>
              <w:jc w:val="center"/>
              <w:textAlignment w:val="baseline"/>
              <w:rPr>
                <w:rFonts w:hint="eastAsia" w:ascii="宋体" w:hAnsi="宋体"/>
                <w:b/>
                <w:szCs w:val="21"/>
              </w:rPr>
            </w:pPr>
            <w:r>
              <w:rPr>
                <w:rFonts w:hint="eastAsia" w:ascii="宋体" w:hAnsi="宋体"/>
                <w:b/>
                <w:szCs w:val="21"/>
              </w:rPr>
              <w:t>投标报价</w:t>
            </w:r>
          </w:p>
        </w:tc>
        <w:tc>
          <w:tcPr>
            <w:tcW w:w="6425" w:type="dxa"/>
            <w:tcBorders>
              <w:top w:val="single" w:color="auto" w:sz="4" w:space="0"/>
              <w:left w:val="single" w:color="auto" w:sz="4" w:space="0"/>
              <w:bottom w:val="single" w:color="auto" w:sz="4" w:space="0"/>
              <w:right w:val="single" w:color="auto" w:sz="4" w:space="0"/>
            </w:tcBorders>
            <w:vAlign w:val="center"/>
          </w:tcPr>
          <w:p w14:paraId="12C09A59">
            <w:pPr>
              <w:snapToGrid w:val="0"/>
              <w:spacing w:line="360" w:lineRule="auto"/>
              <w:ind w:firstLine="233" w:firstLineChars="111"/>
              <w:rPr>
                <w:rFonts w:hint="eastAsia" w:ascii="宋体" w:hAnsi="宋体"/>
                <w:bCs/>
                <w:szCs w:val="21"/>
              </w:rPr>
            </w:pPr>
            <w:r>
              <w:rPr>
                <w:rFonts w:hint="eastAsia" w:ascii="宋体" w:hAnsi="宋体"/>
                <w:bCs/>
                <w:szCs w:val="21"/>
              </w:rPr>
              <w:t>（1）评标报价为投标人的投标报价进行政策性扣除后的价格，评标报价只是作为评标时使用。最终中标人的中标金额等于投标报价。</w:t>
            </w:r>
          </w:p>
          <w:p w14:paraId="1717B1F1">
            <w:pPr>
              <w:snapToGrid w:val="0"/>
              <w:spacing w:line="360" w:lineRule="auto"/>
              <w:ind w:firstLine="233" w:firstLineChars="111"/>
              <w:rPr>
                <w:rFonts w:hint="eastAsia" w:ascii="宋体" w:hAnsi="宋体"/>
                <w:bCs/>
                <w:szCs w:val="21"/>
              </w:rPr>
            </w:pPr>
            <w:r>
              <w:rPr>
                <w:rFonts w:hint="eastAsia" w:ascii="宋体" w:hAnsi="宋体"/>
                <w:bCs/>
                <w:szCs w:val="21"/>
              </w:rPr>
              <w:t>（2）政策性扣除计算方法。</w:t>
            </w:r>
          </w:p>
          <w:p w14:paraId="1F73E4DE">
            <w:pPr>
              <w:snapToGrid w:val="0"/>
              <w:spacing w:line="360" w:lineRule="auto"/>
              <w:ind w:firstLine="443" w:firstLineChars="211"/>
              <w:rPr>
                <w:rFonts w:hint="eastAsia" w:ascii="宋体" w:hAnsi="宋体"/>
                <w:szCs w:val="21"/>
              </w:rPr>
            </w:pPr>
            <w:bookmarkStart w:id="139" w:name="_Hlk65858438"/>
            <w:r>
              <w:rPr>
                <w:rFonts w:hint="eastAsia" w:ascii="宋体" w:hAnsi="宋体"/>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范围为10%-20%）的扣除，扣除后的价格为评标报价，即评标报价=投标报价×（1-10 %）。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bookmarkEnd w:id="139"/>
          </w:p>
          <w:p w14:paraId="62C3BA9A">
            <w:pPr>
              <w:snapToGrid w:val="0"/>
              <w:spacing w:line="360" w:lineRule="auto"/>
              <w:ind w:firstLine="233" w:firstLineChars="111"/>
              <w:rPr>
                <w:rFonts w:hint="eastAsia" w:ascii="宋体" w:hAnsi="宋体"/>
                <w:bCs/>
                <w:szCs w:val="21"/>
              </w:rPr>
            </w:pPr>
            <w:r>
              <w:rPr>
                <w:rFonts w:hint="eastAsia" w:ascii="宋体" w:hAnsi="宋体"/>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szCs w:val="21"/>
              </w:rPr>
              <w:t>监狱企业参加政府采购活动时，应当提供由省级以上监狱管理局、戒毒管理局（含新疆生产建设兵团）出具的属于监狱企业的证明文件。</w:t>
            </w:r>
            <w:r>
              <w:rPr>
                <w:rFonts w:hint="eastAsia" w:ascii="宋体" w:hAnsi="宋体"/>
                <w:bCs/>
                <w:szCs w:val="21"/>
              </w:rPr>
              <w:t>监狱企业属于小型、微型企业的，不重复享受政策。</w:t>
            </w:r>
          </w:p>
          <w:p w14:paraId="6EDA79E1">
            <w:pPr>
              <w:snapToGrid w:val="0"/>
              <w:spacing w:line="360" w:lineRule="auto"/>
              <w:ind w:firstLine="233" w:firstLineChars="111"/>
              <w:rPr>
                <w:rFonts w:hint="eastAsia" w:ascii="宋体" w:hAnsi="宋体"/>
                <w:bCs/>
                <w:szCs w:val="21"/>
              </w:rPr>
            </w:pPr>
            <w:r>
              <w:rPr>
                <w:rFonts w:hint="eastAsia" w:ascii="宋体" w:hAnsi="宋体"/>
                <w:szCs w:val="21"/>
              </w:rPr>
              <w:t>（4）按照</w:t>
            </w:r>
            <w:r>
              <w:rPr>
                <w:rFonts w:hint="eastAsia" w:ascii="宋体" w:hAnsi="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szCs w:val="21"/>
              </w:rPr>
              <w:t>残疾人福利性单位参加政府采购活动时，应当提供该通知规定的《残疾人福利性单位声明函》，并对声明的真实性负责。</w:t>
            </w:r>
            <w:r>
              <w:rPr>
                <w:rFonts w:hint="eastAsia" w:ascii="宋体" w:hAnsi="宋体"/>
                <w:bCs/>
                <w:szCs w:val="21"/>
              </w:rPr>
              <w:t>残疾人福利性单位属于小型、微型企业的，不重复享受政策。</w:t>
            </w:r>
          </w:p>
          <w:p w14:paraId="19241CDD">
            <w:pPr>
              <w:snapToGrid w:val="0"/>
              <w:spacing w:line="360" w:lineRule="auto"/>
              <w:ind w:firstLine="233" w:firstLineChars="111"/>
              <w:rPr>
                <w:rFonts w:hint="eastAsia" w:ascii="宋体" w:hAnsi="宋体"/>
                <w:bCs/>
                <w:szCs w:val="21"/>
              </w:rPr>
            </w:pPr>
            <w:r>
              <w:rPr>
                <w:rFonts w:hint="eastAsia" w:ascii="宋体" w:hAnsi="宋体"/>
                <w:bCs/>
                <w:szCs w:val="21"/>
              </w:rPr>
              <w:t>（5）满足招标文件要求且评标报价最低的评标报价为评标基准价，其价格分为满分。</w:t>
            </w:r>
          </w:p>
          <w:p w14:paraId="10467501">
            <w:pPr>
              <w:spacing w:line="360" w:lineRule="auto"/>
              <w:ind w:firstLine="233" w:firstLineChars="111"/>
              <w:rPr>
                <w:rFonts w:hint="eastAsia" w:ascii="宋体" w:hAnsi="宋体"/>
                <w:bCs/>
                <w:szCs w:val="21"/>
              </w:rPr>
            </w:pPr>
            <w:r>
              <w:rPr>
                <w:rFonts w:hint="eastAsia" w:ascii="宋体" w:hAnsi="宋体"/>
                <w:bCs/>
                <w:szCs w:val="21"/>
              </w:rPr>
              <w:t xml:space="preserve">（6）价格分计算公式：        </w:t>
            </w:r>
          </w:p>
          <w:p w14:paraId="34BAD41D">
            <w:pPr>
              <w:spacing w:line="360" w:lineRule="auto"/>
              <w:ind w:firstLine="233" w:firstLineChars="111"/>
              <w:rPr>
                <w:rFonts w:hint="eastAsia" w:ascii="宋体" w:hAnsi="宋体" w:cs="Courier New"/>
                <w:bCs/>
                <w:szCs w:val="21"/>
              </w:rPr>
            </w:pPr>
            <w:r>
              <w:rPr>
                <w:rFonts w:hint="eastAsia" w:ascii="宋体" w:hAnsi="宋体"/>
                <w:bCs/>
                <w:kern w:val="0"/>
                <w:szCs w:val="21"/>
              </w:rPr>
              <w:t>价格分</w:t>
            </w:r>
            <w:r>
              <w:rPr>
                <w:rFonts w:hint="eastAsia" w:ascii="宋体" w:hAnsi="宋体" w:cs="Courier New"/>
                <w:bCs/>
                <w:szCs w:val="21"/>
              </w:rPr>
              <w:t>=（评标基准价／评标报价）×</w:t>
            </w:r>
            <w:r>
              <w:rPr>
                <w:rFonts w:hint="eastAsia" w:ascii="宋体" w:hAnsi="宋体"/>
                <w:bCs/>
                <w:kern w:val="0"/>
                <w:szCs w:val="21"/>
              </w:rPr>
              <w:t>30</w:t>
            </w:r>
            <w:r>
              <w:rPr>
                <w:rFonts w:hint="eastAsia" w:ascii="宋体" w:hAnsi="宋体" w:cs="Courier New"/>
                <w:bCs/>
                <w:szCs w:val="21"/>
              </w:rPr>
              <w:t>分</w:t>
            </w:r>
          </w:p>
        </w:tc>
      </w:tr>
      <w:tr w14:paraId="79BF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tcBorders>
              <w:top w:val="single" w:color="auto" w:sz="4" w:space="0"/>
              <w:left w:val="single" w:color="auto" w:sz="4" w:space="0"/>
              <w:right w:val="single" w:color="auto" w:sz="4" w:space="0"/>
            </w:tcBorders>
            <w:vAlign w:val="center"/>
          </w:tcPr>
          <w:p w14:paraId="71961D78">
            <w:pPr>
              <w:spacing w:after="120"/>
              <w:jc w:val="center"/>
              <w:rPr>
                <w:rFonts w:hint="eastAsia" w:ascii="宋体" w:hAnsi="宋体"/>
                <w:b/>
                <w:kern w:val="0"/>
                <w:sz w:val="24"/>
                <w:szCs w:val="21"/>
              </w:rPr>
            </w:pPr>
            <w:r>
              <w:rPr>
                <w:rFonts w:hint="eastAsia" w:ascii="宋体" w:hAnsi="宋体"/>
                <w:b/>
                <w:szCs w:val="21"/>
              </w:rPr>
              <w:t>2</w:t>
            </w:r>
          </w:p>
        </w:tc>
        <w:tc>
          <w:tcPr>
            <w:tcW w:w="1320" w:type="dxa"/>
            <w:vMerge w:val="restart"/>
            <w:tcBorders>
              <w:top w:val="single" w:color="auto" w:sz="4" w:space="0"/>
              <w:left w:val="single" w:color="auto" w:sz="4" w:space="0"/>
              <w:right w:val="single" w:color="auto" w:sz="4" w:space="0"/>
            </w:tcBorders>
            <w:vAlign w:val="center"/>
          </w:tcPr>
          <w:p w14:paraId="02871F97">
            <w:pPr>
              <w:adjustRightInd w:val="0"/>
              <w:spacing w:line="360" w:lineRule="auto"/>
              <w:ind w:left="-105" w:leftChars="-50" w:right="-105" w:rightChars="-50"/>
              <w:jc w:val="center"/>
              <w:textAlignment w:val="baseline"/>
              <w:rPr>
                <w:rFonts w:hint="eastAsia" w:ascii="宋体" w:hAnsi="宋体"/>
                <w:b/>
                <w:bCs/>
                <w:szCs w:val="21"/>
              </w:rPr>
            </w:pPr>
            <w:r>
              <w:rPr>
                <w:rFonts w:hint="eastAsia" w:ascii="宋体" w:hAnsi="宋体"/>
                <w:b/>
                <w:bCs/>
                <w:szCs w:val="21"/>
              </w:rPr>
              <w:t>技术分</w:t>
            </w:r>
          </w:p>
          <w:p w14:paraId="1954682B">
            <w:pPr>
              <w:adjustRightInd w:val="0"/>
              <w:spacing w:line="360" w:lineRule="auto"/>
              <w:ind w:left="-105" w:leftChars="-50" w:right="-105" w:rightChars="-50"/>
              <w:jc w:val="center"/>
              <w:textAlignment w:val="baseline"/>
              <w:rPr>
                <w:rFonts w:hint="eastAsia" w:ascii="宋体" w:hAnsi="宋体"/>
                <w:spacing w:val="-18"/>
                <w:szCs w:val="21"/>
              </w:rPr>
            </w:pPr>
            <w:r>
              <w:rPr>
                <w:rFonts w:hint="eastAsia" w:ascii="宋体" w:hAnsi="宋体"/>
                <w:b/>
                <w:bCs/>
                <w:szCs w:val="21"/>
              </w:rPr>
              <w:t>（满54分）</w:t>
            </w:r>
          </w:p>
        </w:tc>
        <w:tc>
          <w:tcPr>
            <w:tcW w:w="1180" w:type="dxa"/>
            <w:tcBorders>
              <w:top w:val="single" w:color="auto" w:sz="4" w:space="0"/>
              <w:left w:val="single" w:color="auto" w:sz="4" w:space="0"/>
              <w:bottom w:val="single" w:color="auto" w:sz="4" w:space="0"/>
              <w:right w:val="single" w:color="auto" w:sz="4" w:space="0"/>
            </w:tcBorders>
            <w:vAlign w:val="center"/>
          </w:tcPr>
          <w:p w14:paraId="49CDAF73">
            <w:pPr>
              <w:adjustRightInd w:val="0"/>
              <w:spacing w:line="400" w:lineRule="exact"/>
              <w:jc w:val="center"/>
              <w:textAlignment w:val="baseline"/>
              <w:rPr>
                <w:rFonts w:hint="eastAsia" w:ascii="宋体" w:hAnsi="宋体"/>
                <w:b/>
                <w:strike/>
                <w:szCs w:val="21"/>
                <w:u w:val="single"/>
              </w:rPr>
            </w:pPr>
            <w:r>
              <w:rPr>
                <w:rFonts w:hint="eastAsia" w:ascii="宋体" w:hAnsi="宋体"/>
                <w:bCs/>
              </w:rPr>
              <w:t>深化设计方案（18分）</w:t>
            </w:r>
          </w:p>
        </w:tc>
        <w:tc>
          <w:tcPr>
            <w:tcW w:w="6425" w:type="dxa"/>
            <w:tcBorders>
              <w:top w:val="single" w:color="auto" w:sz="4" w:space="0"/>
              <w:left w:val="single" w:color="auto" w:sz="4" w:space="0"/>
              <w:bottom w:val="single" w:color="auto" w:sz="4" w:space="0"/>
              <w:right w:val="single" w:color="auto" w:sz="4" w:space="0"/>
            </w:tcBorders>
            <w:vAlign w:val="center"/>
          </w:tcPr>
          <w:p w14:paraId="62B87EC6">
            <w:pPr>
              <w:snapToGrid w:val="0"/>
              <w:spacing w:line="400" w:lineRule="exact"/>
              <w:ind w:firstLine="420" w:firstLineChars="200"/>
              <w:rPr>
                <w:rFonts w:hint="eastAsia" w:ascii="宋体" w:hAnsi="宋体" w:cs="宋体"/>
                <w:szCs w:val="21"/>
              </w:rPr>
            </w:pPr>
            <w:r>
              <w:rPr>
                <w:rFonts w:hint="eastAsia" w:ascii="宋体" w:hAnsi="宋体" w:cs="宋体"/>
                <w:szCs w:val="21"/>
              </w:rPr>
              <w:t>本项目未有设计图纸，需要进行深化设计，评标委员会根据投标人项目深化设计方案的内容完整且切合项目实际进行评分。内容至少包括：①选型依据；②维护便利性；③模拟效果图；④等照度图；⑤点照度图；⑥伪色图等。</w:t>
            </w:r>
          </w:p>
          <w:p w14:paraId="5DEC2AB0">
            <w:pPr>
              <w:snapToGrid w:val="0"/>
              <w:spacing w:line="400" w:lineRule="exact"/>
              <w:ind w:firstLine="420" w:firstLineChars="200"/>
              <w:rPr>
                <w:rFonts w:hint="eastAsia" w:ascii="宋体" w:hAnsi="宋体" w:cs="宋体"/>
                <w:szCs w:val="21"/>
              </w:rPr>
            </w:pPr>
            <w:r>
              <w:rPr>
                <w:rFonts w:hint="eastAsia" w:ascii="宋体" w:hAnsi="宋体" w:cs="宋体"/>
                <w:szCs w:val="21"/>
              </w:rPr>
              <w:t>一档（4分）：投标人提供项目设计方案内容</w:t>
            </w:r>
            <w:r>
              <w:rPr>
                <w:rFonts w:hint="eastAsia"/>
                <w:szCs w:val="21"/>
              </w:rPr>
              <w:t>仅包含其中3项内容，</w:t>
            </w:r>
            <w:r>
              <w:rPr>
                <w:rFonts w:hint="eastAsia" w:ascii="宋体" w:hAnsi="宋体" w:cs="宋体"/>
                <w:szCs w:val="21"/>
              </w:rPr>
              <w:t>可行性较差，整体评价差的评定为一档；</w:t>
            </w:r>
          </w:p>
          <w:p w14:paraId="511B7458">
            <w:pPr>
              <w:snapToGrid w:val="0"/>
              <w:spacing w:line="400" w:lineRule="exact"/>
              <w:ind w:firstLine="420" w:firstLineChars="200"/>
              <w:rPr>
                <w:rFonts w:hint="eastAsia" w:ascii="宋体" w:hAnsi="宋体" w:cs="宋体"/>
                <w:szCs w:val="21"/>
              </w:rPr>
            </w:pPr>
            <w:r>
              <w:rPr>
                <w:rFonts w:hint="eastAsia" w:ascii="宋体" w:hAnsi="宋体" w:cs="宋体"/>
                <w:szCs w:val="21"/>
              </w:rPr>
              <w:t>二档（8分）：投标人提供项目设计方案内容</w:t>
            </w:r>
            <w:r>
              <w:rPr>
                <w:rFonts w:hint="eastAsia"/>
                <w:szCs w:val="21"/>
              </w:rPr>
              <w:t>仅包含其中4项内容，</w:t>
            </w:r>
            <w:r>
              <w:rPr>
                <w:rFonts w:hint="eastAsia" w:ascii="宋体" w:hAnsi="宋体" w:cs="宋体"/>
                <w:szCs w:val="21"/>
              </w:rPr>
              <w:t>可行性一般，整体评价一般的评定为二档；</w:t>
            </w:r>
          </w:p>
          <w:p w14:paraId="511DFCE4">
            <w:pPr>
              <w:snapToGrid w:val="0"/>
              <w:spacing w:line="400" w:lineRule="exact"/>
              <w:ind w:firstLine="420" w:firstLineChars="200"/>
              <w:rPr>
                <w:rFonts w:hint="eastAsia" w:ascii="宋体" w:hAnsi="宋体" w:cs="宋体"/>
                <w:szCs w:val="21"/>
              </w:rPr>
            </w:pPr>
            <w:r>
              <w:rPr>
                <w:rFonts w:hint="eastAsia" w:ascii="宋体" w:hAnsi="宋体" w:cs="宋体"/>
                <w:szCs w:val="21"/>
              </w:rPr>
              <w:t>三档（13分）：投标人提供项目设计方案内容</w:t>
            </w:r>
            <w:r>
              <w:rPr>
                <w:rFonts w:hint="eastAsia"/>
                <w:szCs w:val="21"/>
              </w:rPr>
              <w:t>仅包含其中5项内容</w:t>
            </w:r>
            <w:r>
              <w:rPr>
                <w:rFonts w:hint="eastAsia" w:ascii="宋体" w:hAnsi="宋体" w:cs="宋体"/>
                <w:szCs w:val="21"/>
              </w:rPr>
              <w:t>，可行性良好，整体评价良好的评定为三档。</w:t>
            </w:r>
          </w:p>
          <w:p w14:paraId="42D78BA6">
            <w:pPr>
              <w:snapToGrid w:val="0"/>
              <w:spacing w:line="400" w:lineRule="exact"/>
              <w:ind w:firstLine="420" w:firstLineChars="200"/>
              <w:rPr>
                <w:rFonts w:hint="eastAsia" w:ascii="宋体" w:hAnsi="宋体" w:cs="Courier New"/>
                <w:b/>
                <w:strike/>
              </w:rPr>
            </w:pPr>
            <w:r>
              <w:rPr>
                <w:rFonts w:hint="eastAsia" w:ascii="宋体" w:hAnsi="宋体" w:cs="宋体"/>
                <w:szCs w:val="21"/>
              </w:rPr>
              <w:t>四档（18分）：投标人提供项目设计方案包含6项内容，全面、具体、详细，科学，可行性较高，整体评价优秀的评定为四档。</w:t>
            </w:r>
          </w:p>
        </w:tc>
      </w:tr>
      <w:tr w14:paraId="5B52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left w:val="single" w:color="auto" w:sz="4" w:space="0"/>
              <w:right w:val="single" w:color="auto" w:sz="4" w:space="0"/>
            </w:tcBorders>
            <w:vAlign w:val="center"/>
          </w:tcPr>
          <w:p w14:paraId="3A9D3641">
            <w:pPr>
              <w:widowControl/>
              <w:jc w:val="left"/>
              <w:rPr>
                <w:rFonts w:hint="eastAsia" w:ascii="宋体" w:hAnsi="宋体"/>
                <w:b/>
                <w:kern w:val="0"/>
                <w:sz w:val="24"/>
                <w:szCs w:val="21"/>
              </w:rPr>
            </w:pPr>
          </w:p>
        </w:tc>
        <w:tc>
          <w:tcPr>
            <w:tcW w:w="1320" w:type="dxa"/>
            <w:vMerge w:val="continue"/>
            <w:tcBorders>
              <w:left w:val="single" w:color="auto" w:sz="4" w:space="0"/>
              <w:right w:val="single" w:color="auto" w:sz="4" w:space="0"/>
            </w:tcBorders>
            <w:vAlign w:val="center"/>
          </w:tcPr>
          <w:p w14:paraId="39D7FC85">
            <w:pPr>
              <w:widowControl/>
              <w:jc w:val="left"/>
              <w:rPr>
                <w:rFonts w:hint="eastAsia" w:ascii="宋体" w:hAnsi="宋体"/>
                <w:spacing w:val="-18"/>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72EC0AC6">
            <w:pPr>
              <w:adjustRightInd w:val="0"/>
              <w:spacing w:line="400" w:lineRule="exact"/>
              <w:jc w:val="center"/>
              <w:textAlignment w:val="baseline"/>
              <w:rPr>
                <w:rFonts w:hint="eastAsia" w:ascii="宋体" w:hAnsi="宋体"/>
                <w:b/>
              </w:rPr>
            </w:pPr>
            <w:r>
              <w:rPr>
                <w:rFonts w:hint="eastAsia" w:ascii="宋体" w:hAnsi="宋体"/>
                <w:bCs/>
              </w:rPr>
              <w:t>安装调试方案（18分）</w:t>
            </w:r>
          </w:p>
        </w:tc>
        <w:tc>
          <w:tcPr>
            <w:tcW w:w="6425" w:type="dxa"/>
            <w:tcBorders>
              <w:top w:val="single" w:color="auto" w:sz="4" w:space="0"/>
              <w:left w:val="single" w:color="auto" w:sz="4" w:space="0"/>
              <w:bottom w:val="single" w:color="auto" w:sz="4" w:space="0"/>
              <w:right w:val="single" w:color="auto" w:sz="4" w:space="0"/>
            </w:tcBorders>
            <w:vAlign w:val="center"/>
          </w:tcPr>
          <w:p w14:paraId="06582AC9">
            <w:pPr>
              <w:spacing w:line="400" w:lineRule="exact"/>
              <w:ind w:firstLine="420" w:firstLineChars="200"/>
              <w:jc w:val="left"/>
              <w:rPr>
                <w:rFonts w:hint="eastAsia" w:ascii="宋体" w:hAnsi="宋体"/>
              </w:rPr>
            </w:pPr>
            <w:r>
              <w:rPr>
                <w:rFonts w:hint="eastAsia" w:ascii="宋体" w:hAnsi="宋体"/>
              </w:rPr>
              <w:t>一档（4分）：提供了安装调试方案，方案表述笼统无针对性。</w:t>
            </w:r>
          </w:p>
          <w:p w14:paraId="73AD721F">
            <w:pPr>
              <w:spacing w:line="400" w:lineRule="exact"/>
              <w:ind w:firstLine="420" w:firstLineChars="200"/>
              <w:jc w:val="left"/>
              <w:rPr>
                <w:rFonts w:hint="eastAsia" w:ascii="宋体" w:hAnsi="宋体"/>
              </w:rPr>
            </w:pPr>
            <w:r>
              <w:rPr>
                <w:rFonts w:hint="eastAsia" w:ascii="宋体" w:hAnsi="宋体"/>
              </w:rPr>
              <w:t>二档（8分）：提供了较详细的安装调试方案，有实施管理、进度安排及质量保障措施等内容；</w:t>
            </w:r>
          </w:p>
          <w:p w14:paraId="640A2AF6">
            <w:pPr>
              <w:spacing w:line="400" w:lineRule="exact"/>
              <w:ind w:firstLine="420" w:firstLineChars="200"/>
              <w:jc w:val="left"/>
              <w:rPr>
                <w:rFonts w:hint="eastAsia" w:ascii="宋体" w:hAnsi="宋体"/>
              </w:rPr>
            </w:pPr>
            <w:r>
              <w:rPr>
                <w:rFonts w:hint="eastAsia" w:ascii="宋体" w:hAnsi="宋体"/>
              </w:rPr>
              <w:t>三档（13分）：提供了详细完善的安装调试方案，有实施管理、组织措施、实施人员配置、进度安排及质量保障措施等内容。</w:t>
            </w:r>
          </w:p>
          <w:p w14:paraId="008FB092">
            <w:pPr>
              <w:spacing w:line="400" w:lineRule="exact"/>
              <w:ind w:firstLine="420" w:firstLineChars="200"/>
              <w:jc w:val="left"/>
              <w:rPr>
                <w:rFonts w:hint="eastAsia" w:ascii="宋体" w:hAnsi="宋体"/>
              </w:rPr>
            </w:pPr>
            <w:r>
              <w:rPr>
                <w:rFonts w:hint="eastAsia" w:ascii="宋体" w:hAnsi="宋体"/>
              </w:rPr>
              <w:t>四档（18分）：满足三档的基础上，投标人的安装调试方案进度安排合理，且相关保障措施到位；对各项关键工作安排清晰明确；对本项目的风险预见、风险应对措施完备，有完善的解决方案；项目管理方案完整，组织机构合理，人员配置及安排有保障，分工与职责明确；提出具有建设性的方案优化建议。</w:t>
            </w:r>
          </w:p>
          <w:p w14:paraId="65287354">
            <w:pPr>
              <w:spacing w:line="400" w:lineRule="exact"/>
              <w:ind w:firstLine="420" w:firstLineChars="200"/>
              <w:jc w:val="left"/>
            </w:pPr>
            <w:r>
              <w:rPr>
                <w:rFonts w:hint="eastAsia" w:ascii="宋体" w:hAnsi="宋体"/>
              </w:rPr>
              <w:t>注：投标文件中需要提供拟投入人员的执业资格证书、上岗操作证书（如注册建造师证书、岗位证书、电工作业操作证等）及截止投标前半年内任意一个月的社保缴费等证明材料复印件。</w:t>
            </w:r>
          </w:p>
        </w:tc>
      </w:tr>
      <w:tr w14:paraId="0C20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left w:val="single" w:color="auto" w:sz="4" w:space="0"/>
              <w:bottom w:val="single" w:color="auto" w:sz="4" w:space="0"/>
              <w:right w:val="single" w:color="auto" w:sz="4" w:space="0"/>
            </w:tcBorders>
            <w:vAlign w:val="center"/>
          </w:tcPr>
          <w:p w14:paraId="0637D3D5">
            <w:pPr>
              <w:widowControl/>
              <w:jc w:val="left"/>
              <w:rPr>
                <w:rFonts w:hint="eastAsia" w:ascii="宋体" w:hAnsi="宋体"/>
                <w:b/>
                <w:kern w:val="0"/>
                <w:sz w:val="24"/>
                <w:szCs w:val="21"/>
              </w:rPr>
            </w:pPr>
          </w:p>
        </w:tc>
        <w:tc>
          <w:tcPr>
            <w:tcW w:w="1320" w:type="dxa"/>
            <w:vMerge w:val="continue"/>
            <w:tcBorders>
              <w:left w:val="single" w:color="auto" w:sz="4" w:space="0"/>
              <w:bottom w:val="single" w:color="auto" w:sz="4" w:space="0"/>
              <w:right w:val="single" w:color="auto" w:sz="4" w:space="0"/>
            </w:tcBorders>
            <w:vAlign w:val="center"/>
          </w:tcPr>
          <w:p w14:paraId="0598FACE">
            <w:pPr>
              <w:widowControl/>
              <w:jc w:val="left"/>
              <w:rPr>
                <w:rFonts w:hint="eastAsia" w:ascii="宋体" w:hAnsi="宋体"/>
                <w:spacing w:val="-18"/>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17DE7826">
            <w:pPr>
              <w:adjustRightInd w:val="0"/>
              <w:spacing w:line="400" w:lineRule="exact"/>
              <w:jc w:val="center"/>
              <w:textAlignment w:val="baseline"/>
              <w:rPr>
                <w:rFonts w:hint="eastAsia" w:ascii="宋体" w:hAnsi="宋体"/>
                <w:bCs/>
              </w:rPr>
            </w:pPr>
            <w:r>
              <w:rPr>
                <w:rFonts w:hint="eastAsia" w:ascii="宋体" w:hAnsi="宋体"/>
                <w:bCs/>
              </w:rPr>
              <w:t>售后服务方案分（满分18分）</w:t>
            </w:r>
          </w:p>
        </w:tc>
        <w:tc>
          <w:tcPr>
            <w:tcW w:w="6425" w:type="dxa"/>
            <w:tcBorders>
              <w:top w:val="single" w:color="auto" w:sz="4" w:space="0"/>
              <w:left w:val="single" w:color="auto" w:sz="4" w:space="0"/>
              <w:bottom w:val="single" w:color="auto" w:sz="4" w:space="0"/>
              <w:right w:val="single" w:color="auto" w:sz="4" w:space="0"/>
            </w:tcBorders>
            <w:vAlign w:val="center"/>
          </w:tcPr>
          <w:p w14:paraId="11ACDA60">
            <w:pPr>
              <w:spacing w:line="400" w:lineRule="exact"/>
              <w:ind w:firstLine="420" w:firstLineChars="200"/>
              <w:jc w:val="left"/>
              <w:rPr>
                <w:rFonts w:hint="eastAsia" w:ascii="宋体" w:hAnsi="宋体"/>
              </w:rPr>
            </w:pPr>
            <w:r>
              <w:rPr>
                <w:rFonts w:hint="eastAsia" w:ascii="宋体" w:hAnsi="宋体"/>
              </w:rPr>
              <w:t>一档（4分）：提供了</w:t>
            </w:r>
            <w:r>
              <w:rPr>
                <w:rFonts w:hint="eastAsia" w:ascii="宋体" w:hAnsi="宋体"/>
                <w:bCs/>
              </w:rPr>
              <w:t>售后服务方案</w:t>
            </w:r>
            <w:r>
              <w:rPr>
                <w:rFonts w:hint="eastAsia" w:ascii="宋体" w:hAnsi="宋体"/>
              </w:rPr>
              <w:t>，方案表述笼统无针对性。</w:t>
            </w:r>
          </w:p>
          <w:p w14:paraId="4D3AD951">
            <w:pPr>
              <w:spacing w:line="400" w:lineRule="exact"/>
              <w:ind w:firstLine="420" w:firstLineChars="200"/>
              <w:jc w:val="left"/>
              <w:rPr>
                <w:rFonts w:hint="eastAsia" w:ascii="宋体" w:hAnsi="宋体"/>
              </w:rPr>
            </w:pPr>
            <w:r>
              <w:rPr>
                <w:rFonts w:hint="eastAsia" w:ascii="宋体" w:hAnsi="宋体"/>
              </w:rPr>
              <w:t>二档（8分）：提供了</w:t>
            </w:r>
            <w:r>
              <w:rPr>
                <w:rFonts w:hint="eastAsia" w:ascii="宋体" w:hAnsi="宋体"/>
                <w:bCs/>
              </w:rPr>
              <w:t>售后服务方案，</w:t>
            </w:r>
            <w:r>
              <w:rPr>
                <w:rFonts w:hint="eastAsia" w:ascii="宋体" w:hAnsi="宋体"/>
              </w:rPr>
              <w:t>有明确售后服务承诺，售后体系及保障措施等内容。</w:t>
            </w:r>
          </w:p>
          <w:p w14:paraId="4CDB3A6E">
            <w:pPr>
              <w:spacing w:line="400" w:lineRule="exact"/>
              <w:ind w:firstLine="420" w:firstLineChars="200"/>
              <w:jc w:val="left"/>
              <w:rPr>
                <w:rFonts w:hint="eastAsia" w:ascii="宋体" w:hAnsi="宋体"/>
              </w:rPr>
            </w:pPr>
            <w:r>
              <w:rPr>
                <w:rFonts w:hint="eastAsia" w:ascii="宋体" w:hAnsi="宋体"/>
              </w:rPr>
              <w:t>三档（13分）：提供了</w:t>
            </w:r>
            <w:r>
              <w:rPr>
                <w:rFonts w:hint="eastAsia" w:ascii="宋体" w:hAnsi="宋体"/>
                <w:bCs/>
              </w:rPr>
              <w:t>售后服务方案，</w:t>
            </w:r>
            <w:r>
              <w:rPr>
                <w:rFonts w:hint="eastAsia" w:ascii="宋体" w:hAnsi="宋体"/>
              </w:rPr>
              <w:t>有明确售后服务承诺，售后体系及保障措施完善，售后服务人员落实，岗位职责明确，制定定期维护 (注明时间)、技术培训方案。</w:t>
            </w:r>
          </w:p>
          <w:p w14:paraId="69EE5BFA">
            <w:pPr>
              <w:spacing w:line="400" w:lineRule="exact"/>
              <w:ind w:firstLine="420" w:firstLineChars="200"/>
              <w:jc w:val="left"/>
              <w:rPr>
                <w:rFonts w:hint="eastAsia" w:ascii="宋体" w:hAnsi="宋体"/>
              </w:rPr>
            </w:pPr>
            <w:r>
              <w:rPr>
                <w:rFonts w:hint="eastAsia" w:ascii="宋体" w:hAnsi="宋体"/>
              </w:rPr>
              <w:t>四档（18分）：在三档的基础上，对设备在使用过程中可能出现的问题进行分析并提出针对性解决办法。针对产品提出明确的质保期内和质保期外的售后承诺和措施。有明确的售后服务负责人、联系方式，投标人或投标产品生产厂家针对本项目的售后服务承诺和措施、售后服务机构、联系方式等。培训方案完整、有具体的培训计划，培训方式、培训课时、课程内容。</w:t>
            </w:r>
          </w:p>
        </w:tc>
      </w:tr>
      <w:tr w14:paraId="0443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1A98379F">
            <w:pPr>
              <w:adjustRightInd w:val="0"/>
              <w:spacing w:line="360" w:lineRule="auto"/>
              <w:jc w:val="center"/>
              <w:textAlignment w:val="baseline"/>
              <w:rPr>
                <w:rFonts w:hint="eastAsia" w:ascii="宋体" w:hAnsi="宋体"/>
                <w:b/>
                <w:szCs w:val="21"/>
              </w:rPr>
            </w:pPr>
            <w:r>
              <w:rPr>
                <w:rFonts w:hint="eastAsia" w:ascii="宋体" w:hAnsi="宋体"/>
                <w:b/>
                <w:szCs w:val="21"/>
              </w:rPr>
              <w:t>3</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04B07639">
            <w:pPr>
              <w:adjustRightInd w:val="0"/>
              <w:spacing w:line="360" w:lineRule="auto"/>
              <w:ind w:left="-105" w:leftChars="-50" w:right="-105" w:rightChars="-50"/>
              <w:jc w:val="center"/>
              <w:textAlignment w:val="baseline"/>
              <w:rPr>
                <w:rFonts w:hint="eastAsia" w:ascii="宋体" w:hAnsi="宋体"/>
                <w:b/>
                <w:bCs/>
                <w:szCs w:val="21"/>
              </w:rPr>
            </w:pPr>
            <w:r>
              <w:rPr>
                <w:rFonts w:hint="eastAsia" w:ascii="宋体" w:hAnsi="宋体"/>
                <w:b/>
                <w:bCs/>
                <w:szCs w:val="21"/>
              </w:rPr>
              <w:t>商务分</w:t>
            </w:r>
          </w:p>
          <w:p w14:paraId="77AC18C8">
            <w:pPr>
              <w:adjustRightInd w:val="0"/>
              <w:spacing w:line="360" w:lineRule="auto"/>
              <w:ind w:left="-105" w:leftChars="-50" w:right="-105" w:rightChars="-50"/>
              <w:jc w:val="center"/>
              <w:textAlignment w:val="baseline"/>
              <w:rPr>
                <w:rFonts w:hint="eastAsia" w:ascii="宋体" w:hAnsi="宋体"/>
                <w:b/>
                <w:bCs/>
                <w:szCs w:val="21"/>
              </w:rPr>
            </w:pPr>
            <w:r>
              <w:rPr>
                <w:rFonts w:hint="eastAsia" w:ascii="宋体" w:hAnsi="宋体"/>
                <w:b/>
                <w:bCs/>
                <w:szCs w:val="21"/>
              </w:rPr>
              <w:t>（满</w:t>
            </w:r>
            <w:r>
              <w:rPr>
                <w:rFonts w:hint="eastAsia" w:ascii="宋体" w:hAnsi="宋体"/>
                <w:b/>
                <w:bCs/>
                <w:szCs w:val="21"/>
                <w:lang w:val="en-US" w:eastAsia="zh-CN"/>
              </w:rPr>
              <w:t>16</w:t>
            </w:r>
            <w:r>
              <w:rPr>
                <w:rFonts w:hint="eastAsia" w:ascii="宋体" w:hAnsi="宋体"/>
                <w:b/>
                <w:bCs/>
                <w:szCs w:val="21"/>
              </w:rPr>
              <w:t>分）</w:t>
            </w:r>
          </w:p>
        </w:tc>
        <w:tc>
          <w:tcPr>
            <w:tcW w:w="1180" w:type="dxa"/>
            <w:tcBorders>
              <w:top w:val="single" w:color="auto" w:sz="4" w:space="0"/>
              <w:left w:val="single" w:color="auto" w:sz="4" w:space="0"/>
              <w:bottom w:val="single" w:color="auto" w:sz="4" w:space="0"/>
              <w:right w:val="single" w:color="auto" w:sz="4" w:space="0"/>
            </w:tcBorders>
            <w:vAlign w:val="center"/>
          </w:tcPr>
          <w:p w14:paraId="0C744D3F">
            <w:pPr>
              <w:adjustRightInd w:val="0"/>
              <w:spacing w:line="360" w:lineRule="auto"/>
              <w:jc w:val="center"/>
              <w:textAlignment w:val="baseline"/>
              <w:rPr>
                <w:rFonts w:hint="eastAsia" w:ascii="宋体" w:hAnsi="宋体"/>
              </w:rPr>
            </w:pPr>
            <w:r>
              <w:rPr>
                <w:rFonts w:hint="eastAsia" w:ascii="宋体" w:hAnsi="宋体"/>
                <w:szCs w:val="21"/>
              </w:rPr>
              <w:t>资信（满分6分）</w:t>
            </w:r>
          </w:p>
        </w:tc>
        <w:tc>
          <w:tcPr>
            <w:tcW w:w="6425" w:type="dxa"/>
            <w:tcBorders>
              <w:top w:val="single" w:color="auto" w:sz="4" w:space="0"/>
              <w:left w:val="single" w:color="auto" w:sz="4" w:space="0"/>
              <w:bottom w:val="single" w:color="auto" w:sz="4" w:space="0"/>
              <w:right w:val="single" w:color="auto" w:sz="4" w:space="0"/>
            </w:tcBorders>
            <w:vAlign w:val="center"/>
          </w:tcPr>
          <w:p w14:paraId="51EC1CE7">
            <w:pPr>
              <w:spacing w:line="400" w:lineRule="exact"/>
              <w:ind w:firstLine="420" w:firstLineChars="200"/>
              <w:jc w:val="left"/>
              <w:rPr>
                <w:rFonts w:hint="eastAsia" w:ascii="宋体" w:hAnsi="宋体"/>
              </w:rPr>
            </w:pPr>
            <w:r>
              <w:rPr>
                <w:rFonts w:hint="eastAsia" w:ascii="宋体" w:hAnsi="宋体"/>
              </w:rPr>
              <w:t>投标人具有ISO9001质量管理体系认证、ISO14001 环境管理体系认证、ISO45001中国职业健康安全管理体系认证的，每个得2分,满分6分。（投标人需提供有效认证证书复印件及提供上述证书对应的在全国认证认可信息公共服务平台上(http://cx.cnca.cn)查询结果的截图，并加盖供应商单位公章，不提供或证书状态非“有效”均不得分。）</w:t>
            </w:r>
          </w:p>
        </w:tc>
      </w:tr>
      <w:tr w14:paraId="5524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left w:val="single" w:color="auto" w:sz="4" w:space="0"/>
              <w:right w:val="single" w:color="auto" w:sz="4" w:space="0"/>
            </w:tcBorders>
            <w:vAlign w:val="center"/>
          </w:tcPr>
          <w:p w14:paraId="5AA47D0B">
            <w:pPr>
              <w:adjustRightInd w:val="0"/>
              <w:spacing w:line="360" w:lineRule="auto"/>
              <w:jc w:val="center"/>
              <w:textAlignment w:val="baseline"/>
              <w:rPr>
                <w:rFonts w:hint="eastAsia" w:ascii="宋体" w:hAnsi="宋体"/>
                <w:b/>
                <w:szCs w:val="21"/>
              </w:rPr>
            </w:pPr>
          </w:p>
        </w:tc>
        <w:tc>
          <w:tcPr>
            <w:tcW w:w="1320" w:type="dxa"/>
            <w:vMerge w:val="continue"/>
            <w:tcBorders>
              <w:left w:val="single" w:color="auto" w:sz="4" w:space="0"/>
              <w:right w:val="single" w:color="auto" w:sz="4" w:space="0"/>
            </w:tcBorders>
            <w:vAlign w:val="center"/>
          </w:tcPr>
          <w:p w14:paraId="6FB754AB">
            <w:pPr>
              <w:adjustRightInd w:val="0"/>
              <w:spacing w:line="360" w:lineRule="auto"/>
              <w:ind w:left="-105" w:leftChars="-50" w:right="-105" w:rightChars="-50"/>
              <w:jc w:val="center"/>
              <w:textAlignment w:val="baseline"/>
              <w:rPr>
                <w:rFonts w:hint="eastAsia" w:ascii="宋体" w:hAnsi="宋体"/>
                <w:b/>
                <w:bCs/>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4709A476">
            <w:pPr>
              <w:adjustRightInd w:val="0"/>
              <w:spacing w:line="360" w:lineRule="auto"/>
              <w:jc w:val="center"/>
              <w:textAlignment w:val="baseline"/>
              <w:rPr>
                <w:rFonts w:hint="eastAsia" w:ascii="宋体" w:hAnsi="宋体"/>
                <w:szCs w:val="21"/>
              </w:rPr>
            </w:pPr>
            <w:r>
              <w:rPr>
                <w:rFonts w:hint="eastAsia" w:ascii="宋体" w:hAnsi="宋体"/>
                <w:szCs w:val="21"/>
              </w:rPr>
              <w:t>企业综合实力分（满分3分）</w:t>
            </w:r>
          </w:p>
        </w:tc>
        <w:tc>
          <w:tcPr>
            <w:tcW w:w="6425" w:type="dxa"/>
            <w:tcBorders>
              <w:top w:val="single" w:color="auto" w:sz="4" w:space="0"/>
              <w:left w:val="single" w:color="auto" w:sz="4" w:space="0"/>
              <w:bottom w:val="single" w:color="auto" w:sz="4" w:space="0"/>
              <w:right w:val="single" w:color="auto" w:sz="4" w:space="0"/>
            </w:tcBorders>
            <w:vAlign w:val="center"/>
          </w:tcPr>
          <w:p w14:paraId="090692BA">
            <w:pPr>
              <w:spacing w:line="400" w:lineRule="exact"/>
              <w:ind w:firstLine="420" w:firstLineChars="200"/>
              <w:jc w:val="left"/>
              <w:rPr>
                <w:rFonts w:hint="eastAsia" w:ascii="宋体" w:hAnsi="宋体"/>
              </w:rPr>
            </w:pPr>
            <w:r>
              <w:rPr>
                <w:rFonts w:hint="eastAsia" w:ascii="宋体" w:hAnsi="宋体"/>
              </w:rPr>
              <w:t>投标人具有照明深化设计的能力（提供与照明工程设计相关的资质证明），得3分。</w:t>
            </w:r>
          </w:p>
          <w:p w14:paraId="3C6EBA32">
            <w:pPr>
              <w:spacing w:line="400" w:lineRule="exact"/>
              <w:ind w:firstLine="420" w:firstLineChars="200"/>
              <w:jc w:val="left"/>
              <w:rPr>
                <w:rFonts w:hint="eastAsia" w:ascii="宋体" w:hAnsi="宋体"/>
              </w:rPr>
            </w:pPr>
            <w:r>
              <w:rPr>
                <w:rFonts w:hint="eastAsia" w:ascii="宋体" w:hAnsi="宋体"/>
              </w:rPr>
              <w:t>注：需要提供资质证书等证明材料扫描件。</w:t>
            </w:r>
          </w:p>
        </w:tc>
      </w:tr>
      <w:tr w14:paraId="2D68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1669752">
            <w:pPr>
              <w:widowControl/>
              <w:jc w:val="left"/>
              <w:rPr>
                <w:rFonts w:hint="eastAsia" w:ascii="宋体" w:hAnsi="宋体"/>
                <w:b/>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172F77E4">
            <w:pPr>
              <w:widowControl/>
              <w:jc w:val="left"/>
              <w:rPr>
                <w:rFonts w:hint="eastAsia" w:ascii="宋体" w:hAnsi="宋体"/>
                <w:b/>
                <w:bCs/>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578E7C3C">
            <w:pPr>
              <w:spacing w:line="410" w:lineRule="exact"/>
              <w:jc w:val="center"/>
              <w:rPr>
                <w:rFonts w:hint="eastAsia" w:ascii="宋体" w:hAnsi="宋体"/>
                <w:szCs w:val="21"/>
              </w:rPr>
            </w:pPr>
            <w:r>
              <w:rPr>
                <w:rFonts w:hint="eastAsia" w:ascii="宋体" w:hAnsi="宋体"/>
                <w:szCs w:val="21"/>
              </w:rPr>
              <w:t>信誉业绩</w:t>
            </w:r>
          </w:p>
          <w:p w14:paraId="4F67BA87">
            <w:pPr>
              <w:adjustRightInd w:val="0"/>
              <w:spacing w:line="360" w:lineRule="auto"/>
              <w:jc w:val="center"/>
              <w:textAlignment w:val="baseline"/>
              <w:rPr>
                <w:rFonts w:hint="eastAsia" w:ascii="宋体" w:hAnsi="宋体"/>
              </w:rPr>
            </w:pPr>
            <w:r>
              <w:rPr>
                <w:rFonts w:hint="eastAsia" w:ascii="宋体" w:hAnsi="宋体"/>
              </w:rPr>
              <w:t>（满分5分）</w:t>
            </w:r>
          </w:p>
        </w:tc>
        <w:tc>
          <w:tcPr>
            <w:tcW w:w="6425" w:type="dxa"/>
            <w:tcBorders>
              <w:top w:val="single" w:color="auto" w:sz="4" w:space="0"/>
              <w:left w:val="single" w:color="auto" w:sz="4" w:space="0"/>
              <w:bottom w:val="single" w:color="auto" w:sz="4" w:space="0"/>
              <w:right w:val="single" w:color="auto" w:sz="4" w:space="0"/>
            </w:tcBorders>
            <w:vAlign w:val="center"/>
          </w:tcPr>
          <w:p w14:paraId="0B6DF543">
            <w:pPr>
              <w:adjustRightInd w:val="0"/>
              <w:spacing w:line="360" w:lineRule="auto"/>
              <w:textAlignment w:val="baseline"/>
              <w:rPr>
                <w:rFonts w:hint="eastAsia" w:ascii="宋体" w:hAnsi="宋体"/>
                <w:b/>
                <w:bCs/>
                <w:szCs w:val="21"/>
              </w:rPr>
            </w:pPr>
            <w:r>
              <w:rPr>
                <w:rFonts w:hint="eastAsia" w:ascii="宋体" w:hAnsi="宋体"/>
                <w:szCs w:val="21"/>
              </w:rPr>
              <w:t>投标人或投标产品厂家2022年1月1日至投标截止时间具有同类项目业绩，每有1项得1分，满分5分。（提供合同或中标通知书复印件，否则不计分，</w:t>
            </w:r>
            <w:r>
              <w:rPr>
                <w:rFonts w:hint="eastAsia" w:ascii="宋体" w:hAnsi="宋体" w:cs="宋体"/>
                <w:szCs w:val="21"/>
              </w:rPr>
              <w:t>同一个编号的项目有两个或两个以上的分标中标的只算1个项目业绩</w:t>
            </w:r>
            <w:r>
              <w:rPr>
                <w:rFonts w:hint="eastAsia" w:ascii="宋体" w:hAnsi="宋体"/>
                <w:szCs w:val="21"/>
              </w:rPr>
              <w:t>）</w:t>
            </w:r>
          </w:p>
        </w:tc>
      </w:tr>
      <w:tr w14:paraId="2238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551B7A2">
            <w:pPr>
              <w:widowControl/>
              <w:jc w:val="left"/>
              <w:rPr>
                <w:rFonts w:hint="eastAsia" w:ascii="宋体" w:hAnsi="宋体"/>
                <w:b/>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7E4B6B08">
            <w:pPr>
              <w:widowControl/>
              <w:jc w:val="left"/>
              <w:rPr>
                <w:rFonts w:hint="eastAsia" w:ascii="宋体" w:hAnsi="宋体"/>
                <w:b/>
                <w:bCs/>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14F0FA36">
            <w:pPr>
              <w:adjustRightInd w:val="0"/>
              <w:spacing w:line="360" w:lineRule="auto"/>
              <w:jc w:val="center"/>
              <w:textAlignment w:val="baseline"/>
              <w:rPr>
                <w:rFonts w:hint="eastAsia" w:ascii="宋体" w:hAnsi="宋体"/>
              </w:rPr>
            </w:pPr>
            <w:r>
              <w:rPr>
                <w:rFonts w:hint="eastAsia" w:ascii="宋体" w:hAnsi="宋体"/>
                <w:szCs w:val="21"/>
              </w:rPr>
              <w:t>政策功能分（满分2分）</w:t>
            </w:r>
          </w:p>
        </w:tc>
        <w:tc>
          <w:tcPr>
            <w:tcW w:w="6425" w:type="dxa"/>
            <w:tcBorders>
              <w:top w:val="single" w:color="auto" w:sz="4" w:space="0"/>
              <w:left w:val="single" w:color="auto" w:sz="4" w:space="0"/>
              <w:bottom w:val="single" w:color="auto" w:sz="4" w:space="0"/>
              <w:right w:val="single" w:color="auto" w:sz="4" w:space="0"/>
            </w:tcBorders>
            <w:vAlign w:val="center"/>
          </w:tcPr>
          <w:p w14:paraId="6C2F2D2B">
            <w:pPr>
              <w:adjustRightInd w:val="0"/>
              <w:spacing w:line="360" w:lineRule="auto"/>
              <w:textAlignment w:val="baseline"/>
              <w:rPr>
                <w:rFonts w:hint="eastAsia" w:ascii="宋体" w:hAnsi="宋体"/>
                <w:b/>
                <w:szCs w:val="21"/>
              </w:rPr>
            </w:pPr>
            <w:r>
              <w:rPr>
                <w:rFonts w:hint="eastAsia" w:ascii="宋体" w:hAnsi="宋体"/>
                <w:b/>
                <w:szCs w:val="21"/>
              </w:rPr>
              <w:t>节能、环境标志产品</w:t>
            </w:r>
          </w:p>
          <w:p w14:paraId="5A87740C">
            <w:pPr>
              <w:spacing w:line="360" w:lineRule="auto"/>
              <w:rPr>
                <w:rFonts w:hint="eastAsia" w:ascii="宋体" w:hAnsi="宋体" w:cs="Courier New"/>
                <w:bCs/>
                <w:szCs w:val="21"/>
              </w:rPr>
            </w:pPr>
            <w:r>
              <w:rPr>
                <w:rFonts w:hint="eastAsia" w:ascii="宋体" w:hAnsi="宋体" w:cs="Courier New"/>
                <w:bCs/>
                <w:szCs w:val="21"/>
              </w:rPr>
              <w:t>（1）属于财政部《节能产品政府采购品目清单》内优先采购（清单内未标注“★”的品目）的产品[投标文件中提供国家确定的认证机构出具的、处于有效期之内的认证证书复印件及品目清单（标注出投标产品在品目清单中所属的品目），并加盖投标人电子签章]，根据其所占项目报价比例得0-1分。</w:t>
            </w:r>
          </w:p>
          <w:p w14:paraId="783AB393">
            <w:pPr>
              <w:spacing w:line="360" w:lineRule="auto"/>
              <w:rPr>
                <w:rFonts w:hint="eastAsia" w:ascii="宋体" w:hAnsi="宋体" w:cs="Courier New"/>
                <w:bCs/>
                <w:szCs w:val="21"/>
              </w:rPr>
            </w:pPr>
            <w:r>
              <w:rPr>
                <w:rFonts w:hint="eastAsia" w:ascii="宋体" w:hAnsi="宋体" w:cs="Courier New"/>
                <w:bCs/>
                <w:szCs w:val="21"/>
              </w:rPr>
              <w:t>（2）属于财政部《环境标志产品政府采购品目清单》内的产品[投标文件中提供国家确定的认证机构出具的、处于有效期之内的认证证书复印件及品目清单（标注出投标产品在品目清单中所属的品目），并加盖投标人电子签章]，根据其所占项目报价比例得0-1分；</w:t>
            </w:r>
          </w:p>
          <w:p w14:paraId="455E8BDE">
            <w:pPr>
              <w:spacing w:after="120" w:line="360" w:lineRule="auto"/>
              <w:rPr>
                <w:kern w:val="0"/>
                <w:sz w:val="24"/>
              </w:rPr>
            </w:pPr>
            <w:r>
              <w:rPr>
                <w:rFonts w:hint="eastAsia" w:ascii="宋体" w:hAnsi="宋体" w:cs="宋体"/>
                <w:bCs/>
              </w:rPr>
              <w:t>（3）非节能、环境标志产品的不得分。</w:t>
            </w:r>
          </w:p>
        </w:tc>
      </w:tr>
      <w:tr w14:paraId="4CC2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20E38027">
            <w:pPr>
              <w:spacing w:line="360" w:lineRule="auto"/>
              <w:ind w:firstLine="420"/>
              <w:rPr>
                <w:rFonts w:hint="eastAsia" w:ascii="宋体" w:hAnsi="宋体" w:cs="Courier New"/>
                <w:bCs/>
                <w:szCs w:val="21"/>
              </w:rPr>
            </w:pPr>
            <w:r>
              <w:rPr>
                <w:rFonts w:hint="eastAsia" w:ascii="宋体" w:hAnsi="宋体" w:cs="Courier New"/>
                <w:b/>
                <w:bCs/>
                <w:szCs w:val="21"/>
              </w:rPr>
              <w:t>总得分=1+2+3。</w:t>
            </w:r>
          </w:p>
        </w:tc>
      </w:tr>
    </w:tbl>
    <w:p w14:paraId="2C36D3EB">
      <w:pPr>
        <w:pStyle w:val="25"/>
        <w:spacing w:line="360" w:lineRule="auto"/>
        <w:rPr>
          <w:rFonts w:hint="eastAsia" w:hAnsi="宋体"/>
          <w:bCs/>
          <w:sz w:val="21"/>
        </w:rPr>
      </w:pPr>
    </w:p>
    <w:p w14:paraId="1D58B960">
      <w:pPr>
        <w:pStyle w:val="25"/>
        <w:spacing w:line="360" w:lineRule="auto"/>
        <w:rPr>
          <w:rFonts w:hint="eastAsia" w:hAnsi="宋体"/>
          <w:bCs/>
          <w:sz w:val="21"/>
        </w:rPr>
      </w:pPr>
    </w:p>
    <w:p w14:paraId="24BB1C16">
      <w:pPr>
        <w:pStyle w:val="25"/>
        <w:spacing w:line="360" w:lineRule="auto"/>
        <w:rPr>
          <w:rFonts w:hint="eastAsia" w:hAnsi="宋体"/>
          <w:b/>
          <w:sz w:val="21"/>
        </w:rPr>
      </w:pPr>
      <w:r>
        <w:rPr>
          <w:rFonts w:hint="eastAsia" w:hAnsi="宋体"/>
          <w:b/>
          <w:sz w:val="21"/>
        </w:rPr>
        <w:t>2分标</w:t>
      </w:r>
    </w:p>
    <w:tbl>
      <w:tblPr>
        <w:tblStyle w:val="48"/>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180"/>
        <w:gridCol w:w="6425"/>
      </w:tblGrid>
      <w:tr w14:paraId="26F4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vAlign w:val="center"/>
          </w:tcPr>
          <w:p w14:paraId="238C9313">
            <w:pPr>
              <w:adjustRightInd w:val="0"/>
              <w:spacing w:line="410" w:lineRule="exact"/>
              <w:jc w:val="center"/>
              <w:textAlignment w:val="baseline"/>
              <w:rPr>
                <w:rFonts w:hint="eastAsia" w:ascii="宋体" w:hAnsi="宋体"/>
                <w:b/>
                <w:szCs w:val="21"/>
              </w:rPr>
            </w:pPr>
            <w:r>
              <w:rPr>
                <w:rFonts w:hint="eastAsia" w:ascii="宋体" w:hAnsi="宋体"/>
                <w:b/>
                <w:szCs w:val="21"/>
              </w:rPr>
              <w:t>序号</w:t>
            </w:r>
          </w:p>
        </w:tc>
        <w:tc>
          <w:tcPr>
            <w:tcW w:w="1180" w:type="dxa"/>
            <w:tcBorders>
              <w:top w:val="single" w:color="auto" w:sz="4" w:space="0"/>
              <w:left w:val="single" w:color="auto" w:sz="4" w:space="0"/>
              <w:bottom w:val="single" w:color="auto" w:sz="4" w:space="0"/>
              <w:right w:val="single" w:color="auto" w:sz="4" w:space="0"/>
            </w:tcBorders>
            <w:vAlign w:val="center"/>
          </w:tcPr>
          <w:p w14:paraId="6BD81C23">
            <w:pPr>
              <w:adjustRightInd w:val="0"/>
              <w:spacing w:line="410" w:lineRule="exact"/>
              <w:jc w:val="center"/>
              <w:textAlignment w:val="baseline"/>
              <w:rPr>
                <w:rFonts w:hint="eastAsia" w:ascii="宋体" w:hAnsi="宋体"/>
                <w:szCs w:val="21"/>
              </w:rPr>
            </w:pPr>
            <w:r>
              <w:rPr>
                <w:rFonts w:hint="eastAsia" w:ascii="宋体" w:hAnsi="宋体"/>
                <w:b/>
                <w:szCs w:val="21"/>
              </w:rPr>
              <w:t>评审因素</w:t>
            </w:r>
          </w:p>
        </w:tc>
        <w:tc>
          <w:tcPr>
            <w:tcW w:w="6425" w:type="dxa"/>
            <w:tcBorders>
              <w:top w:val="single" w:color="auto" w:sz="4" w:space="0"/>
              <w:left w:val="single" w:color="auto" w:sz="4" w:space="0"/>
              <w:bottom w:val="single" w:color="auto" w:sz="4" w:space="0"/>
              <w:right w:val="single" w:color="auto" w:sz="4" w:space="0"/>
            </w:tcBorders>
            <w:vAlign w:val="center"/>
          </w:tcPr>
          <w:p w14:paraId="09F6F208">
            <w:pPr>
              <w:adjustRightInd w:val="0"/>
              <w:spacing w:line="410" w:lineRule="exact"/>
              <w:jc w:val="center"/>
              <w:textAlignment w:val="baseline"/>
              <w:rPr>
                <w:rFonts w:hint="eastAsia" w:ascii="宋体" w:hAnsi="宋体"/>
                <w:b/>
                <w:szCs w:val="21"/>
              </w:rPr>
            </w:pPr>
            <w:r>
              <w:rPr>
                <w:rFonts w:hint="eastAsia" w:ascii="宋体" w:hAnsi="宋体"/>
                <w:b/>
                <w:szCs w:val="21"/>
              </w:rPr>
              <w:t>评标标准</w:t>
            </w:r>
          </w:p>
        </w:tc>
      </w:tr>
      <w:tr w14:paraId="0FB3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0844D251">
            <w:pPr>
              <w:adjustRightInd w:val="0"/>
              <w:spacing w:line="360" w:lineRule="auto"/>
              <w:jc w:val="center"/>
              <w:textAlignment w:val="baseline"/>
              <w:rPr>
                <w:rFonts w:hint="eastAsia" w:ascii="宋体" w:hAnsi="宋体"/>
                <w:b/>
                <w:szCs w:val="21"/>
              </w:rPr>
            </w:pPr>
            <w:r>
              <w:rPr>
                <w:rFonts w:hint="eastAsia" w:ascii="宋体" w:hAnsi="宋体"/>
                <w:b/>
                <w:szCs w:val="21"/>
              </w:rPr>
              <w:t>1</w:t>
            </w:r>
          </w:p>
        </w:tc>
        <w:tc>
          <w:tcPr>
            <w:tcW w:w="1320" w:type="dxa"/>
            <w:tcBorders>
              <w:top w:val="single" w:color="auto" w:sz="4" w:space="0"/>
              <w:left w:val="single" w:color="auto" w:sz="4" w:space="0"/>
              <w:bottom w:val="single" w:color="auto" w:sz="4" w:space="0"/>
              <w:right w:val="single" w:color="auto" w:sz="4" w:space="0"/>
            </w:tcBorders>
            <w:vAlign w:val="center"/>
          </w:tcPr>
          <w:p w14:paraId="73A5B456">
            <w:pPr>
              <w:adjustRightInd w:val="0"/>
              <w:spacing w:line="360" w:lineRule="auto"/>
              <w:jc w:val="center"/>
              <w:textAlignment w:val="baseline"/>
              <w:rPr>
                <w:rFonts w:hint="eastAsia" w:ascii="宋体" w:hAnsi="宋体"/>
                <w:b/>
                <w:szCs w:val="21"/>
              </w:rPr>
            </w:pPr>
            <w:r>
              <w:rPr>
                <w:rFonts w:hint="eastAsia" w:ascii="宋体" w:hAnsi="宋体"/>
                <w:b/>
                <w:szCs w:val="21"/>
              </w:rPr>
              <w:t>价格分</w:t>
            </w:r>
          </w:p>
          <w:p w14:paraId="378D28A6">
            <w:pPr>
              <w:adjustRightInd w:val="0"/>
              <w:spacing w:line="360" w:lineRule="auto"/>
              <w:jc w:val="center"/>
              <w:textAlignment w:val="baseline"/>
              <w:rPr>
                <w:rFonts w:hint="eastAsia" w:ascii="宋体" w:hAnsi="宋体"/>
                <w:b/>
                <w:bCs/>
                <w:szCs w:val="21"/>
              </w:rPr>
            </w:pPr>
            <w:r>
              <w:rPr>
                <w:rFonts w:hint="eastAsia" w:ascii="宋体" w:hAnsi="宋体"/>
                <w:b/>
                <w:bCs/>
                <w:szCs w:val="21"/>
              </w:rPr>
              <w:t>（满分30分）</w:t>
            </w:r>
          </w:p>
        </w:tc>
        <w:tc>
          <w:tcPr>
            <w:tcW w:w="1180" w:type="dxa"/>
            <w:tcBorders>
              <w:top w:val="single" w:color="auto" w:sz="4" w:space="0"/>
              <w:left w:val="single" w:color="auto" w:sz="4" w:space="0"/>
              <w:bottom w:val="single" w:color="auto" w:sz="4" w:space="0"/>
              <w:right w:val="single" w:color="auto" w:sz="4" w:space="0"/>
            </w:tcBorders>
            <w:vAlign w:val="center"/>
          </w:tcPr>
          <w:p w14:paraId="39E017AA">
            <w:pPr>
              <w:adjustRightInd w:val="0"/>
              <w:spacing w:line="360" w:lineRule="auto"/>
              <w:jc w:val="center"/>
              <w:textAlignment w:val="baseline"/>
              <w:rPr>
                <w:rFonts w:hint="eastAsia" w:ascii="宋体" w:hAnsi="宋体"/>
                <w:b/>
                <w:szCs w:val="21"/>
              </w:rPr>
            </w:pPr>
            <w:r>
              <w:rPr>
                <w:rFonts w:hint="eastAsia" w:ascii="宋体" w:hAnsi="宋体"/>
                <w:b/>
                <w:szCs w:val="21"/>
              </w:rPr>
              <w:t>投标报价</w:t>
            </w:r>
          </w:p>
        </w:tc>
        <w:tc>
          <w:tcPr>
            <w:tcW w:w="6425" w:type="dxa"/>
            <w:tcBorders>
              <w:top w:val="single" w:color="auto" w:sz="4" w:space="0"/>
              <w:left w:val="single" w:color="auto" w:sz="4" w:space="0"/>
              <w:bottom w:val="single" w:color="auto" w:sz="4" w:space="0"/>
              <w:right w:val="single" w:color="auto" w:sz="4" w:space="0"/>
            </w:tcBorders>
            <w:vAlign w:val="center"/>
          </w:tcPr>
          <w:p w14:paraId="40D5D09B">
            <w:pPr>
              <w:snapToGrid w:val="0"/>
              <w:spacing w:line="360" w:lineRule="auto"/>
              <w:ind w:firstLine="233" w:firstLineChars="111"/>
              <w:rPr>
                <w:rFonts w:hint="eastAsia" w:ascii="宋体" w:hAnsi="宋体"/>
                <w:bCs/>
                <w:szCs w:val="21"/>
              </w:rPr>
            </w:pPr>
            <w:r>
              <w:rPr>
                <w:rFonts w:hint="eastAsia" w:ascii="宋体" w:hAnsi="宋体"/>
                <w:bCs/>
                <w:szCs w:val="21"/>
              </w:rPr>
              <w:t>（1）评标报价为投标人的投标报价进行政策性扣除后的价格，评标报价只是作为评标时使用。最终中标人的中标金额等于投标报价。</w:t>
            </w:r>
          </w:p>
          <w:p w14:paraId="03EF8796">
            <w:pPr>
              <w:snapToGrid w:val="0"/>
              <w:spacing w:line="360" w:lineRule="auto"/>
              <w:ind w:firstLine="233" w:firstLineChars="111"/>
              <w:rPr>
                <w:rFonts w:hint="eastAsia" w:ascii="宋体" w:hAnsi="宋体"/>
                <w:bCs/>
                <w:szCs w:val="21"/>
              </w:rPr>
            </w:pPr>
            <w:r>
              <w:rPr>
                <w:rFonts w:hint="eastAsia" w:ascii="宋体" w:hAnsi="宋体"/>
                <w:bCs/>
                <w:szCs w:val="21"/>
              </w:rPr>
              <w:t>（2）政策性扣除计算方法。</w:t>
            </w:r>
          </w:p>
          <w:p w14:paraId="22EF39BE">
            <w:pPr>
              <w:snapToGrid w:val="0"/>
              <w:spacing w:line="360" w:lineRule="auto"/>
              <w:ind w:firstLine="443" w:firstLineChars="211"/>
              <w:rPr>
                <w:rFonts w:hint="eastAsia" w:ascii="宋体" w:hAnsi="宋体"/>
                <w:szCs w:val="21"/>
              </w:rPr>
            </w:pPr>
            <w:r>
              <w:rPr>
                <w:rFonts w:hint="eastAsia" w:ascii="宋体" w:hAnsi="宋体"/>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范围为10%-20%）的扣除，扣除后的价格为评标报价，即评标报价=投标报价×（1-10 %）。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72FA3140">
            <w:pPr>
              <w:snapToGrid w:val="0"/>
              <w:spacing w:line="360" w:lineRule="auto"/>
              <w:ind w:firstLine="233" w:firstLineChars="111"/>
              <w:rPr>
                <w:rFonts w:hint="eastAsia" w:ascii="宋体" w:hAnsi="宋体"/>
                <w:bCs/>
                <w:szCs w:val="21"/>
              </w:rPr>
            </w:pPr>
            <w:r>
              <w:rPr>
                <w:rFonts w:hint="eastAsia" w:ascii="宋体" w:hAnsi="宋体"/>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szCs w:val="21"/>
              </w:rPr>
              <w:t>监狱企业参加政府采购活动时，应当提供由省级以上监狱管理局、戒毒管理局（含新疆生产建设兵团）出具的属于监狱企业的证明文件。</w:t>
            </w:r>
            <w:r>
              <w:rPr>
                <w:rFonts w:hint="eastAsia" w:ascii="宋体" w:hAnsi="宋体"/>
                <w:bCs/>
                <w:szCs w:val="21"/>
              </w:rPr>
              <w:t>监狱企业属于小型、微型企业的，不重复享受政策。</w:t>
            </w:r>
          </w:p>
          <w:p w14:paraId="05BF44EE">
            <w:pPr>
              <w:snapToGrid w:val="0"/>
              <w:spacing w:line="360" w:lineRule="auto"/>
              <w:ind w:firstLine="233" w:firstLineChars="111"/>
              <w:rPr>
                <w:rFonts w:hint="eastAsia" w:ascii="宋体" w:hAnsi="宋体"/>
                <w:bCs/>
                <w:szCs w:val="21"/>
              </w:rPr>
            </w:pPr>
            <w:r>
              <w:rPr>
                <w:rFonts w:hint="eastAsia" w:ascii="宋体" w:hAnsi="宋体"/>
                <w:szCs w:val="21"/>
              </w:rPr>
              <w:t>（4）按照</w:t>
            </w:r>
            <w:r>
              <w:rPr>
                <w:rFonts w:hint="eastAsia" w:ascii="宋体" w:hAnsi="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szCs w:val="21"/>
              </w:rPr>
              <w:t>残疾人福利性单位参加政府采购活动时，应当提供该通知规定的《残疾人福利性单位声明函》，并对声明的真实性负责。</w:t>
            </w:r>
            <w:r>
              <w:rPr>
                <w:rFonts w:hint="eastAsia" w:ascii="宋体" w:hAnsi="宋体"/>
                <w:bCs/>
                <w:szCs w:val="21"/>
              </w:rPr>
              <w:t>残疾人福利性单位属于小型、微型企业的，不重复享受政策。</w:t>
            </w:r>
          </w:p>
          <w:p w14:paraId="57823BC4">
            <w:pPr>
              <w:snapToGrid w:val="0"/>
              <w:spacing w:line="360" w:lineRule="auto"/>
              <w:ind w:firstLine="233" w:firstLineChars="111"/>
              <w:rPr>
                <w:rFonts w:hint="eastAsia" w:ascii="宋体" w:hAnsi="宋体"/>
                <w:bCs/>
                <w:szCs w:val="21"/>
              </w:rPr>
            </w:pPr>
            <w:r>
              <w:rPr>
                <w:rFonts w:hint="eastAsia" w:ascii="宋体" w:hAnsi="宋体"/>
                <w:bCs/>
                <w:szCs w:val="21"/>
              </w:rPr>
              <w:t>（5）满足招标文件要求且评标报价最低的评标报价为评标基准价，其价格分为满分。</w:t>
            </w:r>
          </w:p>
          <w:p w14:paraId="40E48FAB">
            <w:pPr>
              <w:spacing w:line="360" w:lineRule="auto"/>
              <w:ind w:firstLine="233" w:firstLineChars="111"/>
              <w:rPr>
                <w:rFonts w:hint="eastAsia" w:ascii="宋体" w:hAnsi="宋体"/>
                <w:bCs/>
                <w:szCs w:val="21"/>
              </w:rPr>
            </w:pPr>
            <w:r>
              <w:rPr>
                <w:rFonts w:hint="eastAsia" w:ascii="宋体" w:hAnsi="宋体"/>
                <w:bCs/>
                <w:szCs w:val="21"/>
              </w:rPr>
              <w:t xml:space="preserve">（6）价格分计算公式：        </w:t>
            </w:r>
          </w:p>
          <w:p w14:paraId="2C4303FC">
            <w:pPr>
              <w:spacing w:line="360" w:lineRule="auto"/>
              <w:ind w:firstLine="233" w:firstLineChars="111"/>
              <w:rPr>
                <w:rFonts w:hint="eastAsia" w:ascii="宋体" w:hAnsi="宋体" w:cs="Courier New"/>
                <w:bCs/>
                <w:szCs w:val="21"/>
              </w:rPr>
            </w:pPr>
            <w:r>
              <w:rPr>
                <w:rFonts w:hint="eastAsia" w:ascii="宋体" w:hAnsi="宋体"/>
                <w:bCs/>
                <w:kern w:val="0"/>
                <w:szCs w:val="21"/>
              </w:rPr>
              <w:t>价格分</w:t>
            </w:r>
            <w:r>
              <w:rPr>
                <w:rFonts w:hint="eastAsia" w:ascii="宋体" w:hAnsi="宋体" w:cs="Courier New"/>
                <w:bCs/>
                <w:szCs w:val="21"/>
              </w:rPr>
              <w:t>=（评标基准价／评标报价）×</w:t>
            </w:r>
            <w:r>
              <w:rPr>
                <w:rFonts w:hint="eastAsia" w:ascii="宋体" w:hAnsi="宋体"/>
                <w:bCs/>
                <w:kern w:val="0"/>
                <w:szCs w:val="21"/>
              </w:rPr>
              <w:t>30</w:t>
            </w:r>
            <w:r>
              <w:rPr>
                <w:rFonts w:hint="eastAsia" w:ascii="宋体" w:hAnsi="宋体" w:cs="Courier New"/>
                <w:bCs/>
                <w:szCs w:val="21"/>
              </w:rPr>
              <w:t>分</w:t>
            </w:r>
          </w:p>
        </w:tc>
      </w:tr>
      <w:tr w14:paraId="4CBF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6D58B3DA">
            <w:pPr>
              <w:spacing w:after="120"/>
              <w:jc w:val="center"/>
              <w:rPr>
                <w:rFonts w:hint="eastAsia" w:ascii="宋体" w:hAnsi="宋体"/>
                <w:b/>
                <w:kern w:val="0"/>
                <w:sz w:val="24"/>
                <w:szCs w:val="21"/>
              </w:rPr>
            </w:pPr>
            <w:r>
              <w:rPr>
                <w:rFonts w:hint="eastAsia" w:ascii="宋体" w:hAnsi="宋体"/>
                <w:b/>
                <w:szCs w:val="21"/>
              </w:rPr>
              <w:t>2</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57A349AA">
            <w:pPr>
              <w:adjustRightInd w:val="0"/>
              <w:spacing w:line="360" w:lineRule="auto"/>
              <w:ind w:left="-105" w:leftChars="-50" w:right="-105" w:rightChars="-50"/>
              <w:jc w:val="center"/>
              <w:textAlignment w:val="baseline"/>
              <w:rPr>
                <w:rFonts w:hint="eastAsia" w:ascii="宋体" w:hAnsi="宋体"/>
                <w:b/>
                <w:bCs/>
                <w:szCs w:val="21"/>
              </w:rPr>
            </w:pPr>
            <w:r>
              <w:rPr>
                <w:rFonts w:hint="eastAsia" w:ascii="宋体" w:hAnsi="宋体"/>
                <w:b/>
                <w:bCs/>
                <w:szCs w:val="21"/>
              </w:rPr>
              <w:t>技术分</w:t>
            </w:r>
          </w:p>
          <w:p w14:paraId="60365929">
            <w:pPr>
              <w:adjustRightInd w:val="0"/>
              <w:spacing w:line="360" w:lineRule="auto"/>
              <w:ind w:left="-105" w:leftChars="-50" w:right="-105" w:rightChars="-50"/>
              <w:jc w:val="center"/>
              <w:textAlignment w:val="baseline"/>
              <w:rPr>
                <w:rFonts w:hint="eastAsia" w:ascii="宋体" w:hAnsi="宋体"/>
                <w:spacing w:val="-18"/>
                <w:szCs w:val="21"/>
              </w:rPr>
            </w:pPr>
            <w:r>
              <w:rPr>
                <w:rFonts w:hint="eastAsia" w:ascii="宋体" w:hAnsi="宋体"/>
                <w:b/>
                <w:bCs/>
                <w:szCs w:val="21"/>
              </w:rPr>
              <w:t>（满50分）</w:t>
            </w:r>
          </w:p>
        </w:tc>
        <w:tc>
          <w:tcPr>
            <w:tcW w:w="1180" w:type="dxa"/>
            <w:tcBorders>
              <w:top w:val="single" w:color="auto" w:sz="4" w:space="0"/>
              <w:left w:val="single" w:color="auto" w:sz="4" w:space="0"/>
              <w:bottom w:val="single" w:color="auto" w:sz="4" w:space="0"/>
              <w:right w:val="single" w:color="auto" w:sz="4" w:space="0"/>
            </w:tcBorders>
            <w:vAlign w:val="center"/>
          </w:tcPr>
          <w:p w14:paraId="5391A9A5">
            <w:pPr>
              <w:adjustRightInd w:val="0"/>
              <w:spacing w:line="400" w:lineRule="exact"/>
              <w:jc w:val="left"/>
              <w:textAlignment w:val="baseline"/>
              <w:rPr>
                <w:rFonts w:hint="eastAsia" w:ascii="宋体" w:hAnsi="宋体"/>
                <w:b/>
                <w:szCs w:val="21"/>
                <w:u w:val="single"/>
              </w:rPr>
            </w:pPr>
            <w:r>
              <w:rPr>
                <w:rFonts w:hint="eastAsia" w:ascii="宋体" w:hAnsi="宋体"/>
                <w:bCs/>
              </w:rPr>
              <w:t>货物性能分</w:t>
            </w:r>
            <w:r>
              <w:rPr>
                <w:rFonts w:hint="eastAsia" w:ascii="宋体" w:hAnsi="宋体"/>
              </w:rPr>
              <w:t>（满分20分）</w:t>
            </w:r>
          </w:p>
        </w:tc>
        <w:tc>
          <w:tcPr>
            <w:tcW w:w="6425" w:type="dxa"/>
            <w:tcBorders>
              <w:top w:val="single" w:color="auto" w:sz="4" w:space="0"/>
              <w:left w:val="single" w:color="auto" w:sz="4" w:space="0"/>
              <w:bottom w:val="single" w:color="auto" w:sz="4" w:space="0"/>
              <w:right w:val="single" w:color="auto" w:sz="4" w:space="0"/>
            </w:tcBorders>
            <w:vAlign w:val="center"/>
          </w:tcPr>
          <w:p w14:paraId="063E6A21">
            <w:pPr>
              <w:snapToGrid w:val="0"/>
              <w:spacing w:line="400" w:lineRule="exact"/>
              <w:ind w:firstLine="420" w:firstLineChars="200"/>
              <w:rPr>
                <w:rFonts w:hint="eastAsia" w:ascii="宋体" w:hAnsi="宋体" w:cs="Courier New"/>
                <w:b/>
              </w:rPr>
            </w:pPr>
            <w:r>
              <w:rPr>
                <w:rFonts w:hint="eastAsia" w:ascii="宋体" w:hAnsi="宋体" w:cs="宋体"/>
                <w:szCs w:val="21"/>
              </w:rPr>
              <w:t>技术要求中未标记▲号的参数完全满足采购文件要求得20分，参数负偏离或漏项的每一项扣2分。</w:t>
            </w:r>
          </w:p>
        </w:tc>
      </w:tr>
      <w:tr w14:paraId="2838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left w:val="single" w:color="auto" w:sz="4" w:space="0"/>
              <w:right w:val="single" w:color="auto" w:sz="4" w:space="0"/>
            </w:tcBorders>
            <w:vAlign w:val="center"/>
          </w:tcPr>
          <w:p w14:paraId="1C2FF734">
            <w:pPr>
              <w:spacing w:after="120"/>
              <w:jc w:val="center"/>
              <w:rPr>
                <w:rFonts w:hint="eastAsia" w:ascii="宋体" w:hAnsi="宋体"/>
                <w:b/>
                <w:szCs w:val="21"/>
              </w:rPr>
            </w:pPr>
          </w:p>
        </w:tc>
        <w:tc>
          <w:tcPr>
            <w:tcW w:w="1320" w:type="dxa"/>
            <w:vMerge w:val="continue"/>
            <w:tcBorders>
              <w:left w:val="single" w:color="auto" w:sz="4" w:space="0"/>
              <w:right w:val="single" w:color="auto" w:sz="4" w:space="0"/>
            </w:tcBorders>
            <w:vAlign w:val="center"/>
          </w:tcPr>
          <w:p w14:paraId="7AEA5163">
            <w:pPr>
              <w:adjustRightInd w:val="0"/>
              <w:spacing w:line="360" w:lineRule="auto"/>
              <w:ind w:left="-105" w:leftChars="-50" w:right="-105" w:rightChars="-50"/>
              <w:jc w:val="center"/>
              <w:textAlignment w:val="baseline"/>
              <w:rPr>
                <w:rFonts w:hint="eastAsia" w:ascii="宋体" w:hAnsi="宋体"/>
                <w:b/>
                <w:bCs/>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714609A5">
            <w:pPr>
              <w:adjustRightInd w:val="0"/>
              <w:spacing w:line="400" w:lineRule="exact"/>
              <w:jc w:val="center"/>
              <w:textAlignment w:val="baseline"/>
              <w:rPr>
                <w:rFonts w:hint="eastAsia" w:ascii="宋体" w:hAnsi="宋体"/>
                <w:bCs/>
              </w:rPr>
            </w:pPr>
            <w:r>
              <w:rPr>
                <w:rFonts w:hint="eastAsia" w:ascii="宋体" w:hAnsi="宋体"/>
                <w:bCs/>
              </w:rPr>
              <w:t>安装调试方案（16分）</w:t>
            </w:r>
          </w:p>
        </w:tc>
        <w:tc>
          <w:tcPr>
            <w:tcW w:w="6425" w:type="dxa"/>
            <w:tcBorders>
              <w:top w:val="single" w:color="auto" w:sz="4" w:space="0"/>
              <w:left w:val="single" w:color="auto" w:sz="4" w:space="0"/>
              <w:bottom w:val="single" w:color="auto" w:sz="4" w:space="0"/>
              <w:right w:val="single" w:color="auto" w:sz="4" w:space="0"/>
            </w:tcBorders>
            <w:vAlign w:val="center"/>
          </w:tcPr>
          <w:p w14:paraId="14092F9A">
            <w:pPr>
              <w:spacing w:line="400" w:lineRule="exact"/>
              <w:ind w:firstLine="420" w:firstLineChars="200"/>
              <w:jc w:val="left"/>
              <w:rPr>
                <w:rFonts w:hint="eastAsia" w:ascii="宋体" w:hAnsi="宋体"/>
              </w:rPr>
            </w:pPr>
            <w:r>
              <w:rPr>
                <w:rFonts w:hint="eastAsia" w:ascii="宋体" w:hAnsi="宋体"/>
              </w:rPr>
              <w:t>一档（4分）：提供了安装调试方案，方案表述笼统无针对性。</w:t>
            </w:r>
          </w:p>
          <w:p w14:paraId="7078164E">
            <w:pPr>
              <w:spacing w:line="400" w:lineRule="exact"/>
              <w:ind w:firstLine="420" w:firstLineChars="200"/>
              <w:jc w:val="left"/>
              <w:rPr>
                <w:rFonts w:hint="eastAsia" w:ascii="宋体" w:hAnsi="宋体"/>
              </w:rPr>
            </w:pPr>
            <w:r>
              <w:rPr>
                <w:rFonts w:hint="eastAsia" w:ascii="宋体" w:hAnsi="宋体"/>
              </w:rPr>
              <w:t>二档（8分）：提供了较详细的安装调试方案，有实施管理、进度安排及质量保障措施等内容；</w:t>
            </w:r>
          </w:p>
          <w:p w14:paraId="4A6F7698">
            <w:pPr>
              <w:spacing w:line="400" w:lineRule="exact"/>
              <w:ind w:firstLine="420" w:firstLineChars="200"/>
              <w:jc w:val="left"/>
              <w:rPr>
                <w:rFonts w:hint="eastAsia" w:ascii="宋体" w:hAnsi="宋体"/>
              </w:rPr>
            </w:pPr>
            <w:r>
              <w:rPr>
                <w:rFonts w:hint="eastAsia" w:ascii="宋体" w:hAnsi="宋体"/>
              </w:rPr>
              <w:t>三档（12分）：提供了详细完善的安装调试方案，有实施管理、组织措施、实施人员配置、进度安排及质量保障措施等内容。</w:t>
            </w:r>
          </w:p>
          <w:p w14:paraId="2FB1098E">
            <w:pPr>
              <w:spacing w:line="400" w:lineRule="exact"/>
              <w:ind w:firstLine="420" w:firstLineChars="200"/>
              <w:jc w:val="left"/>
              <w:rPr>
                <w:rFonts w:hint="eastAsia" w:ascii="宋体" w:hAnsi="宋体" w:cs="宋体"/>
                <w:szCs w:val="21"/>
              </w:rPr>
            </w:pPr>
            <w:r>
              <w:rPr>
                <w:rFonts w:hint="eastAsia" w:ascii="宋体" w:hAnsi="宋体"/>
              </w:rPr>
              <w:t>四档（16分）：满足三档的基础上，投标人的安装调试方案进度安排合理，且相关保障措施到位；对各项关键工作安排清晰明确；对本项目的风险预见、风险应对措施完备，有完善的解决方案；项目管理方案完整，组织机构合理，人员配置及安排有保障，分工与职责明确；提出具有建设性的方案优化建议，</w:t>
            </w:r>
            <w:r>
              <w:rPr>
                <w:rFonts w:hint="eastAsia"/>
                <w:szCs w:val="21"/>
              </w:rPr>
              <w:t>提供了不少于5名项目实施人员，且拟投入本项目实施的人员中至少有1人具有系统集成项目管理工程师证书或网络工程师证书。</w:t>
            </w:r>
            <w:r>
              <w:rPr>
                <w:rFonts w:hint="eastAsia" w:ascii="宋体" w:hAnsi="宋体"/>
              </w:rPr>
              <w:t>。</w:t>
            </w:r>
          </w:p>
        </w:tc>
      </w:tr>
      <w:tr w14:paraId="3711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D9A57FC">
            <w:pPr>
              <w:widowControl/>
              <w:jc w:val="left"/>
              <w:rPr>
                <w:rFonts w:hint="eastAsia" w:ascii="宋体" w:hAnsi="宋体"/>
                <w:b/>
                <w:kern w:val="0"/>
                <w:sz w:val="24"/>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74C6B94A">
            <w:pPr>
              <w:widowControl/>
              <w:jc w:val="left"/>
              <w:rPr>
                <w:rFonts w:hint="eastAsia" w:ascii="宋体" w:hAnsi="宋体"/>
                <w:spacing w:val="-18"/>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16675C4D">
            <w:pPr>
              <w:spacing w:line="360" w:lineRule="auto"/>
              <w:jc w:val="center"/>
              <w:rPr>
                <w:rFonts w:hint="eastAsia" w:ascii="宋体" w:hAnsi="宋体"/>
                <w:b/>
              </w:rPr>
            </w:pPr>
            <w:r>
              <w:rPr>
                <w:rFonts w:hint="eastAsia" w:ascii="宋体" w:hAnsi="宋体"/>
                <w:szCs w:val="21"/>
              </w:rPr>
              <w:t>售后服务方案分（满分14分）</w:t>
            </w:r>
          </w:p>
        </w:tc>
        <w:tc>
          <w:tcPr>
            <w:tcW w:w="6425" w:type="dxa"/>
            <w:tcBorders>
              <w:top w:val="single" w:color="auto" w:sz="4" w:space="0"/>
              <w:left w:val="single" w:color="auto" w:sz="4" w:space="0"/>
              <w:bottom w:val="single" w:color="auto" w:sz="4" w:space="0"/>
              <w:right w:val="single" w:color="auto" w:sz="4" w:space="0"/>
            </w:tcBorders>
            <w:vAlign w:val="center"/>
          </w:tcPr>
          <w:p w14:paraId="4932F33D">
            <w:pPr>
              <w:spacing w:line="400" w:lineRule="exact"/>
              <w:ind w:firstLine="420" w:firstLineChars="200"/>
              <w:jc w:val="left"/>
              <w:rPr>
                <w:rFonts w:hint="eastAsia" w:ascii="宋体" w:hAnsi="宋体"/>
              </w:rPr>
            </w:pPr>
            <w:r>
              <w:rPr>
                <w:rFonts w:hint="eastAsia" w:ascii="宋体" w:hAnsi="宋体"/>
              </w:rPr>
              <w:t>一档（4分）：提供了</w:t>
            </w:r>
            <w:r>
              <w:rPr>
                <w:rFonts w:hint="eastAsia" w:ascii="宋体" w:hAnsi="宋体"/>
                <w:szCs w:val="21"/>
              </w:rPr>
              <w:t>售后服务方案</w:t>
            </w:r>
            <w:r>
              <w:rPr>
                <w:rFonts w:hint="eastAsia" w:ascii="宋体" w:hAnsi="宋体"/>
              </w:rPr>
              <w:t>，方案表述笼统无针对性。</w:t>
            </w:r>
          </w:p>
          <w:p w14:paraId="436D4C0A">
            <w:pPr>
              <w:spacing w:line="400" w:lineRule="exact"/>
              <w:ind w:firstLine="420" w:firstLineChars="200"/>
              <w:jc w:val="left"/>
              <w:rPr>
                <w:rFonts w:hint="eastAsia" w:ascii="宋体" w:hAnsi="宋体"/>
              </w:rPr>
            </w:pPr>
            <w:r>
              <w:rPr>
                <w:rFonts w:hint="eastAsia" w:ascii="宋体" w:hAnsi="宋体"/>
              </w:rPr>
              <w:t>二档（7分）：提供了较详细的安装调试方案，有明确的质保期内和质保期外的售后承诺和措施等内容；</w:t>
            </w:r>
          </w:p>
          <w:p w14:paraId="20E5B86F">
            <w:pPr>
              <w:spacing w:line="400" w:lineRule="exact"/>
              <w:ind w:firstLine="420" w:firstLineChars="200"/>
              <w:jc w:val="left"/>
              <w:rPr>
                <w:rFonts w:hint="eastAsia" w:ascii="宋体" w:hAnsi="宋体"/>
              </w:rPr>
            </w:pPr>
            <w:r>
              <w:rPr>
                <w:rFonts w:hint="eastAsia" w:ascii="宋体" w:hAnsi="宋体"/>
              </w:rPr>
              <w:t>三档（10分）：投标人或音频处理器产品制造商具有符合GB/T27922《商品售后服务评价体系》标准的《售后服务认证证书》，针对产品提出明确的质保期内和质保期外的售后承诺和措施。有明确的售后服务负责人、联系方式，投标产品生产厂家针对本项目的售后服务承诺和措施、售后服务机构、联系方式等。</w:t>
            </w:r>
          </w:p>
          <w:p w14:paraId="285C18EE">
            <w:pPr>
              <w:spacing w:line="400" w:lineRule="exact"/>
              <w:ind w:firstLine="420" w:firstLineChars="200"/>
              <w:jc w:val="left"/>
              <w:rPr>
                <w:rFonts w:hint="eastAsia" w:ascii="宋体" w:hAnsi="宋体"/>
              </w:rPr>
            </w:pPr>
            <w:r>
              <w:rPr>
                <w:rFonts w:hint="eastAsia" w:ascii="宋体" w:hAnsi="宋体"/>
              </w:rPr>
              <w:t>四档（14分）：满足三档的基础上，投标人或音频处理器产品制造商具有符合GB/T27922《商品售后服务评价体系》标准的《售后服务认证证书》，证书等级达到五星级。</w:t>
            </w:r>
          </w:p>
          <w:p w14:paraId="48EB1255">
            <w:pPr>
              <w:spacing w:line="400" w:lineRule="exact"/>
              <w:ind w:firstLine="420" w:firstLineChars="200"/>
              <w:jc w:val="left"/>
              <w:rPr>
                <w:rFonts w:hint="eastAsia" w:ascii="宋体" w:hAnsi="宋体"/>
                <w:bCs/>
              </w:rPr>
            </w:pPr>
            <w:r>
              <w:rPr>
                <w:rFonts w:hint="eastAsia" w:ascii="宋体" w:hAnsi="宋体"/>
              </w:rPr>
              <w:t>注：提供第三方认证机构颁发的在有效期内的证书复印件及证书编号在全国认证认可信息公共服务平台的查询结果截图作为证明材料。</w:t>
            </w:r>
          </w:p>
        </w:tc>
      </w:tr>
      <w:tr w14:paraId="5188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58A23777">
            <w:pPr>
              <w:adjustRightInd w:val="0"/>
              <w:spacing w:line="360" w:lineRule="auto"/>
              <w:jc w:val="center"/>
              <w:textAlignment w:val="baseline"/>
              <w:rPr>
                <w:rFonts w:hint="eastAsia" w:ascii="宋体" w:hAnsi="宋体"/>
                <w:b/>
                <w:szCs w:val="21"/>
              </w:rPr>
            </w:pPr>
            <w:r>
              <w:rPr>
                <w:rFonts w:hint="eastAsia" w:ascii="宋体" w:hAnsi="宋体"/>
                <w:b/>
                <w:szCs w:val="21"/>
              </w:rPr>
              <w:t>3</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1E158F3A">
            <w:pPr>
              <w:adjustRightInd w:val="0"/>
              <w:spacing w:line="360" w:lineRule="auto"/>
              <w:ind w:left="-105" w:leftChars="-50" w:right="-105" w:rightChars="-50"/>
              <w:jc w:val="center"/>
              <w:textAlignment w:val="baseline"/>
              <w:rPr>
                <w:rFonts w:hint="eastAsia" w:ascii="宋体" w:hAnsi="宋体"/>
                <w:b/>
                <w:bCs/>
                <w:szCs w:val="21"/>
              </w:rPr>
            </w:pPr>
            <w:r>
              <w:rPr>
                <w:rFonts w:hint="eastAsia" w:ascii="宋体" w:hAnsi="宋体"/>
                <w:b/>
                <w:bCs/>
                <w:szCs w:val="21"/>
              </w:rPr>
              <w:t>商务分</w:t>
            </w:r>
          </w:p>
          <w:p w14:paraId="051C465A">
            <w:pPr>
              <w:adjustRightInd w:val="0"/>
              <w:spacing w:line="360" w:lineRule="auto"/>
              <w:ind w:left="-105" w:leftChars="-50" w:right="-105" w:rightChars="-50"/>
              <w:jc w:val="center"/>
              <w:textAlignment w:val="baseline"/>
              <w:rPr>
                <w:rFonts w:hint="eastAsia" w:ascii="宋体" w:hAnsi="宋体"/>
                <w:b/>
                <w:bCs/>
                <w:szCs w:val="21"/>
              </w:rPr>
            </w:pPr>
            <w:r>
              <w:rPr>
                <w:rFonts w:hint="eastAsia" w:ascii="宋体" w:hAnsi="宋体"/>
                <w:b/>
                <w:bCs/>
                <w:szCs w:val="21"/>
              </w:rPr>
              <w:t>（满20分）</w:t>
            </w:r>
          </w:p>
        </w:tc>
        <w:tc>
          <w:tcPr>
            <w:tcW w:w="1180" w:type="dxa"/>
            <w:tcBorders>
              <w:top w:val="single" w:color="auto" w:sz="4" w:space="0"/>
              <w:left w:val="single" w:color="auto" w:sz="4" w:space="0"/>
              <w:bottom w:val="single" w:color="auto" w:sz="4" w:space="0"/>
              <w:right w:val="single" w:color="auto" w:sz="4" w:space="0"/>
            </w:tcBorders>
            <w:vAlign w:val="center"/>
          </w:tcPr>
          <w:p w14:paraId="120AA704">
            <w:pPr>
              <w:spacing w:line="360" w:lineRule="auto"/>
              <w:jc w:val="center"/>
              <w:rPr>
                <w:rFonts w:hint="eastAsia" w:ascii="宋体" w:hAnsi="宋体"/>
                <w:szCs w:val="21"/>
              </w:rPr>
            </w:pPr>
            <w:r>
              <w:rPr>
                <w:rFonts w:hint="eastAsia" w:ascii="宋体" w:hAnsi="宋体"/>
                <w:szCs w:val="21"/>
              </w:rPr>
              <w:t>质保期</w:t>
            </w:r>
          </w:p>
          <w:p w14:paraId="1C9F34DB">
            <w:pPr>
              <w:adjustRightInd w:val="0"/>
              <w:spacing w:line="360" w:lineRule="auto"/>
              <w:jc w:val="center"/>
              <w:textAlignment w:val="baseline"/>
              <w:rPr>
                <w:rFonts w:hint="eastAsia" w:ascii="宋体" w:hAnsi="宋体"/>
              </w:rPr>
            </w:pPr>
            <w:r>
              <w:rPr>
                <w:rFonts w:hint="eastAsia" w:ascii="宋体" w:hAnsi="宋体"/>
                <w:szCs w:val="21"/>
              </w:rPr>
              <w:t>（满分3分）</w:t>
            </w:r>
          </w:p>
        </w:tc>
        <w:tc>
          <w:tcPr>
            <w:tcW w:w="6425" w:type="dxa"/>
            <w:tcBorders>
              <w:top w:val="single" w:color="auto" w:sz="4" w:space="0"/>
              <w:left w:val="single" w:color="auto" w:sz="4" w:space="0"/>
              <w:bottom w:val="single" w:color="auto" w:sz="4" w:space="0"/>
              <w:right w:val="single" w:color="auto" w:sz="4" w:space="0"/>
            </w:tcBorders>
            <w:vAlign w:val="center"/>
          </w:tcPr>
          <w:p w14:paraId="66C83A5A">
            <w:pPr>
              <w:spacing w:line="400" w:lineRule="exact"/>
              <w:ind w:firstLine="420" w:firstLineChars="200"/>
              <w:jc w:val="left"/>
              <w:rPr>
                <w:rFonts w:hint="eastAsia" w:ascii="宋体" w:hAnsi="宋体"/>
              </w:rPr>
            </w:pPr>
            <w:r>
              <w:rPr>
                <w:rFonts w:hint="eastAsia" w:ascii="宋体" w:hAnsi="宋体"/>
              </w:rPr>
              <w:t>投标文件中针对本项目采购标的的质保期每超过招标文件要求一年的，加1分，满分3分。</w:t>
            </w:r>
          </w:p>
        </w:tc>
      </w:tr>
      <w:tr w14:paraId="2677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E444C5A">
            <w:pPr>
              <w:widowControl/>
              <w:jc w:val="left"/>
              <w:rPr>
                <w:rFonts w:hint="eastAsia" w:ascii="宋体" w:hAnsi="宋体"/>
                <w:b/>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4CC7AA8E">
            <w:pPr>
              <w:widowControl/>
              <w:jc w:val="left"/>
              <w:rPr>
                <w:rFonts w:hint="eastAsia" w:ascii="宋体" w:hAnsi="宋体"/>
                <w:b/>
                <w:bCs/>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0631FFD7">
            <w:pPr>
              <w:spacing w:line="410" w:lineRule="exact"/>
              <w:jc w:val="center"/>
              <w:rPr>
                <w:rFonts w:hint="eastAsia" w:ascii="宋体" w:hAnsi="宋体"/>
                <w:szCs w:val="21"/>
              </w:rPr>
            </w:pPr>
            <w:r>
              <w:rPr>
                <w:rFonts w:hint="eastAsia" w:ascii="宋体" w:hAnsi="宋体"/>
                <w:szCs w:val="21"/>
              </w:rPr>
              <w:t>信誉业绩</w:t>
            </w:r>
          </w:p>
          <w:p w14:paraId="6884EA73">
            <w:pPr>
              <w:adjustRightInd w:val="0"/>
              <w:spacing w:line="360" w:lineRule="auto"/>
              <w:jc w:val="center"/>
              <w:textAlignment w:val="baseline"/>
              <w:rPr>
                <w:rFonts w:hint="eastAsia" w:ascii="宋体" w:hAnsi="宋体"/>
              </w:rPr>
            </w:pPr>
            <w:r>
              <w:rPr>
                <w:rFonts w:hint="eastAsia" w:ascii="宋体" w:hAnsi="宋体"/>
              </w:rPr>
              <w:t>（满分15分）</w:t>
            </w:r>
          </w:p>
        </w:tc>
        <w:tc>
          <w:tcPr>
            <w:tcW w:w="6425" w:type="dxa"/>
            <w:tcBorders>
              <w:top w:val="single" w:color="auto" w:sz="4" w:space="0"/>
              <w:left w:val="single" w:color="auto" w:sz="4" w:space="0"/>
              <w:bottom w:val="single" w:color="auto" w:sz="4" w:space="0"/>
              <w:right w:val="single" w:color="auto" w:sz="4" w:space="0"/>
            </w:tcBorders>
            <w:vAlign w:val="center"/>
          </w:tcPr>
          <w:p w14:paraId="4D71AB35">
            <w:pPr>
              <w:spacing w:line="400" w:lineRule="exact"/>
              <w:ind w:firstLine="420" w:firstLineChars="200"/>
              <w:jc w:val="left"/>
              <w:rPr>
                <w:rFonts w:hint="eastAsia" w:ascii="宋体" w:hAnsi="宋体"/>
              </w:rPr>
            </w:pPr>
            <w:r>
              <w:rPr>
                <w:rFonts w:hint="eastAsia" w:ascii="宋体" w:hAnsi="宋体"/>
              </w:rPr>
              <w:t>1.投标人2022年1月1日至投标截止时间具有同类项目业绩，每有1项得2分，满分10分。</w:t>
            </w:r>
            <w:r>
              <w:rPr>
                <w:rFonts w:hint="eastAsia" w:ascii="宋体" w:hAnsi="宋体"/>
                <w:szCs w:val="21"/>
              </w:rPr>
              <w:t>（提供合同或中标通知书复印件，否则不计分，</w:t>
            </w:r>
            <w:r>
              <w:rPr>
                <w:rFonts w:hint="eastAsia" w:ascii="宋体" w:hAnsi="宋体" w:cs="宋体"/>
                <w:szCs w:val="21"/>
              </w:rPr>
              <w:t>同一个编号的项目有两个或两个以上的分标中标的只算1个项目业绩</w:t>
            </w:r>
            <w:r>
              <w:rPr>
                <w:rFonts w:hint="eastAsia" w:ascii="宋体" w:hAnsi="宋体"/>
                <w:szCs w:val="21"/>
              </w:rPr>
              <w:t>）</w:t>
            </w:r>
          </w:p>
          <w:p w14:paraId="5DA4475F">
            <w:pPr>
              <w:spacing w:line="400" w:lineRule="exact"/>
              <w:ind w:firstLine="420" w:firstLineChars="200"/>
              <w:jc w:val="left"/>
              <w:rPr>
                <w:rFonts w:hint="eastAsia" w:ascii="宋体" w:hAnsi="宋体"/>
              </w:rPr>
            </w:pPr>
            <w:r>
              <w:rPr>
                <w:rFonts w:hint="eastAsia" w:ascii="宋体" w:hAnsi="宋体" w:cs="宋体"/>
              </w:rPr>
              <w:t>2.</w:t>
            </w:r>
            <w:r>
              <w:rPr>
                <w:rFonts w:hint="eastAsia" w:ascii="宋体" w:hAnsi="宋体" w:cs="宋体"/>
                <w:szCs w:val="21"/>
              </w:rPr>
              <w:t>投标人通过ISO9001质量管理体系认证、ISO14001环境管理体系认证、ISO45001职业健康安全管理体系认证、ISO20000信息技术服务管理体系认证、ISO27001信息安全管理体系认证的，投标时提供证书复印件并加盖投标人（CA签章）的，每提供1份得1分，满分5分。</w:t>
            </w:r>
          </w:p>
        </w:tc>
      </w:tr>
      <w:tr w14:paraId="1BCE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33576B8">
            <w:pPr>
              <w:widowControl/>
              <w:jc w:val="left"/>
              <w:rPr>
                <w:rFonts w:hint="eastAsia" w:ascii="宋体" w:hAnsi="宋体"/>
                <w:b/>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56CD6F86">
            <w:pPr>
              <w:widowControl/>
              <w:jc w:val="left"/>
              <w:rPr>
                <w:rFonts w:hint="eastAsia" w:ascii="宋体" w:hAnsi="宋体"/>
                <w:b/>
                <w:bCs/>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01A79298">
            <w:pPr>
              <w:adjustRightInd w:val="0"/>
              <w:spacing w:line="360" w:lineRule="auto"/>
              <w:jc w:val="center"/>
              <w:textAlignment w:val="baseline"/>
              <w:rPr>
                <w:rFonts w:hint="eastAsia" w:ascii="宋体" w:hAnsi="宋体"/>
              </w:rPr>
            </w:pPr>
            <w:r>
              <w:rPr>
                <w:rFonts w:hint="eastAsia" w:ascii="宋体" w:hAnsi="宋体"/>
                <w:szCs w:val="21"/>
              </w:rPr>
              <w:t>政策功能分（满分</w:t>
            </w:r>
            <w:r>
              <w:rPr>
                <w:rFonts w:ascii="宋体" w:hAnsi="宋体"/>
                <w:szCs w:val="21"/>
              </w:rPr>
              <w:t>2</w:t>
            </w:r>
            <w:r>
              <w:rPr>
                <w:rFonts w:hint="eastAsia" w:ascii="宋体" w:hAnsi="宋体"/>
                <w:szCs w:val="21"/>
              </w:rPr>
              <w:t>分）</w:t>
            </w:r>
          </w:p>
        </w:tc>
        <w:tc>
          <w:tcPr>
            <w:tcW w:w="6425" w:type="dxa"/>
            <w:tcBorders>
              <w:top w:val="single" w:color="auto" w:sz="4" w:space="0"/>
              <w:left w:val="single" w:color="auto" w:sz="4" w:space="0"/>
              <w:bottom w:val="single" w:color="auto" w:sz="4" w:space="0"/>
              <w:right w:val="single" w:color="auto" w:sz="4" w:space="0"/>
            </w:tcBorders>
            <w:vAlign w:val="center"/>
          </w:tcPr>
          <w:p w14:paraId="5C6738F9">
            <w:pPr>
              <w:spacing w:line="400" w:lineRule="exact"/>
              <w:ind w:firstLine="422" w:firstLineChars="200"/>
              <w:jc w:val="left"/>
              <w:rPr>
                <w:rFonts w:hint="eastAsia" w:ascii="宋体" w:hAnsi="宋体"/>
                <w:b/>
                <w:bCs/>
              </w:rPr>
            </w:pPr>
            <w:r>
              <w:rPr>
                <w:rFonts w:hint="eastAsia" w:ascii="宋体" w:hAnsi="宋体"/>
                <w:b/>
                <w:bCs/>
              </w:rPr>
              <w:t>节能、环境标志产品</w:t>
            </w:r>
          </w:p>
          <w:p w14:paraId="555DB773">
            <w:pPr>
              <w:spacing w:line="400" w:lineRule="exact"/>
              <w:ind w:firstLine="420" w:firstLineChars="200"/>
              <w:jc w:val="left"/>
              <w:rPr>
                <w:rFonts w:hint="eastAsia" w:ascii="宋体" w:hAnsi="宋体"/>
              </w:rPr>
            </w:pPr>
            <w:r>
              <w:rPr>
                <w:rFonts w:hint="eastAsia" w:ascii="宋体" w:hAnsi="宋体"/>
              </w:rPr>
              <w:t>（1）属于财政部《节能产品政府采购品目清单》内优先采购（清单内未标注“★”的品目）的产品[投标文件中提供国家确定的认证机构出具的、处于有效期之内的认证证书复印件及品目清单（标注出投标产品在品目清单中所属的品目），并加盖投标人电子签章]，根据其所占项目报价比例得0-1分。</w:t>
            </w:r>
          </w:p>
          <w:p w14:paraId="4524A4A8">
            <w:pPr>
              <w:spacing w:line="400" w:lineRule="exact"/>
              <w:ind w:firstLine="420" w:firstLineChars="200"/>
              <w:jc w:val="left"/>
              <w:rPr>
                <w:rFonts w:hint="eastAsia" w:ascii="宋体" w:hAnsi="宋体"/>
              </w:rPr>
            </w:pPr>
            <w:r>
              <w:rPr>
                <w:rFonts w:hint="eastAsia" w:ascii="宋体" w:hAnsi="宋体"/>
              </w:rPr>
              <w:t>（2）属于财政部《环境标志产品政府采购品目清单》内的产品[投标文件中提供国家确定的认证机构出具的、处于有效期之内的认证证书复印件及品目清单（标注出投标产品在品目清单中所属的品目），并加盖投标人电子签章]，根据其所占项目报价比例得0-1分；</w:t>
            </w:r>
          </w:p>
          <w:p w14:paraId="6A8578ED">
            <w:pPr>
              <w:spacing w:line="400" w:lineRule="exact"/>
              <w:ind w:firstLine="420" w:firstLineChars="200"/>
              <w:jc w:val="left"/>
              <w:rPr>
                <w:kern w:val="0"/>
                <w:sz w:val="24"/>
              </w:rPr>
            </w:pPr>
            <w:r>
              <w:rPr>
                <w:rFonts w:hint="eastAsia" w:ascii="宋体" w:hAnsi="宋体"/>
              </w:rPr>
              <w:t>（3）非节能、环境标志产品的不得分。</w:t>
            </w:r>
          </w:p>
        </w:tc>
      </w:tr>
      <w:tr w14:paraId="0F43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64CA4B40">
            <w:pPr>
              <w:spacing w:line="360" w:lineRule="auto"/>
              <w:ind w:firstLine="420"/>
              <w:rPr>
                <w:rFonts w:hint="eastAsia" w:ascii="宋体" w:hAnsi="宋体" w:cs="Courier New"/>
                <w:bCs/>
                <w:szCs w:val="21"/>
              </w:rPr>
            </w:pPr>
            <w:r>
              <w:rPr>
                <w:rFonts w:hint="eastAsia" w:ascii="宋体" w:hAnsi="宋体" w:cs="Courier New"/>
                <w:b/>
                <w:bCs/>
                <w:szCs w:val="21"/>
              </w:rPr>
              <w:t>总得分=1+2+3。</w:t>
            </w:r>
          </w:p>
        </w:tc>
      </w:tr>
    </w:tbl>
    <w:p w14:paraId="4838256B">
      <w:pPr>
        <w:pStyle w:val="25"/>
        <w:spacing w:line="360" w:lineRule="auto"/>
        <w:rPr>
          <w:rFonts w:hint="eastAsia" w:hAnsi="宋体"/>
          <w:bCs/>
          <w:sz w:val="21"/>
        </w:rPr>
      </w:pPr>
    </w:p>
    <w:p w14:paraId="2FD4E35A">
      <w:pPr>
        <w:pStyle w:val="25"/>
        <w:spacing w:line="360" w:lineRule="auto"/>
        <w:rPr>
          <w:rFonts w:hint="eastAsia" w:hAnsi="宋体"/>
          <w:bCs/>
          <w:sz w:val="21"/>
        </w:rPr>
      </w:pPr>
    </w:p>
    <w:p w14:paraId="06127025">
      <w:pPr>
        <w:pStyle w:val="25"/>
        <w:spacing w:line="360" w:lineRule="auto"/>
        <w:rPr>
          <w:rFonts w:hint="eastAsia" w:hAnsi="宋体"/>
          <w:b/>
          <w:sz w:val="21"/>
        </w:rPr>
      </w:pPr>
      <w:r>
        <w:rPr>
          <w:rFonts w:hint="eastAsia" w:hAnsi="宋体"/>
          <w:b/>
          <w:sz w:val="21"/>
        </w:rPr>
        <w:t>3分标</w:t>
      </w:r>
    </w:p>
    <w:tbl>
      <w:tblPr>
        <w:tblStyle w:val="48"/>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180"/>
        <w:gridCol w:w="6425"/>
      </w:tblGrid>
      <w:tr w14:paraId="31F3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vAlign w:val="center"/>
          </w:tcPr>
          <w:p w14:paraId="7FFE423D">
            <w:pPr>
              <w:adjustRightInd w:val="0"/>
              <w:spacing w:line="410" w:lineRule="exact"/>
              <w:jc w:val="center"/>
              <w:textAlignment w:val="baseline"/>
              <w:rPr>
                <w:rFonts w:hint="eastAsia" w:ascii="宋体" w:hAnsi="宋体"/>
                <w:b/>
                <w:szCs w:val="21"/>
              </w:rPr>
            </w:pPr>
            <w:r>
              <w:rPr>
                <w:rFonts w:hint="eastAsia" w:ascii="宋体" w:hAnsi="宋体"/>
                <w:b/>
                <w:szCs w:val="21"/>
              </w:rPr>
              <w:t>序号</w:t>
            </w:r>
          </w:p>
        </w:tc>
        <w:tc>
          <w:tcPr>
            <w:tcW w:w="1180" w:type="dxa"/>
            <w:tcBorders>
              <w:top w:val="single" w:color="auto" w:sz="4" w:space="0"/>
              <w:left w:val="single" w:color="auto" w:sz="4" w:space="0"/>
              <w:bottom w:val="single" w:color="auto" w:sz="4" w:space="0"/>
              <w:right w:val="single" w:color="auto" w:sz="4" w:space="0"/>
            </w:tcBorders>
            <w:vAlign w:val="center"/>
          </w:tcPr>
          <w:p w14:paraId="58401D89">
            <w:pPr>
              <w:adjustRightInd w:val="0"/>
              <w:spacing w:line="410" w:lineRule="exact"/>
              <w:jc w:val="center"/>
              <w:textAlignment w:val="baseline"/>
              <w:rPr>
                <w:rFonts w:hint="eastAsia" w:ascii="宋体" w:hAnsi="宋体"/>
                <w:szCs w:val="21"/>
              </w:rPr>
            </w:pPr>
            <w:r>
              <w:rPr>
                <w:rFonts w:hint="eastAsia" w:ascii="宋体" w:hAnsi="宋体"/>
                <w:b/>
                <w:szCs w:val="21"/>
              </w:rPr>
              <w:t>评审因素</w:t>
            </w:r>
          </w:p>
        </w:tc>
        <w:tc>
          <w:tcPr>
            <w:tcW w:w="6425" w:type="dxa"/>
            <w:tcBorders>
              <w:top w:val="single" w:color="auto" w:sz="4" w:space="0"/>
              <w:left w:val="single" w:color="auto" w:sz="4" w:space="0"/>
              <w:bottom w:val="single" w:color="auto" w:sz="4" w:space="0"/>
              <w:right w:val="single" w:color="auto" w:sz="4" w:space="0"/>
            </w:tcBorders>
            <w:vAlign w:val="center"/>
          </w:tcPr>
          <w:p w14:paraId="2EBA08E2">
            <w:pPr>
              <w:adjustRightInd w:val="0"/>
              <w:spacing w:line="410" w:lineRule="exact"/>
              <w:jc w:val="center"/>
              <w:textAlignment w:val="baseline"/>
              <w:rPr>
                <w:rFonts w:hint="eastAsia" w:ascii="宋体" w:hAnsi="宋体"/>
                <w:b/>
                <w:szCs w:val="21"/>
              </w:rPr>
            </w:pPr>
            <w:r>
              <w:rPr>
                <w:rFonts w:hint="eastAsia" w:ascii="宋体" w:hAnsi="宋体"/>
                <w:b/>
                <w:szCs w:val="21"/>
              </w:rPr>
              <w:t>评标标准</w:t>
            </w:r>
          </w:p>
        </w:tc>
      </w:tr>
      <w:tr w14:paraId="0369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6586092F">
            <w:pPr>
              <w:adjustRightInd w:val="0"/>
              <w:spacing w:line="360" w:lineRule="auto"/>
              <w:jc w:val="center"/>
              <w:textAlignment w:val="baseline"/>
              <w:rPr>
                <w:rFonts w:hint="eastAsia" w:ascii="宋体" w:hAnsi="宋体"/>
                <w:b/>
                <w:szCs w:val="21"/>
              </w:rPr>
            </w:pPr>
            <w:r>
              <w:rPr>
                <w:rFonts w:hint="eastAsia" w:ascii="宋体" w:hAnsi="宋体"/>
                <w:b/>
                <w:szCs w:val="21"/>
              </w:rPr>
              <w:t>1</w:t>
            </w:r>
          </w:p>
        </w:tc>
        <w:tc>
          <w:tcPr>
            <w:tcW w:w="1320" w:type="dxa"/>
            <w:tcBorders>
              <w:top w:val="single" w:color="auto" w:sz="4" w:space="0"/>
              <w:left w:val="single" w:color="auto" w:sz="4" w:space="0"/>
              <w:bottom w:val="single" w:color="auto" w:sz="4" w:space="0"/>
              <w:right w:val="single" w:color="auto" w:sz="4" w:space="0"/>
            </w:tcBorders>
            <w:vAlign w:val="center"/>
          </w:tcPr>
          <w:p w14:paraId="621B4290">
            <w:pPr>
              <w:adjustRightInd w:val="0"/>
              <w:spacing w:line="360" w:lineRule="auto"/>
              <w:jc w:val="center"/>
              <w:textAlignment w:val="baseline"/>
              <w:rPr>
                <w:rFonts w:hint="eastAsia" w:ascii="宋体" w:hAnsi="宋体"/>
                <w:b/>
                <w:szCs w:val="21"/>
              </w:rPr>
            </w:pPr>
            <w:r>
              <w:rPr>
                <w:rFonts w:hint="eastAsia" w:ascii="宋体" w:hAnsi="宋体"/>
                <w:b/>
                <w:szCs w:val="21"/>
              </w:rPr>
              <w:t>价格分</w:t>
            </w:r>
          </w:p>
          <w:p w14:paraId="4AD57D22">
            <w:pPr>
              <w:adjustRightInd w:val="0"/>
              <w:spacing w:line="360" w:lineRule="auto"/>
              <w:jc w:val="center"/>
              <w:textAlignment w:val="baseline"/>
              <w:rPr>
                <w:rFonts w:hint="eastAsia" w:ascii="宋体" w:hAnsi="宋体"/>
                <w:b/>
                <w:bCs/>
                <w:szCs w:val="21"/>
              </w:rPr>
            </w:pPr>
            <w:r>
              <w:rPr>
                <w:rFonts w:hint="eastAsia" w:ascii="宋体" w:hAnsi="宋体"/>
                <w:b/>
                <w:bCs/>
                <w:szCs w:val="21"/>
              </w:rPr>
              <w:t>（满分30分）</w:t>
            </w:r>
          </w:p>
        </w:tc>
        <w:tc>
          <w:tcPr>
            <w:tcW w:w="1180" w:type="dxa"/>
            <w:tcBorders>
              <w:top w:val="single" w:color="auto" w:sz="4" w:space="0"/>
              <w:left w:val="single" w:color="auto" w:sz="4" w:space="0"/>
              <w:bottom w:val="single" w:color="auto" w:sz="4" w:space="0"/>
              <w:right w:val="single" w:color="auto" w:sz="4" w:space="0"/>
            </w:tcBorders>
            <w:vAlign w:val="center"/>
          </w:tcPr>
          <w:p w14:paraId="7B2E4DA0">
            <w:pPr>
              <w:adjustRightInd w:val="0"/>
              <w:spacing w:line="360" w:lineRule="auto"/>
              <w:jc w:val="center"/>
              <w:textAlignment w:val="baseline"/>
              <w:rPr>
                <w:rFonts w:hint="eastAsia" w:ascii="宋体" w:hAnsi="宋体"/>
                <w:b/>
                <w:szCs w:val="21"/>
              </w:rPr>
            </w:pPr>
            <w:r>
              <w:rPr>
                <w:rFonts w:hint="eastAsia" w:ascii="宋体" w:hAnsi="宋体"/>
                <w:b/>
                <w:szCs w:val="21"/>
              </w:rPr>
              <w:t>投标报价</w:t>
            </w:r>
          </w:p>
        </w:tc>
        <w:tc>
          <w:tcPr>
            <w:tcW w:w="6425" w:type="dxa"/>
            <w:tcBorders>
              <w:top w:val="single" w:color="auto" w:sz="4" w:space="0"/>
              <w:left w:val="single" w:color="auto" w:sz="4" w:space="0"/>
              <w:bottom w:val="single" w:color="auto" w:sz="4" w:space="0"/>
              <w:right w:val="single" w:color="auto" w:sz="4" w:space="0"/>
            </w:tcBorders>
            <w:vAlign w:val="center"/>
          </w:tcPr>
          <w:p w14:paraId="3A64EFE2">
            <w:pPr>
              <w:snapToGrid w:val="0"/>
              <w:spacing w:line="360" w:lineRule="auto"/>
              <w:ind w:firstLine="233" w:firstLineChars="111"/>
              <w:rPr>
                <w:rFonts w:hint="eastAsia" w:ascii="宋体" w:hAnsi="宋体"/>
                <w:bCs/>
                <w:szCs w:val="21"/>
              </w:rPr>
            </w:pPr>
            <w:r>
              <w:rPr>
                <w:rFonts w:hint="eastAsia" w:ascii="宋体" w:hAnsi="宋体"/>
                <w:bCs/>
                <w:szCs w:val="21"/>
              </w:rPr>
              <w:t>（1）评标报价为投标人的投标报价进行政策性扣除后的价格，评标报价只是作为评标时使用。最终中标人的中标金额等于投标报价。</w:t>
            </w:r>
          </w:p>
          <w:p w14:paraId="4D537536">
            <w:pPr>
              <w:snapToGrid w:val="0"/>
              <w:spacing w:line="360" w:lineRule="auto"/>
              <w:ind w:firstLine="233" w:firstLineChars="111"/>
              <w:rPr>
                <w:rFonts w:hint="eastAsia" w:ascii="宋体" w:hAnsi="宋体"/>
                <w:bCs/>
                <w:szCs w:val="21"/>
              </w:rPr>
            </w:pPr>
            <w:r>
              <w:rPr>
                <w:rFonts w:hint="eastAsia" w:ascii="宋体" w:hAnsi="宋体"/>
                <w:bCs/>
                <w:szCs w:val="21"/>
              </w:rPr>
              <w:t>（2）政策性扣除计算方法。</w:t>
            </w:r>
          </w:p>
          <w:p w14:paraId="15C476BB">
            <w:pPr>
              <w:snapToGrid w:val="0"/>
              <w:spacing w:line="360" w:lineRule="auto"/>
              <w:ind w:firstLine="443" w:firstLineChars="211"/>
              <w:rPr>
                <w:rFonts w:hint="eastAsia" w:ascii="宋体" w:hAnsi="宋体"/>
                <w:szCs w:val="21"/>
              </w:rPr>
            </w:pPr>
            <w:r>
              <w:rPr>
                <w:rFonts w:hint="eastAsia" w:ascii="宋体" w:hAnsi="宋体"/>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范围为10%-20%）的扣除，扣除后的价格为评标报价，即评标报价=投标报价×（1-10 %）。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2D0B9CCE">
            <w:pPr>
              <w:snapToGrid w:val="0"/>
              <w:spacing w:line="360" w:lineRule="auto"/>
              <w:ind w:firstLine="233" w:firstLineChars="111"/>
              <w:rPr>
                <w:rFonts w:hint="eastAsia" w:ascii="宋体" w:hAnsi="宋体"/>
                <w:bCs/>
                <w:szCs w:val="21"/>
              </w:rPr>
            </w:pPr>
            <w:r>
              <w:rPr>
                <w:rFonts w:hint="eastAsia" w:ascii="宋体" w:hAnsi="宋体"/>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szCs w:val="21"/>
              </w:rPr>
              <w:t>监狱企业参加政府采购活动时，应当提供由省级以上监狱管理局、戒毒管理局（含新疆生产建设兵团）出具的属于监狱企业的证明文件。</w:t>
            </w:r>
            <w:r>
              <w:rPr>
                <w:rFonts w:hint="eastAsia" w:ascii="宋体" w:hAnsi="宋体"/>
                <w:bCs/>
                <w:szCs w:val="21"/>
              </w:rPr>
              <w:t>监狱企业属于小型、微型企业的，不重复享受政策。</w:t>
            </w:r>
          </w:p>
          <w:p w14:paraId="318B5F82">
            <w:pPr>
              <w:snapToGrid w:val="0"/>
              <w:spacing w:line="360" w:lineRule="auto"/>
              <w:ind w:firstLine="233" w:firstLineChars="111"/>
              <w:rPr>
                <w:rFonts w:hint="eastAsia" w:ascii="宋体" w:hAnsi="宋体"/>
                <w:bCs/>
                <w:szCs w:val="21"/>
              </w:rPr>
            </w:pPr>
            <w:r>
              <w:rPr>
                <w:rFonts w:hint="eastAsia" w:ascii="宋体" w:hAnsi="宋体"/>
                <w:szCs w:val="21"/>
              </w:rPr>
              <w:t>（4）按照</w:t>
            </w:r>
            <w:r>
              <w:rPr>
                <w:rFonts w:hint="eastAsia" w:ascii="宋体" w:hAnsi="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szCs w:val="21"/>
              </w:rPr>
              <w:t>残疾人福利性单位参加政府采购活动时，应当提供该通知规定的《残疾人福利性单位声明函》，并对声明的真实性负责。</w:t>
            </w:r>
            <w:r>
              <w:rPr>
                <w:rFonts w:hint="eastAsia" w:ascii="宋体" w:hAnsi="宋体"/>
                <w:bCs/>
                <w:szCs w:val="21"/>
              </w:rPr>
              <w:t>残疾人福利性单位属于小型、微型企业的，不重复享受政策。</w:t>
            </w:r>
          </w:p>
          <w:p w14:paraId="4ADBBB71">
            <w:pPr>
              <w:snapToGrid w:val="0"/>
              <w:spacing w:line="360" w:lineRule="auto"/>
              <w:ind w:firstLine="233" w:firstLineChars="111"/>
              <w:rPr>
                <w:rFonts w:hint="eastAsia" w:ascii="宋体" w:hAnsi="宋体"/>
                <w:bCs/>
                <w:szCs w:val="21"/>
              </w:rPr>
            </w:pPr>
            <w:r>
              <w:rPr>
                <w:rFonts w:hint="eastAsia" w:ascii="宋体" w:hAnsi="宋体"/>
                <w:bCs/>
                <w:szCs w:val="21"/>
              </w:rPr>
              <w:t>（5）满足招标文件要求且评标报价最低的评标报价为评标基准价，其价格分为满分。</w:t>
            </w:r>
          </w:p>
          <w:p w14:paraId="6AB2C73F">
            <w:pPr>
              <w:spacing w:line="360" w:lineRule="auto"/>
              <w:ind w:firstLine="233" w:firstLineChars="111"/>
              <w:rPr>
                <w:rFonts w:hint="eastAsia" w:ascii="宋体" w:hAnsi="宋体"/>
                <w:bCs/>
                <w:szCs w:val="21"/>
              </w:rPr>
            </w:pPr>
            <w:r>
              <w:rPr>
                <w:rFonts w:hint="eastAsia" w:ascii="宋体" w:hAnsi="宋体"/>
                <w:bCs/>
                <w:szCs w:val="21"/>
              </w:rPr>
              <w:t xml:space="preserve">（6）价格分计算公式：        </w:t>
            </w:r>
          </w:p>
          <w:p w14:paraId="6792BCFC">
            <w:pPr>
              <w:spacing w:line="360" w:lineRule="auto"/>
              <w:ind w:firstLine="233" w:firstLineChars="111"/>
              <w:rPr>
                <w:rFonts w:hint="eastAsia" w:ascii="宋体" w:hAnsi="宋体" w:cs="Courier New"/>
                <w:bCs/>
                <w:szCs w:val="21"/>
              </w:rPr>
            </w:pPr>
            <w:r>
              <w:rPr>
                <w:rFonts w:hint="eastAsia" w:ascii="宋体" w:hAnsi="宋体"/>
                <w:bCs/>
                <w:kern w:val="0"/>
                <w:szCs w:val="21"/>
              </w:rPr>
              <w:t>价格分</w:t>
            </w:r>
            <w:r>
              <w:rPr>
                <w:rFonts w:hint="eastAsia" w:ascii="宋体" w:hAnsi="宋体" w:cs="Courier New"/>
                <w:bCs/>
                <w:szCs w:val="21"/>
              </w:rPr>
              <w:t>=（评标基准价／评标报价）×</w:t>
            </w:r>
            <w:r>
              <w:rPr>
                <w:rFonts w:hint="eastAsia" w:ascii="宋体" w:hAnsi="宋体"/>
                <w:bCs/>
                <w:kern w:val="0"/>
                <w:szCs w:val="21"/>
              </w:rPr>
              <w:t>30</w:t>
            </w:r>
            <w:r>
              <w:rPr>
                <w:rFonts w:hint="eastAsia" w:ascii="宋体" w:hAnsi="宋体" w:cs="Courier New"/>
                <w:bCs/>
                <w:szCs w:val="21"/>
              </w:rPr>
              <w:t>分</w:t>
            </w:r>
          </w:p>
        </w:tc>
      </w:tr>
      <w:tr w14:paraId="3160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tcBorders>
              <w:top w:val="single" w:color="auto" w:sz="4" w:space="0"/>
              <w:left w:val="single" w:color="auto" w:sz="4" w:space="0"/>
              <w:right w:val="single" w:color="auto" w:sz="4" w:space="0"/>
            </w:tcBorders>
            <w:vAlign w:val="center"/>
          </w:tcPr>
          <w:p w14:paraId="705D2C9E">
            <w:pPr>
              <w:spacing w:after="120"/>
              <w:jc w:val="center"/>
              <w:rPr>
                <w:rFonts w:hint="eastAsia" w:ascii="宋体" w:hAnsi="宋体"/>
                <w:b/>
                <w:kern w:val="0"/>
                <w:sz w:val="24"/>
                <w:szCs w:val="21"/>
              </w:rPr>
            </w:pPr>
            <w:r>
              <w:rPr>
                <w:rFonts w:hint="eastAsia" w:ascii="宋体" w:hAnsi="宋体"/>
                <w:b/>
                <w:szCs w:val="21"/>
              </w:rPr>
              <w:t>2</w:t>
            </w:r>
          </w:p>
        </w:tc>
        <w:tc>
          <w:tcPr>
            <w:tcW w:w="1320" w:type="dxa"/>
            <w:vMerge w:val="restart"/>
            <w:tcBorders>
              <w:top w:val="single" w:color="auto" w:sz="4" w:space="0"/>
              <w:left w:val="single" w:color="auto" w:sz="4" w:space="0"/>
              <w:right w:val="single" w:color="auto" w:sz="4" w:space="0"/>
            </w:tcBorders>
            <w:vAlign w:val="center"/>
          </w:tcPr>
          <w:p w14:paraId="4185A27C">
            <w:pPr>
              <w:adjustRightInd w:val="0"/>
              <w:spacing w:line="360" w:lineRule="auto"/>
              <w:ind w:left="-105" w:leftChars="-50" w:right="-105" w:rightChars="-50"/>
              <w:jc w:val="center"/>
              <w:textAlignment w:val="baseline"/>
              <w:rPr>
                <w:rFonts w:hint="eastAsia" w:ascii="宋体" w:hAnsi="宋体"/>
                <w:b/>
                <w:bCs/>
                <w:szCs w:val="21"/>
              </w:rPr>
            </w:pPr>
            <w:r>
              <w:rPr>
                <w:rFonts w:hint="eastAsia" w:ascii="宋体" w:hAnsi="宋体"/>
                <w:b/>
                <w:bCs/>
                <w:szCs w:val="21"/>
              </w:rPr>
              <w:t>技术分</w:t>
            </w:r>
          </w:p>
          <w:p w14:paraId="3EB736E7">
            <w:pPr>
              <w:adjustRightInd w:val="0"/>
              <w:spacing w:line="360" w:lineRule="auto"/>
              <w:ind w:left="-105" w:leftChars="-50" w:right="-105" w:rightChars="-50"/>
              <w:jc w:val="center"/>
              <w:textAlignment w:val="baseline"/>
              <w:rPr>
                <w:rFonts w:hint="eastAsia" w:ascii="宋体" w:hAnsi="宋体"/>
                <w:spacing w:val="-18"/>
                <w:szCs w:val="21"/>
              </w:rPr>
            </w:pPr>
            <w:r>
              <w:rPr>
                <w:rFonts w:hint="eastAsia" w:ascii="宋体" w:hAnsi="宋体"/>
                <w:b/>
                <w:bCs/>
                <w:szCs w:val="21"/>
              </w:rPr>
              <w:t>（满48分）</w:t>
            </w:r>
          </w:p>
        </w:tc>
        <w:tc>
          <w:tcPr>
            <w:tcW w:w="1180" w:type="dxa"/>
            <w:tcBorders>
              <w:top w:val="single" w:color="auto" w:sz="4" w:space="0"/>
              <w:left w:val="single" w:color="auto" w:sz="4" w:space="0"/>
              <w:bottom w:val="single" w:color="auto" w:sz="4" w:space="0"/>
              <w:right w:val="single" w:color="auto" w:sz="4" w:space="0"/>
            </w:tcBorders>
            <w:vAlign w:val="center"/>
          </w:tcPr>
          <w:p w14:paraId="15C21D2E">
            <w:pPr>
              <w:adjustRightInd w:val="0"/>
              <w:spacing w:line="400" w:lineRule="exact"/>
              <w:jc w:val="center"/>
              <w:textAlignment w:val="baseline"/>
              <w:rPr>
                <w:rFonts w:hint="eastAsia" w:ascii="宋体" w:hAnsi="宋体"/>
                <w:b/>
                <w:szCs w:val="21"/>
                <w:u w:val="single"/>
              </w:rPr>
            </w:pPr>
            <w:r>
              <w:rPr>
                <w:rFonts w:hint="eastAsia" w:ascii="宋体" w:hAnsi="宋体"/>
                <w:bCs/>
              </w:rPr>
              <w:t>货物性能分</w:t>
            </w:r>
            <w:r>
              <w:rPr>
                <w:rFonts w:hint="eastAsia" w:ascii="宋体" w:hAnsi="宋体"/>
              </w:rPr>
              <w:t>（满分24分）</w:t>
            </w:r>
          </w:p>
        </w:tc>
        <w:tc>
          <w:tcPr>
            <w:tcW w:w="6425" w:type="dxa"/>
            <w:tcBorders>
              <w:top w:val="single" w:color="auto" w:sz="4" w:space="0"/>
              <w:left w:val="single" w:color="auto" w:sz="4" w:space="0"/>
              <w:bottom w:val="single" w:color="auto" w:sz="4" w:space="0"/>
              <w:right w:val="single" w:color="auto" w:sz="4" w:space="0"/>
            </w:tcBorders>
            <w:vAlign w:val="center"/>
          </w:tcPr>
          <w:p w14:paraId="6040CF5E">
            <w:pPr>
              <w:snapToGrid w:val="0"/>
              <w:spacing w:line="360" w:lineRule="auto"/>
              <w:ind w:firstLine="233" w:firstLineChars="111"/>
              <w:rPr>
                <w:rFonts w:hint="eastAsia" w:ascii="宋体" w:hAnsi="宋体" w:cs="Courier New"/>
                <w:b/>
              </w:rPr>
            </w:pPr>
            <w:r>
              <w:rPr>
                <w:rFonts w:hint="eastAsia" w:ascii="宋体" w:hAnsi="宋体"/>
                <w:szCs w:val="21"/>
              </w:rPr>
              <w:t>评委根据招标文件要求，对满足招标文件全部实质性要求进入详评的各投标人投标文件中对“技术要求”的投标响应情况进行独立评审，并按以下规则打分：投标文件的技术要求中无负偏离的得满分24分。非实质性要求（即未标注“▲”）的技术要求有负偏离的，得分=该项满分分值-累计扣分分值（如有任意一项非实质性要求的技术要求出现负偏离的扣3分，扣分不能超过满分分值，允许偏离的项目数不超过8项）。</w:t>
            </w:r>
          </w:p>
        </w:tc>
      </w:tr>
      <w:tr w14:paraId="4660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left w:val="single" w:color="auto" w:sz="4" w:space="0"/>
              <w:right w:val="single" w:color="auto" w:sz="4" w:space="0"/>
            </w:tcBorders>
            <w:vAlign w:val="center"/>
          </w:tcPr>
          <w:p w14:paraId="53FC699C">
            <w:pPr>
              <w:widowControl/>
              <w:jc w:val="left"/>
              <w:rPr>
                <w:rFonts w:hint="eastAsia" w:ascii="宋体" w:hAnsi="宋体"/>
                <w:b/>
                <w:kern w:val="0"/>
                <w:sz w:val="24"/>
                <w:szCs w:val="21"/>
              </w:rPr>
            </w:pPr>
          </w:p>
        </w:tc>
        <w:tc>
          <w:tcPr>
            <w:tcW w:w="1320" w:type="dxa"/>
            <w:vMerge w:val="continue"/>
            <w:tcBorders>
              <w:left w:val="single" w:color="auto" w:sz="4" w:space="0"/>
              <w:right w:val="single" w:color="auto" w:sz="4" w:space="0"/>
            </w:tcBorders>
            <w:vAlign w:val="center"/>
          </w:tcPr>
          <w:p w14:paraId="156C7159">
            <w:pPr>
              <w:widowControl/>
              <w:jc w:val="left"/>
              <w:rPr>
                <w:rFonts w:hint="eastAsia" w:ascii="宋体" w:hAnsi="宋体"/>
                <w:spacing w:val="-18"/>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7C45177B">
            <w:pPr>
              <w:adjustRightInd w:val="0"/>
              <w:spacing w:line="400" w:lineRule="exact"/>
              <w:jc w:val="center"/>
              <w:textAlignment w:val="baseline"/>
              <w:rPr>
                <w:rFonts w:hint="eastAsia" w:ascii="宋体" w:hAnsi="宋体" w:cs="宋体"/>
                <w:b/>
              </w:rPr>
            </w:pPr>
            <w:r>
              <w:rPr>
                <w:rFonts w:hint="eastAsia" w:ascii="宋体" w:hAnsi="宋体" w:cs="宋体"/>
                <w:szCs w:val="21"/>
              </w:rPr>
              <w:t>项目实施方案分（12分）</w:t>
            </w:r>
          </w:p>
        </w:tc>
        <w:tc>
          <w:tcPr>
            <w:tcW w:w="6425" w:type="dxa"/>
            <w:tcBorders>
              <w:top w:val="single" w:color="auto" w:sz="4" w:space="0"/>
              <w:left w:val="single" w:color="auto" w:sz="4" w:space="0"/>
              <w:bottom w:val="single" w:color="auto" w:sz="4" w:space="0"/>
              <w:right w:val="single" w:color="auto" w:sz="4" w:space="0"/>
            </w:tcBorders>
            <w:vAlign w:val="center"/>
          </w:tcPr>
          <w:p w14:paraId="01A2B3B6">
            <w:pPr>
              <w:snapToGrid w:val="0"/>
              <w:spacing w:line="360" w:lineRule="auto"/>
              <w:ind w:firstLine="233" w:firstLineChars="111"/>
              <w:rPr>
                <w:rFonts w:hint="eastAsia" w:ascii="宋体" w:hAnsi="宋体"/>
                <w:szCs w:val="21"/>
              </w:rPr>
            </w:pPr>
            <w:r>
              <w:rPr>
                <w:rFonts w:hint="eastAsia" w:ascii="宋体" w:hAnsi="宋体"/>
                <w:szCs w:val="21"/>
              </w:rPr>
              <w:t>根据供应商所提供的项目实施方案，包括①技术实施方案、②实施进度计划、③实施人员安排、④到货检验措施、⑤实施过程风险和难点分析控制措施、⑥质量保障措施、⑦安装测试和试运行方案、⑧培训方案、</w:t>
            </w:r>
            <w:r>
              <w:rPr>
                <w:rFonts w:ascii="宋体" w:hAnsi="宋体"/>
                <w:szCs w:val="21"/>
              </w:rPr>
              <w:t>⑨</w:t>
            </w:r>
            <w:r>
              <w:rPr>
                <w:rFonts w:hint="eastAsia" w:ascii="宋体" w:hAnsi="宋体"/>
                <w:szCs w:val="21"/>
              </w:rPr>
              <w:t>验收方案、</w:t>
            </w:r>
            <w:r>
              <w:rPr>
                <w:rFonts w:ascii="宋体" w:hAnsi="宋体"/>
                <w:szCs w:val="21"/>
              </w:rPr>
              <w:t>⑩</w:t>
            </w:r>
            <w:r>
              <w:rPr>
                <w:rFonts w:hint="eastAsia" w:ascii="宋体" w:hAnsi="宋体"/>
                <w:szCs w:val="21"/>
              </w:rPr>
              <w:t>资料移交等方案的完整性、可行性等方面情况后综合评定独立打分。（其中①、②、⑥点为核心项）</w:t>
            </w:r>
          </w:p>
          <w:p w14:paraId="59D5017E">
            <w:pPr>
              <w:snapToGrid w:val="0"/>
              <w:spacing w:line="360" w:lineRule="auto"/>
              <w:ind w:firstLine="233" w:firstLineChars="111"/>
              <w:rPr>
                <w:rFonts w:hint="eastAsia" w:ascii="宋体" w:hAnsi="宋体"/>
                <w:szCs w:val="21"/>
              </w:rPr>
            </w:pPr>
            <w:r>
              <w:rPr>
                <w:rFonts w:hint="eastAsia" w:ascii="宋体" w:hAnsi="宋体"/>
                <w:szCs w:val="21"/>
              </w:rPr>
              <w:t>一档（4分）：仅</w:t>
            </w:r>
            <w:r>
              <w:rPr>
                <w:rFonts w:ascii="宋体" w:hAnsi="宋体"/>
                <w:szCs w:val="21"/>
                <w:lang w:val="en"/>
              </w:rPr>
              <w:t>包含≤3项内容，且未覆盖核心项</w:t>
            </w:r>
            <w:r>
              <w:rPr>
                <w:rFonts w:hint="eastAsia" w:ascii="宋体" w:hAnsi="宋体"/>
                <w:szCs w:val="21"/>
              </w:rPr>
              <w:t>，表述基本清晰；</w:t>
            </w:r>
          </w:p>
          <w:p w14:paraId="5BA71757">
            <w:pPr>
              <w:snapToGrid w:val="0"/>
              <w:spacing w:line="360" w:lineRule="auto"/>
              <w:ind w:firstLine="233" w:firstLineChars="111"/>
              <w:rPr>
                <w:rFonts w:hint="eastAsia" w:ascii="宋体" w:hAnsi="宋体"/>
                <w:szCs w:val="21"/>
              </w:rPr>
            </w:pPr>
            <w:r>
              <w:rPr>
                <w:rFonts w:hint="eastAsia" w:ascii="宋体" w:hAnsi="宋体"/>
                <w:szCs w:val="21"/>
              </w:rPr>
              <w:t>二档（8分）：</w:t>
            </w:r>
            <w:r>
              <w:rPr>
                <w:rFonts w:ascii="宋体" w:hAnsi="宋体"/>
                <w:szCs w:val="21"/>
                <w:lang w:val="en"/>
              </w:rPr>
              <w:t>包含4-7项内容，覆盖至少 2 项核心项；各项表述清晰，具有基本可行性</w:t>
            </w:r>
            <w:r>
              <w:rPr>
                <w:rFonts w:hint="eastAsia" w:ascii="宋体" w:hAnsi="宋体"/>
                <w:szCs w:val="21"/>
              </w:rPr>
              <w:t>；</w:t>
            </w:r>
          </w:p>
          <w:p w14:paraId="34373E5F">
            <w:pPr>
              <w:snapToGrid w:val="0"/>
              <w:spacing w:line="360" w:lineRule="auto"/>
              <w:ind w:firstLine="233" w:firstLineChars="111"/>
              <w:jc w:val="left"/>
              <w:rPr>
                <w:rFonts w:hint="eastAsia" w:ascii="宋体" w:hAnsi="宋体"/>
                <w:szCs w:val="21"/>
              </w:rPr>
            </w:pPr>
            <w:r>
              <w:rPr>
                <w:rFonts w:hint="eastAsia" w:ascii="宋体" w:hAnsi="宋体"/>
                <w:szCs w:val="21"/>
              </w:rPr>
              <w:t>三档（12分）：</w:t>
            </w:r>
            <w:r>
              <w:rPr>
                <w:rFonts w:ascii="宋体" w:hAnsi="宋体"/>
                <w:szCs w:val="21"/>
                <w:lang w:val="en"/>
              </w:rPr>
              <w:t>包含8-10项内容，覆盖全部核心项；各项表述详细、逻辑严谨，可行性强（如进度计划有明确节点，风险措施具体可落地）。</w:t>
            </w:r>
            <w:r>
              <w:rPr>
                <w:rFonts w:hint="eastAsia" w:ascii="宋体" w:hAnsi="宋体"/>
                <w:szCs w:val="21"/>
              </w:rPr>
              <w:t>提供了不少于5名项目实施人员，拟投入本项目实施的人员至少有1人具有系统集成项目管理工程师证书或网络工程师证书。</w:t>
            </w:r>
          </w:p>
        </w:tc>
      </w:tr>
      <w:tr w14:paraId="32D6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left w:val="single" w:color="auto" w:sz="4" w:space="0"/>
              <w:bottom w:val="single" w:color="auto" w:sz="4" w:space="0"/>
              <w:right w:val="single" w:color="auto" w:sz="4" w:space="0"/>
            </w:tcBorders>
            <w:vAlign w:val="center"/>
          </w:tcPr>
          <w:p w14:paraId="0116547F">
            <w:pPr>
              <w:widowControl/>
              <w:jc w:val="left"/>
              <w:rPr>
                <w:rFonts w:hint="eastAsia" w:ascii="宋体" w:hAnsi="宋体"/>
                <w:b/>
                <w:kern w:val="0"/>
                <w:sz w:val="24"/>
                <w:szCs w:val="21"/>
              </w:rPr>
            </w:pPr>
          </w:p>
        </w:tc>
        <w:tc>
          <w:tcPr>
            <w:tcW w:w="1320" w:type="dxa"/>
            <w:vMerge w:val="continue"/>
            <w:tcBorders>
              <w:left w:val="single" w:color="auto" w:sz="4" w:space="0"/>
              <w:bottom w:val="single" w:color="auto" w:sz="4" w:space="0"/>
              <w:right w:val="single" w:color="auto" w:sz="4" w:space="0"/>
            </w:tcBorders>
            <w:vAlign w:val="center"/>
          </w:tcPr>
          <w:p w14:paraId="50B433A0">
            <w:pPr>
              <w:widowControl/>
              <w:jc w:val="left"/>
              <w:rPr>
                <w:rFonts w:hint="eastAsia" w:ascii="宋体" w:hAnsi="宋体"/>
                <w:spacing w:val="-18"/>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2C2D5067">
            <w:pPr>
              <w:adjustRightInd w:val="0"/>
              <w:spacing w:line="400" w:lineRule="exact"/>
              <w:jc w:val="center"/>
              <w:textAlignment w:val="baseline"/>
              <w:rPr>
                <w:rFonts w:hint="eastAsia" w:ascii="宋体" w:hAnsi="宋体" w:cs="宋体"/>
                <w:bCs/>
              </w:rPr>
            </w:pPr>
            <w:r>
              <w:rPr>
                <w:rFonts w:hint="eastAsia" w:ascii="宋体" w:hAnsi="宋体" w:cs="宋体"/>
                <w:szCs w:val="21"/>
              </w:rPr>
              <w:t>售后服务方案分（12分）</w:t>
            </w:r>
          </w:p>
        </w:tc>
        <w:tc>
          <w:tcPr>
            <w:tcW w:w="6425" w:type="dxa"/>
            <w:tcBorders>
              <w:top w:val="single" w:color="auto" w:sz="4" w:space="0"/>
              <w:left w:val="single" w:color="auto" w:sz="4" w:space="0"/>
              <w:bottom w:val="single" w:color="auto" w:sz="4" w:space="0"/>
              <w:right w:val="single" w:color="auto" w:sz="4" w:space="0"/>
            </w:tcBorders>
            <w:vAlign w:val="center"/>
          </w:tcPr>
          <w:p w14:paraId="61724519">
            <w:pPr>
              <w:snapToGrid w:val="0"/>
              <w:spacing w:line="360" w:lineRule="auto"/>
              <w:ind w:firstLine="233" w:firstLineChars="111"/>
              <w:rPr>
                <w:rFonts w:hint="eastAsia" w:ascii="宋体" w:hAnsi="宋体" w:cs="宋体"/>
                <w:szCs w:val="21"/>
              </w:rPr>
            </w:pPr>
            <w:r>
              <w:rPr>
                <w:rFonts w:hint="eastAsia" w:ascii="宋体" w:hAnsi="宋体" w:cs="宋体"/>
                <w:szCs w:val="21"/>
              </w:rPr>
              <w:t>根据供应商提供的售后服务方案的内容(包含但不限于：①质保期、②到达故障现场时间、③故障出现解决方案、④定期维护(注明时间)、⑤技术培训方案、⑥质保期外维修方案、⑦本地化售后服务措施、⑧其它优惠方案等方面)由评委在相应的档次内独立打分。（其中①、③、⑤点为核心项）</w:t>
            </w:r>
          </w:p>
          <w:p w14:paraId="77D1CD6F">
            <w:pPr>
              <w:snapToGrid w:val="0"/>
              <w:spacing w:line="360" w:lineRule="auto"/>
              <w:ind w:firstLine="233" w:firstLineChars="111"/>
              <w:rPr>
                <w:rFonts w:hint="eastAsia" w:ascii="宋体" w:hAnsi="宋体" w:cs="宋体"/>
                <w:szCs w:val="21"/>
              </w:rPr>
            </w:pPr>
            <w:r>
              <w:rPr>
                <w:rFonts w:hint="eastAsia" w:ascii="宋体" w:hAnsi="宋体" w:cs="宋体"/>
                <w:szCs w:val="21"/>
              </w:rPr>
              <w:t>一档（4分）：仅</w:t>
            </w:r>
            <w:r>
              <w:rPr>
                <w:rFonts w:hint="eastAsia" w:ascii="宋体" w:hAnsi="宋体" w:cs="宋体"/>
                <w:szCs w:val="21"/>
                <w:lang w:val="en"/>
              </w:rPr>
              <w:t>包含≤2项内容，且未覆盖核心项</w:t>
            </w:r>
            <w:r>
              <w:rPr>
                <w:rFonts w:hint="eastAsia" w:ascii="宋体" w:hAnsi="宋体" w:cs="宋体"/>
                <w:szCs w:val="21"/>
              </w:rPr>
              <w:t>，表述基本清晰；</w:t>
            </w:r>
          </w:p>
          <w:p w14:paraId="46C3171B">
            <w:pPr>
              <w:snapToGrid w:val="0"/>
              <w:spacing w:line="360" w:lineRule="auto"/>
              <w:ind w:firstLine="233" w:firstLineChars="111"/>
              <w:rPr>
                <w:rFonts w:hint="eastAsia" w:ascii="宋体" w:hAnsi="宋体" w:cs="宋体"/>
                <w:szCs w:val="21"/>
              </w:rPr>
            </w:pPr>
            <w:r>
              <w:rPr>
                <w:rFonts w:hint="eastAsia" w:ascii="宋体" w:hAnsi="宋体" w:cs="宋体"/>
                <w:szCs w:val="21"/>
              </w:rPr>
              <w:t>二档（8分）：</w:t>
            </w:r>
            <w:r>
              <w:rPr>
                <w:rFonts w:hint="eastAsia" w:ascii="宋体" w:hAnsi="宋体" w:cs="宋体"/>
                <w:szCs w:val="21"/>
                <w:lang w:val="en"/>
              </w:rPr>
              <w:t>包含4-6项内容，覆盖至少 2 项核心项；各项表述清晰，具有基本可行性</w:t>
            </w:r>
            <w:r>
              <w:rPr>
                <w:rFonts w:hint="eastAsia" w:ascii="宋体" w:hAnsi="宋体" w:cs="宋体"/>
                <w:szCs w:val="21"/>
              </w:rPr>
              <w:t>；</w:t>
            </w:r>
          </w:p>
          <w:p w14:paraId="455A4358">
            <w:pPr>
              <w:snapToGrid w:val="0"/>
              <w:spacing w:line="360" w:lineRule="auto"/>
              <w:ind w:firstLine="233" w:firstLineChars="111"/>
              <w:jc w:val="left"/>
              <w:rPr>
                <w:rFonts w:hint="eastAsia" w:ascii="宋体" w:hAnsi="宋体" w:cs="宋体"/>
                <w:szCs w:val="21"/>
              </w:rPr>
            </w:pPr>
            <w:r>
              <w:rPr>
                <w:rFonts w:hint="eastAsia" w:ascii="宋体" w:hAnsi="宋体" w:cs="宋体"/>
                <w:szCs w:val="21"/>
              </w:rPr>
              <w:t>三档（12分）：</w:t>
            </w:r>
            <w:r>
              <w:rPr>
                <w:rFonts w:hint="eastAsia" w:ascii="宋体" w:hAnsi="宋体" w:cs="宋体"/>
                <w:szCs w:val="21"/>
                <w:lang w:val="en"/>
              </w:rPr>
              <w:t>包含7-8项内容，覆盖全部核心项；各项表述详细、逻辑严谨，可行性强</w:t>
            </w:r>
            <w:r>
              <w:rPr>
                <w:rFonts w:hint="eastAsia" w:ascii="宋体" w:hAnsi="宋体" w:cs="宋体"/>
                <w:szCs w:val="21"/>
              </w:rPr>
              <w:t>。</w:t>
            </w:r>
          </w:p>
        </w:tc>
      </w:tr>
      <w:tr w14:paraId="5B84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672CC146">
            <w:pPr>
              <w:adjustRightInd w:val="0"/>
              <w:spacing w:line="360" w:lineRule="auto"/>
              <w:jc w:val="center"/>
              <w:textAlignment w:val="baseline"/>
              <w:rPr>
                <w:rFonts w:hint="eastAsia" w:ascii="宋体" w:hAnsi="宋体"/>
                <w:b/>
                <w:szCs w:val="21"/>
              </w:rPr>
            </w:pPr>
            <w:r>
              <w:rPr>
                <w:rFonts w:hint="eastAsia" w:ascii="宋体" w:hAnsi="宋体"/>
                <w:b/>
                <w:szCs w:val="21"/>
              </w:rPr>
              <w:t>3</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3AFF7624">
            <w:pPr>
              <w:adjustRightInd w:val="0"/>
              <w:spacing w:line="360" w:lineRule="auto"/>
              <w:ind w:left="-105" w:leftChars="-50" w:right="-105" w:rightChars="-50"/>
              <w:jc w:val="center"/>
              <w:textAlignment w:val="baseline"/>
              <w:rPr>
                <w:rFonts w:hint="eastAsia" w:ascii="宋体" w:hAnsi="宋体"/>
                <w:b/>
                <w:bCs/>
                <w:szCs w:val="21"/>
              </w:rPr>
            </w:pPr>
            <w:r>
              <w:rPr>
                <w:rFonts w:hint="eastAsia" w:ascii="宋体" w:hAnsi="宋体"/>
                <w:b/>
                <w:bCs/>
                <w:szCs w:val="21"/>
              </w:rPr>
              <w:t>商务分</w:t>
            </w:r>
          </w:p>
          <w:p w14:paraId="75642981">
            <w:pPr>
              <w:adjustRightInd w:val="0"/>
              <w:spacing w:line="360" w:lineRule="auto"/>
              <w:ind w:left="-105" w:leftChars="-50" w:right="-105" w:rightChars="-50"/>
              <w:jc w:val="center"/>
              <w:textAlignment w:val="baseline"/>
              <w:rPr>
                <w:rFonts w:hint="eastAsia" w:ascii="宋体" w:hAnsi="宋体"/>
                <w:b/>
                <w:bCs/>
                <w:szCs w:val="21"/>
              </w:rPr>
            </w:pPr>
            <w:r>
              <w:rPr>
                <w:rFonts w:hint="eastAsia" w:ascii="宋体" w:hAnsi="宋体"/>
                <w:b/>
                <w:bCs/>
                <w:szCs w:val="21"/>
              </w:rPr>
              <w:t>（满22分）</w:t>
            </w:r>
          </w:p>
        </w:tc>
        <w:tc>
          <w:tcPr>
            <w:tcW w:w="1180" w:type="dxa"/>
            <w:tcBorders>
              <w:top w:val="single" w:color="auto" w:sz="4" w:space="0"/>
              <w:left w:val="single" w:color="auto" w:sz="4" w:space="0"/>
              <w:right w:val="single" w:color="auto" w:sz="4" w:space="0"/>
            </w:tcBorders>
            <w:vAlign w:val="center"/>
          </w:tcPr>
          <w:p w14:paraId="1E991F52">
            <w:pPr>
              <w:adjustRightInd w:val="0"/>
              <w:spacing w:line="360" w:lineRule="auto"/>
              <w:jc w:val="center"/>
              <w:textAlignment w:val="baseline"/>
              <w:rPr>
                <w:rFonts w:hint="eastAsia" w:ascii="宋体" w:hAnsi="宋体" w:cs="宋体"/>
              </w:rPr>
            </w:pPr>
            <w:r>
              <w:rPr>
                <w:rFonts w:hint="eastAsia" w:ascii="宋体" w:hAnsi="宋体" w:cs="宋体"/>
                <w:szCs w:val="21"/>
              </w:rPr>
              <w:t>履约能力分（10分）</w:t>
            </w:r>
          </w:p>
        </w:tc>
        <w:tc>
          <w:tcPr>
            <w:tcW w:w="6425" w:type="dxa"/>
            <w:tcBorders>
              <w:top w:val="single" w:color="auto" w:sz="4" w:space="0"/>
              <w:left w:val="single" w:color="auto" w:sz="4" w:space="0"/>
              <w:bottom w:val="single" w:color="auto" w:sz="4" w:space="0"/>
              <w:right w:val="single" w:color="auto" w:sz="4" w:space="0"/>
            </w:tcBorders>
            <w:vAlign w:val="center"/>
          </w:tcPr>
          <w:p w14:paraId="73533E2A">
            <w:pPr>
              <w:adjustRightInd w:val="0"/>
              <w:spacing w:line="360" w:lineRule="auto"/>
              <w:textAlignment w:val="baseline"/>
              <w:rPr>
                <w:rFonts w:hint="eastAsia" w:ascii="宋体" w:hAnsi="宋体"/>
              </w:rPr>
            </w:pPr>
            <w:r>
              <w:rPr>
                <w:rFonts w:hint="eastAsia" w:ascii="宋体" w:hAnsi="宋体" w:cs="宋体"/>
                <w:szCs w:val="21"/>
              </w:rPr>
              <w:t>投标人通过ISO9001质量管理体系认证、ISO14001环境管理体系认证、ISO45001职业健康安全管理体系认证、ISO20000信息技术服务管理体系认证、ISO27001信息安全管理体系认证、，投标时提供证书复印件并加盖投标人（CA签章）的，每提供1份得2分，满分10分。</w:t>
            </w:r>
          </w:p>
        </w:tc>
      </w:tr>
      <w:tr w14:paraId="4FF8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FACA17B">
            <w:pPr>
              <w:widowControl/>
              <w:jc w:val="left"/>
              <w:rPr>
                <w:rFonts w:hint="eastAsia" w:ascii="宋体" w:hAnsi="宋体"/>
                <w:b/>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6CBB96FD">
            <w:pPr>
              <w:widowControl/>
              <w:jc w:val="left"/>
              <w:rPr>
                <w:rFonts w:hint="eastAsia" w:ascii="宋体" w:hAnsi="宋体"/>
                <w:b/>
                <w:bCs/>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739C67A9">
            <w:pPr>
              <w:spacing w:line="410" w:lineRule="exact"/>
              <w:jc w:val="center"/>
              <w:rPr>
                <w:rFonts w:hint="eastAsia" w:ascii="宋体" w:hAnsi="宋体" w:cs="宋体"/>
                <w:szCs w:val="21"/>
              </w:rPr>
            </w:pPr>
            <w:r>
              <w:rPr>
                <w:rFonts w:hint="eastAsia" w:ascii="宋体" w:hAnsi="宋体" w:cs="宋体"/>
                <w:szCs w:val="21"/>
              </w:rPr>
              <w:t>信誉业绩</w:t>
            </w:r>
          </w:p>
          <w:p w14:paraId="5241B30F">
            <w:pPr>
              <w:adjustRightInd w:val="0"/>
              <w:spacing w:line="360" w:lineRule="auto"/>
              <w:jc w:val="center"/>
              <w:textAlignment w:val="baseline"/>
              <w:rPr>
                <w:rFonts w:hint="eastAsia" w:ascii="宋体" w:hAnsi="宋体" w:cs="宋体"/>
              </w:rPr>
            </w:pPr>
            <w:r>
              <w:rPr>
                <w:rFonts w:hint="eastAsia" w:ascii="宋体" w:hAnsi="宋体" w:cs="宋体"/>
              </w:rPr>
              <w:t>（满分10分）</w:t>
            </w:r>
          </w:p>
        </w:tc>
        <w:tc>
          <w:tcPr>
            <w:tcW w:w="6425" w:type="dxa"/>
            <w:tcBorders>
              <w:top w:val="single" w:color="auto" w:sz="4" w:space="0"/>
              <w:left w:val="single" w:color="auto" w:sz="4" w:space="0"/>
              <w:bottom w:val="single" w:color="auto" w:sz="4" w:space="0"/>
              <w:right w:val="single" w:color="auto" w:sz="4" w:space="0"/>
            </w:tcBorders>
            <w:vAlign w:val="center"/>
          </w:tcPr>
          <w:p w14:paraId="3D7F193F">
            <w:pPr>
              <w:adjustRightInd w:val="0"/>
              <w:spacing w:line="360" w:lineRule="auto"/>
              <w:textAlignment w:val="baseline"/>
              <w:rPr>
                <w:rFonts w:hint="eastAsia" w:ascii="宋体" w:hAnsi="宋体"/>
                <w:b/>
                <w:bCs/>
                <w:szCs w:val="21"/>
              </w:rPr>
            </w:pPr>
            <w:r>
              <w:rPr>
                <w:rFonts w:hint="eastAsia" w:ascii="宋体" w:hAnsi="宋体" w:cs="宋体"/>
                <w:szCs w:val="21"/>
              </w:rPr>
              <w:t>投标人2022年1月1日至今承接的同类业绩【同一个编号的项目有两个或两个以上的分标中标的只算1个项目业绩。投标人于投标文件中提供以下相关证明材料并加盖投标人公章，否则不予计分：①项目中标/成交通知书（能清晰反映中标/成交标的或产品信息）或</w:t>
            </w:r>
            <w:bookmarkStart w:id="140" w:name="OLE_LINK2"/>
            <w:r>
              <w:rPr>
                <w:rFonts w:hint="eastAsia" w:ascii="宋体" w:hAnsi="宋体" w:cs="宋体"/>
                <w:szCs w:val="21"/>
              </w:rPr>
              <w:t>项目合同封面及关键页（能清晰反映合同标的或产品信息）</w:t>
            </w:r>
            <w:bookmarkEnd w:id="140"/>
            <w:r>
              <w:rPr>
                <w:rFonts w:hint="eastAsia" w:ascii="宋体" w:hAnsi="宋体" w:cs="宋体"/>
                <w:szCs w:val="21"/>
              </w:rPr>
              <w:t>；②合同对方当事人的名称、联系人和联系方式】，每提供1个业绩，得2分，满分10分。</w:t>
            </w:r>
          </w:p>
        </w:tc>
      </w:tr>
      <w:tr w14:paraId="1A55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4D6A742">
            <w:pPr>
              <w:widowControl/>
              <w:jc w:val="left"/>
              <w:rPr>
                <w:rFonts w:hint="eastAsia" w:ascii="宋体" w:hAnsi="宋体"/>
                <w:b/>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39DB39FC">
            <w:pPr>
              <w:widowControl/>
              <w:jc w:val="left"/>
              <w:rPr>
                <w:rFonts w:hint="eastAsia" w:ascii="宋体" w:hAnsi="宋体"/>
                <w:b/>
                <w:bCs/>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2A4C5C6E">
            <w:pPr>
              <w:adjustRightInd w:val="0"/>
              <w:spacing w:line="360" w:lineRule="auto"/>
              <w:jc w:val="center"/>
              <w:textAlignment w:val="baseline"/>
              <w:rPr>
                <w:rFonts w:hint="eastAsia" w:ascii="宋体" w:hAnsi="宋体"/>
              </w:rPr>
            </w:pPr>
            <w:r>
              <w:rPr>
                <w:rFonts w:hint="eastAsia" w:ascii="宋体" w:hAnsi="宋体"/>
                <w:szCs w:val="21"/>
              </w:rPr>
              <w:t>政策功能分（满分</w:t>
            </w:r>
            <w:r>
              <w:rPr>
                <w:rFonts w:ascii="宋体" w:hAnsi="宋体"/>
                <w:szCs w:val="21"/>
              </w:rPr>
              <w:t>2</w:t>
            </w:r>
            <w:r>
              <w:rPr>
                <w:rFonts w:hint="eastAsia" w:ascii="宋体" w:hAnsi="宋体"/>
                <w:szCs w:val="21"/>
              </w:rPr>
              <w:t>分）</w:t>
            </w:r>
          </w:p>
        </w:tc>
        <w:tc>
          <w:tcPr>
            <w:tcW w:w="6425" w:type="dxa"/>
            <w:tcBorders>
              <w:top w:val="single" w:color="auto" w:sz="4" w:space="0"/>
              <w:left w:val="single" w:color="auto" w:sz="4" w:space="0"/>
              <w:bottom w:val="single" w:color="auto" w:sz="4" w:space="0"/>
              <w:right w:val="single" w:color="auto" w:sz="4" w:space="0"/>
            </w:tcBorders>
            <w:vAlign w:val="center"/>
          </w:tcPr>
          <w:p w14:paraId="4E82A04E">
            <w:pPr>
              <w:adjustRightInd w:val="0"/>
              <w:spacing w:line="360" w:lineRule="auto"/>
              <w:textAlignment w:val="baseline"/>
              <w:rPr>
                <w:rFonts w:hint="eastAsia" w:ascii="宋体" w:hAnsi="宋体"/>
                <w:b/>
                <w:szCs w:val="21"/>
              </w:rPr>
            </w:pPr>
            <w:r>
              <w:rPr>
                <w:rFonts w:hint="eastAsia" w:ascii="宋体" w:hAnsi="宋体"/>
                <w:b/>
                <w:szCs w:val="21"/>
              </w:rPr>
              <w:t>节能、环境标志产品</w:t>
            </w:r>
          </w:p>
          <w:p w14:paraId="044CC0F5">
            <w:pPr>
              <w:spacing w:line="360" w:lineRule="auto"/>
              <w:rPr>
                <w:rFonts w:hint="eastAsia" w:ascii="宋体" w:hAnsi="宋体" w:cs="Courier New"/>
                <w:bCs/>
                <w:szCs w:val="21"/>
              </w:rPr>
            </w:pPr>
            <w:r>
              <w:rPr>
                <w:rFonts w:hint="eastAsia" w:ascii="宋体" w:hAnsi="宋体" w:cs="Courier New"/>
                <w:bCs/>
                <w:szCs w:val="21"/>
              </w:rPr>
              <w:t>（1）属于财政部《节能产品政府采购品目清单》内优先采购（清单内未标注“★”的品目）的产品[投标文件中提供国家确定的认证机构出具的、处于有效期之内的认证证书复印件及品目清单（标注出投标产品在品目清单中所属的品目），并加盖投标人电子签章]，根据其所占项目报价比例得0-1分。</w:t>
            </w:r>
          </w:p>
          <w:p w14:paraId="0F932AB5">
            <w:pPr>
              <w:spacing w:line="360" w:lineRule="auto"/>
              <w:rPr>
                <w:rFonts w:hint="eastAsia" w:ascii="宋体" w:hAnsi="宋体" w:cs="Courier New"/>
                <w:bCs/>
                <w:szCs w:val="21"/>
              </w:rPr>
            </w:pPr>
            <w:r>
              <w:rPr>
                <w:rFonts w:hint="eastAsia" w:ascii="宋体" w:hAnsi="宋体" w:cs="Courier New"/>
                <w:bCs/>
                <w:szCs w:val="21"/>
              </w:rPr>
              <w:t>（2）属于财政部《环境标志产品政府采购品目清单》内的产品[投标文件中提供国家确定的认证机构出具的、处于有效期之内的认证证书复印件及品目清单（标注出投标产品在品目清单中所属的品目），并加盖投标人电子签章]，根据其所占项目报价比例得0-1分；</w:t>
            </w:r>
          </w:p>
          <w:p w14:paraId="1BDA21F8">
            <w:pPr>
              <w:spacing w:after="120" w:line="360" w:lineRule="auto"/>
              <w:rPr>
                <w:kern w:val="0"/>
                <w:sz w:val="24"/>
              </w:rPr>
            </w:pPr>
            <w:r>
              <w:rPr>
                <w:rFonts w:hint="eastAsia" w:ascii="宋体" w:hAnsi="宋体" w:cs="宋体"/>
                <w:bCs/>
              </w:rPr>
              <w:t>（3）非节能、环境标志产品的不得分。</w:t>
            </w:r>
          </w:p>
        </w:tc>
      </w:tr>
      <w:tr w14:paraId="3654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6E83189C">
            <w:pPr>
              <w:spacing w:line="360" w:lineRule="auto"/>
              <w:ind w:firstLine="420"/>
              <w:rPr>
                <w:rFonts w:hint="eastAsia" w:ascii="宋体" w:hAnsi="宋体" w:cs="Courier New"/>
                <w:bCs/>
                <w:szCs w:val="21"/>
              </w:rPr>
            </w:pPr>
            <w:r>
              <w:rPr>
                <w:rFonts w:hint="eastAsia" w:ascii="宋体" w:hAnsi="宋体" w:cs="Courier New"/>
                <w:b/>
                <w:bCs/>
                <w:szCs w:val="21"/>
              </w:rPr>
              <w:t>总得分=1+2+3。</w:t>
            </w:r>
          </w:p>
        </w:tc>
      </w:tr>
    </w:tbl>
    <w:p w14:paraId="78095610">
      <w:pPr>
        <w:pStyle w:val="25"/>
        <w:spacing w:line="360" w:lineRule="auto"/>
        <w:rPr>
          <w:rFonts w:hint="eastAsia" w:hAnsi="宋体"/>
          <w:bCs/>
          <w:sz w:val="21"/>
        </w:rPr>
      </w:pPr>
    </w:p>
    <w:p w14:paraId="721FB592">
      <w:pPr>
        <w:pStyle w:val="25"/>
        <w:spacing w:line="360" w:lineRule="auto"/>
        <w:ind w:firstLine="420"/>
        <w:rPr>
          <w:rFonts w:hint="eastAsia" w:hAnsi="宋体"/>
          <w:bCs/>
          <w:sz w:val="21"/>
        </w:rPr>
      </w:pPr>
      <w:r>
        <w:rPr>
          <w:rFonts w:hint="eastAsia" w:hAnsi="宋体"/>
          <w:bCs/>
          <w:sz w:val="21"/>
        </w:rPr>
        <w:t>注：计分方法按四舍五入取至百分位</w:t>
      </w:r>
    </w:p>
    <w:p w14:paraId="09388C55">
      <w:pPr>
        <w:jc w:val="center"/>
        <w:rPr>
          <w:rFonts w:hint="eastAsia" w:hAnsi="宋体"/>
        </w:rPr>
      </w:pPr>
    </w:p>
    <w:p w14:paraId="1E610EA4">
      <w:pPr>
        <w:pStyle w:val="5"/>
        <w:keepNext w:val="0"/>
        <w:keepLines w:val="0"/>
        <w:jc w:val="center"/>
        <w:rPr>
          <w:sz w:val="30"/>
          <w:szCs w:val="30"/>
        </w:rPr>
      </w:pPr>
      <w:r>
        <w:rPr>
          <w:rFonts w:hint="eastAsia"/>
          <w:sz w:val="30"/>
          <w:szCs w:val="30"/>
        </w:rPr>
        <w:t>四、中标候选人推荐</w:t>
      </w:r>
    </w:p>
    <w:p w14:paraId="25C3883E">
      <w:pPr>
        <w:pStyle w:val="25"/>
        <w:spacing w:line="360" w:lineRule="auto"/>
        <w:contextualSpacing/>
        <w:rPr>
          <w:rFonts w:hint="eastAsia" w:hAnsi="宋体"/>
          <w:b/>
          <w:bCs/>
          <w:sz w:val="24"/>
          <w:szCs w:val="24"/>
        </w:rPr>
      </w:pPr>
      <w:r>
        <w:rPr>
          <w:rFonts w:hint="eastAsia" w:hAnsi="宋体"/>
          <w:b/>
          <w:bCs/>
          <w:sz w:val="24"/>
          <w:szCs w:val="24"/>
        </w:rPr>
        <w:t>综合评分法</w:t>
      </w:r>
    </w:p>
    <w:p w14:paraId="5B867254">
      <w:pPr>
        <w:pStyle w:val="25"/>
        <w:spacing w:line="360" w:lineRule="auto"/>
        <w:ind w:firstLine="420" w:firstLineChars="200"/>
        <w:contextualSpacing/>
        <w:rPr>
          <w:rFonts w:hint="eastAsia" w:hAnsi="宋体"/>
          <w:sz w:val="21"/>
        </w:rPr>
      </w:pPr>
      <w:r>
        <w:rPr>
          <w:rFonts w:hint="eastAsia" w:hAnsi="宋体"/>
          <w:sz w:val="21"/>
        </w:rPr>
        <w:t>1</w:t>
      </w:r>
      <w:r>
        <w:rPr>
          <w:rFonts w:hAnsi="宋体"/>
          <w:sz w:val="21"/>
        </w:rPr>
        <w:t>.</w:t>
      </w:r>
      <w:r>
        <w:rPr>
          <w:rFonts w:hint="eastAsia" w:hAnsi="宋体"/>
          <w:sz w:val="21"/>
        </w:rPr>
        <w:t>评标委员会根据原始评标记录和评标结果编写评标报告，并通过电子交易平台向采购人、采购代理机构提交。</w:t>
      </w:r>
    </w:p>
    <w:p w14:paraId="21CFD7E5">
      <w:pPr>
        <w:pStyle w:val="25"/>
        <w:spacing w:line="360" w:lineRule="auto"/>
        <w:ind w:firstLine="420" w:firstLineChars="200"/>
        <w:contextualSpacing/>
        <w:rPr>
          <w:rFonts w:hint="eastAsia" w:hAnsi="宋体"/>
          <w:sz w:val="21"/>
        </w:rPr>
      </w:pPr>
      <w:r>
        <w:rPr>
          <w:rFonts w:hint="eastAsia" w:hAnsi="宋体"/>
          <w:sz w:val="21"/>
        </w:rPr>
        <w:t>2</w:t>
      </w:r>
      <w:r>
        <w:rPr>
          <w:rFonts w:hAnsi="宋体"/>
          <w:sz w:val="21"/>
        </w:rPr>
        <w:t>.</w:t>
      </w:r>
      <w:r>
        <w:rPr>
          <w:rFonts w:hint="eastAsia" w:hAnsi="宋体"/>
          <w:sz w:val="21"/>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017083F4">
      <w:pPr>
        <w:spacing w:before="120" w:beforeLines="50" w:after="120" w:afterLines="50" w:line="400" w:lineRule="exact"/>
        <w:rPr>
          <w:rFonts w:hint="eastAsia" w:ascii="宋体" w:hAnsi="宋体"/>
          <w:b/>
          <w:sz w:val="24"/>
        </w:rPr>
      </w:pPr>
    </w:p>
    <w:p w14:paraId="44827CFA">
      <w:pPr>
        <w:spacing w:before="120" w:beforeLines="50" w:after="120" w:afterLines="50" w:line="400" w:lineRule="exact"/>
        <w:rPr>
          <w:rFonts w:hint="eastAsia" w:ascii="宋体" w:hAnsi="宋体"/>
          <w:b/>
          <w:sz w:val="24"/>
        </w:rPr>
      </w:pPr>
    </w:p>
    <w:p w14:paraId="7711A9EE">
      <w:pPr>
        <w:spacing w:before="120" w:beforeLines="50" w:after="120" w:afterLines="50" w:line="400" w:lineRule="exact"/>
        <w:rPr>
          <w:rFonts w:hint="eastAsia" w:ascii="宋体" w:hAnsi="宋体"/>
          <w:b/>
          <w:sz w:val="24"/>
        </w:rPr>
      </w:pPr>
    </w:p>
    <w:p w14:paraId="7F6C30C9">
      <w:pPr>
        <w:spacing w:before="120" w:beforeLines="50" w:after="120" w:afterLines="50" w:line="400" w:lineRule="exact"/>
        <w:rPr>
          <w:rFonts w:hint="eastAsia" w:ascii="宋体" w:hAnsi="宋体"/>
          <w:b/>
          <w:sz w:val="24"/>
        </w:rPr>
      </w:pPr>
    </w:p>
    <w:p w14:paraId="2C25FE29">
      <w:pPr>
        <w:spacing w:before="120" w:beforeLines="50" w:after="120" w:afterLines="50" w:line="400" w:lineRule="exact"/>
        <w:rPr>
          <w:rFonts w:hint="eastAsia" w:ascii="宋体" w:hAnsi="宋体"/>
          <w:b/>
          <w:sz w:val="24"/>
        </w:rPr>
      </w:pPr>
    </w:p>
    <w:p w14:paraId="5CB5259F">
      <w:pPr>
        <w:spacing w:before="120" w:beforeLines="50" w:after="120" w:afterLines="50" w:line="400" w:lineRule="exact"/>
        <w:rPr>
          <w:rFonts w:hint="eastAsia" w:ascii="宋体" w:hAnsi="宋体"/>
          <w:b/>
          <w:sz w:val="24"/>
        </w:rPr>
      </w:pPr>
    </w:p>
    <w:p w14:paraId="4C7AC422">
      <w:pPr>
        <w:spacing w:before="120" w:beforeLines="50" w:after="120" w:afterLines="50" w:line="400" w:lineRule="exact"/>
        <w:rPr>
          <w:rFonts w:hint="eastAsia" w:ascii="宋体" w:hAnsi="宋体"/>
          <w:b/>
          <w:sz w:val="24"/>
        </w:rPr>
      </w:pPr>
    </w:p>
    <w:p w14:paraId="062BFF71">
      <w:pPr>
        <w:spacing w:before="120" w:beforeLines="50" w:after="120" w:afterLines="50" w:line="400" w:lineRule="exact"/>
        <w:rPr>
          <w:rFonts w:hint="eastAsia" w:ascii="宋体" w:hAnsi="宋体"/>
          <w:b/>
          <w:sz w:val="24"/>
        </w:rPr>
      </w:pPr>
    </w:p>
    <w:p w14:paraId="1CFB95E4">
      <w:pPr>
        <w:spacing w:before="120" w:beforeLines="50" w:after="120" w:afterLines="50" w:line="400" w:lineRule="exact"/>
        <w:rPr>
          <w:rFonts w:hint="eastAsia" w:ascii="宋体" w:hAnsi="宋体"/>
          <w:b/>
          <w:sz w:val="24"/>
        </w:rPr>
      </w:pPr>
    </w:p>
    <w:p w14:paraId="69EC430F">
      <w:pPr>
        <w:jc w:val="center"/>
      </w:pPr>
      <w:r>
        <w:br w:type="page"/>
      </w:r>
    </w:p>
    <w:p w14:paraId="747EA1F6">
      <w:pPr>
        <w:jc w:val="center"/>
      </w:pPr>
    </w:p>
    <w:p w14:paraId="51579EC9">
      <w:pPr>
        <w:jc w:val="center"/>
      </w:pPr>
    </w:p>
    <w:p w14:paraId="1B9C8B82">
      <w:pPr>
        <w:jc w:val="center"/>
      </w:pPr>
    </w:p>
    <w:p w14:paraId="6095B748">
      <w:pPr>
        <w:jc w:val="center"/>
      </w:pPr>
    </w:p>
    <w:p w14:paraId="727F7280">
      <w:pPr>
        <w:jc w:val="center"/>
      </w:pPr>
    </w:p>
    <w:p w14:paraId="549AD2D3">
      <w:pPr>
        <w:jc w:val="center"/>
      </w:pPr>
    </w:p>
    <w:p w14:paraId="12B9B088">
      <w:pPr>
        <w:pStyle w:val="3"/>
        <w:jc w:val="center"/>
      </w:pPr>
      <w:bookmarkStart w:id="141" w:name="_Toc74320804"/>
      <w:r>
        <w:rPr>
          <w:rFonts w:hint="eastAsia"/>
        </w:rPr>
        <w:t>第五章  拟签订的合同文本</w:t>
      </w:r>
      <w:bookmarkEnd w:id="141"/>
    </w:p>
    <w:p w14:paraId="21D94E3B">
      <w:pPr>
        <w:snapToGrid w:val="0"/>
        <w:jc w:val="center"/>
        <w:rPr>
          <w:rFonts w:hint="eastAsia" w:ascii="宋体" w:hAnsi="宋体"/>
          <w:bCs/>
          <w:sz w:val="32"/>
          <w:szCs w:val="32"/>
        </w:rPr>
      </w:pPr>
    </w:p>
    <w:p w14:paraId="36E75FC6">
      <w:pPr>
        <w:snapToGrid w:val="0"/>
        <w:jc w:val="center"/>
        <w:rPr>
          <w:rFonts w:hint="eastAsia" w:ascii="宋体" w:hAnsi="宋体"/>
          <w:bCs/>
          <w:sz w:val="32"/>
          <w:szCs w:val="32"/>
        </w:rPr>
      </w:pPr>
    </w:p>
    <w:p w14:paraId="6FDCA26A">
      <w:pPr>
        <w:snapToGrid w:val="0"/>
        <w:jc w:val="center"/>
        <w:rPr>
          <w:rFonts w:hint="eastAsia" w:ascii="宋体" w:hAnsi="宋体"/>
          <w:bCs/>
          <w:sz w:val="32"/>
          <w:szCs w:val="32"/>
        </w:rPr>
      </w:pPr>
    </w:p>
    <w:p w14:paraId="4CEF55CA">
      <w:pPr>
        <w:snapToGrid w:val="0"/>
        <w:jc w:val="center"/>
        <w:rPr>
          <w:rFonts w:hint="eastAsia" w:ascii="宋体" w:hAnsi="宋体"/>
          <w:bCs/>
          <w:sz w:val="32"/>
          <w:szCs w:val="32"/>
        </w:rPr>
      </w:pPr>
    </w:p>
    <w:p w14:paraId="22074315">
      <w:pPr>
        <w:snapToGrid w:val="0"/>
        <w:jc w:val="center"/>
        <w:rPr>
          <w:rFonts w:hint="eastAsia" w:ascii="宋体" w:hAnsi="宋体"/>
          <w:bCs/>
          <w:sz w:val="32"/>
          <w:szCs w:val="32"/>
        </w:rPr>
      </w:pPr>
    </w:p>
    <w:p w14:paraId="7DE35F96">
      <w:pPr>
        <w:snapToGrid w:val="0"/>
        <w:jc w:val="center"/>
        <w:rPr>
          <w:rFonts w:hint="eastAsia" w:ascii="宋体" w:hAnsi="宋体"/>
          <w:bCs/>
          <w:sz w:val="32"/>
          <w:szCs w:val="32"/>
        </w:rPr>
      </w:pPr>
    </w:p>
    <w:p w14:paraId="5F32439F">
      <w:pPr>
        <w:snapToGrid w:val="0"/>
        <w:jc w:val="center"/>
        <w:rPr>
          <w:rFonts w:hint="eastAsia" w:ascii="宋体" w:hAnsi="宋体"/>
          <w:bCs/>
          <w:sz w:val="32"/>
          <w:szCs w:val="32"/>
        </w:rPr>
      </w:pPr>
    </w:p>
    <w:p w14:paraId="08063B90">
      <w:pPr>
        <w:snapToGrid w:val="0"/>
        <w:jc w:val="center"/>
        <w:rPr>
          <w:rFonts w:hint="eastAsia" w:ascii="宋体" w:hAnsi="宋体"/>
          <w:bCs/>
          <w:sz w:val="32"/>
          <w:szCs w:val="32"/>
        </w:rPr>
      </w:pPr>
    </w:p>
    <w:p w14:paraId="79EF9E49">
      <w:pPr>
        <w:snapToGrid w:val="0"/>
        <w:jc w:val="center"/>
        <w:rPr>
          <w:rFonts w:hint="eastAsia" w:ascii="宋体" w:hAnsi="宋体"/>
          <w:bCs/>
          <w:sz w:val="32"/>
          <w:szCs w:val="32"/>
        </w:rPr>
      </w:pPr>
    </w:p>
    <w:p w14:paraId="4177518C">
      <w:pPr>
        <w:snapToGrid w:val="0"/>
        <w:jc w:val="center"/>
        <w:rPr>
          <w:rFonts w:hint="eastAsia" w:ascii="宋体" w:hAnsi="宋体"/>
          <w:bCs/>
          <w:sz w:val="32"/>
          <w:szCs w:val="32"/>
        </w:rPr>
      </w:pPr>
    </w:p>
    <w:p w14:paraId="260A90E5">
      <w:pPr>
        <w:snapToGrid w:val="0"/>
        <w:jc w:val="center"/>
        <w:rPr>
          <w:rFonts w:hint="eastAsia" w:ascii="宋体" w:hAnsi="宋体"/>
          <w:bCs/>
          <w:sz w:val="32"/>
          <w:szCs w:val="32"/>
        </w:rPr>
      </w:pPr>
    </w:p>
    <w:p w14:paraId="1E9CA069">
      <w:pPr>
        <w:snapToGrid w:val="0"/>
        <w:rPr>
          <w:rFonts w:hint="eastAsia" w:ascii="宋体" w:hAnsi="宋体"/>
          <w:bCs/>
          <w:sz w:val="32"/>
          <w:szCs w:val="32"/>
        </w:rPr>
      </w:pPr>
      <w:bookmarkStart w:id="142" w:name="_Hlk55381736"/>
      <w:r>
        <w:rPr>
          <w:rFonts w:ascii="宋体" w:hAnsi="宋体"/>
          <w:bCs/>
          <w:sz w:val="32"/>
          <w:szCs w:val="32"/>
        </w:rPr>
        <w:t xml:space="preserve"> </w:t>
      </w:r>
    </w:p>
    <w:p w14:paraId="12EDFD41">
      <w:pPr>
        <w:snapToGrid w:val="0"/>
        <w:spacing w:line="360" w:lineRule="auto"/>
        <w:ind w:firstLine="640" w:firstLineChars="200"/>
        <w:rPr>
          <w:rFonts w:hint="eastAsia" w:ascii="宋体" w:hAnsi="宋体"/>
          <w:b/>
          <w:sz w:val="32"/>
          <w:szCs w:val="32"/>
        </w:rPr>
      </w:pPr>
      <w:r>
        <w:rPr>
          <w:rFonts w:ascii="宋体" w:hAnsi="宋体"/>
          <w:bCs/>
          <w:sz w:val="32"/>
          <w:szCs w:val="32"/>
        </w:rPr>
        <w:br w:type="page"/>
      </w:r>
    </w:p>
    <w:p w14:paraId="37DA1626">
      <w:pPr>
        <w:snapToGrid w:val="0"/>
        <w:spacing w:line="360" w:lineRule="auto"/>
        <w:jc w:val="center"/>
        <w:rPr>
          <w:rFonts w:hint="eastAsia" w:ascii="宋体" w:hAnsi="宋体"/>
          <w:b/>
          <w:bCs/>
          <w:sz w:val="32"/>
          <w:szCs w:val="32"/>
        </w:rPr>
      </w:pPr>
    </w:p>
    <w:p w14:paraId="48A42502">
      <w:pPr>
        <w:snapToGrid w:val="0"/>
        <w:spacing w:line="360" w:lineRule="auto"/>
        <w:jc w:val="center"/>
        <w:rPr>
          <w:rFonts w:hint="eastAsia" w:ascii="宋体" w:hAnsi="宋体"/>
          <w:b/>
          <w:bCs/>
          <w:sz w:val="32"/>
          <w:szCs w:val="32"/>
        </w:rPr>
      </w:pPr>
      <w:r>
        <w:rPr>
          <w:rFonts w:hint="eastAsia" w:ascii="宋体" w:hAnsi="宋体"/>
          <w:b/>
          <w:bCs/>
          <w:sz w:val="32"/>
          <w:szCs w:val="32"/>
        </w:rPr>
        <w:t>《广西壮族自治区政府采购合同》</w:t>
      </w:r>
    </w:p>
    <w:p w14:paraId="27CE73D9">
      <w:pPr>
        <w:snapToGrid w:val="0"/>
        <w:spacing w:line="360" w:lineRule="auto"/>
        <w:jc w:val="center"/>
        <w:rPr>
          <w:rFonts w:hint="eastAsia" w:ascii="宋体" w:hAnsi="宋体"/>
          <w:b/>
          <w:bCs/>
          <w:sz w:val="32"/>
          <w:szCs w:val="32"/>
        </w:rPr>
      </w:pPr>
    </w:p>
    <w:p w14:paraId="7190A8CE">
      <w:pPr>
        <w:snapToGrid w:val="0"/>
        <w:spacing w:line="360" w:lineRule="auto"/>
        <w:ind w:right="480" w:firstLine="5250" w:firstLineChars="2500"/>
        <w:rPr>
          <w:rFonts w:hint="eastAsia" w:ascii="宋体" w:hAnsi="宋体"/>
          <w:bCs/>
          <w:szCs w:val="21"/>
          <w:u w:val="single"/>
        </w:rPr>
      </w:pPr>
      <w:r>
        <w:rPr>
          <w:rFonts w:hint="eastAsia" w:ascii="宋体" w:hAnsi="宋体"/>
          <w:bCs/>
          <w:szCs w:val="21"/>
        </w:rPr>
        <w:t>合同编号：</w:t>
      </w:r>
    </w:p>
    <w:p w14:paraId="0EF1CCD2">
      <w:pPr>
        <w:snapToGrid w:val="0"/>
        <w:spacing w:line="360" w:lineRule="auto"/>
        <w:rPr>
          <w:rFonts w:hint="eastAsia" w:ascii="宋体" w:hAnsi="宋体"/>
          <w:szCs w:val="21"/>
        </w:rPr>
      </w:pPr>
    </w:p>
    <w:p w14:paraId="3F4548A7">
      <w:pPr>
        <w:snapToGrid w:val="0"/>
        <w:spacing w:line="360" w:lineRule="auto"/>
        <w:rPr>
          <w:rFonts w:hint="eastAsia" w:ascii="宋体" w:hAnsi="宋体"/>
          <w:szCs w:val="21"/>
          <w:u w:val="single"/>
        </w:rPr>
      </w:pPr>
      <w:r>
        <w:rPr>
          <w:rFonts w:hint="eastAsia" w:ascii="宋体" w:hAnsi="宋体"/>
          <w:szCs w:val="21"/>
        </w:rPr>
        <w:t>采购人（甲方）：</w:t>
      </w:r>
      <w:r>
        <w:rPr>
          <w:rFonts w:hint="eastAsia" w:ascii="宋体" w:hAnsi="宋体"/>
          <w:szCs w:val="21"/>
          <w:u w:val="single"/>
        </w:rPr>
        <w:t xml:space="preserve">                          </w:t>
      </w:r>
      <w:r>
        <w:rPr>
          <w:rFonts w:hint="eastAsia" w:ascii="宋体" w:hAnsi="宋体"/>
          <w:szCs w:val="21"/>
        </w:rPr>
        <w:t xml:space="preserve">  </w:t>
      </w:r>
    </w:p>
    <w:p w14:paraId="6A567518">
      <w:pPr>
        <w:snapToGrid w:val="0"/>
        <w:spacing w:line="360" w:lineRule="auto"/>
        <w:rPr>
          <w:rFonts w:hint="eastAsia" w:ascii="宋体" w:hAnsi="宋体"/>
          <w:szCs w:val="21"/>
          <w:u w:val="single"/>
        </w:rPr>
      </w:pPr>
      <w:r>
        <w:rPr>
          <w:rFonts w:hint="eastAsia" w:ascii="宋体" w:hAnsi="宋体"/>
          <w:szCs w:val="21"/>
        </w:rPr>
        <w:t>供应商（乙方）：</w:t>
      </w:r>
      <w:r>
        <w:rPr>
          <w:rFonts w:hint="eastAsia" w:ascii="宋体" w:hAnsi="宋体"/>
          <w:szCs w:val="21"/>
          <w:u w:val="single"/>
        </w:rPr>
        <w:t xml:space="preserve">                          </w:t>
      </w:r>
    </w:p>
    <w:p w14:paraId="1060A830">
      <w:pPr>
        <w:snapToGrid w:val="0"/>
        <w:spacing w:line="360" w:lineRule="auto"/>
        <w:rPr>
          <w:rFonts w:hint="eastAsia" w:ascii="宋体" w:hAnsi="宋体"/>
          <w:szCs w:val="21"/>
        </w:rPr>
      </w:pPr>
      <w:r>
        <w:rPr>
          <w:rFonts w:hint="eastAsia" w:ascii="宋体" w:hAnsi="宋体"/>
          <w:spacing w:val="-20"/>
          <w:szCs w:val="21"/>
        </w:rPr>
        <w:t>采 购 计 划 号：</w:t>
      </w:r>
      <w:r>
        <w:rPr>
          <w:rFonts w:hint="eastAsia" w:ascii="宋体" w:hAnsi="宋体"/>
          <w:szCs w:val="21"/>
          <w:u w:val="single"/>
        </w:rPr>
        <w:t xml:space="preserve">                         </w:t>
      </w:r>
    </w:p>
    <w:p w14:paraId="490387D3">
      <w:pPr>
        <w:snapToGrid w:val="0"/>
        <w:spacing w:line="360" w:lineRule="auto"/>
        <w:rPr>
          <w:rFonts w:hint="eastAsia"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项目编号：</w:t>
      </w:r>
      <w:r>
        <w:rPr>
          <w:rFonts w:hint="eastAsia" w:ascii="宋体" w:hAnsi="宋体"/>
          <w:szCs w:val="21"/>
          <w:u w:val="single"/>
        </w:rPr>
        <w:t xml:space="preserve">                       </w:t>
      </w:r>
    </w:p>
    <w:p w14:paraId="73F702AB">
      <w:pPr>
        <w:snapToGrid w:val="0"/>
        <w:spacing w:line="360" w:lineRule="auto"/>
        <w:rPr>
          <w:rFonts w:hint="eastAsia" w:ascii="宋体" w:hAnsi="宋体"/>
          <w:szCs w:val="21"/>
        </w:rPr>
      </w:pPr>
      <w:r>
        <w:rPr>
          <w:rFonts w:hint="eastAsia" w:ascii="宋体" w:hAnsi="宋体"/>
          <w:szCs w:val="21"/>
        </w:rPr>
        <w:t>合同类型：</w:t>
      </w:r>
      <w:r>
        <w:rPr>
          <w:rFonts w:hint="eastAsia" w:ascii="宋体" w:hAnsi="宋体"/>
          <w:szCs w:val="21"/>
          <w:u w:val="single"/>
        </w:rPr>
        <w:t>买卖合同</w:t>
      </w:r>
    </w:p>
    <w:p w14:paraId="2109F324">
      <w:pPr>
        <w:spacing w:line="360" w:lineRule="auto"/>
        <w:rPr>
          <w:rFonts w:hint="eastAsia" w:ascii="宋体" w:hAnsi="宋体" w:cs="宋体"/>
          <w:szCs w:val="21"/>
        </w:rPr>
      </w:pPr>
      <w:r>
        <w:rPr>
          <w:rFonts w:hint="eastAsia" w:ascii="宋体" w:hAnsi="宋体" w:cs="宋体"/>
          <w:szCs w:val="21"/>
        </w:rPr>
        <w:t>本合同为中小企业预留合同：</w:t>
      </w:r>
      <w:r>
        <w:rPr>
          <w:rFonts w:hint="eastAsia" w:ascii="宋体" w:hAnsi="宋体" w:cs="宋体"/>
          <w:iCs/>
          <w:szCs w:val="21"/>
          <w:u w:val="single"/>
        </w:rPr>
        <w:t>（是/否）</w:t>
      </w:r>
      <w:r>
        <w:rPr>
          <w:rFonts w:hint="eastAsia" w:ascii="宋体" w:hAnsi="宋体" w:cs="宋体"/>
          <w:szCs w:val="21"/>
        </w:rPr>
        <w:t>。</w:t>
      </w:r>
    </w:p>
    <w:p w14:paraId="44F47A18">
      <w:pPr>
        <w:pStyle w:val="18"/>
        <w:spacing w:line="360" w:lineRule="auto"/>
        <w:rPr>
          <w:rFonts w:hint="eastAsia" w:ascii="宋体" w:hAnsi="宋体"/>
          <w:sz w:val="21"/>
          <w:szCs w:val="21"/>
        </w:rPr>
      </w:pPr>
    </w:p>
    <w:p w14:paraId="24A2936D">
      <w:pPr>
        <w:snapToGrid w:val="0"/>
        <w:spacing w:line="360" w:lineRule="auto"/>
        <w:ind w:firstLine="420" w:firstLineChars="200"/>
        <w:rPr>
          <w:rFonts w:hint="eastAsia" w:ascii="宋体" w:hAnsi="宋体"/>
          <w:szCs w:val="21"/>
        </w:rPr>
      </w:pPr>
      <w:r>
        <w:rPr>
          <w:rFonts w:hint="eastAsia" w:ascii="宋体" w:hAnsi="宋体"/>
          <w:szCs w:val="21"/>
        </w:rPr>
        <w:t>根据《中华人民共和国政府采购法》《中华人民共和国民法典》等法律、法规规定，按照采购文件规定条款和乙方投标（竞标）承诺，甲乙双方签订本合同。</w:t>
      </w:r>
    </w:p>
    <w:p w14:paraId="43A17863">
      <w:pPr>
        <w:snapToGrid w:val="0"/>
        <w:spacing w:line="360" w:lineRule="auto"/>
        <w:ind w:firstLine="422" w:firstLineChars="200"/>
        <w:rPr>
          <w:rFonts w:hint="eastAsia" w:ascii="宋体" w:hAnsi="宋体"/>
          <w:b/>
          <w:szCs w:val="21"/>
        </w:rPr>
      </w:pPr>
      <w:r>
        <w:rPr>
          <w:rFonts w:hint="eastAsia" w:ascii="宋体" w:hAnsi="宋体"/>
          <w:b/>
          <w:szCs w:val="21"/>
        </w:rPr>
        <w:t>第一条　合同标的</w:t>
      </w:r>
    </w:p>
    <w:tbl>
      <w:tblPr>
        <w:tblStyle w:val="48"/>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60AD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vAlign w:val="center"/>
          </w:tcPr>
          <w:p w14:paraId="428BD53E">
            <w:pPr>
              <w:snapToGrid w:val="0"/>
              <w:spacing w:line="360" w:lineRule="auto"/>
              <w:jc w:val="center"/>
              <w:rPr>
                <w:rFonts w:hint="eastAsia" w:ascii="宋体" w:hAnsi="宋体"/>
                <w:szCs w:val="21"/>
              </w:rPr>
            </w:pPr>
            <w:r>
              <w:rPr>
                <w:rFonts w:hint="eastAsia" w:ascii="宋体" w:hAnsi="宋体"/>
                <w:szCs w:val="21"/>
              </w:rPr>
              <w:t>序号</w:t>
            </w:r>
          </w:p>
        </w:tc>
        <w:tc>
          <w:tcPr>
            <w:tcW w:w="1286" w:type="dxa"/>
            <w:tcBorders>
              <w:top w:val="single" w:color="auto" w:sz="4" w:space="0"/>
              <w:left w:val="single" w:color="auto" w:sz="4" w:space="0"/>
              <w:bottom w:val="single" w:color="auto" w:sz="4" w:space="0"/>
              <w:right w:val="single" w:color="auto" w:sz="4" w:space="0"/>
            </w:tcBorders>
            <w:vAlign w:val="center"/>
          </w:tcPr>
          <w:p w14:paraId="63F6C190">
            <w:pPr>
              <w:snapToGrid w:val="0"/>
              <w:spacing w:line="360" w:lineRule="auto"/>
              <w:jc w:val="center"/>
              <w:rPr>
                <w:rFonts w:hint="eastAsia" w:ascii="宋体" w:hAnsi="宋体"/>
                <w:szCs w:val="21"/>
              </w:rPr>
            </w:pPr>
            <w:r>
              <w:rPr>
                <w:rFonts w:hint="eastAsia" w:ascii="宋体" w:hAnsi="宋体"/>
                <w:szCs w:val="21"/>
              </w:rPr>
              <w:t>标的的名称</w:t>
            </w:r>
          </w:p>
        </w:tc>
        <w:tc>
          <w:tcPr>
            <w:tcW w:w="1190" w:type="dxa"/>
            <w:tcBorders>
              <w:top w:val="single" w:color="auto" w:sz="4" w:space="0"/>
              <w:left w:val="single" w:color="auto" w:sz="4" w:space="0"/>
              <w:bottom w:val="single" w:color="auto" w:sz="4" w:space="0"/>
              <w:right w:val="single" w:color="auto" w:sz="4" w:space="0"/>
            </w:tcBorders>
            <w:vAlign w:val="center"/>
          </w:tcPr>
          <w:p w14:paraId="79DB204E">
            <w:pPr>
              <w:snapToGrid w:val="0"/>
              <w:spacing w:line="360" w:lineRule="auto"/>
              <w:jc w:val="center"/>
              <w:rPr>
                <w:rFonts w:hint="eastAsia" w:ascii="宋体" w:hAnsi="宋体"/>
                <w:szCs w:val="21"/>
              </w:rPr>
            </w:pPr>
            <w:r>
              <w:rPr>
                <w:rFonts w:hint="eastAsia" w:ascii="宋体" w:hAnsi="宋体"/>
                <w:szCs w:val="21"/>
              </w:rPr>
              <w:t>商标品牌</w:t>
            </w:r>
          </w:p>
        </w:tc>
        <w:tc>
          <w:tcPr>
            <w:tcW w:w="1166" w:type="dxa"/>
            <w:tcBorders>
              <w:top w:val="single" w:color="auto" w:sz="4" w:space="0"/>
              <w:left w:val="single" w:color="auto" w:sz="4" w:space="0"/>
              <w:bottom w:val="single" w:color="auto" w:sz="4" w:space="0"/>
              <w:right w:val="single" w:color="auto" w:sz="4" w:space="0"/>
            </w:tcBorders>
            <w:vAlign w:val="center"/>
          </w:tcPr>
          <w:p w14:paraId="4E8D3879">
            <w:pPr>
              <w:snapToGrid w:val="0"/>
              <w:spacing w:line="360" w:lineRule="auto"/>
              <w:jc w:val="center"/>
              <w:rPr>
                <w:rFonts w:hint="eastAsia" w:ascii="宋体" w:hAnsi="宋体"/>
                <w:szCs w:val="21"/>
              </w:rPr>
            </w:pPr>
            <w:r>
              <w:rPr>
                <w:rFonts w:hint="eastAsia" w:ascii="宋体" w:hAnsi="宋体"/>
                <w:szCs w:val="21"/>
              </w:rPr>
              <w:t>规格型号</w:t>
            </w:r>
          </w:p>
        </w:tc>
        <w:tc>
          <w:tcPr>
            <w:tcW w:w="1089" w:type="dxa"/>
            <w:tcBorders>
              <w:top w:val="single" w:color="auto" w:sz="4" w:space="0"/>
              <w:left w:val="single" w:color="auto" w:sz="4" w:space="0"/>
              <w:bottom w:val="single" w:color="auto" w:sz="4" w:space="0"/>
              <w:right w:val="single" w:color="auto" w:sz="4" w:space="0"/>
            </w:tcBorders>
            <w:vAlign w:val="center"/>
          </w:tcPr>
          <w:p w14:paraId="335EB35A">
            <w:pPr>
              <w:snapToGrid w:val="0"/>
              <w:spacing w:line="360" w:lineRule="auto"/>
              <w:jc w:val="center"/>
              <w:rPr>
                <w:rFonts w:hint="eastAsia" w:ascii="宋体" w:hAnsi="宋体"/>
                <w:szCs w:val="21"/>
              </w:rPr>
            </w:pPr>
            <w:r>
              <w:rPr>
                <w:rFonts w:hint="eastAsia" w:ascii="宋体" w:hAnsi="宋体"/>
                <w:szCs w:val="21"/>
              </w:rPr>
              <w:t>生产厂家</w:t>
            </w:r>
          </w:p>
        </w:tc>
        <w:tc>
          <w:tcPr>
            <w:tcW w:w="907" w:type="dxa"/>
            <w:tcBorders>
              <w:top w:val="single" w:color="auto" w:sz="4" w:space="0"/>
              <w:left w:val="single" w:color="auto" w:sz="4" w:space="0"/>
              <w:bottom w:val="single" w:color="auto" w:sz="4" w:space="0"/>
              <w:right w:val="single" w:color="auto" w:sz="4" w:space="0"/>
            </w:tcBorders>
            <w:vAlign w:val="center"/>
          </w:tcPr>
          <w:p w14:paraId="243CD11C">
            <w:pPr>
              <w:snapToGrid w:val="0"/>
              <w:spacing w:line="360" w:lineRule="auto"/>
              <w:jc w:val="center"/>
              <w:rPr>
                <w:rFonts w:hint="eastAsia" w:ascii="宋体" w:hAnsi="宋体"/>
                <w:szCs w:val="21"/>
              </w:rPr>
            </w:pPr>
            <w:r>
              <w:rPr>
                <w:rFonts w:hint="eastAsia" w:ascii="宋体" w:hAnsi="宋体"/>
                <w:szCs w:val="21"/>
              </w:rPr>
              <w:t>数量</w:t>
            </w:r>
          </w:p>
        </w:tc>
        <w:tc>
          <w:tcPr>
            <w:tcW w:w="668" w:type="dxa"/>
            <w:tcBorders>
              <w:top w:val="single" w:color="auto" w:sz="4" w:space="0"/>
              <w:left w:val="single" w:color="auto" w:sz="4" w:space="0"/>
              <w:bottom w:val="single" w:color="auto" w:sz="4" w:space="0"/>
              <w:right w:val="single" w:color="auto" w:sz="4" w:space="0"/>
            </w:tcBorders>
            <w:vAlign w:val="center"/>
          </w:tcPr>
          <w:p w14:paraId="03E841A1">
            <w:pPr>
              <w:snapToGrid w:val="0"/>
              <w:spacing w:line="360" w:lineRule="auto"/>
              <w:jc w:val="center"/>
              <w:rPr>
                <w:rFonts w:hint="eastAsia" w:ascii="宋体" w:hAnsi="宋体"/>
                <w:szCs w:val="21"/>
              </w:rPr>
            </w:pPr>
            <w:r>
              <w:rPr>
                <w:rFonts w:hint="eastAsia" w:ascii="宋体" w:hAnsi="宋体"/>
                <w:szCs w:val="21"/>
              </w:rPr>
              <w:t>单位</w:t>
            </w:r>
          </w:p>
        </w:tc>
        <w:tc>
          <w:tcPr>
            <w:tcW w:w="946" w:type="dxa"/>
            <w:tcBorders>
              <w:top w:val="single" w:color="auto" w:sz="4" w:space="0"/>
              <w:left w:val="single" w:color="auto" w:sz="4" w:space="0"/>
              <w:bottom w:val="single" w:color="auto" w:sz="4" w:space="0"/>
              <w:right w:val="single" w:color="auto" w:sz="4" w:space="0"/>
            </w:tcBorders>
            <w:vAlign w:val="center"/>
          </w:tcPr>
          <w:p w14:paraId="7A03B868">
            <w:pPr>
              <w:snapToGrid w:val="0"/>
              <w:spacing w:line="360" w:lineRule="auto"/>
              <w:jc w:val="center"/>
              <w:rPr>
                <w:rFonts w:hint="eastAsia" w:ascii="宋体" w:hAnsi="宋体"/>
                <w:szCs w:val="21"/>
              </w:rPr>
            </w:pPr>
            <w:r>
              <w:rPr>
                <w:rFonts w:hint="eastAsia" w:ascii="宋体" w:hAnsi="宋体"/>
                <w:szCs w:val="21"/>
              </w:rPr>
              <w:t>单  价</w:t>
            </w:r>
          </w:p>
          <w:p w14:paraId="6C61D665">
            <w:pPr>
              <w:snapToGrid w:val="0"/>
              <w:spacing w:line="360" w:lineRule="auto"/>
              <w:jc w:val="center"/>
              <w:rPr>
                <w:rFonts w:hint="eastAsia" w:ascii="宋体" w:hAnsi="宋体"/>
                <w:szCs w:val="21"/>
              </w:rPr>
            </w:pPr>
            <w:r>
              <w:rPr>
                <w:rFonts w:hint="eastAsia" w:ascii="宋体" w:hAnsi="宋体"/>
                <w:szCs w:val="21"/>
              </w:rPr>
              <w:t>（元）</w:t>
            </w:r>
          </w:p>
        </w:tc>
        <w:tc>
          <w:tcPr>
            <w:tcW w:w="1188" w:type="dxa"/>
            <w:tcBorders>
              <w:top w:val="single" w:color="auto" w:sz="4" w:space="0"/>
              <w:left w:val="single" w:color="auto" w:sz="4" w:space="0"/>
              <w:bottom w:val="single" w:color="auto" w:sz="4" w:space="0"/>
              <w:right w:val="single" w:color="auto" w:sz="4" w:space="0"/>
            </w:tcBorders>
            <w:vAlign w:val="center"/>
          </w:tcPr>
          <w:p w14:paraId="0ECDFBFA">
            <w:pPr>
              <w:snapToGrid w:val="0"/>
              <w:spacing w:line="360" w:lineRule="auto"/>
              <w:jc w:val="center"/>
              <w:rPr>
                <w:rFonts w:hint="eastAsia" w:ascii="宋体" w:hAnsi="宋体"/>
                <w:szCs w:val="21"/>
              </w:rPr>
            </w:pPr>
            <w:r>
              <w:rPr>
                <w:rFonts w:hint="eastAsia" w:ascii="宋体" w:hAnsi="宋体"/>
                <w:szCs w:val="21"/>
              </w:rPr>
              <w:t>金  额</w:t>
            </w:r>
          </w:p>
          <w:p w14:paraId="2C641E2C">
            <w:pPr>
              <w:snapToGrid w:val="0"/>
              <w:spacing w:line="360" w:lineRule="auto"/>
              <w:jc w:val="center"/>
              <w:rPr>
                <w:rFonts w:hint="eastAsia" w:ascii="宋体" w:hAnsi="宋体"/>
                <w:szCs w:val="21"/>
              </w:rPr>
            </w:pPr>
            <w:r>
              <w:rPr>
                <w:rFonts w:hint="eastAsia" w:ascii="宋体" w:hAnsi="宋体"/>
                <w:szCs w:val="21"/>
              </w:rPr>
              <w:t>（元）</w:t>
            </w:r>
          </w:p>
        </w:tc>
      </w:tr>
      <w:tr w14:paraId="5C6F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07C293ED">
            <w:pPr>
              <w:snapToGrid w:val="0"/>
              <w:spacing w:line="360" w:lineRule="auto"/>
              <w:jc w:val="center"/>
              <w:rPr>
                <w:rFonts w:hint="eastAsia" w:ascii="宋体" w:hAnsi="宋体"/>
                <w:szCs w:val="21"/>
              </w:rPr>
            </w:pPr>
            <w:r>
              <w:rPr>
                <w:rFonts w:hint="eastAsia" w:ascii="宋体" w:hAnsi="宋体"/>
                <w:szCs w:val="21"/>
              </w:rPr>
              <w:t>1</w:t>
            </w:r>
          </w:p>
        </w:tc>
        <w:tc>
          <w:tcPr>
            <w:tcW w:w="1286" w:type="dxa"/>
            <w:tcBorders>
              <w:top w:val="single" w:color="auto" w:sz="4" w:space="0"/>
              <w:left w:val="single" w:color="auto" w:sz="4" w:space="0"/>
              <w:bottom w:val="single" w:color="auto" w:sz="4" w:space="0"/>
              <w:right w:val="single" w:color="auto" w:sz="4" w:space="0"/>
            </w:tcBorders>
            <w:vAlign w:val="center"/>
          </w:tcPr>
          <w:p w14:paraId="3BAC0A1E">
            <w:pPr>
              <w:snapToGrid w:val="0"/>
              <w:spacing w:line="360" w:lineRule="auto"/>
              <w:jc w:val="center"/>
              <w:rPr>
                <w:rFonts w:hint="eastAsia" w:ascii="宋体" w:hAnsi="宋体"/>
                <w:szCs w:val="21"/>
              </w:rPr>
            </w:pPr>
          </w:p>
        </w:tc>
        <w:tc>
          <w:tcPr>
            <w:tcW w:w="1190" w:type="dxa"/>
            <w:tcBorders>
              <w:top w:val="single" w:color="auto" w:sz="4" w:space="0"/>
              <w:left w:val="single" w:color="auto" w:sz="4" w:space="0"/>
              <w:bottom w:val="single" w:color="auto" w:sz="4" w:space="0"/>
              <w:right w:val="single" w:color="auto" w:sz="4" w:space="0"/>
            </w:tcBorders>
            <w:vAlign w:val="center"/>
          </w:tcPr>
          <w:p w14:paraId="0B7524DE">
            <w:pPr>
              <w:snapToGrid w:val="0"/>
              <w:spacing w:line="360" w:lineRule="auto"/>
              <w:jc w:val="center"/>
              <w:rPr>
                <w:rFonts w:hint="eastAsia" w:ascii="宋体" w:hAnsi="宋体"/>
                <w:szCs w:val="21"/>
              </w:rPr>
            </w:pPr>
          </w:p>
        </w:tc>
        <w:tc>
          <w:tcPr>
            <w:tcW w:w="1166" w:type="dxa"/>
            <w:tcBorders>
              <w:top w:val="single" w:color="auto" w:sz="4" w:space="0"/>
              <w:left w:val="single" w:color="auto" w:sz="4" w:space="0"/>
              <w:bottom w:val="single" w:color="auto" w:sz="4" w:space="0"/>
              <w:right w:val="single" w:color="auto" w:sz="4" w:space="0"/>
            </w:tcBorders>
            <w:vAlign w:val="center"/>
          </w:tcPr>
          <w:p w14:paraId="70E56B4E">
            <w:pPr>
              <w:snapToGrid w:val="0"/>
              <w:spacing w:line="360" w:lineRule="auto"/>
              <w:jc w:val="center"/>
              <w:rPr>
                <w:rFonts w:hint="eastAsia"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7231B076">
            <w:pPr>
              <w:snapToGrid w:val="0"/>
              <w:spacing w:line="360" w:lineRule="auto"/>
              <w:jc w:val="center"/>
              <w:rPr>
                <w:rFonts w:hint="eastAsia" w:ascii="宋体" w:hAnsi="宋体"/>
                <w:szCs w:val="21"/>
              </w:rPr>
            </w:pPr>
          </w:p>
        </w:tc>
        <w:tc>
          <w:tcPr>
            <w:tcW w:w="907" w:type="dxa"/>
            <w:tcBorders>
              <w:top w:val="single" w:color="auto" w:sz="4" w:space="0"/>
              <w:left w:val="single" w:color="auto" w:sz="4" w:space="0"/>
              <w:bottom w:val="single" w:color="auto" w:sz="4" w:space="0"/>
              <w:right w:val="single" w:color="auto" w:sz="4" w:space="0"/>
            </w:tcBorders>
            <w:vAlign w:val="center"/>
          </w:tcPr>
          <w:p w14:paraId="02996D29">
            <w:pPr>
              <w:snapToGrid w:val="0"/>
              <w:spacing w:line="360" w:lineRule="auto"/>
              <w:jc w:val="center"/>
              <w:rPr>
                <w:rFonts w:hint="eastAsia" w:ascii="宋体" w:hAnsi="宋体"/>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40F67790">
            <w:pPr>
              <w:snapToGrid w:val="0"/>
              <w:spacing w:line="360" w:lineRule="auto"/>
              <w:jc w:val="center"/>
              <w:rPr>
                <w:rFonts w:hint="eastAsia" w:ascii="宋体" w:hAnsi="宋体"/>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1AF4A946">
            <w:pPr>
              <w:snapToGrid w:val="0"/>
              <w:spacing w:line="360" w:lineRule="auto"/>
              <w:jc w:val="center"/>
              <w:rPr>
                <w:rFonts w:hint="eastAsia" w:ascii="宋体" w:hAnsi="宋体"/>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4DAE30C6">
            <w:pPr>
              <w:snapToGrid w:val="0"/>
              <w:spacing w:line="360" w:lineRule="auto"/>
              <w:jc w:val="center"/>
              <w:rPr>
                <w:rFonts w:hint="eastAsia" w:ascii="宋体" w:hAnsi="宋体"/>
                <w:szCs w:val="21"/>
              </w:rPr>
            </w:pPr>
          </w:p>
        </w:tc>
      </w:tr>
      <w:tr w14:paraId="4EDA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0" w:type="dxa"/>
            <w:gridSpan w:val="9"/>
            <w:tcBorders>
              <w:top w:val="single" w:color="auto" w:sz="4" w:space="0"/>
              <w:left w:val="single" w:color="auto" w:sz="4" w:space="0"/>
              <w:bottom w:val="single" w:color="auto" w:sz="4" w:space="0"/>
              <w:right w:val="single" w:color="auto" w:sz="4" w:space="0"/>
            </w:tcBorders>
            <w:vAlign w:val="center"/>
          </w:tcPr>
          <w:p w14:paraId="764FF343">
            <w:pPr>
              <w:snapToGrid w:val="0"/>
              <w:spacing w:line="360" w:lineRule="auto"/>
              <w:rPr>
                <w:rFonts w:hint="eastAsia" w:ascii="宋体" w:hAnsi="宋体"/>
                <w:szCs w:val="21"/>
              </w:rPr>
            </w:pPr>
            <w:r>
              <w:rPr>
                <w:rFonts w:hint="eastAsia" w:ascii="宋体" w:hAnsi="宋体"/>
                <w:szCs w:val="21"/>
              </w:rPr>
              <w:t>合计金额（人民币）：</w:t>
            </w:r>
            <w:r>
              <w:rPr>
                <w:rFonts w:hint="eastAsia" w:ascii="宋体" w:hAnsi="宋体"/>
                <w:szCs w:val="21"/>
                <w:u w:val="single"/>
              </w:rPr>
              <w:t xml:space="preserve">（大写）                          （小写）                 </w:t>
            </w:r>
          </w:p>
        </w:tc>
      </w:tr>
    </w:tbl>
    <w:p w14:paraId="4424FFBD">
      <w:pPr>
        <w:snapToGrid w:val="0"/>
        <w:spacing w:line="360" w:lineRule="auto"/>
        <w:ind w:firstLine="422" w:firstLineChars="200"/>
        <w:rPr>
          <w:rFonts w:hint="eastAsia" w:ascii="宋体" w:hAnsi="宋体"/>
          <w:szCs w:val="21"/>
        </w:rPr>
      </w:pPr>
      <w:r>
        <w:rPr>
          <w:rFonts w:hint="eastAsia" w:ascii="宋体" w:hAnsi="宋体"/>
          <w:b/>
          <w:szCs w:val="21"/>
        </w:rPr>
        <w:t>第二条　标的质量</w:t>
      </w:r>
    </w:p>
    <w:p w14:paraId="1A3F71B3">
      <w:pPr>
        <w:snapToGrid w:val="0"/>
        <w:spacing w:line="360" w:lineRule="auto"/>
        <w:ind w:firstLine="420" w:firstLineChars="200"/>
        <w:rPr>
          <w:rFonts w:hint="eastAsia" w:ascii="宋体" w:hAnsi="宋体"/>
          <w:szCs w:val="21"/>
        </w:rPr>
      </w:pPr>
      <w:r>
        <w:rPr>
          <w:rFonts w:hint="eastAsia" w:ascii="宋体" w:hAnsi="宋体"/>
          <w:szCs w:val="21"/>
        </w:rPr>
        <w:t>1.乙方所提供标的的名称、商标品牌、生产厂家、规格型号、技术参数等内容必须与乙方投标文件及有关承诺相一致，且满足项目实施要求。</w:t>
      </w:r>
    </w:p>
    <w:p w14:paraId="5234B51A">
      <w:pPr>
        <w:snapToGrid w:val="0"/>
        <w:spacing w:line="360" w:lineRule="auto"/>
        <w:ind w:firstLine="420" w:firstLineChars="200"/>
        <w:rPr>
          <w:rFonts w:hint="eastAsia" w:ascii="宋体" w:hAnsi="宋体"/>
          <w:szCs w:val="21"/>
        </w:rPr>
      </w:pPr>
      <w:r>
        <w:rPr>
          <w:rFonts w:hint="eastAsia" w:ascii="宋体" w:hAnsi="宋体"/>
          <w:szCs w:val="21"/>
        </w:rPr>
        <w:t>2.乙方所提供的货物必须是全新、未使用的原装产品，且在正常安装、使用和保养条件下，其使用寿命期内各项指标均达到投标文件的承诺。</w:t>
      </w:r>
    </w:p>
    <w:p w14:paraId="7CB3EC97">
      <w:pPr>
        <w:snapToGrid w:val="0"/>
        <w:spacing w:line="360" w:lineRule="auto"/>
        <w:ind w:firstLine="422" w:firstLineChars="200"/>
        <w:rPr>
          <w:rFonts w:hint="eastAsia" w:ascii="宋体" w:hAnsi="宋体"/>
          <w:szCs w:val="21"/>
        </w:rPr>
      </w:pPr>
      <w:r>
        <w:rPr>
          <w:rFonts w:hint="eastAsia" w:ascii="宋体" w:hAnsi="宋体"/>
          <w:b/>
          <w:szCs w:val="21"/>
        </w:rPr>
        <w:t>第三条　</w:t>
      </w:r>
      <w:r>
        <w:rPr>
          <w:rFonts w:hint="eastAsia" w:ascii="宋体" w:hAnsi="宋体"/>
          <w:szCs w:val="21"/>
        </w:rPr>
        <w:t>履行时间（期限）、地点和方式</w:t>
      </w:r>
    </w:p>
    <w:p w14:paraId="671C4134">
      <w:pPr>
        <w:snapToGrid w:val="0"/>
        <w:spacing w:line="360" w:lineRule="auto"/>
        <w:ind w:firstLine="420" w:firstLineChars="200"/>
        <w:rPr>
          <w:rFonts w:hint="eastAsia" w:ascii="宋体" w:hAnsi="宋体"/>
          <w:iCs/>
          <w:szCs w:val="21"/>
        </w:rPr>
      </w:pPr>
      <w:r>
        <w:rPr>
          <w:rFonts w:hint="eastAsia" w:ascii="宋体" w:hAnsi="宋体" w:cs="宋体"/>
          <w:szCs w:val="21"/>
        </w:rPr>
        <w:t>1.履行时间（期限）：</w:t>
      </w:r>
      <w:r>
        <w:rPr>
          <w:rFonts w:hint="eastAsia" w:ascii="宋体" w:hAnsi="宋体"/>
          <w:iCs/>
          <w:szCs w:val="21"/>
        </w:rPr>
        <w:t>自合同签订之日起30天内全部货物交货验收并安装调试完毕。</w:t>
      </w:r>
    </w:p>
    <w:p w14:paraId="66232D3A">
      <w:pPr>
        <w:snapToGrid w:val="0"/>
        <w:spacing w:line="360" w:lineRule="auto"/>
        <w:ind w:firstLine="420" w:firstLineChars="200"/>
        <w:rPr>
          <w:rFonts w:hint="eastAsia" w:ascii="宋体" w:hAnsi="宋体" w:cs="宋体"/>
          <w:szCs w:val="21"/>
        </w:rPr>
      </w:pPr>
      <w:r>
        <w:rPr>
          <w:rFonts w:hint="eastAsia" w:ascii="宋体" w:hAnsi="宋体" w:cs="宋体"/>
          <w:szCs w:val="21"/>
        </w:rPr>
        <w:t>2.履行地点：</w:t>
      </w:r>
      <w:r>
        <w:rPr>
          <w:rFonts w:hint="eastAsia" w:ascii="宋体" w:hAnsi="宋体" w:cs="宋体"/>
          <w:bCs/>
          <w:szCs w:val="21"/>
        </w:rPr>
        <w:t>广西南宁市内甲方指定地点</w:t>
      </w:r>
    </w:p>
    <w:p w14:paraId="42BA85D3">
      <w:pPr>
        <w:snapToGrid w:val="0"/>
        <w:spacing w:line="360" w:lineRule="auto"/>
        <w:ind w:firstLine="420" w:firstLineChars="200"/>
        <w:rPr>
          <w:rFonts w:hint="eastAsia" w:ascii="宋体" w:hAnsi="宋体" w:cs="宋体"/>
          <w:szCs w:val="21"/>
        </w:rPr>
      </w:pPr>
      <w:r>
        <w:rPr>
          <w:rFonts w:hint="eastAsia" w:ascii="宋体" w:hAnsi="宋体" w:cs="宋体"/>
          <w:szCs w:val="21"/>
        </w:rPr>
        <w:t>3.履行方式</w:t>
      </w:r>
    </w:p>
    <w:p w14:paraId="079AA45D">
      <w:pPr>
        <w:snapToGrid w:val="0"/>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szCs w:val="21"/>
        </w:rPr>
        <w:t>乙方负责货物运输，</w:t>
      </w:r>
      <w:r>
        <w:rPr>
          <w:rFonts w:hint="eastAsia" w:ascii="宋体" w:hAnsi="宋体" w:cs="宋体"/>
          <w:szCs w:val="21"/>
        </w:rPr>
        <w:t>货物的运输方式：</w:t>
      </w:r>
      <w:r>
        <w:rPr>
          <w:rFonts w:hint="eastAsia" w:ascii="宋体" w:hAnsi="宋体" w:cs="宋体"/>
          <w:szCs w:val="21"/>
          <w:u w:val="single"/>
        </w:rPr>
        <w:t xml:space="preserve"> 不限  </w:t>
      </w:r>
      <w:r>
        <w:rPr>
          <w:rFonts w:hint="eastAsia" w:ascii="宋体" w:hAnsi="宋体" w:cs="宋体"/>
          <w:szCs w:val="21"/>
        </w:rPr>
        <w:t>。</w:t>
      </w:r>
    </w:p>
    <w:p w14:paraId="52E0FBE8">
      <w:pPr>
        <w:snapToGrid w:val="0"/>
        <w:spacing w:line="360" w:lineRule="auto"/>
        <w:ind w:firstLine="420" w:firstLineChars="200"/>
        <w:rPr>
          <w:rFonts w:hint="eastAsia" w:ascii="宋体" w:hAnsi="宋体" w:cs="宋体"/>
          <w:szCs w:val="21"/>
        </w:rPr>
      </w:pPr>
      <w:r>
        <w:rPr>
          <w:rFonts w:hint="eastAsia" w:ascii="宋体" w:hAnsi="宋体" w:cs="宋体"/>
          <w:szCs w:val="21"/>
        </w:rPr>
        <w:t>（2）交货方式：乙方将货物送到甲方指定地点。</w:t>
      </w:r>
    </w:p>
    <w:p w14:paraId="3B515C18">
      <w:pPr>
        <w:snapToGrid w:val="0"/>
        <w:spacing w:line="360" w:lineRule="auto"/>
        <w:ind w:firstLine="422" w:firstLineChars="200"/>
        <w:rPr>
          <w:rFonts w:hint="eastAsia" w:ascii="宋体" w:hAnsi="宋体"/>
          <w:b/>
          <w:szCs w:val="21"/>
        </w:rPr>
      </w:pPr>
      <w:r>
        <w:rPr>
          <w:rFonts w:hint="eastAsia" w:ascii="宋体" w:hAnsi="宋体"/>
          <w:b/>
          <w:szCs w:val="21"/>
        </w:rPr>
        <w:t>第四条　包装方式</w:t>
      </w:r>
    </w:p>
    <w:p w14:paraId="44BD2F68">
      <w:pPr>
        <w:snapToGrid w:val="0"/>
        <w:spacing w:line="360" w:lineRule="auto"/>
        <w:ind w:firstLine="420" w:firstLineChars="200"/>
        <w:rPr>
          <w:rFonts w:hint="eastAsia" w:ascii="宋体" w:hAnsi="宋体"/>
          <w:szCs w:val="21"/>
        </w:rPr>
      </w:pPr>
      <w:r>
        <w:rPr>
          <w:rFonts w:hint="eastAsia" w:ascii="宋体" w:hAnsi="宋体"/>
          <w:szCs w:val="21"/>
        </w:rPr>
        <w:t>1.乙方提供的货物均应按投标文件承诺的要求的包装材料、包装标准、包装方式进行包装。</w:t>
      </w:r>
    </w:p>
    <w:p w14:paraId="6D590433">
      <w:pPr>
        <w:pStyle w:val="25"/>
        <w:snapToGrid w:val="0"/>
        <w:spacing w:line="360" w:lineRule="auto"/>
        <w:ind w:firstLine="420" w:firstLineChars="200"/>
        <w:rPr>
          <w:rFonts w:hint="eastAsia" w:hAnsi="宋体"/>
          <w:sz w:val="21"/>
        </w:rPr>
      </w:pPr>
      <w:r>
        <w:rPr>
          <w:rFonts w:hint="eastAsia" w:hAnsi="宋体"/>
          <w:sz w:val="21"/>
        </w:rPr>
        <w:t>2.乙方应在货物发运前对其进行满足运输距离、防水、防潮、防震、防锈和防破损装卸等要求包装，以保证货物安全运达甲方指定地点。</w:t>
      </w:r>
    </w:p>
    <w:p w14:paraId="654504B2">
      <w:pPr>
        <w:pStyle w:val="18"/>
        <w:spacing w:line="360" w:lineRule="auto"/>
        <w:ind w:firstLine="420" w:firstLineChars="200"/>
        <w:rPr>
          <w:rFonts w:hint="eastAsia" w:hAnsi="宋体"/>
          <w:sz w:val="21"/>
          <w:szCs w:val="21"/>
        </w:rPr>
      </w:pPr>
      <w:r>
        <w:rPr>
          <w:rFonts w:hAnsi="宋体"/>
          <w:sz w:val="21"/>
          <w:szCs w:val="21"/>
        </w:rPr>
        <w:t>3.</w:t>
      </w:r>
      <w:r>
        <w:rPr>
          <w:rFonts w:hint="eastAsia" w:hAnsi="宋体"/>
          <w:sz w:val="21"/>
          <w:szCs w:val="21"/>
        </w:rPr>
        <w:t>货物的使用说明书（货物属于进口产品的，供货时应同时附上中文使用说明书）、质量检验证明书、质量合格证、随配附件和工具以及清单一并附于货物包装内。</w:t>
      </w:r>
    </w:p>
    <w:p w14:paraId="4D21EA99">
      <w:pPr>
        <w:snapToGrid w:val="0"/>
        <w:spacing w:line="360" w:lineRule="auto"/>
        <w:ind w:firstLine="422" w:firstLineChars="200"/>
        <w:rPr>
          <w:rFonts w:hint="eastAsia" w:ascii="宋体" w:hAnsi="宋体"/>
          <w:szCs w:val="21"/>
        </w:rPr>
      </w:pPr>
      <w:r>
        <w:rPr>
          <w:rFonts w:hint="eastAsia" w:ascii="宋体" w:hAnsi="宋体"/>
          <w:b/>
          <w:szCs w:val="21"/>
        </w:rPr>
        <w:t>第五条　安装和培训</w:t>
      </w:r>
    </w:p>
    <w:p w14:paraId="62C541B1">
      <w:pPr>
        <w:snapToGrid w:val="0"/>
        <w:spacing w:line="360" w:lineRule="auto"/>
        <w:ind w:firstLine="420" w:firstLineChars="200"/>
        <w:rPr>
          <w:rFonts w:hint="eastAsia" w:ascii="宋体" w:hAnsi="宋体"/>
          <w:szCs w:val="21"/>
        </w:rPr>
      </w:pPr>
      <w:r>
        <w:rPr>
          <w:rFonts w:hint="eastAsia" w:ascii="宋体" w:hAnsi="宋体"/>
          <w:szCs w:val="21"/>
        </w:rPr>
        <w:t>1.安装时间：</w:t>
      </w:r>
      <w:r>
        <w:rPr>
          <w:rFonts w:hint="eastAsia" w:ascii="宋体" w:hAnsi="宋体"/>
          <w:szCs w:val="21"/>
          <w:u w:val="single"/>
        </w:rPr>
        <w:t xml:space="preserve"> 按甲方要求 </w:t>
      </w:r>
      <w:r>
        <w:rPr>
          <w:rFonts w:hint="eastAsia" w:ascii="宋体" w:hAnsi="宋体"/>
          <w:szCs w:val="21"/>
        </w:rPr>
        <w:t>；安装地点：</w:t>
      </w:r>
      <w:r>
        <w:rPr>
          <w:rFonts w:hint="eastAsia" w:ascii="宋体" w:hAnsi="宋体"/>
          <w:szCs w:val="21"/>
          <w:u w:val="single"/>
        </w:rPr>
        <w:t xml:space="preserve"> 甲方指定地点 </w:t>
      </w:r>
      <w:r>
        <w:rPr>
          <w:rFonts w:hint="eastAsia" w:ascii="宋体" w:hAnsi="宋体"/>
          <w:szCs w:val="21"/>
        </w:rPr>
        <w:t>。</w:t>
      </w:r>
    </w:p>
    <w:p w14:paraId="75E62543">
      <w:pPr>
        <w:snapToGrid w:val="0"/>
        <w:spacing w:line="360" w:lineRule="auto"/>
        <w:ind w:firstLine="420" w:firstLineChars="200"/>
        <w:rPr>
          <w:rFonts w:hint="eastAsia" w:ascii="宋体" w:hAnsi="宋体"/>
          <w:iCs/>
          <w:szCs w:val="21"/>
        </w:rPr>
      </w:pPr>
      <w:r>
        <w:rPr>
          <w:rFonts w:hint="eastAsia" w:ascii="宋体" w:hAnsi="宋体"/>
          <w:szCs w:val="21"/>
        </w:rPr>
        <w:t>2.安装要求：</w:t>
      </w:r>
      <w:r>
        <w:rPr>
          <w:rFonts w:hint="eastAsia" w:ascii="宋体" w:hAnsi="宋体"/>
          <w:iCs/>
          <w:szCs w:val="21"/>
          <w:u w:val="single"/>
        </w:rPr>
        <w:t>乙方应当按招标文件要求或甲方要求进行安装</w:t>
      </w:r>
      <w:r>
        <w:rPr>
          <w:rFonts w:hint="eastAsia" w:ascii="宋体" w:hAnsi="宋体"/>
          <w:iCs/>
          <w:szCs w:val="21"/>
        </w:rPr>
        <w:t>。</w:t>
      </w:r>
    </w:p>
    <w:p w14:paraId="4C869B07">
      <w:pPr>
        <w:snapToGrid w:val="0"/>
        <w:spacing w:line="360" w:lineRule="auto"/>
        <w:ind w:firstLine="420" w:firstLineChars="200"/>
        <w:rPr>
          <w:rFonts w:hint="eastAsia" w:ascii="宋体" w:hAnsi="宋体"/>
          <w:szCs w:val="21"/>
        </w:rPr>
      </w:pPr>
      <w:r>
        <w:rPr>
          <w:rFonts w:hint="eastAsia" w:ascii="宋体" w:hAnsi="宋体"/>
          <w:szCs w:val="21"/>
        </w:rPr>
        <w:t>3.甲方应提供必要安装条件（如场地、电源、水源等）。</w:t>
      </w:r>
    </w:p>
    <w:p w14:paraId="7017281A">
      <w:pPr>
        <w:pStyle w:val="18"/>
        <w:spacing w:line="360" w:lineRule="auto"/>
        <w:ind w:firstLine="420" w:firstLineChars="200"/>
        <w:rPr>
          <w:rFonts w:hint="eastAsia" w:ascii="宋体" w:hAnsi="宋体"/>
          <w:sz w:val="21"/>
          <w:szCs w:val="21"/>
        </w:rPr>
      </w:pPr>
      <w:r>
        <w:rPr>
          <w:rFonts w:hint="eastAsia" w:ascii="宋体" w:hAnsi="宋体"/>
          <w:sz w:val="21"/>
          <w:szCs w:val="21"/>
        </w:rPr>
        <w:t>4.乙方应当按照投标文件的承诺对甲方有关人员进行培训。培训时间：</w:t>
      </w:r>
      <w:r>
        <w:rPr>
          <w:rFonts w:hint="eastAsia" w:ascii="宋体" w:hAnsi="宋体"/>
          <w:sz w:val="21"/>
          <w:szCs w:val="21"/>
          <w:u w:val="single"/>
        </w:rPr>
        <w:t xml:space="preserve"> 按甲方要求 </w:t>
      </w:r>
      <w:r>
        <w:rPr>
          <w:rFonts w:hint="eastAsia" w:ascii="宋体" w:hAnsi="宋体"/>
          <w:sz w:val="21"/>
          <w:szCs w:val="21"/>
        </w:rPr>
        <w:t>；培训地点：</w:t>
      </w:r>
      <w:r>
        <w:rPr>
          <w:rFonts w:hint="eastAsia" w:ascii="宋体" w:hAnsi="宋体"/>
          <w:sz w:val="21"/>
          <w:szCs w:val="21"/>
          <w:u w:val="single"/>
        </w:rPr>
        <w:t>甲方指定地点</w:t>
      </w:r>
      <w:r>
        <w:rPr>
          <w:rFonts w:hint="eastAsia" w:ascii="宋体" w:hAnsi="宋体"/>
          <w:sz w:val="21"/>
          <w:szCs w:val="21"/>
        </w:rPr>
        <w:t>。</w:t>
      </w:r>
    </w:p>
    <w:p w14:paraId="6313CC9C">
      <w:pPr>
        <w:snapToGrid w:val="0"/>
        <w:spacing w:line="360" w:lineRule="auto"/>
        <w:ind w:firstLine="422" w:firstLineChars="200"/>
        <w:rPr>
          <w:rFonts w:hint="eastAsia" w:ascii="宋体" w:hAnsi="宋体"/>
          <w:b/>
          <w:szCs w:val="21"/>
        </w:rPr>
      </w:pPr>
      <w:r>
        <w:rPr>
          <w:rFonts w:hint="eastAsia" w:ascii="宋体" w:hAnsi="宋体"/>
          <w:b/>
          <w:szCs w:val="21"/>
        </w:rPr>
        <w:t>第六条　合同价款及支付</w:t>
      </w:r>
    </w:p>
    <w:p w14:paraId="069A3477">
      <w:pPr>
        <w:pStyle w:val="25"/>
        <w:snapToGrid w:val="0"/>
        <w:spacing w:line="360" w:lineRule="auto"/>
        <w:ind w:firstLine="420" w:firstLineChars="200"/>
        <w:rPr>
          <w:rFonts w:hint="eastAsia" w:hAnsi="宋体"/>
          <w:sz w:val="21"/>
        </w:rPr>
      </w:pPr>
      <w:r>
        <w:rPr>
          <w:rFonts w:hint="eastAsia" w:hAnsi="宋体"/>
          <w:sz w:val="21"/>
        </w:rPr>
        <w:t>1.本合同以人民币付款。</w:t>
      </w:r>
    </w:p>
    <w:p w14:paraId="4173849A">
      <w:pPr>
        <w:pStyle w:val="25"/>
        <w:snapToGrid w:val="0"/>
        <w:spacing w:line="360" w:lineRule="auto"/>
        <w:ind w:firstLine="420" w:firstLineChars="200"/>
        <w:rPr>
          <w:rFonts w:hint="eastAsia" w:hAnsi="宋体"/>
          <w:sz w:val="21"/>
        </w:rPr>
      </w:pPr>
      <w:r>
        <w:rPr>
          <w:rFonts w:hint="eastAsia" w:hAnsi="宋体"/>
          <w:sz w:val="21"/>
        </w:rPr>
        <w:t>2.合同价款（或者报酬）：</w:t>
      </w:r>
      <w:r>
        <w:rPr>
          <w:rFonts w:hint="eastAsia" w:hAnsi="宋体"/>
          <w:sz w:val="21"/>
          <w:u w:val="single"/>
        </w:rPr>
        <w:t xml:space="preserve">                     </w:t>
      </w:r>
      <w:r>
        <w:rPr>
          <w:rFonts w:hint="eastAsia" w:hAnsi="宋体"/>
          <w:sz w:val="21"/>
        </w:rPr>
        <w:t>。</w:t>
      </w:r>
    </w:p>
    <w:p w14:paraId="40BFB42F">
      <w:pPr>
        <w:snapToGrid w:val="0"/>
        <w:spacing w:line="360" w:lineRule="auto"/>
        <w:ind w:firstLine="420" w:firstLineChars="200"/>
        <w:rPr>
          <w:rFonts w:hint="eastAsia" w:ascii="宋体" w:hAnsi="宋体"/>
          <w:szCs w:val="21"/>
        </w:rPr>
      </w:pPr>
      <w:r>
        <w:rPr>
          <w:rFonts w:hint="eastAsia" w:ascii="宋体" w:hAnsi="宋体"/>
          <w:szCs w:val="21"/>
        </w:rPr>
        <w:t>3.合同价款包括（1）货物的价格；（2）货物的标准附件、备品备件、专用工具的价格；（3）运输、调试、培训、技术支持、售后服务等费用；（4）安装费用；（5）必要的保险费用和各项税费。</w:t>
      </w:r>
    </w:p>
    <w:p w14:paraId="2ECAB7D1">
      <w:pPr>
        <w:snapToGrid w:val="0"/>
        <w:spacing w:line="360" w:lineRule="auto"/>
        <w:ind w:firstLine="420" w:firstLineChars="200"/>
        <w:rPr>
          <w:rFonts w:hint="eastAsia" w:ascii="宋体" w:hAnsi="宋体" w:cs="宋体"/>
          <w:iCs/>
          <w:szCs w:val="21"/>
        </w:rPr>
      </w:pPr>
      <w:r>
        <w:rPr>
          <w:rFonts w:hint="eastAsia" w:ascii="宋体" w:hAnsi="宋体" w:cs="宋体"/>
          <w:bCs/>
          <w:szCs w:val="21"/>
        </w:rPr>
        <w:t>4.</w:t>
      </w:r>
      <w:r>
        <w:rPr>
          <w:rFonts w:hint="eastAsia" w:ascii="宋体" w:hAnsi="宋体" w:cs="宋体"/>
          <w:szCs w:val="21"/>
        </w:rPr>
        <w:t>付款进度安排</w:t>
      </w:r>
      <w:r>
        <w:rPr>
          <w:rFonts w:hint="eastAsia" w:ascii="宋体" w:hAnsi="宋体" w:cs="宋体"/>
          <w:iCs/>
          <w:szCs w:val="21"/>
        </w:rPr>
        <w:t>：</w:t>
      </w:r>
    </w:p>
    <w:p w14:paraId="09D2B395">
      <w:pPr>
        <w:snapToGrid w:val="0"/>
        <w:spacing w:line="360" w:lineRule="auto"/>
        <w:ind w:firstLine="420" w:firstLineChars="200"/>
        <w:rPr>
          <w:rFonts w:hint="eastAsia" w:ascii="宋体" w:hAnsi="宋体" w:cs="宋体"/>
          <w:iCs/>
          <w:szCs w:val="21"/>
        </w:rPr>
      </w:pPr>
      <w:r>
        <w:rPr>
          <w:rFonts w:hint="eastAsia" w:ascii="宋体" w:hAnsi="宋体" w:cs="宋体"/>
          <w:iCs/>
          <w:szCs w:val="21"/>
        </w:rPr>
        <w:t>（1）预付款：签订合同之日起10个工作日内，乙方开具合同总价款的 30%的等额价值保函(保函有效期应在</w:t>
      </w:r>
      <w:r>
        <w:rPr>
          <w:rFonts w:hint="eastAsia" w:ascii="宋体" w:hAnsi="宋体" w:cs="宋体"/>
          <w:iCs/>
          <w:szCs w:val="21"/>
          <w:lang w:eastAsia="zh-CN"/>
        </w:rPr>
        <w:t>2025年12月31日后</w:t>
      </w:r>
      <w:r>
        <w:rPr>
          <w:rFonts w:hint="eastAsia" w:ascii="宋体" w:hAnsi="宋体" w:cs="宋体"/>
          <w:iCs/>
          <w:szCs w:val="21"/>
        </w:rPr>
        <w:t>)给甲方后，甲方支付合同总价款的30%作为预付款。</w:t>
      </w:r>
    </w:p>
    <w:p w14:paraId="7B0C14A9">
      <w:pPr>
        <w:snapToGrid w:val="0"/>
        <w:spacing w:line="360" w:lineRule="auto"/>
        <w:ind w:firstLine="420" w:firstLineChars="200"/>
        <w:rPr>
          <w:rFonts w:hint="eastAsia" w:ascii="宋体" w:hAnsi="宋体" w:cs="宋体"/>
          <w:iCs/>
          <w:szCs w:val="21"/>
        </w:rPr>
      </w:pPr>
      <w:r>
        <w:rPr>
          <w:rFonts w:hint="eastAsia" w:ascii="宋体" w:hAnsi="宋体" w:cs="宋体"/>
          <w:iCs/>
          <w:szCs w:val="21"/>
        </w:rPr>
        <w:t>（2）进度款：全部设备到货后，经甲方确认后在十个工作日内向乙方付款方式支付合同价款的50%；所有货物安装调试完成、试运行正常且验收合格，并经甲方确认后，在十个工作日内向乙方支付合同价款的20%。</w:t>
      </w:r>
    </w:p>
    <w:p w14:paraId="3404D8A3">
      <w:pPr>
        <w:snapToGrid w:val="0"/>
        <w:spacing w:line="360" w:lineRule="auto"/>
        <w:ind w:firstLine="420" w:firstLineChars="200"/>
        <w:rPr>
          <w:rFonts w:hint="eastAsia" w:ascii="宋体" w:hAnsi="宋体"/>
          <w:b/>
          <w:szCs w:val="21"/>
        </w:rPr>
      </w:pPr>
      <w:r>
        <w:rPr>
          <w:rFonts w:hint="eastAsia" w:ascii="宋体" w:hAnsi="宋体" w:cs="宋体"/>
          <w:iCs/>
          <w:szCs w:val="21"/>
        </w:rPr>
        <w:t>5.以上各项付款以采购人预算资金实际到位情况为准。</w:t>
      </w:r>
    </w:p>
    <w:p w14:paraId="6B0F9315">
      <w:pPr>
        <w:snapToGrid w:val="0"/>
        <w:spacing w:line="360" w:lineRule="auto"/>
        <w:ind w:firstLine="422" w:firstLineChars="200"/>
        <w:rPr>
          <w:rFonts w:hint="eastAsia" w:ascii="宋体" w:hAnsi="宋体"/>
          <w:b/>
          <w:szCs w:val="21"/>
        </w:rPr>
      </w:pPr>
      <w:r>
        <w:rPr>
          <w:rFonts w:hint="eastAsia" w:ascii="宋体" w:hAnsi="宋体"/>
          <w:b/>
          <w:szCs w:val="21"/>
        </w:rPr>
        <w:t>第七条　验收、交付标准和方法</w:t>
      </w:r>
    </w:p>
    <w:p w14:paraId="3501FFA7">
      <w:pPr>
        <w:snapToGrid w:val="0"/>
        <w:spacing w:line="360" w:lineRule="auto"/>
        <w:ind w:firstLine="420" w:firstLineChars="200"/>
        <w:rPr>
          <w:rFonts w:hint="eastAsia" w:ascii="宋体" w:hAnsi="宋体"/>
          <w:szCs w:val="21"/>
        </w:rPr>
      </w:pPr>
      <w:r>
        <w:rPr>
          <w:rFonts w:hint="eastAsia" w:ascii="宋体" w:hAnsi="宋体"/>
          <w:szCs w:val="21"/>
        </w:rPr>
        <w:t>1.验收标准和方法</w:t>
      </w:r>
    </w:p>
    <w:p w14:paraId="2868B828">
      <w:pPr>
        <w:snapToGrid w:val="0"/>
        <w:spacing w:line="360" w:lineRule="auto"/>
        <w:ind w:firstLine="420" w:firstLineChars="200"/>
        <w:rPr>
          <w:rFonts w:hint="eastAsia" w:ascii="宋体" w:hAnsi="宋体"/>
          <w:szCs w:val="21"/>
        </w:rPr>
      </w:pPr>
      <w:r>
        <w:rPr>
          <w:rFonts w:hint="eastAsia" w:ascii="宋体" w:hAnsi="宋体"/>
          <w:szCs w:val="21"/>
        </w:rPr>
        <w:t>（1）验收标准：</w:t>
      </w:r>
    </w:p>
    <w:p w14:paraId="6A3C7E3E">
      <w:pPr>
        <w:snapToGrid w:val="0"/>
        <w:spacing w:line="360" w:lineRule="auto"/>
        <w:ind w:firstLine="420" w:firstLineChars="200"/>
        <w:rPr>
          <w:rFonts w:hint="eastAsia" w:ascii="宋体" w:hAnsi="宋体"/>
          <w:szCs w:val="21"/>
        </w:rPr>
      </w:pPr>
      <w:r>
        <w:rPr>
          <w:rFonts w:hint="eastAsia" w:ascii="宋体" w:hAnsi="宋体"/>
          <w:szCs w:val="21"/>
        </w:rPr>
        <w:t>1）乙方向甲方提供的货物必须是全新的未使用过的原装产品；投标所提供的所有设备必须是签订合同之日前1年内生产的机型。</w:t>
      </w:r>
    </w:p>
    <w:p w14:paraId="379D89BA">
      <w:pPr>
        <w:snapToGrid w:val="0"/>
        <w:spacing w:line="360" w:lineRule="auto"/>
        <w:ind w:firstLine="420" w:firstLineChars="200"/>
        <w:rPr>
          <w:rFonts w:hint="eastAsia" w:ascii="宋体" w:hAnsi="宋体"/>
          <w:szCs w:val="21"/>
        </w:rPr>
      </w:pPr>
      <w:r>
        <w:rPr>
          <w:rFonts w:hint="eastAsia" w:ascii="宋体" w:hAnsi="宋体"/>
          <w:szCs w:val="21"/>
        </w:rPr>
        <w:t>2）本项目中的货物，乙方投标时必须提供包含该设备生产商编写的、完整的、中（英）文版的性能参数描述等有关产品说明或彩页（可以是从生产厂家网页下载的PDF或HTML文件）。当投标文件提供的设备性能参数与该设备生产商提供的性能参数不符合时，以后者为准。</w:t>
      </w:r>
    </w:p>
    <w:p w14:paraId="75425A15">
      <w:pPr>
        <w:snapToGrid w:val="0"/>
        <w:spacing w:line="360" w:lineRule="auto"/>
        <w:ind w:firstLine="420" w:firstLineChars="200"/>
        <w:rPr>
          <w:rFonts w:hint="eastAsia" w:ascii="宋体" w:hAnsi="宋体"/>
          <w:szCs w:val="21"/>
        </w:rPr>
      </w:pPr>
      <w:r>
        <w:rPr>
          <w:rFonts w:hint="eastAsia" w:ascii="宋体" w:hAnsi="宋体"/>
          <w:szCs w:val="21"/>
        </w:rPr>
        <w:t>3）验收过程中所产生的一切费用均由乙方承担，报价时应考虑相关费用。</w:t>
      </w:r>
    </w:p>
    <w:p w14:paraId="7EEF93CC">
      <w:pPr>
        <w:snapToGrid w:val="0"/>
        <w:spacing w:line="360" w:lineRule="auto"/>
        <w:ind w:firstLine="420" w:firstLineChars="200"/>
        <w:rPr>
          <w:rFonts w:hint="eastAsia" w:ascii="宋体" w:hAnsi="宋体"/>
          <w:szCs w:val="21"/>
        </w:rPr>
      </w:pPr>
      <w:r>
        <w:rPr>
          <w:rFonts w:hint="eastAsia" w:ascii="宋体" w:hAnsi="宋体"/>
          <w:szCs w:val="21"/>
        </w:rPr>
        <w:t>4）乙方在货物验收时由甲方对照招标文件的功能目标及技术指标全面核对检验，对所有要求出具的证明文件的原件进行核查，如不符合招标文件的技术需求及要求以及提供虚假承诺的，按相关规定做退货处理及违约处理，乙方承担所有责任和费用，甲方保留进一步追究责任的权利。</w:t>
      </w:r>
    </w:p>
    <w:p w14:paraId="5F9B60E1">
      <w:pPr>
        <w:snapToGrid w:val="0"/>
        <w:spacing w:line="360" w:lineRule="auto"/>
        <w:ind w:firstLine="420" w:firstLineChars="200"/>
        <w:rPr>
          <w:rFonts w:hint="eastAsia" w:ascii="宋体" w:hAnsi="宋体"/>
          <w:szCs w:val="21"/>
        </w:rPr>
      </w:pPr>
      <w:r>
        <w:rPr>
          <w:rFonts w:hint="eastAsia" w:ascii="宋体" w:hAnsi="宋体"/>
          <w:szCs w:val="21"/>
        </w:rPr>
        <w:t>5）本采购文件的相关要求。</w:t>
      </w:r>
    </w:p>
    <w:p w14:paraId="29FD445D">
      <w:pPr>
        <w:snapToGrid w:val="0"/>
        <w:spacing w:line="360" w:lineRule="auto"/>
        <w:ind w:firstLine="420" w:firstLineChars="200"/>
        <w:rPr>
          <w:rFonts w:hint="eastAsia" w:ascii="宋体" w:hAnsi="宋体"/>
          <w:szCs w:val="21"/>
        </w:rPr>
      </w:pPr>
      <w:r>
        <w:rPr>
          <w:rFonts w:hint="eastAsia" w:ascii="宋体" w:hAnsi="宋体"/>
          <w:szCs w:val="21"/>
        </w:rPr>
        <w:t>6）国家相关法律、法规、标准和规范等</w:t>
      </w:r>
    </w:p>
    <w:p w14:paraId="7D048C80">
      <w:pPr>
        <w:snapToGrid w:val="0"/>
        <w:spacing w:line="360" w:lineRule="auto"/>
        <w:ind w:firstLine="420" w:firstLineChars="200"/>
        <w:rPr>
          <w:rFonts w:hint="eastAsia" w:ascii="宋体" w:hAnsi="宋体"/>
          <w:szCs w:val="21"/>
        </w:rPr>
      </w:pPr>
      <w:r>
        <w:rPr>
          <w:rFonts w:hint="eastAsia" w:ascii="宋体" w:hAnsi="宋体"/>
          <w:szCs w:val="21"/>
        </w:rPr>
        <w:t>（2）验收程序及方法：</w:t>
      </w:r>
    </w:p>
    <w:p w14:paraId="6424042D">
      <w:pPr>
        <w:snapToGrid w:val="0"/>
        <w:spacing w:line="360" w:lineRule="auto"/>
        <w:ind w:firstLine="420" w:firstLineChars="200"/>
        <w:rPr>
          <w:rFonts w:hint="eastAsia" w:ascii="宋体" w:hAnsi="宋体"/>
          <w:szCs w:val="21"/>
        </w:rPr>
      </w:pPr>
      <w:r>
        <w:rPr>
          <w:rFonts w:hint="eastAsia" w:ascii="宋体" w:hAnsi="宋体"/>
          <w:szCs w:val="21"/>
        </w:rPr>
        <w:t>1）乙方完成货物安装调试和培训后，书面向甲方提交验收申请。</w:t>
      </w:r>
    </w:p>
    <w:p w14:paraId="153F7705">
      <w:pPr>
        <w:snapToGrid w:val="0"/>
        <w:spacing w:line="360" w:lineRule="auto"/>
        <w:ind w:firstLine="420" w:firstLineChars="200"/>
        <w:rPr>
          <w:rFonts w:hint="eastAsia" w:ascii="宋体" w:hAnsi="宋体"/>
          <w:szCs w:val="21"/>
        </w:rPr>
      </w:pPr>
      <w:r>
        <w:rPr>
          <w:rFonts w:hint="eastAsia" w:ascii="宋体" w:hAnsi="宋体"/>
          <w:szCs w:val="21"/>
        </w:rPr>
        <w:t>2）甲方收到乙方验收申请之日起</w:t>
      </w:r>
      <w:r>
        <w:rPr>
          <w:rFonts w:hint="eastAsia" w:ascii="宋体" w:hAnsi="宋体"/>
          <w:szCs w:val="21"/>
          <w:u w:val="single"/>
        </w:rPr>
        <w:t xml:space="preserve"> 7 </w:t>
      </w:r>
      <w:r>
        <w:rPr>
          <w:rFonts w:hint="eastAsia" w:ascii="宋体" w:hAnsi="宋体"/>
          <w:szCs w:val="21"/>
        </w:rPr>
        <w:t>个工作日进行验收。甲方委托第三方机构组织项目验收的，其验收时间以该项目验收方案确定的验收时间为准。</w:t>
      </w:r>
    </w:p>
    <w:p w14:paraId="0B084271">
      <w:pPr>
        <w:spacing w:line="360" w:lineRule="auto"/>
        <w:ind w:firstLine="420" w:firstLineChars="200"/>
        <w:rPr>
          <w:rFonts w:hint="eastAsia" w:ascii="宋体" w:hAnsi="宋体"/>
          <w:szCs w:val="21"/>
        </w:rPr>
      </w:pPr>
      <w:r>
        <w:rPr>
          <w:rFonts w:hint="eastAsia" w:ascii="宋体" w:hAnsi="宋体"/>
          <w:szCs w:val="21"/>
        </w:rPr>
        <w:t>3）负责本项目验收的单位按下列</w:t>
      </w:r>
      <w:r>
        <w:rPr>
          <w:rFonts w:hint="eastAsia" w:ascii="宋体" w:hAnsi="宋体"/>
          <w:szCs w:val="21"/>
          <w:u w:val="single"/>
        </w:rPr>
        <w:t xml:space="preserve">  ①  </w:t>
      </w:r>
      <w:r>
        <w:rPr>
          <w:rFonts w:hint="eastAsia" w:ascii="宋体" w:hAnsi="宋体"/>
          <w:szCs w:val="21"/>
        </w:rPr>
        <w:t>方式确定：</w:t>
      </w:r>
    </w:p>
    <w:p w14:paraId="6C00CD83">
      <w:pPr>
        <w:spacing w:line="360" w:lineRule="auto"/>
        <w:ind w:firstLine="420" w:firstLineChars="200"/>
        <w:rPr>
          <w:rFonts w:hint="eastAsia" w:ascii="宋体" w:hAnsi="宋体"/>
          <w:szCs w:val="21"/>
        </w:rPr>
      </w:pPr>
      <w:r>
        <w:rPr>
          <w:rFonts w:hint="eastAsia" w:ascii="宋体" w:hAnsi="宋体"/>
          <w:szCs w:val="21"/>
        </w:rPr>
        <w:t>①甲方自行组织；</w:t>
      </w:r>
    </w:p>
    <w:p w14:paraId="659F34D4">
      <w:pPr>
        <w:spacing w:line="360" w:lineRule="auto"/>
        <w:ind w:firstLine="420" w:firstLineChars="200"/>
        <w:rPr>
          <w:rFonts w:hint="eastAsia" w:ascii="宋体" w:hAnsi="宋体"/>
          <w:szCs w:val="21"/>
        </w:rPr>
      </w:pPr>
      <w:r>
        <w:rPr>
          <w:rFonts w:hint="eastAsia" w:ascii="宋体" w:hAnsi="宋体"/>
          <w:szCs w:val="21"/>
        </w:rPr>
        <w:t>②甲方委托的第三方机构组织；</w:t>
      </w:r>
    </w:p>
    <w:p w14:paraId="42FEDB67">
      <w:pPr>
        <w:spacing w:line="360" w:lineRule="auto"/>
        <w:ind w:firstLine="420" w:firstLineChars="200"/>
        <w:rPr>
          <w:rFonts w:hint="eastAsia" w:ascii="宋体" w:hAnsi="宋体"/>
          <w:szCs w:val="21"/>
        </w:rPr>
      </w:pPr>
      <w:r>
        <w:rPr>
          <w:rFonts w:hint="eastAsia" w:ascii="宋体" w:hAnsi="宋体"/>
          <w:szCs w:val="21"/>
        </w:rPr>
        <w:t>4）本项目验收由验收小组按照采购合同约定对每一项技术和商务要求的履约情况进行确认。</w:t>
      </w:r>
    </w:p>
    <w:p w14:paraId="141E588E">
      <w:pPr>
        <w:spacing w:line="360" w:lineRule="auto"/>
        <w:ind w:firstLine="420" w:firstLineChars="200"/>
        <w:rPr>
          <w:rFonts w:hint="eastAsia" w:ascii="宋体" w:hAnsi="宋体" w:cs="宋体"/>
          <w:kern w:val="0"/>
          <w:szCs w:val="21"/>
        </w:rPr>
      </w:pPr>
      <w:r>
        <w:rPr>
          <w:rFonts w:hint="eastAsia" w:ascii="宋体" w:hAnsi="宋体"/>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2BA137D8">
      <w:pPr>
        <w:spacing w:line="360" w:lineRule="auto"/>
        <w:ind w:firstLine="420" w:firstLineChars="200"/>
        <w:rPr>
          <w:rFonts w:hint="eastAsia" w:ascii="宋体" w:hAnsi="宋体"/>
          <w:szCs w:val="21"/>
        </w:rPr>
      </w:pPr>
      <w:r>
        <w:rPr>
          <w:rFonts w:hint="eastAsia" w:ascii="宋体" w:hAnsi="宋体"/>
          <w:szCs w:val="21"/>
        </w:rPr>
        <w:t>6）</w:t>
      </w:r>
      <w:r>
        <w:rPr>
          <w:rFonts w:hint="eastAsia"/>
          <w:szCs w:val="21"/>
        </w:rPr>
        <w:t>验收书一式</w:t>
      </w:r>
      <w:r>
        <w:rPr>
          <w:szCs w:val="21"/>
          <w:u w:val="single"/>
        </w:rPr>
        <w:t xml:space="preserve"> </w:t>
      </w:r>
      <w:r>
        <w:rPr>
          <w:rFonts w:hint="eastAsia"/>
          <w:szCs w:val="21"/>
          <w:u w:val="single"/>
        </w:rPr>
        <w:t>二</w:t>
      </w:r>
      <w:r>
        <w:rPr>
          <w:szCs w:val="21"/>
          <w:u w:val="single"/>
        </w:rPr>
        <w:t xml:space="preserve"> </w:t>
      </w:r>
      <w:r>
        <w:rPr>
          <w:rFonts w:hint="eastAsia"/>
          <w:szCs w:val="21"/>
        </w:rPr>
        <w:t>份，甲乙双方各执</w:t>
      </w:r>
      <w:r>
        <w:rPr>
          <w:szCs w:val="21"/>
          <w:u w:val="single"/>
        </w:rPr>
        <w:t xml:space="preserve"> </w:t>
      </w:r>
      <w:r>
        <w:rPr>
          <w:rFonts w:hint="eastAsia"/>
          <w:szCs w:val="21"/>
          <w:u w:val="single"/>
        </w:rPr>
        <w:t xml:space="preserve">一 </w:t>
      </w:r>
      <w:r>
        <w:rPr>
          <w:rFonts w:hint="eastAsia"/>
          <w:szCs w:val="21"/>
        </w:rPr>
        <w:t>份、受托第三方机构一份（如有）</w:t>
      </w:r>
      <w:r>
        <w:rPr>
          <w:rFonts w:hint="eastAsia" w:ascii="宋体" w:hAnsi="宋体"/>
          <w:szCs w:val="21"/>
        </w:rPr>
        <w:t xml:space="preserve">。 </w:t>
      </w:r>
    </w:p>
    <w:p w14:paraId="2B6C2859">
      <w:pPr>
        <w:spacing w:line="360" w:lineRule="auto"/>
        <w:ind w:firstLine="420" w:firstLineChars="200"/>
        <w:rPr>
          <w:rFonts w:hint="eastAsia" w:ascii="宋体" w:hAnsi="宋体"/>
          <w:szCs w:val="21"/>
        </w:rPr>
      </w:pPr>
      <w:r>
        <w:rPr>
          <w:rFonts w:hint="eastAsia" w:ascii="宋体" w:hAnsi="宋体"/>
          <w:szCs w:val="21"/>
        </w:rPr>
        <w:t>7）验收结论不合格的，乙方应自收到验收书后</w:t>
      </w:r>
      <w:r>
        <w:rPr>
          <w:rFonts w:hint="eastAsia" w:ascii="宋体" w:hAnsi="宋体"/>
          <w:szCs w:val="21"/>
          <w:u w:val="single"/>
        </w:rPr>
        <w:t xml:space="preserve"> 3 </w:t>
      </w:r>
      <w:r>
        <w:rPr>
          <w:rFonts w:hint="eastAsia" w:ascii="宋体" w:hAnsi="宋体"/>
          <w:szCs w:val="21"/>
        </w:rPr>
        <w:t>日内及时予以解决。经乙方对验收结论不合格的货物进行整改后，仍然达不到要求的，</w:t>
      </w:r>
      <w:r>
        <w:rPr>
          <w:rFonts w:hint="eastAsia" w:ascii="宋体" w:hAnsi="宋体"/>
          <w:szCs w:val="21"/>
          <w:highlight w:val="none"/>
        </w:rPr>
        <w:t>甲方</w:t>
      </w:r>
      <w:r>
        <w:rPr>
          <w:rFonts w:hint="eastAsia" w:ascii="宋体" w:hAnsi="宋体"/>
          <w:szCs w:val="21"/>
        </w:rPr>
        <w:t>可按以下办法处理：</w:t>
      </w:r>
    </w:p>
    <w:p w14:paraId="61554144">
      <w:pPr>
        <w:spacing w:line="360" w:lineRule="auto"/>
        <w:ind w:firstLine="420" w:firstLineChars="200"/>
        <w:rPr>
          <w:rFonts w:hint="eastAsia" w:ascii="宋体" w:hAnsi="宋体"/>
          <w:szCs w:val="21"/>
        </w:rPr>
      </w:pPr>
      <w:r>
        <w:rPr>
          <w:rFonts w:hint="eastAsia" w:ascii="宋体" w:hAnsi="宋体"/>
          <w:szCs w:val="21"/>
        </w:rPr>
        <w:t>①更换：由乙方承担所发生的全部费用。</w:t>
      </w:r>
    </w:p>
    <w:p w14:paraId="7CC31AFC">
      <w:pPr>
        <w:spacing w:line="360" w:lineRule="auto"/>
        <w:ind w:firstLine="420" w:firstLineChars="200"/>
        <w:rPr>
          <w:rFonts w:hint="eastAsia" w:ascii="宋体" w:hAnsi="宋体"/>
          <w:szCs w:val="21"/>
        </w:rPr>
      </w:pPr>
      <w:r>
        <w:rPr>
          <w:rFonts w:hint="eastAsia" w:ascii="宋体" w:hAnsi="宋体"/>
          <w:szCs w:val="21"/>
        </w:rPr>
        <w:t>②贬值处理：由甲乙双方合议定价。</w:t>
      </w:r>
    </w:p>
    <w:p w14:paraId="6C273573">
      <w:pPr>
        <w:spacing w:line="360" w:lineRule="auto"/>
        <w:ind w:firstLine="420" w:firstLineChars="200"/>
        <w:rPr>
          <w:rFonts w:hint="eastAsia" w:ascii="宋体" w:hAnsi="宋体"/>
          <w:szCs w:val="21"/>
        </w:rPr>
      </w:pPr>
      <w:r>
        <w:rPr>
          <w:rFonts w:hint="eastAsia" w:ascii="宋体" w:hAnsi="宋体"/>
          <w:szCs w:val="21"/>
        </w:rPr>
        <w:t>8）</w:t>
      </w:r>
      <w:r>
        <w:t>验收费用</w:t>
      </w:r>
      <w:r>
        <w:rPr>
          <w:rFonts w:hint="eastAsia" w:ascii="宋体" w:hAnsi="宋体"/>
          <w:szCs w:val="21"/>
        </w:rPr>
        <w:t>按下列</w:t>
      </w:r>
      <w:r>
        <w:rPr>
          <w:rFonts w:hint="eastAsia" w:ascii="宋体" w:hAnsi="宋体"/>
          <w:szCs w:val="21"/>
          <w:u w:val="single"/>
        </w:rPr>
        <w:t xml:space="preserve"> </w:t>
      </w:r>
      <w:r>
        <w:rPr>
          <w:rFonts w:hint="eastAsia" w:ascii="宋体" w:hAnsi="宋体"/>
          <w:sz w:val="24"/>
          <w:u w:val="single"/>
        </w:rPr>
        <w:t>②</w:t>
      </w:r>
      <w:r>
        <w:rPr>
          <w:rFonts w:hint="eastAsia" w:ascii="宋体" w:hAnsi="宋体"/>
          <w:szCs w:val="21"/>
          <w:u w:val="single"/>
        </w:rPr>
        <w:t xml:space="preserve"> </w:t>
      </w:r>
      <w:r>
        <w:rPr>
          <w:rFonts w:hint="eastAsia" w:ascii="宋体" w:hAnsi="宋体"/>
          <w:szCs w:val="21"/>
        </w:rPr>
        <w:t>方式确定：</w:t>
      </w:r>
    </w:p>
    <w:p w14:paraId="1A18587A">
      <w:pPr>
        <w:spacing w:line="360" w:lineRule="auto"/>
        <w:ind w:firstLine="420" w:firstLineChars="200"/>
        <w:rPr>
          <w:rFonts w:hint="eastAsia" w:ascii="宋体" w:hAnsi="宋体"/>
          <w:szCs w:val="21"/>
        </w:rPr>
      </w:pPr>
      <w:r>
        <w:rPr>
          <w:rFonts w:hint="eastAsia" w:ascii="宋体" w:hAnsi="宋体"/>
          <w:szCs w:val="21"/>
        </w:rPr>
        <w:t>①甲方支付；</w:t>
      </w:r>
    </w:p>
    <w:p w14:paraId="50B242C5">
      <w:pPr>
        <w:spacing w:line="360" w:lineRule="auto"/>
        <w:ind w:firstLine="420" w:firstLineChars="200"/>
        <w:rPr>
          <w:rFonts w:hint="eastAsia" w:ascii="宋体" w:hAnsi="宋体"/>
          <w:szCs w:val="21"/>
        </w:rPr>
      </w:pPr>
      <w:r>
        <w:rPr>
          <w:rFonts w:hint="eastAsia" w:ascii="宋体" w:hAnsi="宋体"/>
          <w:szCs w:val="21"/>
        </w:rPr>
        <w:t>②乙方支付；</w:t>
      </w:r>
    </w:p>
    <w:p w14:paraId="20AAAC1C">
      <w:pPr>
        <w:spacing w:line="360" w:lineRule="auto"/>
        <w:ind w:firstLine="420" w:firstLineChars="200"/>
        <w:rPr>
          <w:rFonts w:hint="eastAsia" w:ascii="宋体" w:hAnsi="宋体"/>
          <w:szCs w:val="21"/>
        </w:rPr>
      </w:pPr>
      <w:r>
        <w:rPr>
          <w:rFonts w:hint="eastAsia" w:ascii="宋体" w:hAnsi="宋体"/>
          <w:szCs w:val="21"/>
        </w:rPr>
        <w:t>2.交付标准和方法</w:t>
      </w:r>
    </w:p>
    <w:p w14:paraId="642BDFAD">
      <w:pPr>
        <w:spacing w:line="360" w:lineRule="auto"/>
        <w:ind w:firstLine="420" w:firstLineChars="200"/>
        <w:rPr>
          <w:rFonts w:hint="eastAsia" w:ascii="宋体" w:hAnsi="宋体"/>
          <w:szCs w:val="21"/>
        </w:rPr>
      </w:pPr>
      <w:r>
        <w:rPr>
          <w:rFonts w:hint="eastAsia" w:ascii="宋体" w:hAnsi="宋体"/>
          <w:szCs w:val="21"/>
        </w:rPr>
        <w:t>（1）除售后服务验收外，验收结论合格的，乙方应自收到验收书后</w:t>
      </w:r>
      <w:r>
        <w:rPr>
          <w:rFonts w:hint="eastAsia" w:ascii="宋体" w:hAnsi="宋体"/>
          <w:szCs w:val="21"/>
          <w:u w:val="single"/>
        </w:rPr>
        <w:t xml:space="preserve"> 7 </w:t>
      </w:r>
      <w:r>
        <w:rPr>
          <w:rFonts w:hint="eastAsia" w:ascii="宋体" w:hAnsi="宋体"/>
          <w:szCs w:val="21"/>
        </w:rPr>
        <w:t>日内向甲方交付使用。</w:t>
      </w:r>
    </w:p>
    <w:p w14:paraId="5F35750B">
      <w:pPr>
        <w:snapToGrid w:val="0"/>
        <w:spacing w:line="360" w:lineRule="auto"/>
        <w:ind w:firstLine="420" w:firstLineChars="200"/>
        <w:rPr>
          <w:rFonts w:hint="eastAsia" w:ascii="宋体" w:hAnsi="宋体"/>
          <w:b/>
          <w:szCs w:val="21"/>
        </w:rPr>
      </w:pPr>
      <w:r>
        <w:rPr>
          <w:rFonts w:hint="eastAsia" w:ascii="宋体" w:hAnsi="宋体"/>
          <w:szCs w:val="21"/>
        </w:rPr>
        <w:t>（2）货物的所有权和风险自交付时起由乙方转移至甲方，货物交付给甲方之前所有风险均由乙方承担。</w:t>
      </w:r>
    </w:p>
    <w:p w14:paraId="0E146712">
      <w:pPr>
        <w:snapToGrid w:val="0"/>
        <w:spacing w:line="360" w:lineRule="auto"/>
        <w:ind w:firstLine="422" w:firstLineChars="200"/>
        <w:rPr>
          <w:rFonts w:hint="eastAsia" w:ascii="宋体" w:hAnsi="宋体"/>
          <w:b/>
          <w:szCs w:val="21"/>
        </w:rPr>
      </w:pPr>
      <w:r>
        <w:rPr>
          <w:rFonts w:hint="eastAsia" w:ascii="宋体" w:hAnsi="宋体"/>
          <w:b/>
          <w:szCs w:val="21"/>
        </w:rPr>
        <w:t>第八条  售后服务</w:t>
      </w:r>
    </w:p>
    <w:p w14:paraId="57454A60">
      <w:pPr>
        <w:snapToGrid w:val="0"/>
        <w:spacing w:line="360" w:lineRule="auto"/>
        <w:ind w:firstLine="420" w:firstLineChars="200"/>
        <w:rPr>
          <w:rFonts w:hint="eastAsia" w:ascii="宋体" w:hAnsi="宋体"/>
          <w:szCs w:val="21"/>
        </w:rPr>
      </w:pPr>
      <w:r>
        <w:rPr>
          <w:rFonts w:hint="eastAsia" w:ascii="宋体" w:hAnsi="宋体"/>
          <w:szCs w:val="21"/>
        </w:rPr>
        <w:t>1.乙方应按照国家有关法律法规规定以及投标文件承诺，为甲方提供售后服务。</w:t>
      </w:r>
    </w:p>
    <w:p w14:paraId="21BEB063">
      <w:pPr>
        <w:snapToGrid w:val="0"/>
        <w:spacing w:line="360" w:lineRule="auto"/>
        <w:ind w:firstLine="420" w:firstLineChars="200"/>
        <w:rPr>
          <w:rFonts w:hint="eastAsia" w:ascii="宋体" w:hAnsi="宋体"/>
          <w:szCs w:val="21"/>
          <w:u w:val="single"/>
        </w:rPr>
      </w:pPr>
      <w:r>
        <w:rPr>
          <w:rFonts w:hint="eastAsia" w:ascii="宋体" w:hAnsi="宋体"/>
          <w:szCs w:val="21"/>
        </w:rPr>
        <w:t>2.</w:t>
      </w:r>
      <w:r>
        <w:rPr>
          <w:rFonts w:hint="eastAsia"/>
        </w:rPr>
        <w:t xml:space="preserve"> </w:t>
      </w:r>
      <w:r>
        <w:rPr>
          <w:rFonts w:hint="eastAsia" w:ascii="宋体" w:hAnsi="宋体"/>
          <w:szCs w:val="21"/>
        </w:rPr>
        <w:t>质量保修范围:</w:t>
      </w:r>
      <w:r>
        <w:rPr>
          <w:rFonts w:hint="eastAsia" w:ascii="宋体" w:hAnsi="宋体"/>
          <w:szCs w:val="21"/>
          <w:u w:val="single"/>
        </w:rPr>
        <w:t>整机保修</w:t>
      </w:r>
      <w:r>
        <w:rPr>
          <w:rFonts w:hint="eastAsia" w:ascii="宋体" w:hAnsi="宋体"/>
          <w:szCs w:val="21"/>
        </w:rPr>
        <w:t>；质保期：按国家有关产品“三包”规定执行“三包”，质保期自双方验收合格之日起</w:t>
      </w:r>
      <w:r>
        <w:rPr>
          <w:rFonts w:hint="eastAsia" w:ascii="宋体" w:hAnsi="宋体"/>
          <w:szCs w:val="21"/>
          <w:u w:val="single"/>
        </w:rPr>
        <w:t xml:space="preserve">  年</w:t>
      </w:r>
      <w:r>
        <w:rPr>
          <w:rFonts w:hint="eastAsia" w:ascii="宋体" w:hAnsi="宋体"/>
          <w:szCs w:val="21"/>
        </w:rPr>
        <w:t>。质保期内负责上门服务、维修、更换配件，不得收取任何费用。</w:t>
      </w:r>
    </w:p>
    <w:p w14:paraId="01A0AB29">
      <w:pPr>
        <w:snapToGrid w:val="0"/>
        <w:spacing w:line="360" w:lineRule="auto"/>
        <w:ind w:left="-61" w:leftChars="-29" w:firstLine="517" w:firstLineChars="245"/>
        <w:rPr>
          <w:rFonts w:hint="eastAsia" w:ascii="宋体" w:hAnsi="宋体"/>
          <w:b/>
          <w:szCs w:val="21"/>
        </w:rPr>
      </w:pPr>
      <w:r>
        <w:rPr>
          <w:rFonts w:hint="eastAsia" w:ascii="宋体" w:hAnsi="宋体"/>
          <w:b/>
          <w:szCs w:val="21"/>
        </w:rPr>
        <w:t>第九条　履约保证金</w:t>
      </w:r>
    </w:p>
    <w:p w14:paraId="5D8284FB">
      <w:pPr>
        <w:autoSpaceDE w:val="0"/>
        <w:autoSpaceDN w:val="0"/>
        <w:snapToGrid w:val="0"/>
        <w:spacing w:line="360" w:lineRule="auto"/>
        <w:ind w:firstLine="424" w:firstLineChars="202"/>
        <w:textAlignment w:val="bottom"/>
        <w:rPr>
          <w:rFonts w:hint="eastAsia" w:ascii="宋体" w:hAnsi="宋体" w:cs="宋体"/>
          <w:szCs w:val="21"/>
        </w:rPr>
      </w:pPr>
      <w:r>
        <w:rPr>
          <w:rFonts w:hint="eastAsia" w:ascii="宋体" w:hAnsi="宋体" w:cs="宋体"/>
          <w:szCs w:val="21"/>
        </w:rPr>
        <w:t>为使乙方保证货物和服务质量，乙方在签订合同前向甲方交纳合同总金额5%（中小企业2%）的履约保证金，即</w:t>
      </w:r>
      <w:r>
        <w:rPr>
          <w:rFonts w:hint="eastAsia" w:ascii="宋体" w:hAnsi="宋体" w:cs="宋体"/>
          <w:szCs w:val="21"/>
          <w:u w:val="single"/>
        </w:rPr>
        <w:t xml:space="preserve">       </w:t>
      </w:r>
      <w:r>
        <w:rPr>
          <w:rFonts w:hint="eastAsia" w:ascii="宋体" w:hAnsi="宋体" w:cs="宋体"/>
          <w:szCs w:val="21"/>
        </w:rPr>
        <w:t>元整（¥</w:t>
      </w:r>
      <w:r>
        <w:rPr>
          <w:rFonts w:hint="eastAsia" w:ascii="宋体" w:hAnsi="宋体" w:cs="宋体"/>
          <w:szCs w:val="21"/>
          <w:u w:val="single"/>
        </w:rPr>
        <w:t xml:space="preserve">          </w:t>
      </w:r>
      <w:r>
        <w:rPr>
          <w:rFonts w:hint="eastAsia" w:ascii="宋体" w:hAnsi="宋体" w:cs="宋体"/>
          <w:szCs w:val="21"/>
        </w:rPr>
        <w:t>）。</w:t>
      </w:r>
    </w:p>
    <w:p w14:paraId="7FE9C79D">
      <w:pPr>
        <w:autoSpaceDE w:val="0"/>
        <w:autoSpaceDN w:val="0"/>
        <w:snapToGrid w:val="0"/>
        <w:spacing w:line="360" w:lineRule="auto"/>
        <w:ind w:firstLine="424" w:firstLineChars="202"/>
        <w:textAlignment w:val="bottom"/>
        <w:rPr>
          <w:rFonts w:hint="eastAsia" w:ascii="宋体" w:hAnsi="宋体" w:cs="宋体"/>
          <w:szCs w:val="21"/>
        </w:rPr>
      </w:pPr>
      <w:r>
        <w:rPr>
          <w:rFonts w:hint="eastAsia" w:ascii="宋体" w:hAnsi="宋体" w:cs="宋体"/>
          <w:szCs w:val="21"/>
        </w:rPr>
        <w:t>乙方按合同要求完全履约，项目验收合格后，待乙方履行完质保义务且无违约情况下后由甲方无息退还。合同履行期间，乙方存在违约的，甲方有权从履约保证金中先行抵扣，不足部分由乙方另行支付，甲方直接从履约保证金中扣除的，乙方应于接到采购人补足履约保证金通知之日起3个工作日内补足。</w:t>
      </w:r>
    </w:p>
    <w:p w14:paraId="076C2674">
      <w:pPr>
        <w:autoSpaceDE w:val="0"/>
        <w:autoSpaceDN w:val="0"/>
        <w:snapToGrid w:val="0"/>
        <w:spacing w:line="360" w:lineRule="auto"/>
        <w:ind w:firstLine="424" w:firstLineChars="202"/>
        <w:textAlignment w:val="bottom"/>
        <w:rPr>
          <w:rFonts w:hint="eastAsia" w:ascii="宋体" w:hAnsi="宋体" w:cs="宋体"/>
          <w:szCs w:val="21"/>
        </w:rPr>
      </w:pPr>
      <w:r>
        <w:rPr>
          <w:rFonts w:hint="eastAsia" w:ascii="宋体" w:hAnsi="宋体" w:cs="宋体"/>
          <w:szCs w:val="21"/>
        </w:rPr>
        <w:t>注：符合《 广西壮族自治区财政厅关于规范政府采购货物和服务项目保证金管理的通知》桂财规〔2022〕8号文件要求的，按照相关要求执行。</w:t>
      </w:r>
    </w:p>
    <w:p w14:paraId="0F65FA08">
      <w:pPr>
        <w:autoSpaceDE w:val="0"/>
        <w:autoSpaceDN w:val="0"/>
        <w:snapToGrid w:val="0"/>
        <w:spacing w:line="360" w:lineRule="auto"/>
        <w:ind w:firstLine="424" w:firstLineChars="202"/>
        <w:textAlignment w:val="bottom"/>
        <w:rPr>
          <w:rFonts w:hint="eastAsia" w:ascii="宋体" w:hAnsi="宋体" w:cs="宋体"/>
          <w:szCs w:val="21"/>
        </w:rPr>
      </w:pPr>
      <w:r>
        <w:rPr>
          <w:rFonts w:hint="eastAsia" w:ascii="宋体" w:hAnsi="宋体" w:cs="宋体"/>
          <w:szCs w:val="21"/>
        </w:rPr>
        <w:t>履约保证金提交方式：银行转账、支票、汇票等非现金方式。</w:t>
      </w:r>
    </w:p>
    <w:p w14:paraId="00BDD81D">
      <w:pPr>
        <w:autoSpaceDE w:val="0"/>
        <w:autoSpaceDN w:val="0"/>
        <w:snapToGrid w:val="0"/>
        <w:spacing w:line="360" w:lineRule="auto"/>
        <w:ind w:firstLine="424" w:firstLineChars="202"/>
        <w:textAlignment w:val="bottom"/>
        <w:rPr>
          <w:rFonts w:hint="eastAsia" w:ascii="宋体" w:hAnsi="宋体" w:cs="宋体"/>
          <w:szCs w:val="21"/>
        </w:rPr>
      </w:pPr>
      <w:r>
        <w:rPr>
          <w:rFonts w:hint="eastAsia" w:ascii="宋体" w:hAnsi="宋体" w:cs="宋体"/>
          <w:szCs w:val="21"/>
        </w:rPr>
        <w:t>履约保证金指定账户：</w:t>
      </w:r>
    </w:p>
    <w:p w14:paraId="6AEAF4AE">
      <w:pPr>
        <w:autoSpaceDE w:val="0"/>
        <w:autoSpaceDN w:val="0"/>
        <w:snapToGrid w:val="0"/>
        <w:spacing w:line="360" w:lineRule="auto"/>
        <w:ind w:firstLine="424" w:firstLineChars="202"/>
        <w:textAlignment w:val="bottom"/>
        <w:rPr>
          <w:rFonts w:hint="eastAsia" w:ascii="宋体" w:hAnsi="宋体" w:cs="宋体"/>
          <w:szCs w:val="21"/>
        </w:rPr>
      </w:pPr>
      <w:r>
        <w:rPr>
          <w:rFonts w:hint="eastAsia" w:ascii="宋体" w:hAnsi="宋体" w:cs="宋体"/>
          <w:szCs w:val="21"/>
        </w:rPr>
        <w:t xml:space="preserve">开户名称：广西艺术学院    </w:t>
      </w:r>
    </w:p>
    <w:p w14:paraId="12084D73">
      <w:pPr>
        <w:autoSpaceDE w:val="0"/>
        <w:autoSpaceDN w:val="0"/>
        <w:snapToGrid w:val="0"/>
        <w:spacing w:line="360" w:lineRule="auto"/>
        <w:ind w:firstLine="424" w:firstLineChars="202"/>
        <w:textAlignment w:val="bottom"/>
        <w:rPr>
          <w:rFonts w:hint="eastAsia" w:ascii="宋体" w:hAnsi="宋体" w:cs="宋体"/>
          <w:szCs w:val="21"/>
        </w:rPr>
      </w:pPr>
      <w:r>
        <w:rPr>
          <w:rFonts w:hint="eastAsia" w:ascii="宋体" w:hAnsi="宋体" w:cs="宋体"/>
          <w:szCs w:val="21"/>
        </w:rPr>
        <w:t xml:space="preserve">开户银行：建行南宁市桃源支行    </w:t>
      </w:r>
    </w:p>
    <w:p w14:paraId="5EE95154">
      <w:pPr>
        <w:autoSpaceDE w:val="0"/>
        <w:autoSpaceDN w:val="0"/>
        <w:snapToGrid w:val="0"/>
        <w:spacing w:line="360" w:lineRule="auto"/>
        <w:ind w:firstLine="424" w:firstLineChars="202"/>
        <w:textAlignment w:val="bottom"/>
        <w:rPr>
          <w:rFonts w:hint="eastAsia" w:ascii="宋体" w:hAnsi="宋体" w:cs="宋体"/>
          <w:szCs w:val="21"/>
        </w:rPr>
      </w:pPr>
      <w:r>
        <w:rPr>
          <w:rFonts w:hint="eastAsia" w:ascii="宋体" w:hAnsi="宋体" w:cs="宋体"/>
          <w:szCs w:val="21"/>
        </w:rPr>
        <w:t>银行账号：45001604559050500909</w:t>
      </w:r>
    </w:p>
    <w:p w14:paraId="269792F7">
      <w:pPr>
        <w:snapToGrid w:val="0"/>
        <w:spacing w:line="360" w:lineRule="auto"/>
        <w:ind w:firstLine="422" w:firstLineChars="200"/>
        <w:rPr>
          <w:rFonts w:hint="eastAsia" w:ascii="宋体" w:hAnsi="宋体"/>
          <w:b/>
          <w:szCs w:val="21"/>
        </w:rPr>
      </w:pPr>
      <w:r>
        <w:rPr>
          <w:rFonts w:hint="eastAsia" w:ascii="宋体" w:hAnsi="宋体"/>
          <w:b/>
          <w:szCs w:val="21"/>
        </w:rPr>
        <w:t>第十条　违约责任</w:t>
      </w:r>
    </w:p>
    <w:p w14:paraId="42777493">
      <w:pPr>
        <w:pStyle w:val="25"/>
        <w:snapToGrid w:val="0"/>
        <w:spacing w:line="360" w:lineRule="auto"/>
        <w:ind w:firstLine="420" w:firstLineChars="200"/>
        <w:rPr>
          <w:rFonts w:hint="eastAsia" w:hAnsi="宋体"/>
          <w:sz w:val="21"/>
        </w:rPr>
      </w:pPr>
      <w:r>
        <w:rPr>
          <w:rFonts w:hint="eastAsia" w:hAnsi="宋体"/>
          <w:sz w:val="21"/>
        </w:rPr>
        <w:t>1.合同一方不履行合同义务、履行合同义务不符合约定或者违反合同项下所作保证的， 应向对方承担继续履行、采取修理、更换、退货等补救措施或者赔偿损失等违约责任。</w:t>
      </w:r>
    </w:p>
    <w:p w14:paraId="5B3DB9D7">
      <w:pPr>
        <w:pStyle w:val="25"/>
        <w:snapToGrid w:val="0"/>
        <w:spacing w:line="360" w:lineRule="auto"/>
        <w:ind w:firstLine="420" w:firstLineChars="200"/>
        <w:rPr>
          <w:rFonts w:hint="eastAsia" w:hAnsi="宋体"/>
          <w:sz w:val="21"/>
        </w:rPr>
      </w:pPr>
      <w:r>
        <w:rPr>
          <w:rFonts w:hint="eastAsia" w:hAnsi="宋体"/>
          <w:sz w:val="21"/>
        </w:rPr>
        <w:t>2.乙方未能按时交付货物的，应向甲方支付迟延交付违约金。迟延交付违约金的计算方法如下：</w:t>
      </w:r>
    </w:p>
    <w:p w14:paraId="1FFBD55D">
      <w:pPr>
        <w:pStyle w:val="25"/>
        <w:snapToGrid w:val="0"/>
        <w:spacing w:line="360" w:lineRule="auto"/>
        <w:ind w:firstLine="420" w:firstLineChars="200"/>
        <w:rPr>
          <w:rFonts w:hint="eastAsia" w:hAnsi="宋体"/>
          <w:sz w:val="21"/>
        </w:rPr>
      </w:pPr>
      <w:r>
        <w:rPr>
          <w:rFonts w:hint="eastAsia" w:hAnsi="宋体"/>
          <w:sz w:val="21"/>
        </w:rPr>
        <w:t>（1）从迟交的第一周到第四周，每周迟延交付违约金为合同价款（报酬）的</w:t>
      </w:r>
      <w:r>
        <w:rPr>
          <w:rFonts w:hint="eastAsia" w:hAnsi="宋体"/>
          <w:sz w:val="21"/>
          <w:u w:val="single"/>
        </w:rPr>
        <w:t xml:space="preserve"> 0.5% </w:t>
      </w:r>
      <w:r>
        <w:rPr>
          <w:rFonts w:hint="eastAsia" w:hAnsi="宋体"/>
          <w:sz w:val="21"/>
        </w:rPr>
        <w:t>；</w:t>
      </w:r>
    </w:p>
    <w:p w14:paraId="4A43E366">
      <w:pPr>
        <w:pStyle w:val="25"/>
        <w:snapToGrid w:val="0"/>
        <w:spacing w:line="360" w:lineRule="auto"/>
        <w:ind w:firstLine="420" w:firstLineChars="200"/>
        <w:rPr>
          <w:rFonts w:hint="eastAsia" w:hAnsi="宋体"/>
          <w:sz w:val="21"/>
        </w:rPr>
      </w:pPr>
      <w:r>
        <w:rPr>
          <w:rFonts w:hint="eastAsia" w:hAnsi="宋体"/>
          <w:sz w:val="21"/>
        </w:rPr>
        <w:t>（2）从迟交的第五周到第八周，每周迟延交付违约金为合同价款（报酬）的</w:t>
      </w:r>
      <w:r>
        <w:rPr>
          <w:rFonts w:hint="eastAsia" w:hAnsi="宋体"/>
          <w:sz w:val="21"/>
          <w:u w:val="single"/>
        </w:rPr>
        <w:t xml:space="preserve"> 1% </w:t>
      </w:r>
      <w:r>
        <w:rPr>
          <w:rFonts w:hint="eastAsia" w:hAnsi="宋体"/>
          <w:sz w:val="21"/>
        </w:rPr>
        <w:t>；</w:t>
      </w:r>
    </w:p>
    <w:p w14:paraId="174DA17C">
      <w:pPr>
        <w:pStyle w:val="25"/>
        <w:snapToGrid w:val="0"/>
        <w:spacing w:line="360" w:lineRule="auto"/>
        <w:ind w:firstLine="420" w:firstLineChars="200"/>
        <w:rPr>
          <w:rFonts w:hint="eastAsia" w:hAnsi="宋体"/>
          <w:sz w:val="21"/>
        </w:rPr>
      </w:pPr>
      <w:r>
        <w:rPr>
          <w:rFonts w:hint="eastAsia" w:hAnsi="宋体"/>
          <w:sz w:val="21"/>
        </w:rPr>
        <w:t>（3）从迟交第九周起，每周迟延交付违约金为合同价款（报酬）的</w:t>
      </w:r>
      <w:r>
        <w:rPr>
          <w:rFonts w:hint="eastAsia" w:hAnsi="宋体"/>
          <w:sz w:val="21"/>
          <w:u w:val="single"/>
        </w:rPr>
        <w:t xml:space="preserve"> 1.5% </w:t>
      </w:r>
      <w:r>
        <w:rPr>
          <w:rFonts w:hint="eastAsia" w:hAnsi="宋体"/>
          <w:sz w:val="21"/>
        </w:rPr>
        <w:t>。在计算迟延交付违约金时，迟交不足一周的按一周计算。迟延交付违约金的总额不得超过合同价款（报酬）的</w:t>
      </w:r>
      <w:r>
        <w:rPr>
          <w:rFonts w:hint="eastAsia" w:hAnsi="宋体"/>
          <w:sz w:val="21"/>
          <w:u w:val="single"/>
        </w:rPr>
        <w:t xml:space="preserve"> 10% </w:t>
      </w:r>
      <w:r>
        <w:rPr>
          <w:rFonts w:hint="eastAsia" w:hAnsi="宋体"/>
          <w:sz w:val="21"/>
        </w:rPr>
        <w:t>。迟延交付违约金的支付不能免除乙方继续交付相关合同货物的义务，但如迟延交付必然导致合同货物安装、调试、验收等工作推迟的，相关工作应相应顺延。</w:t>
      </w:r>
    </w:p>
    <w:p w14:paraId="715BDF60">
      <w:pPr>
        <w:pStyle w:val="25"/>
        <w:snapToGrid w:val="0"/>
        <w:spacing w:line="360" w:lineRule="auto"/>
        <w:ind w:firstLine="420" w:firstLineChars="200"/>
        <w:rPr>
          <w:rFonts w:hint="eastAsia" w:hAnsi="宋体"/>
          <w:sz w:val="21"/>
        </w:rPr>
      </w:pPr>
      <w:r>
        <w:rPr>
          <w:rFonts w:hint="eastAsia" w:hAnsi="宋体"/>
          <w:sz w:val="21"/>
        </w:rPr>
        <w:t>3.甲方未能按合同约定支付合同价款的，应向乙方支付延迟付款违约金。迟延付款违约金的计算方法如下：</w:t>
      </w:r>
    </w:p>
    <w:p w14:paraId="58894063">
      <w:pPr>
        <w:pStyle w:val="25"/>
        <w:snapToGrid w:val="0"/>
        <w:spacing w:line="360" w:lineRule="auto"/>
        <w:ind w:firstLine="420" w:firstLineChars="200"/>
        <w:rPr>
          <w:rFonts w:hint="eastAsia" w:hAnsi="宋体"/>
          <w:sz w:val="21"/>
        </w:rPr>
      </w:pPr>
      <w:r>
        <w:rPr>
          <w:rFonts w:hint="eastAsia" w:hAnsi="宋体"/>
          <w:sz w:val="21"/>
        </w:rPr>
        <w:t>（1）从迟付的第一周到第四周，每周迟延付款违约金为迟延付款金额的</w:t>
      </w:r>
      <w:r>
        <w:rPr>
          <w:rFonts w:hint="eastAsia" w:hAnsi="宋体"/>
          <w:sz w:val="21"/>
          <w:u w:val="single"/>
        </w:rPr>
        <w:t xml:space="preserve"> 0.5% </w:t>
      </w:r>
      <w:r>
        <w:rPr>
          <w:rFonts w:hint="eastAsia" w:hAnsi="宋体"/>
          <w:sz w:val="21"/>
        </w:rPr>
        <w:t>；</w:t>
      </w:r>
    </w:p>
    <w:p w14:paraId="710B300F">
      <w:pPr>
        <w:pStyle w:val="25"/>
        <w:snapToGrid w:val="0"/>
        <w:spacing w:line="360" w:lineRule="auto"/>
        <w:ind w:firstLine="420" w:firstLineChars="200"/>
        <w:rPr>
          <w:rFonts w:hint="eastAsia" w:hAnsi="宋体"/>
          <w:sz w:val="21"/>
        </w:rPr>
      </w:pPr>
      <w:r>
        <w:rPr>
          <w:rFonts w:hint="eastAsia" w:hAnsi="宋体"/>
          <w:sz w:val="21"/>
        </w:rPr>
        <w:t>（2）从迟付的第五周到第八周，每周迟延付款违约金为迟延付款金额的</w:t>
      </w:r>
      <w:r>
        <w:rPr>
          <w:rFonts w:hint="eastAsia" w:hAnsi="宋体"/>
          <w:sz w:val="21"/>
          <w:u w:val="single"/>
        </w:rPr>
        <w:t xml:space="preserve"> 1% </w:t>
      </w:r>
      <w:r>
        <w:rPr>
          <w:rFonts w:hint="eastAsia" w:hAnsi="宋体"/>
          <w:sz w:val="21"/>
        </w:rPr>
        <w:t>；</w:t>
      </w:r>
    </w:p>
    <w:p w14:paraId="64B20982">
      <w:pPr>
        <w:pStyle w:val="25"/>
        <w:snapToGrid w:val="0"/>
        <w:spacing w:line="360" w:lineRule="auto"/>
        <w:ind w:firstLine="420" w:firstLineChars="200"/>
        <w:rPr>
          <w:rFonts w:hint="eastAsia" w:hAnsi="宋体"/>
          <w:sz w:val="21"/>
        </w:rPr>
      </w:pPr>
      <w:r>
        <w:rPr>
          <w:rFonts w:hint="eastAsia" w:hAnsi="宋体"/>
          <w:sz w:val="21"/>
        </w:rPr>
        <w:t>（3）从迟付第九周起，每周迟延付款违约金为迟延付款金额的</w:t>
      </w:r>
      <w:r>
        <w:rPr>
          <w:rFonts w:hint="eastAsia" w:hAnsi="宋体"/>
          <w:sz w:val="21"/>
          <w:u w:val="single"/>
        </w:rPr>
        <w:t xml:space="preserve"> 1.5% </w:t>
      </w:r>
      <w:r>
        <w:rPr>
          <w:rFonts w:hint="eastAsia" w:hAnsi="宋体"/>
          <w:sz w:val="21"/>
        </w:rPr>
        <w:t>。在计算迟延付款违约金时，迟付不足一周的按一周计算。迟延付款违约金的总额不得超过合同价格的</w:t>
      </w:r>
      <w:r>
        <w:rPr>
          <w:rFonts w:hint="eastAsia" w:hAnsi="宋体"/>
          <w:sz w:val="21"/>
          <w:u w:val="single"/>
        </w:rPr>
        <w:t xml:space="preserve"> 10% </w:t>
      </w:r>
      <w:r>
        <w:rPr>
          <w:rFonts w:hint="eastAsia" w:hAnsi="宋体"/>
          <w:sz w:val="21"/>
        </w:rPr>
        <w:t>。</w:t>
      </w:r>
    </w:p>
    <w:p w14:paraId="578642AF">
      <w:pPr>
        <w:pStyle w:val="25"/>
        <w:snapToGrid w:val="0"/>
        <w:spacing w:line="360" w:lineRule="auto"/>
        <w:ind w:firstLine="420" w:firstLineChars="200"/>
        <w:rPr>
          <w:rFonts w:hint="eastAsia" w:hAnsi="宋体"/>
          <w:sz w:val="21"/>
        </w:rPr>
      </w:pPr>
      <w:r>
        <w:rPr>
          <w:rFonts w:hint="eastAsia" w:hAnsi="宋体"/>
          <w:sz w:val="21"/>
        </w:rPr>
        <w:t xml:space="preserve">4.乙方未按本合同和投标文件承诺提供售后服务的，乙方应按本合同价款（报酬）的 </w:t>
      </w:r>
      <w:r>
        <w:rPr>
          <w:rFonts w:hint="eastAsia" w:hAnsi="宋体"/>
          <w:sz w:val="21"/>
          <w:u w:val="single"/>
        </w:rPr>
        <w:t xml:space="preserve"> 5 </w:t>
      </w:r>
      <w:r>
        <w:rPr>
          <w:rFonts w:hint="eastAsia" w:hAnsi="宋体"/>
          <w:sz w:val="21"/>
        </w:rPr>
        <w:t>%向甲方支付违约金。</w:t>
      </w:r>
    </w:p>
    <w:p w14:paraId="2B16D69A">
      <w:pPr>
        <w:pStyle w:val="25"/>
        <w:snapToGrid w:val="0"/>
        <w:spacing w:line="360" w:lineRule="auto"/>
        <w:ind w:firstLine="420" w:firstLineChars="200"/>
        <w:rPr>
          <w:rFonts w:hint="eastAsia" w:hAnsi="宋体"/>
          <w:sz w:val="21"/>
        </w:rPr>
      </w:pPr>
      <w:r>
        <w:rPr>
          <w:rFonts w:hint="eastAsia" w:hAnsi="宋体"/>
          <w:sz w:val="21"/>
        </w:rPr>
        <w:t>5.因某一方原因导致变更、中止或者终止政府采购合同的，该方应当对另一方受到的损失予以赔偿或者补偿。</w:t>
      </w:r>
    </w:p>
    <w:p w14:paraId="10415947">
      <w:pPr>
        <w:pStyle w:val="25"/>
        <w:snapToGrid w:val="0"/>
        <w:spacing w:line="360" w:lineRule="auto"/>
        <w:ind w:firstLine="420" w:firstLineChars="200"/>
        <w:rPr>
          <w:rFonts w:hint="eastAsia" w:hAnsi="宋体"/>
          <w:sz w:val="21"/>
        </w:rPr>
      </w:pPr>
      <w:r>
        <w:rPr>
          <w:rFonts w:hint="eastAsia" w:hAnsi="宋体"/>
          <w:sz w:val="21"/>
        </w:rPr>
        <w:t>6.其他违约责任按《中华人民共和国民法典》处理。</w:t>
      </w:r>
    </w:p>
    <w:p w14:paraId="69FF6469">
      <w:pPr>
        <w:pStyle w:val="25"/>
        <w:snapToGrid w:val="0"/>
        <w:spacing w:line="360" w:lineRule="auto"/>
        <w:ind w:firstLine="413" w:firstLineChars="196"/>
        <w:rPr>
          <w:rFonts w:hint="eastAsia" w:hAnsi="宋体"/>
          <w:b/>
          <w:sz w:val="21"/>
        </w:rPr>
      </w:pPr>
      <w:r>
        <w:rPr>
          <w:rFonts w:hint="eastAsia" w:hAnsi="宋体"/>
          <w:b/>
          <w:sz w:val="21"/>
        </w:rPr>
        <w:t>第十一条  不可抗力事件处理</w:t>
      </w:r>
    </w:p>
    <w:p w14:paraId="5D7309EA">
      <w:pPr>
        <w:pStyle w:val="25"/>
        <w:snapToGrid w:val="0"/>
        <w:spacing w:line="360" w:lineRule="auto"/>
        <w:ind w:firstLine="420" w:firstLineChars="200"/>
        <w:rPr>
          <w:rFonts w:hint="eastAsia" w:hAnsi="宋体"/>
          <w:sz w:val="21"/>
        </w:rPr>
      </w:pPr>
      <w:r>
        <w:rPr>
          <w:rFonts w:hint="eastAsia" w:hAnsi="宋体"/>
          <w:sz w:val="21"/>
        </w:rPr>
        <w:t>1.在合同有效期内，任何一方因不可抗力事件导致不能履行合同，则合同履行期可延长，其延长期与不可抗力影响期相同。</w:t>
      </w:r>
    </w:p>
    <w:p w14:paraId="566E1312">
      <w:pPr>
        <w:pStyle w:val="25"/>
        <w:snapToGrid w:val="0"/>
        <w:spacing w:line="360" w:lineRule="auto"/>
        <w:ind w:firstLine="420" w:firstLineChars="200"/>
        <w:rPr>
          <w:rFonts w:hint="eastAsia" w:hAnsi="宋体"/>
          <w:sz w:val="21"/>
        </w:rPr>
      </w:pPr>
      <w:r>
        <w:rPr>
          <w:rFonts w:hint="eastAsia" w:hAnsi="宋体"/>
          <w:sz w:val="21"/>
        </w:rPr>
        <w:t>2.不可抗力事件发生后，应立即通知对方，并寄送有关权威机构出具的证明。</w:t>
      </w:r>
    </w:p>
    <w:p w14:paraId="4CB2772B">
      <w:pPr>
        <w:snapToGrid w:val="0"/>
        <w:spacing w:line="360" w:lineRule="auto"/>
        <w:ind w:firstLine="420" w:firstLineChars="200"/>
        <w:rPr>
          <w:rFonts w:hint="eastAsia" w:ascii="宋体" w:hAnsi="宋体"/>
          <w:szCs w:val="21"/>
        </w:rPr>
      </w:pPr>
      <w:r>
        <w:rPr>
          <w:rFonts w:hint="eastAsia" w:ascii="宋体" w:hAnsi="宋体"/>
          <w:szCs w:val="21"/>
        </w:rPr>
        <w:t>3.不可抗力事件延续一百二十天以上，双方应通过友好协商，确定是否继续履行合同。</w:t>
      </w:r>
    </w:p>
    <w:p w14:paraId="0DE4DBDC">
      <w:pPr>
        <w:snapToGrid w:val="0"/>
        <w:spacing w:line="360" w:lineRule="auto"/>
        <w:ind w:firstLine="422" w:firstLineChars="200"/>
        <w:rPr>
          <w:rFonts w:hint="eastAsia" w:ascii="宋体" w:hAnsi="宋体"/>
          <w:szCs w:val="21"/>
        </w:rPr>
      </w:pPr>
      <w:r>
        <w:rPr>
          <w:rFonts w:hint="eastAsia" w:ascii="宋体" w:hAnsi="宋体"/>
          <w:b/>
          <w:szCs w:val="21"/>
        </w:rPr>
        <w:t>第十二条  合同争议解决</w:t>
      </w:r>
    </w:p>
    <w:p w14:paraId="36AEFBD9">
      <w:pPr>
        <w:snapToGrid w:val="0"/>
        <w:spacing w:line="360" w:lineRule="auto"/>
        <w:ind w:firstLine="420" w:firstLineChars="200"/>
        <w:rPr>
          <w:rFonts w:hint="eastAsia" w:ascii="宋体" w:hAnsi="宋体"/>
          <w:szCs w:val="21"/>
        </w:rPr>
      </w:pPr>
      <w:r>
        <w:rPr>
          <w:rFonts w:hint="eastAsia" w:ascii="宋体" w:hAnsi="宋体"/>
          <w:szCs w:val="21"/>
        </w:rPr>
        <w:t>1.因货物质量问题发生争议的，应邀请国家认可的质量检测机构对货物质量进行鉴定。货物符合标准的，鉴定费由甲方承担；货物不符合标准的，鉴定费由乙方承担。</w:t>
      </w:r>
    </w:p>
    <w:p w14:paraId="17F1C2BA">
      <w:pPr>
        <w:autoSpaceDE w:val="0"/>
        <w:autoSpaceDN w:val="0"/>
        <w:adjustRightInd w:val="0"/>
        <w:spacing w:line="360" w:lineRule="auto"/>
        <w:ind w:left="100" w:right="42" w:firstLine="420"/>
        <w:rPr>
          <w:rFonts w:hint="eastAsia" w:ascii="宋体" w:hAnsi="宋体"/>
          <w:szCs w:val="21"/>
        </w:rPr>
      </w:pPr>
      <w:r>
        <w:rPr>
          <w:rFonts w:hint="eastAsia" w:ascii="宋体" w:hAnsi="宋体"/>
          <w:szCs w:val="21"/>
        </w:rPr>
        <w:t>2.因履行本合同引起的或者与本合同有关的争议，甲乙双方应首先通过友好协商解决，如果协商不能解决，按下列</w:t>
      </w:r>
      <w:r>
        <w:rPr>
          <w:rFonts w:hint="eastAsia" w:ascii="宋体" w:hAnsi="宋体"/>
          <w:szCs w:val="21"/>
          <w:u w:val="single"/>
        </w:rPr>
        <w:t xml:space="preserve"> （2） </w:t>
      </w:r>
      <w:r>
        <w:rPr>
          <w:rFonts w:hint="eastAsia" w:ascii="宋体" w:hAnsi="宋体"/>
          <w:szCs w:val="21"/>
        </w:rPr>
        <w:t>方式解决：</w:t>
      </w:r>
    </w:p>
    <w:p w14:paraId="4A3CBF96">
      <w:pPr>
        <w:autoSpaceDE w:val="0"/>
        <w:autoSpaceDN w:val="0"/>
        <w:adjustRightInd w:val="0"/>
        <w:spacing w:line="360" w:lineRule="auto"/>
        <w:ind w:right="40" w:firstLine="420"/>
        <w:rPr>
          <w:rFonts w:hint="eastAsia"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14:paraId="5652592D">
      <w:pPr>
        <w:autoSpaceDE w:val="0"/>
        <w:autoSpaceDN w:val="0"/>
        <w:adjustRightInd w:val="0"/>
        <w:spacing w:line="360" w:lineRule="auto"/>
        <w:ind w:right="40" w:firstLine="420"/>
        <w:rPr>
          <w:rFonts w:hint="eastAsia" w:ascii="宋体" w:hAnsi="宋体"/>
          <w:szCs w:val="21"/>
        </w:rPr>
      </w:pPr>
      <w:r>
        <w:rPr>
          <w:rFonts w:hint="eastAsia" w:ascii="宋体" w:hAnsi="宋体"/>
          <w:szCs w:val="21"/>
        </w:rPr>
        <w:t>（2）向对甲方有管辖权的人民法院提起诉讼。</w:t>
      </w:r>
    </w:p>
    <w:p w14:paraId="09889C17">
      <w:pPr>
        <w:snapToGrid w:val="0"/>
        <w:spacing w:line="360" w:lineRule="auto"/>
        <w:ind w:firstLine="422" w:firstLineChars="200"/>
        <w:rPr>
          <w:rFonts w:hint="eastAsia" w:ascii="宋体" w:hAnsi="宋体"/>
          <w:b/>
          <w:szCs w:val="21"/>
        </w:rPr>
      </w:pPr>
      <w:r>
        <w:rPr>
          <w:rFonts w:hint="eastAsia" w:ascii="宋体" w:hAnsi="宋体"/>
          <w:b/>
          <w:szCs w:val="21"/>
        </w:rPr>
        <w:t>第十三条　合同的变更、中止或者终止</w:t>
      </w:r>
    </w:p>
    <w:p w14:paraId="479EA098">
      <w:pPr>
        <w:snapToGrid w:val="0"/>
        <w:spacing w:line="360" w:lineRule="auto"/>
        <w:ind w:firstLine="420" w:firstLineChars="200"/>
        <w:rPr>
          <w:rFonts w:hint="eastAsia" w:ascii="宋体" w:hAnsi="宋体"/>
          <w:szCs w:val="21"/>
        </w:rPr>
      </w:pPr>
      <w:r>
        <w:rPr>
          <w:rFonts w:hint="eastAsia" w:ascii="宋体" w:hAnsi="宋体"/>
          <w:szCs w:val="21"/>
        </w:rPr>
        <w:t>1. 除《中华人民共和国政府采购法》第五十条规定的情形外，本合同一经签订，甲乙双方不得擅自变更、中止或者终止合同。</w:t>
      </w:r>
    </w:p>
    <w:p w14:paraId="2A480000">
      <w:pPr>
        <w:pStyle w:val="18"/>
        <w:spacing w:line="360" w:lineRule="auto"/>
        <w:ind w:firstLine="420" w:firstLineChars="200"/>
        <w:rPr>
          <w:rFonts w:hint="eastAsia" w:ascii="宋体" w:hAnsi="宋体"/>
          <w:sz w:val="21"/>
          <w:szCs w:val="21"/>
        </w:rPr>
      </w:pPr>
      <w:r>
        <w:rPr>
          <w:rFonts w:hint="eastAsia" w:ascii="宋体" w:hAnsi="宋体"/>
          <w:sz w:val="21"/>
          <w:szCs w:val="21"/>
        </w:rPr>
        <w:t>2.采购合同继续履行将损害国家利益和社会公共利益的，双方当事人应当变更、中止或者终止合同。有过错的一方应当承担赔偿责任，双方都有过错的，各自承担相应的责任。</w:t>
      </w:r>
    </w:p>
    <w:p w14:paraId="04A35EDA">
      <w:pPr>
        <w:snapToGrid w:val="0"/>
        <w:spacing w:line="360" w:lineRule="auto"/>
        <w:ind w:firstLine="422" w:firstLineChars="200"/>
        <w:rPr>
          <w:rFonts w:hint="eastAsia" w:ascii="宋体" w:hAnsi="宋体"/>
          <w:b/>
          <w:szCs w:val="21"/>
        </w:rPr>
      </w:pPr>
      <w:r>
        <w:rPr>
          <w:rFonts w:hint="eastAsia" w:ascii="宋体" w:hAnsi="宋体"/>
          <w:b/>
          <w:szCs w:val="21"/>
        </w:rPr>
        <w:t>第十四条　</w:t>
      </w:r>
      <w:r>
        <w:rPr>
          <w:rFonts w:hint="eastAsia" w:ascii="宋体" w:hAnsi="宋体" w:cs="微软雅黑"/>
          <w:b/>
          <w:kern w:val="0"/>
          <w:szCs w:val="21"/>
        </w:rPr>
        <w:t>合</w:t>
      </w:r>
      <w:r>
        <w:rPr>
          <w:rFonts w:hint="eastAsia" w:ascii="宋体" w:hAnsi="宋体" w:cs="微软雅黑"/>
          <w:b/>
          <w:spacing w:val="-2"/>
          <w:kern w:val="0"/>
          <w:szCs w:val="21"/>
        </w:rPr>
        <w:t>同</w:t>
      </w:r>
      <w:r>
        <w:rPr>
          <w:rFonts w:hint="eastAsia" w:ascii="宋体" w:hAnsi="宋体" w:cs="微软雅黑"/>
          <w:b/>
          <w:kern w:val="0"/>
          <w:szCs w:val="21"/>
        </w:rPr>
        <w:t>文</w:t>
      </w:r>
      <w:r>
        <w:rPr>
          <w:rFonts w:hint="eastAsia" w:ascii="宋体" w:hAnsi="宋体" w:cs="微软雅黑"/>
          <w:b/>
          <w:spacing w:val="-2"/>
          <w:kern w:val="0"/>
          <w:szCs w:val="21"/>
        </w:rPr>
        <w:t>件构成</w:t>
      </w:r>
    </w:p>
    <w:p w14:paraId="4C2F8D36">
      <w:pPr>
        <w:pStyle w:val="25"/>
        <w:snapToGrid w:val="0"/>
        <w:spacing w:line="360" w:lineRule="auto"/>
        <w:ind w:left="420" w:leftChars="200"/>
        <w:rPr>
          <w:rFonts w:hint="eastAsia" w:hAnsi="宋体"/>
          <w:sz w:val="21"/>
        </w:rPr>
      </w:pPr>
      <w:r>
        <w:rPr>
          <w:rFonts w:hint="eastAsia" w:hAnsi="宋体"/>
          <w:sz w:val="21"/>
        </w:rPr>
        <w:t>1.政府采购合同</w:t>
      </w:r>
    </w:p>
    <w:p w14:paraId="67F8027D">
      <w:pPr>
        <w:pStyle w:val="25"/>
        <w:snapToGrid w:val="0"/>
        <w:spacing w:line="360" w:lineRule="auto"/>
        <w:ind w:left="420" w:leftChars="200"/>
        <w:rPr>
          <w:rFonts w:hint="eastAsia" w:hAnsi="宋体"/>
          <w:sz w:val="21"/>
        </w:rPr>
      </w:pPr>
      <w:r>
        <w:rPr>
          <w:rFonts w:hint="eastAsia" w:hAnsi="宋体"/>
          <w:sz w:val="21"/>
        </w:rPr>
        <w:t>2.中标通知书；</w:t>
      </w:r>
    </w:p>
    <w:p w14:paraId="06318A16">
      <w:pPr>
        <w:pStyle w:val="25"/>
        <w:snapToGrid w:val="0"/>
        <w:spacing w:line="360" w:lineRule="auto"/>
        <w:ind w:left="420" w:leftChars="200"/>
        <w:rPr>
          <w:rFonts w:hint="eastAsia" w:hAnsi="宋体"/>
          <w:sz w:val="21"/>
        </w:rPr>
      </w:pPr>
      <w:r>
        <w:rPr>
          <w:rFonts w:hint="eastAsia" w:hAnsi="宋体"/>
          <w:sz w:val="21"/>
        </w:rPr>
        <w:t>3.投标文件；</w:t>
      </w:r>
    </w:p>
    <w:p w14:paraId="021036BD">
      <w:pPr>
        <w:pStyle w:val="25"/>
        <w:snapToGrid w:val="0"/>
        <w:spacing w:line="360" w:lineRule="auto"/>
        <w:ind w:left="420" w:leftChars="200"/>
        <w:rPr>
          <w:rFonts w:hint="eastAsia" w:hAnsi="宋体"/>
          <w:sz w:val="21"/>
        </w:rPr>
      </w:pPr>
      <w:r>
        <w:rPr>
          <w:rFonts w:hint="eastAsia" w:hAnsi="宋体"/>
          <w:sz w:val="21"/>
        </w:rPr>
        <w:t>4.招标文件及更正公告（澄清或补充通知）；</w:t>
      </w:r>
    </w:p>
    <w:p w14:paraId="200DD8DC">
      <w:pPr>
        <w:pStyle w:val="25"/>
        <w:snapToGrid w:val="0"/>
        <w:spacing w:line="360" w:lineRule="auto"/>
        <w:ind w:left="420" w:leftChars="200"/>
        <w:rPr>
          <w:rFonts w:hint="eastAsia" w:hAnsi="宋体"/>
          <w:sz w:val="21"/>
        </w:rPr>
      </w:pPr>
      <w:r>
        <w:rPr>
          <w:rFonts w:hint="eastAsia" w:hAnsi="宋体"/>
          <w:sz w:val="21"/>
        </w:rPr>
        <w:t>5.标准、规范及有关技术文件；</w:t>
      </w:r>
    </w:p>
    <w:p w14:paraId="57A08B63">
      <w:pPr>
        <w:pStyle w:val="25"/>
        <w:snapToGrid w:val="0"/>
        <w:spacing w:line="360" w:lineRule="auto"/>
        <w:ind w:left="420" w:leftChars="200"/>
        <w:rPr>
          <w:rFonts w:hint="eastAsia" w:hAnsi="宋体"/>
          <w:sz w:val="21"/>
        </w:rPr>
      </w:pPr>
      <w:r>
        <w:rPr>
          <w:rFonts w:hint="eastAsia" w:hAnsi="宋体"/>
          <w:sz w:val="21"/>
        </w:rPr>
        <w:t>6.双方约定的其他合同文件。</w:t>
      </w:r>
    </w:p>
    <w:p w14:paraId="36BAE2FF">
      <w:pPr>
        <w:pStyle w:val="25"/>
        <w:snapToGrid w:val="0"/>
        <w:spacing w:line="360" w:lineRule="auto"/>
        <w:ind w:firstLine="420" w:firstLineChars="200"/>
        <w:rPr>
          <w:rFonts w:hint="eastAsia" w:hAnsi="宋体"/>
          <w:sz w:val="21"/>
        </w:rPr>
      </w:pPr>
      <w:r>
        <w:rPr>
          <w:rFonts w:hint="eastAsia" w:hAnsi="宋体"/>
          <w:sz w:val="21"/>
        </w:rPr>
        <w:t>上述合同文件互相补充和解释。如果合同文件之间存在矛盾或者不一致之处，以上述文件的排列顺序在先者为准。</w:t>
      </w:r>
    </w:p>
    <w:p w14:paraId="7069A2F5">
      <w:pPr>
        <w:snapToGrid w:val="0"/>
        <w:spacing w:line="360" w:lineRule="auto"/>
        <w:ind w:firstLine="422" w:firstLineChars="200"/>
        <w:rPr>
          <w:rFonts w:hint="eastAsia" w:ascii="宋体" w:hAnsi="宋体"/>
          <w:szCs w:val="21"/>
        </w:rPr>
      </w:pPr>
      <w:r>
        <w:rPr>
          <w:rFonts w:hint="eastAsia" w:ascii="宋体" w:hAnsi="宋体"/>
          <w:b/>
          <w:szCs w:val="21"/>
        </w:rPr>
        <w:t>第</w:t>
      </w:r>
      <w:r>
        <w:rPr>
          <w:rFonts w:hint="eastAsia" w:hAnsi="宋体"/>
          <w:b/>
          <w:szCs w:val="21"/>
        </w:rPr>
        <w:t>十五</w:t>
      </w:r>
      <w:r>
        <w:rPr>
          <w:rFonts w:hint="eastAsia" w:ascii="宋体" w:hAnsi="宋体"/>
          <w:b/>
          <w:szCs w:val="21"/>
        </w:rPr>
        <w:t>条　知识产权和保密要求</w:t>
      </w:r>
    </w:p>
    <w:p w14:paraId="586F4571">
      <w:pPr>
        <w:snapToGrid w:val="0"/>
        <w:spacing w:line="360" w:lineRule="auto"/>
        <w:ind w:firstLine="420" w:firstLineChars="200"/>
        <w:rPr>
          <w:rFonts w:hint="eastAsia" w:ascii="宋体" w:hAnsi="宋体"/>
          <w:szCs w:val="21"/>
        </w:rPr>
      </w:pPr>
      <w:r>
        <w:rPr>
          <w:rFonts w:hint="eastAsia" w:ascii="宋体" w:hAnsi="宋体"/>
          <w:szCs w:val="21"/>
        </w:rPr>
        <w:t>1.甲方在履行合同过程中提供给乙方的全部图纸、文件和其他含有数据和信息的资料，其知识产权属于甲方。</w:t>
      </w:r>
    </w:p>
    <w:p w14:paraId="489DA8B0">
      <w:pPr>
        <w:snapToGrid w:val="0"/>
        <w:spacing w:line="360" w:lineRule="auto"/>
        <w:ind w:firstLine="420" w:firstLineChars="200"/>
        <w:rPr>
          <w:rFonts w:hint="eastAsia" w:ascii="宋体" w:hAnsi="宋体"/>
          <w:szCs w:val="21"/>
        </w:rPr>
      </w:pPr>
      <w:r>
        <w:rPr>
          <w:rFonts w:hint="eastAsia" w:ascii="宋体" w:hAnsi="宋体"/>
          <w:szCs w:val="21"/>
        </w:rPr>
        <w:t>2.除招标文件采购需求另有约定外，甲方不因签署和履行合同而享有乙方在履行合同过程中提供给甲方的图纸、文件、配套软件、电子辅助程序和其他含有数据和信息的资料的知识产权。</w:t>
      </w:r>
    </w:p>
    <w:p w14:paraId="38A3E050">
      <w:pPr>
        <w:snapToGrid w:val="0"/>
        <w:spacing w:line="360" w:lineRule="auto"/>
        <w:ind w:firstLine="420" w:firstLineChars="200"/>
        <w:rPr>
          <w:rFonts w:hint="eastAsia" w:ascii="宋体" w:hAnsi="宋体"/>
          <w:szCs w:val="21"/>
        </w:rPr>
      </w:pPr>
      <w:r>
        <w:rPr>
          <w:rFonts w:hint="eastAsia" w:ascii="宋体" w:hAnsi="宋体"/>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4B612215">
      <w:pPr>
        <w:snapToGrid w:val="0"/>
        <w:spacing w:line="360" w:lineRule="auto"/>
        <w:ind w:firstLine="420" w:firstLineChars="200"/>
        <w:rPr>
          <w:rFonts w:hint="eastAsia" w:ascii="宋体" w:hAnsi="宋体"/>
          <w:szCs w:val="21"/>
        </w:rPr>
      </w:pPr>
      <w:r>
        <w:rPr>
          <w:rFonts w:hint="eastAsia" w:ascii="宋体" w:hAnsi="宋体"/>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4B1E2351">
      <w:pPr>
        <w:snapToGrid w:val="0"/>
        <w:spacing w:line="360" w:lineRule="auto"/>
        <w:ind w:firstLine="420" w:firstLineChars="200"/>
        <w:rPr>
          <w:rFonts w:hint="eastAsia" w:ascii="宋体" w:hAnsi="宋体"/>
          <w:szCs w:val="21"/>
        </w:rPr>
      </w:pPr>
      <w:r>
        <w:rPr>
          <w:rFonts w:hint="eastAsia" w:ascii="宋体" w:hAnsi="宋体"/>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070AFD86">
      <w:pPr>
        <w:snapToGrid w:val="0"/>
        <w:spacing w:line="360" w:lineRule="auto"/>
        <w:ind w:firstLine="420" w:firstLineChars="200"/>
        <w:rPr>
          <w:rFonts w:hint="eastAsia" w:ascii="宋体" w:hAnsi="宋体"/>
          <w:szCs w:val="21"/>
        </w:rPr>
      </w:pPr>
      <w:r>
        <w:rPr>
          <w:rFonts w:hint="eastAsia" w:ascii="宋体" w:hAnsi="宋体"/>
          <w:szCs w:val="21"/>
        </w:rPr>
        <w:t>6.乙方保证将要交付的货物的所有权完全属于乙方且无任何抵押、质押、查封等产权瑕疵。</w:t>
      </w:r>
    </w:p>
    <w:p w14:paraId="2122B194">
      <w:pPr>
        <w:pStyle w:val="25"/>
        <w:snapToGrid w:val="0"/>
        <w:spacing w:line="360" w:lineRule="auto"/>
        <w:ind w:firstLine="413" w:firstLineChars="196"/>
        <w:rPr>
          <w:rFonts w:hint="eastAsia" w:hAnsi="宋体"/>
          <w:b/>
          <w:sz w:val="21"/>
        </w:rPr>
      </w:pPr>
      <w:r>
        <w:rPr>
          <w:rFonts w:hint="eastAsia" w:hAnsi="宋体"/>
          <w:b/>
          <w:sz w:val="21"/>
        </w:rPr>
        <w:t>第十六条  合同生效及其他</w:t>
      </w:r>
    </w:p>
    <w:p w14:paraId="663C5D72">
      <w:pPr>
        <w:pStyle w:val="25"/>
        <w:snapToGrid w:val="0"/>
        <w:spacing w:line="360" w:lineRule="auto"/>
        <w:ind w:firstLine="420" w:firstLineChars="200"/>
        <w:rPr>
          <w:rFonts w:hint="eastAsia" w:hAnsi="宋体"/>
          <w:sz w:val="21"/>
        </w:rPr>
      </w:pPr>
      <w:r>
        <w:rPr>
          <w:rFonts w:hint="eastAsia" w:hAnsi="宋体"/>
          <w:sz w:val="21"/>
        </w:rPr>
        <w:t>1.合同经双方法定代表人或者委托代理人签字并加盖单位公章后生效（委托代理人签字的需后附授权委托书，格式自拟）。</w:t>
      </w:r>
    </w:p>
    <w:p w14:paraId="06FD00FC">
      <w:pPr>
        <w:pStyle w:val="18"/>
        <w:spacing w:line="360" w:lineRule="auto"/>
        <w:ind w:firstLine="420" w:firstLineChars="200"/>
        <w:rPr>
          <w:rFonts w:hint="eastAsia" w:ascii="宋体" w:hAnsi="宋体"/>
          <w:sz w:val="21"/>
          <w:szCs w:val="21"/>
        </w:rPr>
      </w:pPr>
      <w:r>
        <w:rPr>
          <w:rFonts w:hint="eastAsia" w:ascii="宋体" w:hAnsi="宋体"/>
          <w:sz w:val="21"/>
          <w:szCs w:val="21"/>
        </w:rPr>
        <w:t>2.合同执行中涉及采购资金和采购内容修改或者补充的，并签书面补充协议报财政部门备案，方可作为主合同不可分割的一部分。</w:t>
      </w:r>
    </w:p>
    <w:p w14:paraId="0144B863">
      <w:pPr>
        <w:pStyle w:val="18"/>
        <w:spacing w:line="360" w:lineRule="auto"/>
        <w:ind w:firstLine="420" w:firstLineChars="200"/>
        <w:rPr>
          <w:rFonts w:hint="eastAsia" w:ascii="宋体" w:hAnsi="宋体"/>
          <w:sz w:val="21"/>
          <w:szCs w:val="21"/>
        </w:rPr>
      </w:pPr>
      <w:r>
        <w:rPr>
          <w:rFonts w:hint="eastAsia" w:ascii="宋体" w:hAnsi="宋体"/>
          <w:sz w:val="21"/>
          <w:szCs w:val="21"/>
        </w:rPr>
        <w:t>3.合同生效后，甲乙双方不得因姓名、名称的变更或者法定代表人、负责人、承办人的变动而不履行合同义务。</w:t>
      </w:r>
    </w:p>
    <w:p w14:paraId="4E46900F">
      <w:pPr>
        <w:pStyle w:val="25"/>
        <w:snapToGrid w:val="0"/>
        <w:spacing w:line="360" w:lineRule="auto"/>
        <w:ind w:left="420" w:leftChars="200"/>
        <w:rPr>
          <w:rFonts w:hint="eastAsia" w:hAnsi="宋体"/>
          <w:sz w:val="21"/>
        </w:rPr>
      </w:pPr>
      <w:r>
        <w:rPr>
          <w:rFonts w:hint="eastAsia" w:hAnsi="宋体"/>
          <w:sz w:val="21"/>
        </w:rPr>
        <w:t>4.本合同未尽事宜，遵照《中华人民共和国民法典》有关条文执行。</w:t>
      </w:r>
    </w:p>
    <w:p w14:paraId="7B9E7971">
      <w:pPr>
        <w:snapToGrid w:val="0"/>
        <w:spacing w:line="360" w:lineRule="auto"/>
        <w:ind w:firstLine="420" w:firstLineChars="200"/>
        <w:rPr>
          <w:rFonts w:hint="eastAsia" w:ascii="宋体" w:hAnsi="宋体"/>
          <w:szCs w:val="21"/>
        </w:rPr>
      </w:pPr>
      <w:r>
        <w:rPr>
          <w:rFonts w:hint="eastAsia" w:ascii="宋体" w:hAnsi="宋体"/>
          <w:szCs w:val="21"/>
        </w:rPr>
        <w:t>5.</w:t>
      </w:r>
      <w:r>
        <w:rPr>
          <w:rFonts w:hint="eastAsia"/>
        </w:rPr>
        <w:t xml:space="preserve"> </w:t>
      </w:r>
      <w:r>
        <w:rPr>
          <w:rFonts w:hint="eastAsia" w:ascii="宋体" w:hAnsi="宋体"/>
          <w:szCs w:val="21"/>
        </w:rPr>
        <w:t>本合同一式八份，具有同等法律效力，甲方执五份，乙方执二份，采购代理机构一份。</w:t>
      </w:r>
    </w:p>
    <w:p w14:paraId="6B9E4FE9">
      <w:pPr>
        <w:snapToGrid w:val="0"/>
        <w:spacing w:line="360" w:lineRule="auto"/>
        <w:rPr>
          <w:rFonts w:hint="eastAsia" w:ascii="宋体" w:hAnsi="宋体"/>
          <w:szCs w:val="21"/>
        </w:rPr>
      </w:pPr>
    </w:p>
    <w:p w14:paraId="44B2A0B6">
      <w:pPr>
        <w:tabs>
          <w:tab w:val="left" w:pos="4395"/>
        </w:tabs>
        <w:spacing w:line="360" w:lineRule="auto"/>
        <w:rPr>
          <w:rFonts w:hint="eastAsia" w:ascii="宋体" w:hAnsi="宋体"/>
          <w:b/>
          <w:szCs w:val="21"/>
        </w:rPr>
      </w:pPr>
      <w:r>
        <w:rPr>
          <w:rFonts w:hint="eastAsia" w:ascii="宋体" w:hAnsi="宋体"/>
          <w:b/>
          <w:szCs w:val="21"/>
        </w:rPr>
        <w:t>甲方（盖章）：</w:t>
      </w:r>
      <w:r>
        <w:rPr>
          <w:rFonts w:hint="eastAsia" w:ascii="宋体" w:hAnsi="宋体"/>
          <w:bCs/>
          <w:szCs w:val="21"/>
        </w:rPr>
        <w:t>广西艺术学院</w:t>
      </w:r>
      <w:r>
        <w:rPr>
          <w:rFonts w:hint="eastAsia" w:ascii="宋体" w:hAnsi="宋体"/>
          <w:b/>
          <w:szCs w:val="21"/>
        </w:rPr>
        <w:tab/>
      </w:r>
      <w:r>
        <w:rPr>
          <w:rFonts w:hint="eastAsia" w:ascii="宋体" w:hAnsi="宋体"/>
          <w:b/>
          <w:szCs w:val="21"/>
        </w:rPr>
        <w:t>乙方（盖章）：</w:t>
      </w:r>
    </w:p>
    <w:p w14:paraId="3F0736D8">
      <w:pPr>
        <w:tabs>
          <w:tab w:val="left" w:pos="4395"/>
        </w:tabs>
        <w:spacing w:line="360" w:lineRule="auto"/>
        <w:rPr>
          <w:rFonts w:hint="eastAsia" w:ascii="宋体" w:hAnsi="宋体"/>
          <w:bCs/>
          <w:szCs w:val="21"/>
        </w:rPr>
      </w:pPr>
    </w:p>
    <w:p w14:paraId="175A8474">
      <w:pPr>
        <w:pStyle w:val="18"/>
        <w:spacing w:line="360" w:lineRule="auto"/>
      </w:pPr>
    </w:p>
    <w:p w14:paraId="4E6D6D31">
      <w:pPr>
        <w:tabs>
          <w:tab w:val="left" w:pos="4395"/>
        </w:tabs>
        <w:spacing w:line="360" w:lineRule="auto"/>
        <w:rPr>
          <w:rFonts w:hint="eastAsia" w:ascii="宋体" w:hAnsi="宋体"/>
          <w:b/>
          <w:szCs w:val="21"/>
        </w:rPr>
      </w:pPr>
      <w:r>
        <w:rPr>
          <w:rFonts w:hint="eastAsia" w:ascii="宋体" w:hAnsi="宋体"/>
          <w:bCs/>
          <w:szCs w:val="21"/>
        </w:rPr>
        <w:t>法定代表人或者委托代理人（签字）</w:t>
      </w:r>
      <w:r>
        <w:rPr>
          <w:rFonts w:hint="eastAsia" w:ascii="宋体" w:hAnsi="宋体"/>
          <w:b/>
          <w:szCs w:val="21"/>
        </w:rPr>
        <w:t>：</w:t>
      </w:r>
      <w:r>
        <w:rPr>
          <w:rFonts w:hint="eastAsia" w:ascii="宋体" w:hAnsi="宋体"/>
          <w:b/>
          <w:szCs w:val="21"/>
        </w:rPr>
        <w:tab/>
      </w:r>
      <w:r>
        <w:rPr>
          <w:rFonts w:hint="eastAsia" w:ascii="宋体" w:hAnsi="宋体"/>
          <w:bCs/>
          <w:szCs w:val="21"/>
        </w:rPr>
        <w:t>法定代表人或者委托代理人（签字）</w:t>
      </w:r>
      <w:r>
        <w:rPr>
          <w:rFonts w:hint="eastAsia" w:ascii="宋体" w:hAnsi="宋体"/>
          <w:b/>
          <w:szCs w:val="21"/>
        </w:rPr>
        <w:t xml:space="preserve">： </w:t>
      </w:r>
    </w:p>
    <w:p w14:paraId="33BCDBEA">
      <w:pPr>
        <w:tabs>
          <w:tab w:val="left" w:pos="4395"/>
        </w:tabs>
        <w:spacing w:line="360" w:lineRule="auto"/>
        <w:rPr>
          <w:rFonts w:hint="eastAsia" w:ascii="宋体" w:hAnsi="宋体"/>
          <w:szCs w:val="21"/>
        </w:rPr>
      </w:pPr>
    </w:p>
    <w:p w14:paraId="023C271F">
      <w:pPr>
        <w:pStyle w:val="18"/>
        <w:spacing w:line="360" w:lineRule="auto"/>
      </w:pPr>
    </w:p>
    <w:p w14:paraId="2C9840F3">
      <w:pPr>
        <w:tabs>
          <w:tab w:val="left" w:pos="4395"/>
        </w:tabs>
        <w:spacing w:line="360" w:lineRule="auto"/>
        <w:rPr>
          <w:rFonts w:hint="eastAsia" w:ascii="宋体" w:hAnsi="宋体"/>
          <w:szCs w:val="21"/>
        </w:rPr>
      </w:pPr>
      <w:r>
        <w:rPr>
          <w:rFonts w:hint="eastAsia" w:ascii="宋体" w:hAnsi="宋体"/>
          <w:szCs w:val="21"/>
        </w:rPr>
        <w:t>签订日期：　　　年　　月　　日</w:t>
      </w:r>
      <w:r>
        <w:rPr>
          <w:rFonts w:hint="eastAsia" w:ascii="宋体" w:hAnsi="宋体"/>
          <w:szCs w:val="21"/>
        </w:rPr>
        <w:tab/>
      </w:r>
      <w:r>
        <w:rPr>
          <w:rFonts w:hint="eastAsia" w:ascii="宋体" w:hAnsi="宋体"/>
          <w:szCs w:val="21"/>
        </w:rPr>
        <w:t>签订日期：　　　年　　月　　日</w:t>
      </w:r>
    </w:p>
    <w:p w14:paraId="5D5ADF01">
      <w:pPr>
        <w:tabs>
          <w:tab w:val="left" w:pos="4395"/>
        </w:tabs>
        <w:spacing w:line="360" w:lineRule="auto"/>
        <w:rPr>
          <w:rFonts w:hint="eastAsia" w:ascii="宋体" w:hAnsi="宋体"/>
          <w:szCs w:val="21"/>
        </w:rPr>
      </w:pPr>
      <w:r>
        <w:rPr>
          <w:rFonts w:hint="eastAsia" w:ascii="宋体" w:hAnsi="宋体"/>
          <w:szCs w:val="21"/>
        </w:rPr>
        <w:tab/>
      </w:r>
      <w:r>
        <w:rPr>
          <w:rFonts w:hint="eastAsia" w:ascii="宋体" w:hAnsi="宋体"/>
          <w:szCs w:val="21"/>
        </w:rPr>
        <w:t>开户名称：</w:t>
      </w:r>
    </w:p>
    <w:p w14:paraId="7DE3F7E6">
      <w:pPr>
        <w:tabs>
          <w:tab w:val="left" w:pos="4395"/>
        </w:tabs>
        <w:spacing w:line="360" w:lineRule="auto"/>
        <w:rPr>
          <w:rFonts w:hint="eastAsia" w:ascii="宋体" w:hAnsi="宋体"/>
          <w:szCs w:val="21"/>
        </w:rPr>
      </w:pPr>
      <w:r>
        <w:rPr>
          <w:rFonts w:hint="eastAsia" w:ascii="宋体" w:hAnsi="宋体"/>
          <w:szCs w:val="21"/>
        </w:rPr>
        <w:tab/>
      </w:r>
      <w:r>
        <w:rPr>
          <w:rFonts w:hint="eastAsia" w:ascii="宋体" w:hAnsi="宋体"/>
          <w:szCs w:val="21"/>
        </w:rPr>
        <w:t>银行账号：</w:t>
      </w:r>
    </w:p>
    <w:p w14:paraId="20D0D73C">
      <w:pPr>
        <w:tabs>
          <w:tab w:val="left" w:pos="4395"/>
        </w:tabs>
        <w:spacing w:line="360" w:lineRule="auto"/>
        <w:rPr>
          <w:rFonts w:hint="eastAsia" w:ascii="宋体" w:hAnsi="宋体"/>
          <w:bCs/>
          <w:szCs w:val="21"/>
        </w:rPr>
      </w:pPr>
      <w:r>
        <w:rPr>
          <w:rFonts w:hint="eastAsia" w:ascii="宋体" w:hAnsi="宋体"/>
          <w:szCs w:val="21"/>
        </w:rPr>
        <w:tab/>
      </w:r>
      <w:r>
        <w:rPr>
          <w:rFonts w:hint="eastAsia" w:ascii="宋体" w:hAnsi="宋体"/>
          <w:szCs w:val="21"/>
        </w:rPr>
        <w:t>开 户 行：</w:t>
      </w:r>
      <w:r>
        <w:rPr>
          <w:rFonts w:hint="eastAsia" w:ascii="宋体" w:hAnsi="宋体"/>
          <w:bCs/>
          <w:szCs w:val="21"/>
        </w:rPr>
        <w:t xml:space="preserve"> </w:t>
      </w:r>
    </w:p>
    <w:p w14:paraId="2E6775C7">
      <w:pPr>
        <w:pStyle w:val="18"/>
        <w:jc w:val="center"/>
      </w:pPr>
    </w:p>
    <w:p w14:paraId="2DC83D81">
      <w:pPr>
        <w:snapToGrid w:val="0"/>
        <w:spacing w:line="360" w:lineRule="auto"/>
        <w:jc w:val="left"/>
        <w:rPr>
          <w:rFonts w:hint="eastAsia" w:ascii="宋体" w:hAnsi="宋体"/>
          <w:szCs w:val="21"/>
        </w:rPr>
      </w:pPr>
    </w:p>
    <w:p w14:paraId="36D1ED82">
      <w:pPr>
        <w:snapToGrid w:val="0"/>
        <w:jc w:val="center"/>
        <w:rPr>
          <w:rFonts w:hint="eastAsia" w:ascii="宋体" w:hAnsi="宋体"/>
          <w:bCs/>
          <w:sz w:val="32"/>
          <w:szCs w:val="32"/>
        </w:rPr>
      </w:pPr>
      <w:r>
        <w:rPr>
          <w:rFonts w:ascii="宋体" w:hAnsi="宋体"/>
          <w:b/>
          <w:sz w:val="32"/>
          <w:szCs w:val="32"/>
        </w:rPr>
        <w:br w:type="page"/>
      </w:r>
    </w:p>
    <w:bookmarkEnd w:id="142"/>
    <w:p w14:paraId="560BBC50">
      <w:pPr>
        <w:snapToGrid w:val="0"/>
        <w:spacing w:line="480" w:lineRule="auto"/>
        <w:rPr>
          <w:rFonts w:hint="eastAsia" w:ascii="宋体" w:hAnsi="宋体"/>
          <w:bCs/>
          <w:sz w:val="32"/>
          <w:szCs w:val="32"/>
        </w:rPr>
      </w:pPr>
    </w:p>
    <w:p w14:paraId="1AB5B8DD">
      <w:pPr>
        <w:snapToGrid w:val="0"/>
        <w:jc w:val="center"/>
        <w:rPr>
          <w:rFonts w:hint="eastAsia" w:ascii="宋体" w:hAnsi="宋体"/>
          <w:bCs/>
          <w:sz w:val="32"/>
          <w:szCs w:val="32"/>
        </w:rPr>
      </w:pPr>
    </w:p>
    <w:p w14:paraId="609352E4">
      <w:pPr>
        <w:snapToGrid w:val="0"/>
        <w:jc w:val="center"/>
        <w:rPr>
          <w:rFonts w:hint="eastAsia" w:ascii="宋体" w:hAnsi="宋体"/>
          <w:bCs/>
          <w:sz w:val="32"/>
          <w:szCs w:val="32"/>
        </w:rPr>
      </w:pPr>
    </w:p>
    <w:p w14:paraId="52056EFB">
      <w:pPr>
        <w:snapToGrid w:val="0"/>
        <w:jc w:val="center"/>
        <w:rPr>
          <w:rFonts w:hint="eastAsia" w:ascii="宋体" w:hAnsi="宋体"/>
          <w:bCs/>
          <w:sz w:val="32"/>
          <w:szCs w:val="32"/>
        </w:rPr>
      </w:pPr>
    </w:p>
    <w:p w14:paraId="30742456">
      <w:pPr>
        <w:snapToGrid w:val="0"/>
        <w:jc w:val="center"/>
        <w:rPr>
          <w:rFonts w:hint="eastAsia" w:ascii="宋体" w:hAnsi="宋体"/>
          <w:bCs/>
          <w:sz w:val="32"/>
          <w:szCs w:val="32"/>
        </w:rPr>
      </w:pPr>
    </w:p>
    <w:p w14:paraId="5BBE4566">
      <w:pPr>
        <w:snapToGrid w:val="0"/>
        <w:jc w:val="center"/>
        <w:rPr>
          <w:rFonts w:hint="eastAsia" w:ascii="宋体" w:hAnsi="宋体"/>
          <w:bCs/>
          <w:sz w:val="32"/>
          <w:szCs w:val="32"/>
        </w:rPr>
      </w:pPr>
    </w:p>
    <w:p w14:paraId="7E4287CC">
      <w:pPr>
        <w:snapToGrid w:val="0"/>
        <w:jc w:val="center"/>
        <w:rPr>
          <w:rFonts w:hint="eastAsia" w:ascii="宋体" w:hAnsi="宋体"/>
          <w:bCs/>
          <w:sz w:val="32"/>
          <w:szCs w:val="32"/>
        </w:rPr>
      </w:pPr>
    </w:p>
    <w:p w14:paraId="195230CA">
      <w:pPr>
        <w:snapToGrid w:val="0"/>
        <w:jc w:val="center"/>
        <w:rPr>
          <w:rFonts w:hint="eastAsia" w:ascii="宋体" w:hAnsi="宋体"/>
          <w:bCs/>
          <w:sz w:val="32"/>
          <w:szCs w:val="32"/>
        </w:rPr>
      </w:pPr>
    </w:p>
    <w:p w14:paraId="028FFAAF">
      <w:pPr>
        <w:snapToGrid w:val="0"/>
        <w:jc w:val="center"/>
        <w:rPr>
          <w:rFonts w:hint="eastAsia" w:ascii="宋体" w:hAnsi="宋体"/>
          <w:bCs/>
          <w:sz w:val="32"/>
          <w:szCs w:val="32"/>
        </w:rPr>
      </w:pPr>
    </w:p>
    <w:p w14:paraId="0CD64CA9">
      <w:pPr>
        <w:snapToGrid w:val="0"/>
        <w:jc w:val="center"/>
        <w:rPr>
          <w:rFonts w:hint="eastAsia" w:ascii="宋体" w:hAnsi="宋体"/>
          <w:bCs/>
          <w:sz w:val="32"/>
          <w:szCs w:val="32"/>
        </w:rPr>
      </w:pPr>
    </w:p>
    <w:p w14:paraId="5094104B">
      <w:pPr>
        <w:snapToGrid w:val="0"/>
        <w:jc w:val="center"/>
        <w:rPr>
          <w:rFonts w:hint="eastAsia" w:ascii="宋体" w:hAnsi="宋体"/>
          <w:bCs/>
          <w:sz w:val="32"/>
          <w:szCs w:val="32"/>
        </w:rPr>
      </w:pPr>
    </w:p>
    <w:p w14:paraId="3F30B2B3">
      <w:pPr>
        <w:snapToGrid w:val="0"/>
        <w:jc w:val="center"/>
        <w:rPr>
          <w:rFonts w:hint="eastAsia" w:ascii="宋体" w:hAnsi="宋体"/>
          <w:bCs/>
          <w:sz w:val="32"/>
          <w:szCs w:val="32"/>
        </w:rPr>
      </w:pPr>
    </w:p>
    <w:p w14:paraId="65BB2E34">
      <w:pPr>
        <w:pStyle w:val="3"/>
        <w:jc w:val="center"/>
      </w:pPr>
      <w:bookmarkStart w:id="143" w:name="_Toc74320805"/>
      <w:r>
        <w:rPr>
          <w:rFonts w:hint="eastAsia"/>
        </w:rPr>
        <w:t>第六章　投标文件格式</w:t>
      </w:r>
      <w:bookmarkEnd w:id="143"/>
    </w:p>
    <w:p w14:paraId="70D6EAB6">
      <w:pPr>
        <w:snapToGrid w:val="0"/>
        <w:spacing w:before="50" w:after="50"/>
        <w:rPr>
          <w:rFonts w:hint="eastAsia" w:ascii="宋体" w:hAnsi="宋体"/>
          <w:sz w:val="32"/>
          <w:szCs w:val="20"/>
        </w:rPr>
      </w:pPr>
    </w:p>
    <w:p w14:paraId="0B9DE7EA">
      <w:pPr>
        <w:snapToGrid w:val="0"/>
        <w:spacing w:before="50" w:after="50"/>
        <w:rPr>
          <w:rFonts w:hint="eastAsia" w:ascii="宋体" w:hAnsi="宋体"/>
          <w:sz w:val="32"/>
          <w:szCs w:val="20"/>
        </w:rPr>
      </w:pPr>
    </w:p>
    <w:p w14:paraId="4B634879">
      <w:pPr>
        <w:snapToGrid w:val="0"/>
        <w:spacing w:before="50" w:after="50"/>
        <w:rPr>
          <w:rFonts w:hint="eastAsia" w:ascii="宋体" w:hAnsi="宋体"/>
          <w:sz w:val="32"/>
          <w:szCs w:val="20"/>
        </w:rPr>
      </w:pPr>
    </w:p>
    <w:p w14:paraId="472A5C29">
      <w:pPr>
        <w:snapToGrid w:val="0"/>
        <w:spacing w:before="50" w:after="50"/>
        <w:rPr>
          <w:rFonts w:hint="eastAsia" w:ascii="宋体" w:hAnsi="宋体"/>
          <w:sz w:val="32"/>
          <w:szCs w:val="20"/>
        </w:rPr>
      </w:pPr>
    </w:p>
    <w:p w14:paraId="758799A5">
      <w:pPr>
        <w:snapToGrid w:val="0"/>
        <w:spacing w:before="50" w:after="50"/>
        <w:rPr>
          <w:rFonts w:hint="eastAsia" w:ascii="宋体" w:hAnsi="宋体"/>
          <w:sz w:val="32"/>
          <w:szCs w:val="20"/>
        </w:rPr>
      </w:pPr>
    </w:p>
    <w:p w14:paraId="063BEC7B">
      <w:pPr>
        <w:snapToGrid w:val="0"/>
        <w:spacing w:before="50" w:after="50"/>
        <w:rPr>
          <w:rFonts w:hint="eastAsia" w:ascii="宋体" w:hAnsi="宋体"/>
          <w:sz w:val="32"/>
          <w:szCs w:val="20"/>
        </w:rPr>
      </w:pPr>
    </w:p>
    <w:p w14:paraId="00CEB7AB">
      <w:pPr>
        <w:snapToGrid w:val="0"/>
        <w:spacing w:before="50" w:after="50"/>
        <w:rPr>
          <w:rFonts w:hint="eastAsia" w:ascii="宋体" w:hAnsi="宋体"/>
          <w:sz w:val="32"/>
          <w:szCs w:val="20"/>
        </w:rPr>
      </w:pPr>
    </w:p>
    <w:p w14:paraId="236E4609">
      <w:pPr>
        <w:snapToGrid w:val="0"/>
        <w:spacing w:before="50" w:after="50"/>
        <w:rPr>
          <w:rFonts w:hint="eastAsia" w:ascii="宋体" w:hAnsi="宋体"/>
          <w:sz w:val="32"/>
          <w:szCs w:val="20"/>
        </w:rPr>
      </w:pPr>
    </w:p>
    <w:p w14:paraId="7E9FE44A">
      <w:pPr>
        <w:snapToGrid w:val="0"/>
        <w:spacing w:before="50" w:after="50"/>
        <w:rPr>
          <w:rFonts w:hint="eastAsia" w:ascii="宋体" w:hAnsi="宋体"/>
          <w:sz w:val="32"/>
          <w:szCs w:val="20"/>
        </w:rPr>
      </w:pPr>
    </w:p>
    <w:p w14:paraId="2232918A">
      <w:pPr>
        <w:snapToGrid w:val="0"/>
        <w:spacing w:before="50" w:after="50"/>
        <w:rPr>
          <w:rFonts w:hint="eastAsia" w:ascii="宋体" w:hAnsi="宋体"/>
          <w:sz w:val="32"/>
          <w:szCs w:val="20"/>
        </w:rPr>
      </w:pPr>
    </w:p>
    <w:p w14:paraId="737EB4CB">
      <w:pPr>
        <w:snapToGrid w:val="0"/>
        <w:spacing w:before="50" w:after="50"/>
        <w:rPr>
          <w:rFonts w:hint="eastAsia" w:ascii="宋体" w:hAnsi="宋体"/>
          <w:sz w:val="32"/>
          <w:szCs w:val="20"/>
        </w:rPr>
      </w:pPr>
    </w:p>
    <w:p w14:paraId="5E24FE75">
      <w:pPr>
        <w:snapToGrid w:val="0"/>
        <w:spacing w:before="50" w:after="50"/>
        <w:rPr>
          <w:rFonts w:hint="eastAsia" w:ascii="宋体" w:hAnsi="宋体"/>
          <w:sz w:val="32"/>
          <w:szCs w:val="20"/>
        </w:rPr>
      </w:pPr>
    </w:p>
    <w:p w14:paraId="0422DB6E">
      <w:pPr>
        <w:snapToGrid w:val="0"/>
        <w:spacing w:before="50" w:after="50"/>
        <w:rPr>
          <w:rFonts w:hint="eastAsia" w:ascii="宋体" w:hAnsi="宋体"/>
          <w:sz w:val="32"/>
          <w:szCs w:val="20"/>
        </w:rPr>
      </w:pPr>
    </w:p>
    <w:p w14:paraId="10759151">
      <w:pPr>
        <w:snapToGrid w:val="0"/>
        <w:spacing w:before="120" w:beforeLines="50" w:after="50"/>
        <w:jc w:val="center"/>
        <w:rPr>
          <w:rFonts w:hint="eastAsia" w:ascii="宋体" w:hAnsi="宋体"/>
        </w:rPr>
      </w:pPr>
    </w:p>
    <w:p w14:paraId="2371F5CE">
      <w:pPr>
        <w:rPr>
          <w:b/>
          <w:sz w:val="28"/>
          <w:szCs w:val="28"/>
        </w:rPr>
      </w:pPr>
      <w:bookmarkStart w:id="144" w:name="_Toc19686836"/>
      <w:bookmarkStart w:id="145" w:name="_Toc254970698"/>
      <w:bookmarkStart w:id="146" w:name="_Toc254970557"/>
      <w:r>
        <w:rPr>
          <w:rFonts w:hint="eastAsia"/>
          <w:b/>
          <w:sz w:val="28"/>
          <w:szCs w:val="28"/>
        </w:rPr>
        <w:t>一、报价文件格式</w:t>
      </w:r>
      <w:bookmarkEnd w:id="144"/>
    </w:p>
    <w:p w14:paraId="6D7864CF">
      <w:pPr>
        <w:snapToGrid w:val="0"/>
        <w:spacing w:before="120" w:beforeLines="50" w:after="50" w:line="360" w:lineRule="auto"/>
        <w:ind w:left="142"/>
        <w:jc w:val="left"/>
        <w:rPr>
          <w:rFonts w:hint="eastAsia" w:ascii="宋体" w:hAnsi="宋体"/>
          <w:b/>
          <w:sz w:val="24"/>
        </w:rPr>
      </w:pPr>
      <w:r>
        <w:rPr>
          <w:rFonts w:hint="eastAsia" w:ascii="宋体" w:hAnsi="宋体"/>
          <w:b/>
          <w:sz w:val="24"/>
        </w:rPr>
        <w:t xml:space="preserve">1. 报价文件封面格式： </w:t>
      </w:r>
    </w:p>
    <w:p w14:paraId="3E2DD192">
      <w:pPr>
        <w:snapToGrid w:val="0"/>
        <w:spacing w:before="120" w:beforeLines="50" w:after="50" w:line="360" w:lineRule="auto"/>
        <w:ind w:left="142"/>
        <w:jc w:val="center"/>
        <w:rPr>
          <w:rFonts w:hint="eastAsia" w:ascii="宋体" w:hAnsi="宋体" w:eastAsia="方正小标宋简体"/>
          <w:bCs/>
          <w:sz w:val="48"/>
          <w:szCs w:val="48"/>
        </w:rPr>
      </w:pPr>
      <w:r>
        <w:rPr>
          <w:rFonts w:hint="eastAsia" w:ascii="宋体" w:hAnsi="宋体" w:eastAsia="方正小标宋简体"/>
          <w:bCs/>
          <w:sz w:val="48"/>
          <w:szCs w:val="48"/>
        </w:rPr>
        <w:t>电子投标文件</w:t>
      </w:r>
    </w:p>
    <w:p w14:paraId="4217199A">
      <w:pPr>
        <w:snapToGrid w:val="0"/>
        <w:spacing w:before="120" w:beforeLines="50" w:after="50" w:line="400" w:lineRule="exact"/>
        <w:jc w:val="left"/>
        <w:rPr>
          <w:rFonts w:hint="eastAsia" w:ascii="宋体" w:hAnsi="宋体" w:eastAsia="方正小标宋简体"/>
          <w:bCs/>
          <w:sz w:val="48"/>
          <w:szCs w:val="48"/>
        </w:rPr>
      </w:pPr>
    </w:p>
    <w:p w14:paraId="654959B0">
      <w:pPr>
        <w:snapToGrid w:val="0"/>
        <w:spacing w:before="120" w:beforeLines="50" w:after="50" w:line="4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  价  文  件</w:t>
      </w:r>
    </w:p>
    <w:p w14:paraId="743FD9B1">
      <w:pPr>
        <w:snapToGrid w:val="0"/>
        <w:spacing w:before="120" w:beforeLines="50" w:after="50" w:line="400" w:lineRule="exact"/>
        <w:rPr>
          <w:rFonts w:hint="eastAsia" w:ascii="宋体" w:hAnsi="宋体"/>
          <w:bCs/>
          <w:sz w:val="24"/>
          <w:szCs w:val="20"/>
        </w:rPr>
      </w:pPr>
    </w:p>
    <w:p w14:paraId="3191B622">
      <w:pPr>
        <w:snapToGrid w:val="0"/>
        <w:spacing w:before="120" w:beforeLines="50" w:after="50" w:line="400" w:lineRule="exact"/>
        <w:rPr>
          <w:rFonts w:hint="eastAsia" w:ascii="宋体" w:hAnsi="宋体"/>
          <w:bCs/>
          <w:sz w:val="24"/>
          <w:szCs w:val="20"/>
        </w:rPr>
      </w:pPr>
    </w:p>
    <w:p w14:paraId="48D07681">
      <w:pPr>
        <w:snapToGrid w:val="0"/>
        <w:spacing w:before="120" w:beforeLines="50" w:after="50" w:line="400" w:lineRule="exact"/>
        <w:rPr>
          <w:rFonts w:hint="eastAsia" w:ascii="宋体" w:hAnsi="宋体"/>
          <w:bCs/>
          <w:sz w:val="24"/>
          <w:szCs w:val="20"/>
        </w:rPr>
      </w:pPr>
    </w:p>
    <w:p w14:paraId="7D02BAA7">
      <w:pPr>
        <w:snapToGrid w:val="0"/>
        <w:spacing w:before="120" w:beforeLines="50" w:after="50" w:line="400" w:lineRule="exact"/>
        <w:rPr>
          <w:rFonts w:hint="eastAsia" w:ascii="宋体" w:hAnsi="宋体"/>
          <w:bCs/>
          <w:sz w:val="24"/>
          <w:szCs w:val="20"/>
        </w:rPr>
      </w:pPr>
    </w:p>
    <w:p w14:paraId="47EEC32D">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 xml:space="preserve">项目名称： </w:t>
      </w:r>
    </w:p>
    <w:p w14:paraId="285C70E7">
      <w:pPr>
        <w:snapToGrid w:val="0"/>
        <w:spacing w:before="120" w:beforeLines="50" w:after="50" w:line="400" w:lineRule="exact"/>
        <w:ind w:firstLine="360" w:firstLineChars="150"/>
        <w:rPr>
          <w:rFonts w:hint="eastAsia" w:ascii="宋体" w:hAnsi="宋体"/>
          <w:bCs/>
          <w:sz w:val="24"/>
        </w:rPr>
      </w:pPr>
    </w:p>
    <w:p w14:paraId="757A8BED">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 xml:space="preserve">项目编号： </w:t>
      </w:r>
    </w:p>
    <w:p w14:paraId="249CC4EC">
      <w:pPr>
        <w:snapToGrid w:val="0"/>
        <w:spacing w:before="120" w:beforeLines="50" w:after="50" w:line="400" w:lineRule="exact"/>
        <w:ind w:firstLine="360" w:firstLineChars="150"/>
        <w:rPr>
          <w:rFonts w:hint="eastAsia" w:ascii="宋体" w:hAnsi="宋体"/>
          <w:bCs/>
          <w:sz w:val="24"/>
        </w:rPr>
      </w:pPr>
    </w:p>
    <w:p w14:paraId="7955CC3D">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所投分标：</w:t>
      </w:r>
    </w:p>
    <w:p w14:paraId="5401B460">
      <w:pPr>
        <w:snapToGrid w:val="0"/>
        <w:spacing w:before="120" w:beforeLines="50" w:after="50" w:line="400" w:lineRule="exact"/>
        <w:ind w:firstLine="360" w:firstLineChars="150"/>
        <w:rPr>
          <w:rFonts w:hint="eastAsia" w:ascii="宋体" w:hAnsi="宋体"/>
          <w:bCs/>
          <w:sz w:val="24"/>
        </w:rPr>
      </w:pPr>
    </w:p>
    <w:p w14:paraId="59BAA5E5">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投标人名称：</w:t>
      </w:r>
    </w:p>
    <w:p w14:paraId="62B2FDA2">
      <w:pPr>
        <w:snapToGrid w:val="0"/>
        <w:spacing w:before="120" w:beforeLines="50" w:after="50" w:line="400" w:lineRule="exact"/>
        <w:ind w:firstLine="360" w:firstLineChars="150"/>
        <w:rPr>
          <w:rFonts w:hint="eastAsia" w:ascii="宋体" w:hAnsi="宋体"/>
          <w:bCs/>
          <w:sz w:val="24"/>
        </w:rPr>
      </w:pPr>
    </w:p>
    <w:p w14:paraId="25EB1136">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2AD729F0">
      <w:pPr>
        <w:pStyle w:val="7"/>
        <w:snapToGrid w:val="0"/>
        <w:spacing w:before="50" w:after="50" w:line="400" w:lineRule="exact"/>
        <w:ind w:firstLine="960" w:firstLineChars="400"/>
        <w:rPr>
          <w:rFonts w:hint="eastAsia" w:ascii="宋体" w:hAnsi="宋体"/>
          <w:bCs/>
          <w:sz w:val="24"/>
          <w:szCs w:val="24"/>
        </w:rPr>
      </w:pPr>
    </w:p>
    <w:p w14:paraId="7419FC9D">
      <w:pPr>
        <w:snapToGrid w:val="0"/>
        <w:spacing w:before="120" w:beforeLines="50" w:after="50" w:line="400" w:lineRule="exact"/>
        <w:rPr>
          <w:rFonts w:hint="eastAsia" w:ascii="宋体" w:hAnsi="宋体"/>
          <w:sz w:val="30"/>
          <w:szCs w:val="20"/>
        </w:rPr>
      </w:pPr>
      <w:r>
        <w:rPr>
          <w:rFonts w:hint="eastAsia" w:ascii="宋体" w:hAnsi="宋体"/>
          <w:sz w:val="24"/>
        </w:rPr>
        <w:t xml:space="preserve">                                   年  月  日</w:t>
      </w:r>
    </w:p>
    <w:p w14:paraId="0865A405">
      <w:pPr>
        <w:snapToGrid w:val="0"/>
        <w:spacing w:before="120" w:beforeLines="50" w:after="50" w:line="360" w:lineRule="auto"/>
        <w:jc w:val="left"/>
        <w:rPr>
          <w:rFonts w:hint="eastAsia" w:ascii="宋体" w:hAnsi="宋体"/>
          <w:sz w:val="24"/>
          <w:szCs w:val="20"/>
        </w:rPr>
      </w:pPr>
      <w:r>
        <w:rPr>
          <w:rFonts w:ascii="宋体" w:hAnsi="宋体"/>
          <w:b/>
          <w:sz w:val="24"/>
        </w:rPr>
        <w:br w:type="page"/>
      </w:r>
      <w:r>
        <w:rPr>
          <w:rFonts w:hint="eastAsia" w:ascii="宋体" w:hAnsi="宋体"/>
          <w:b/>
          <w:sz w:val="24"/>
        </w:rPr>
        <w:t>2.</w:t>
      </w:r>
      <w:r>
        <w:rPr>
          <w:rFonts w:hint="eastAsia" w:ascii="宋体" w:hAnsi="宋体"/>
          <w:b/>
          <w:bCs/>
          <w:sz w:val="24"/>
        </w:rPr>
        <w:t>报价文件目录</w:t>
      </w:r>
    </w:p>
    <w:p w14:paraId="7D87F57C">
      <w:pPr>
        <w:snapToGrid w:val="0"/>
        <w:spacing w:before="50" w:after="120" w:afterLines="50" w:line="360" w:lineRule="auto"/>
        <w:jc w:val="left"/>
        <w:rPr>
          <w:rFonts w:hint="eastAsia" w:ascii="宋体" w:hAnsi="宋体"/>
          <w:b/>
          <w:sz w:val="24"/>
        </w:rPr>
      </w:pPr>
      <w:r>
        <w:rPr>
          <w:rFonts w:hint="eastAsia" w:ascii="宋体" w:hAnsi="宋体"/>
          <w:szCs w:val="21"/>
        </w:rPr>
        <w:t>根据招标文件规定及投标人提供的材料自行编写目录。</w:t>
      </w:r>
    </w:p>
    <w:p w14:paraId="6E6BB958">
      <w:pPr>
        <w:snapToGrid w:val="0"/>
        <w:spacing w:before="120" w:beforeLines="50" w:after="50"/>
        <w:rPr>
          <w:rFonts w:hint="eastAsia" w:ascii="宋体" w:hAnsi="宋体"/>
          <w:b/>
          <w:sz w:val="24"/>
        </w:rPr>
      </w:pPr>
    </w:p>
    <w:p w14:paraId="7FABE794">
      <w:pPr>
        <w:snapToGrid w:val="0"/>
        <w:spacing w:before="120" w:beforeLines="50" w:after="50"/>
        <w:rPr>
          <w:rFonts w:hint="eastAsia" w:ascii="宋体" w:hAnsi="宋体"/>
          <w:b/>
          <w:sz w:val="24"/>
        </w:rPr>
      </w:pPr>
    </w:p>
    <w:p w14:paraId="0913CBFB">
      <w:pPr>
        <w:snapToGrid w:val="0"/>
        <w:spacing w:before="120" w:beforeLines="50" w:after="50"/>
        <w:rPr>
          <w:rFonts w:hint="eastAsia" w:ascii="宋体" w:hAnsi="宋体"/>
          <w:b/>
          <w:sz w:val="24"/>
        </w:rPr>
      </w:pPr>
    </w:p>
    <w:p w14:paraId="01917991">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3. 投标函格式：</w:t>
      </w:r>
    </w:p>
    <w:p w14:paraId="21B390D7">
      <w:pPr>
        <w:snapToGrid w:val="0"/>
        <w:spacing w:before="120" w:beforeLines="50" w:after="50" w:line="36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投 标 函</w:t>
      </w:r>
    </w:p>
    <w:p w14:paraId="3C6E2F53">
      <w:pPr>
        <w:snapToGrid w:val="0"/>
        <w:spacing w:before="120" w:beforeLines="50" w:after="50" w:line="320" w:lineRule="exact"/>
        <w:rPr>
          <w:rFonts w:hint="eastAsia" w:ascii="宋体" w:hAnsi="宋体"/>
          <w:b/>
          <w:sz w:val="32"/>
          <w:szCs w:val="32"/>
        </w:rPr>
      </w:pPr>
    </w:p>
    <w:p w14:paraId="213C0CB0">
      <w:pPr>
        <w:spacing w:line="360" w:lineRule="auto"/>
        <w:contextualSpacing/>
        <w:rPr>
          <w:rFonts w:hint="eastAsia" w:ascii="宋体" w:hAnsi="宋体"/>
          <w:sz w:val="24"/>
        </w:rPr>
      </w:pPr>
      <w:r>
        <w:rPr>
          <w:rFonts w:hint="eastAsia" w:ascii="宋体" w:hAnsi="宋体"/>
          <w:sz w:val="24"/>
        </w:rPr>
        <w:t>致：</w:t>
      </w:r>
      <w:r>
        <w:rPr>
          <w:rFonts w:hint="eastAsia" w:ascii="宋体" w:hAnsi="宋体"/>
          <w:sz w:val="24"/>
          <w:u w:val="single"/>
        </w:rPr>
        <w:t>采购人名称</w:t>
      </w:r>
      <w:r>
        <w:rPr>
          <w:rFonts w:hint="eastAsia" w:ascii="宋体" w:hAnsi="宋体"/>
          <w:sz w:val="24"/>
        </w:rPr>
        <w:t>：</w:t>
      </w:r>
    </w:p>
    <w:p w14:paraId="6F19FBA6">
      <w:pPr>
        <w:spacing w:line="360" w:lineRule="auto"/>
        <w:ind w:firstLine="480"/>
        <w:contextualSpacing/>
        <w:rPr>
          <w:rFonts w:hint="eastAsia" w:ascii="宋体" w:hAnsi="宋体"/>
          <w:sz w:val="24"/>
        </w:rPr>
      </w:pPr>
      <w:r>
        <w:rPr>
          <w:rFonts w:hint="eastAsia" w:ascii="宋体" w:hAnsi="宋体"/>
          <w:sz w:val="24"/>
        </w:rPr>
        <w:t>根据贵方</w:t>
      </w:r>
      <w:r>
        <w:rPr>
          <w:rFonts w:hint="eastAsia" w:ascii="宋体" w:hAnsi="宋体"/>
          <w:sz w:val="24"/>
          <w:u w:val="single"/>
        </w:rPr>
        <w:t xml:space="preserve"> 项目名称</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）的招标文件，签字代表______</w:t>
      </w:r>
      <w:r>
        <w:rPr>
          <w:rFonts w:hint="eastAsia" w:ascii="宋体" w:hAnsi="宋体"/>
          <w:sz w:val="24"/>
          <w:u w:val="single"/>
        </w:rPr>
        <w:t xml:space="preserve">     </w:t>
      </w:r>
      <w:r>
        <w:rPr>
          <w:rFonts w:hint="eastAsia" w:ascii="宋体" w:hAnsi="宋体"/>
          <w:sz w:val="24"/>
        </w:rPr>
        <w:t>（姓名）经正式授权并代表投标人</w:t>
      </w:r>
      <w:r>
        <w:rPr>
          <w:rFonts w:hint="eastAsia" w:ascii="宋体" w:hAnsi="宋体"/>
          <w:sz w:val="24"/>
          <w:u w:val="single"/>
        </w:rPr>
        <w:t xml:space="preserve">                 </w:t>
      </w:r>
      <w:r>
        <w:rPr>
          <w:rFonts w:hint="eastAsia" w:ascii="宋体" w:hAnsi="宋体"/>
          <w:sz w:val="24"/>
        </w:rPr>
        <w:t>（投标人名称）提交投标文件。</w:t>
      </w:r>
    </w:p>
    <w:p w14:paraId="15CAA794">
      <w:pPr>
        <w:spacing w:line="360" w:lineRule="auto"/>
        <w:ind w:firstLine="480" w:firstLineChars="200"/>
        <w:contextualSpacing/>
        <w:rPr>
          <w:rFonts w:hint="eastAsia" w:ascii="宋体" w:hAnsi="宋体"/>
          <w:sz w:val="24"/>
        </w:rPr>
      </w:pPr>
      <w:r>
        <w:rPr>
          <w:rFonts w:hint="eastAsia" w:ascii="宋体" w:hAnsi="宋体"/>
          <w:sz w:val="24"/>
        </w:rPr>
        <w:t>据此函，我方宣布同意如下：</w:t>
      </w:r>
    </w:p>
    <w:p w14:paraId="2D76B2CF">
      <w:pPr>
        <w:spacing w:line="360" w:lineRule="auto"/>
        <w:ind w:firstLine="480" w:firstLineChars="200"/>
        <w:contextualSpacing/>
        <w:rPr>
          <w:rFonts w:hint="eastAsia" w:ascii="宋体" w:hAnsi="宋体"/>
          <w:sz w:val="24"/>
        </w:rPr>
      </w:pPr>
      <w:r>
        <w:rPr>
          <w:rFonts w:hint="eastAsia" w:ascii="宋体" w:hAnsi="宋体"/>
          <w:sz w:val="24"/>
        </w:rPr>
        <w:t>1.我方已详细审查全部“招标文件”，包括修改文件（如有的话）以及全部参考资料和有关附件，已经了解我方对于招标文件、采购过程、采购结果有依法进行询问、质疑、投诉的权利及相关渠道和要求。</w:t>
      </w:r>
    </w:p>
    <w:p w14:paraId="3EFCC59F">
      <w:pPr>
        <w:spacing w:line="360" w:lineRule="auto"/>
        <w:ind w:firstLine="480" w:firstLineChars="200"/>
        <w:contextualSpacing/>
        <w:rPr>
          <w:rFonts w:hint="eastAsia" w:ascii="宋体" w:hAnsi="宋体"/>
          <w:sz w:val="24"/>
        </w:rPr>
      </w:pPr>
      <w:r>
        <w:rPr>
          <w:rFonts w:hint="eastAsia" w:ascii="宋体" w:hAnsi="宋体"/>
          <w:sz w:val="24"/>
        </w:rPr>
        <w:t>2.我方在投标之前已经完全理解并接受招标文件的各项规定和要求，对招标文件的合理性、合法性不再有异议。</w:t>
      </w:r>
    </w:p>
    <w:p w14:paraId="50E68FAB">
      <w:pPr>
        <w:spacing w:line="360" w:lineRule="auto"/>
        <w:ind w:firstLine="480" w:firstLineChars="200"/>
        <w:contextualSpacing/>
        <w:rPr>
          <w:rFonts w:hint="eastAsia" w:ascii="宋体" w:hAnsi="宋体"/>
          <w:sz w:val="24"/>
        </w:rPr>
      </w:pPr>
      <w:r>
        <w:rPr>
          <w:rFonts w:hint="eastAsia" w:ascii="宋体" w:hAnsi="宋体"/>
          <w:sz w:val="24"/>
        </w:rPr>
        <w:t>3.本投标有效期自投标截止之日起</w:t>
      </w:r>
      <w:r>
        <w:rPr>
          <w:rFonts w:ascii="宋体" w:hAnsi="宋体"/>
          <w:sz w:val="24"/>
          <w:u w:val="single"/>
        </w:rPr>
        <w:t xml:space="preserve">    </w:t>
      </w:r>
      <w:r>
        <w:rPr>
          <w:rFonts w:hint="eastAsia" w:ascii="宋体" w:hAnsi="宋体"/>
          <w:sz w:val="24"/>
        </w:rPr>
        <w:t>日。</w:t>
      </w:r>
    </w:p>
    <w:p w14:paraId="2357C628">
      <w:pPr>
        <w:spacing w:line="360" w:lineRule="auto"/>
        <w:ind w:firstLine="480" w:firstLineChars="200"/>
        <w:contextualSpacing/>
        <w:rPr>
          <w:rFonts w:hint="eastAsia" w:ascii="宋体" w:hAnsi="宋体"/>
          <w:sz w:val="24"/>
        </w:rPr>
      </w:pPr>
      <w:r>
        <w:rPr>
          <w:rFonts w:hint="eastAsia" w:ascii="宋体" w:hAnsi="宋体"/>
          <w:sz w:val="24"/>
        </w:rPr>
        <w:t>4.如中标，本投标文件至本项目合同履行完毕止均保持有效，我方将按“招标文件”及政府采购法律、法规的规定履行合同责任和义务。</w:t>
      </w:r>
    </w:p>
    <w:p w14:paraId="3D3084A3">
      <w:pPr>
        <w:spacing w:line="360" w:lineRule="auto"/>
        <w:ind w:firstLine="480" w:firstLineChars="200"/>
        <w:contextualSpacing/>
        <w:rPr>
          <w:rFonts w:hint="eastAsia" w:ascii="宋体" w:hAnsi="宋体"/>
          <w:sz w:val="24"/>
        </w:rPr>
      </w:pPr>
      <w:r>
        <w:rPr>
          <w:rFonts w:hint="eastAsia" w:ascii="宋体" w:hAnsi="宋体"/>
          <w:sz w:val="24"/>
        </w:rPr>
        <w:t>5.我方同意按照贵方要求提供与投标有关的一切数据或者资料。</w:t>
      </w:r>
    </w:p>
    <w:p w14:paraId="0E0488BA">
      <w:pPr>
        <w:spacing w:line="360" w:lineRule="auto"/>
        <w:ind w:firstLine="480" w:firstLineChars="200"/>
        <w:contextualSpacing/>
        <w:rPr>
          <w:rFonts w:hint="eastAsia" w:ascii="宋体" w:hAnsi="宋体"/>
          <w:sz w:val="24"/>
        </w:rPr>
      </w:pPr>
      <w:r>
        <w:rPr>
          <w:rFonts w:hint="eastAsia" w:ascii="宋体" w:hAnsi="宋体"/>
          <w:sz w:val="24"/>
        </w:rPr>
        <w:t>6.我方向贵方提交的所有投标文件、资料都是准确的和真实的。</w:t>
      </w:r>
    </w:p>
    <w:p w14:paraId="73F1A0BB">
      <w:pPr>
        <w:spacing w:line="360" w:lineRule="auto"/>
        <w:ind w:firstLine="480" w:firstLineChars="200"/>
        <w:contextualSpacing/>
        <w:rPr>
          <w:rFonts w:hint="eastAsia" w:ascii="宋体" w:hAnsi="宋体"/>
          <w:sz w:val="24"/>
        </w:rPr>
      </w:pPr>
      <w:r>
        <w:rPr>
          <w:rFonts w:hint="eastAsia" w:ascii="宋体" w:hAnsi="宋体"/>
          <w:sz w:val="24"/>
        </w:rPr>
        <w:t>7.以上事项如有虚假或者隐瞒，我方愿意承担一切后果，并不再寻求任何旨在减轻或者免除法律责任的辩解。</w:t>
      </w:r>
    </w:p>
    <w:p w14:paraId="01454395">
      <w:pPr>
        <w:spacing w:line="360" w:lineRule="auto"/>
        <w:ind w:firstLine="480" w:firstLineChars="200"/>
        <w:contextualSpacing/>
        <w:rPr>
          <w:rFonts w:hint="eastAsia" w:ascii="宋体" w:hAnsi="宋体"/>
          <w:sz w:val="24"/>
        </w:rPr>
      </w:pPr>
      <w:r>
        <w:rPr>
          <w:rFonts w:hint="eastAsia" w:ascii="宋体" w:hAnsi="宋体"/>
          <w:sz w:val="24"/>
        </w:rPr>
        <w:t>8.根据</w:t>
      </w:r>
      <w:r>
        <w:rPr>
          <w:rFonts w:ascii="宋体" w:hAnsi="宋体"/>
          <w:sz w:val="24"/>
        </w:rPr>
        <w:t>《中华人民共和国政府采购法实施条例》第五十条要求对政府采购合同进行公告</w:t>
      </w:r>
      <w:r>
        <w:rPr>
          <w:rFonts w:hint="eastAsia" w:ascii="宋体" w:hAnsi="宋体"/>
          <w:sz w:val="24"/>
        </w:rPr>
        <w:t>，</w:t>
      </w:r>
      <w:r>
        <w:rPr>
          <w:rFonts w:ascii="宋体" w:hAnsi="宋体"/>
          <w:sz w:val="24"/>
        </w:rPr>
        <w:t>但政府采购合同中涉及国家秘密、商业秘密的内容除外。</w:t>
      </w:r>
      <w:r>
        <w:rPr>
          <w:rFonts w:hint="eastAsia" w:ascii="宋体" w:hAnsi="宋体"/>
          <w:sz w:val="24"/>
        </w:rPr>
        <w:t>我方就对本次投标文件进行注明如下：（两项内容中必须选择一项）</w:t>
      </w:r>
    </w:p>
    <w:p w14:paraId="1AFC4562">
      <w:pPr>
        <w:spacing w:line="360" w:lineRule="auto"/>
        <w:ind w:firstLine="480" w:firstLineChars="200"/>
        <w:contextualSpacing/>
        <w:rPr>
          <w:rFonts w:hint="eastAsia" w:ascii="宋体" w:hAnsi="宋体"/>
          <w:sz w:val="24"/>
        </w:rPr>
      </w:pPr>
      <w:r>
        <w:rPr>
          <w:rFonts w:hint="eastAsia" w:ascii="宋体" w:hAnsi="宋体"/>
          <w:sz w:val="24"/>
        </w:rPr>
        <w:t>□我方本次投标文件</w:t>
      </w:r>
      <w:r>
        <w:rPr>
          <w:rFonts w:ascii="宋体" w:hAnsi="宋体" w:cs="宋体"/>
          <w:kern w:val="0"/>
          <w:sz w:val="24"/>
        </w:rPr>
        <w:t>内容中</w:t>
      </w:r>
      <w:r>
        <w:rPr>
          <w:rFonts w:hint="eastAsia" w:ascii="宋体" w:hAnsi="宋体"/>
          <w:sz w:val="24"/>
        </w:rPr>
        <w:t>未</w:t>
      </w:r>
      <w:r>
        <w:rPr>
          <w:rFonts w:ascii="宋体" w:hAnsi="宋体" w:cs="宋体"/>
          <w:kern w:val="0"/>
          <w:sz w:val="24"/>
        </w:rPr>
        <w:t>涉及商业秘密</w:t>
      </w:r>
      <w:r>
        <w:rPr>
          <w:rFonts w:hint="eastAsia" w:ascii="宋体" w:hAnsi="宋体" w:cs="宋体"/>
          <w:kern w:val="0"/>
          <w:sz w:val="24"/>
        </w:rPr>
        <w:t>；</w:t>
      </w:r>
    </w:p>
    <w:p w14:paraId="2FCD9B7A">
      <w:pPr>
        <w:spacing w:line="360" w:lineRule="auto"/>
        <w:ind w:firstLine="480" w:firstLineChars="200"/>
        <w:contextualSpacing/>
        <w:rPr>
          <w:rFonts w:hint="eastAsia" w:ascii="宋体" w:hAnsi="宋体"/>
          <w:sz w:val="24"/>
        </w:rPr>
      </w:pPr>
      <w:r>
        <w:rPr>
          <w:rFonts w:hint="eastAsia" w:ascii="宋体" w:hAnsi="宋体"/>
          <w:sz w:val="24"/>
        </w:rPr>
        <w:t>□我方本次投标文件</w:t>
      </w:r>
      <w:r>
        <w:rPr>
          <w:rFonts w:ascii="宋体" w:hAnsi="宋体" w:cs="宋体"/>
          <w:kern w:val="0"/>
          <w:sz w:val="24"/>
        </w:rPr>
        <w:t>涉及商业秘密</w:t>
      </w:r>
      <w:r>
        <w:rPr>
          <w:rFonts w:hint="eastAsia" w:ascii="宋体" w:hAnsi="宋体" w:cs="宋体"/>
          <w:kern w:val="0"/>
          <w:sz w:val="24"/>
        </w:rPr>
        <w:t>的</w:t>
      </w:r>
      <w:r>
        <w:rPr>
          <w:rFonts w:ascii="宋体" w:hAnsi="宋体" w:cs="宋体"/>
          <w:kern w:val="0"/>
          <w:sz w:val="24"/>
        </w:rPr>
        <w:t>内容</w:t>
      </w:r>
      <w:r>
        <w:rPr>
          <w:rFonts w:hint="eastAsia" w:ascii="宋体" w:hAnsi="宋体" w:cs="宋体"/>
          <w:kern w:val="0"/>
          <w:sz w:val="24"/>
        </w:rPr>
        <w:t>有：</w:t>
      </w:r>
      <w:r>
        <w:rPr>
          <w:rFonts w:hint="eastAsia" w:ascii="宋体" w:hAnsi="宋体" w:cs="宋体"/>
          <w:kern w:val="0"/>
          <w:sz w:val="24"/>
          <w:u w:val="single"/>
        </w:rPr>
        <w:t xml:space="preserve">                         </w:t>
      </w:r>
      <w:r>
        <w:rPr>
          <w:rFonts w:hint="eastAsia" w:ascii="宋体" w:hAnsi="宋体" w:cs="宋体"/>
          <w:kern w:val="0"/>
          <w:sz w:val="24"/>
        </w:rPr>
        <w:t>；</w:t>
      </w:r>
    </w:p>
    <w:p w14:paraId="53AF0B21">
      <w:pPr>
        <w:spacing w:line="360" w:lineRule="auto"/>
        <w:ind w:firstLine="480" w:firstLineChars="200"/>
        <w:contextualSpacing/>
        <w:rPr>
          <w:rFonts w:hint="eastAsia" w:ascii="宋体" w:hAnsi="宋体"/>
          <w:sz w:val="24"/>
        </w:rPr>
      </w:pPr>
      <w:r>
        <w:rPr>
          <w:rFonts w:hint="eastAsia" w:ascii="宋体" w:hAnsi="宋体"/>
          <w:sz w:val="24"/>
        </w:rPr>
        <w:t>9.与本项目有关的一切正式往来信函请寄：</w:t>
      </w:r>
    </w:p>
    <w:p w14:paraId="3DDAC16E">
      <w:pPr>
        <w:spacing w:line="360" w:lineRule="auto"/>
        <w:ind w:firstLine="480" w:firstLineChars="200"/>
        <w:contextualSpacing/>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p>
    <w:p w14:paraId="109ECC79">
      <w:pPr>
        <w:spacing w:line="360" w:lineRule="auto"/>
        <w:ind w:firstLine="480" w:firstLineChars="200"/>
        <w:contextualSpacing/>
        <w:rPr>
          <w:rFonts w:hint="eastAsia" w:ascii="宋体" w:hAnsi="宋体"/>
          <w:sz w:val="24"/>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r>
        <w:rPr>
          <w:rFonts w:hint="eastAsia" w:ascii="宋体" w:hAnsi="宋体"/>
          <w:sz w:val="24"/>
        </w:rPr>
        <w:t xml:space="preserve"> 电子邮箱：</w:t>
      </w:r>
      <w:r>
        <w:rPr>
          <w:rFonts w:hint="eastAsia" w:ascii="宋体" w:hAnsi="宋体"/>
          <w:sz w:val="24"/>
          <w:u w:val="single"/>
        </w:rPr>
        <w:t xml:space="preserve"> </w:t>
      </w:r>
      <w:r>
        <w:rPr>
          <w:rFonts w:ascii="宋体" w:hAnsi="宋体"/>
          <w:sz w:val="24"/>
          <w:u w:val="single"/>
        </w:rPr>
        <w:t xml:space="preserve">        </w:t>
      </w:r>
    </w:p>
    <w:p w14:paraId="36008422">
      <w:pPr>
        <w:spacing w:line="360" w:lineRule="auto"/>
        <w:ind w:firstLine="480" w:firstLineChars="200"/>
        <w:contextualSpacing/>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p>
    <w:p w14:paraId="79231316">
      <w:pPr>
        <w:spacing w:line="360" w:lineRule="auto"/>
        <w:ind w:firstLine="480" w:firstLineChars="200"/>
        <w:contextualSpacing/>
        <w:jc w:val="left"/>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银行账号：</w:t>
      </w:r>
      <w:r>
        <w:rPr>
          <w:rFonts w:hint="eastAsia" w:ascii="宋体" w:hAnsi="宋体"/>
          <w:sz w:val="24"/>
          <w:u w:val="single"/>
        </w:rPr>
        <w:t xml:space="preserve">                    </w:t>
      </w:r>
      <w:r>
        <w:rPr>
          <w:rFonts w:hint="eastAsia" w:ascii="宋体" w:hAnsi="宋体"/>
          <w:sz w:val="24"/>
        </w:rPr>
        <w:t xml:space="preserve"> </w:t>
      </w:r>
    </w:p>
    <w:p w14:paraId="607EA3ED">
      <w:pPr>
        <w:pStyle w:val="18"/>
      </w:pPr>
    </w:p>
    <w:p w14:paraId="544D0611">
      <w:pPr>
        <w:spacing w:line="360" w:lineRule="auto"/>
        <w:ind w:firstLine="480" w:firstLineChars="200"/>
        <w:contextualSpacing/>
        <w:jc w:val="left"/>
        <w:rPr>
          <w:rFonts w:hint="eastAsia" w:ascii="宋体" w:hAnsi="宋体"/>
          <w:sz w:val="24"/>
        </w:rPr>
      </w:pPr>
      <w:r>
        <w:rPr>
          <w:rFonts w:hint="eastAsia" w:ascii="宋体" w:hAnsi="宋体"/>
          <w:sz w:val="24"/>
        </w:rPr>
        <w:t xml:space="preserve">              法定代表人或者委托代理人（签字或者电子签名）：_______ </w:t>
      </w:r>
    </w:p>
    <w:p w14:paraId="353369E7">
      <w:pPr>
        <w:pStyle w:val="25"/>
        <w:spacing w:line="360" w:lineRule="auto"/>
        <w:contextualSpacing/>
        <w:jc w:val="center"/>
        <w:rPr>
          <w:rFonts w:hint="eastAsia" w:hAnsi="宋体"/>
          <w:sz w:val="24"/>
          <w:szCs w:val="24"/>
          <w:u w:val="single"/>
        </w:rPr>
      </w:pPr>
      <w:r>
        <w:rPr>
          <w:rFonts w:hint="eastAsia" w:hAnsi="宋体"/>
          <w:sz w:val="24"/>
        </w:rPr>
        <w:t xml:space="preserve"> </w:t>
      </w:r>
      <w:r>
        <w:rPr>
          <w:rFonts w:hAnsi="宋体"/>
          <w:sz w:val="24"/>
        </w:rPr>
        <w:t xml:space="preserve">                                   </w:t>
      </w:r>
      <w:r>
        <w:rPr>
          <w:rFonts w:hint="eastAsia" w:hAnsi="宋体"/>
          <w:sz w:val="24"/>
        </w:rPr>
        <w:t>投标人名称（电子签章）：</w:t>
      </w:r>
    </w:p>
    <w:p w14:paraId="57CC0561">
      <w:pPr>
        <w:pStyle w:val="25"/>
        <w:spacing w:line="360" w:lineRule="auto"/>
        <w:contextualSpacing/>
        <w:rPr>
          <w:rFonts w:hint="eastAsia" w:hAnsi="宋体"/>
          <w:sz w:val="24"/>
        </w:rPr>
      </w:pPr>
      <w:r>
        <w:rPr>
          <w:rFonts w:hint="eastAsia" w:hAnsi="宋体"/>
          <w:sz w:val="24"/>
          <w:szCs w:val="24"/>
        </w:rPr>
        <w:t xml:space="preserve">                                                </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5315B436">
      <w:pPr>
        <w:snapToGrid w:val="0"/>
        <w:spacing w:before="120" w:beforeLines="50" w:after="50"/>
        <w:jc w:val="left"/>
        <w:rPr>
          <w:rFonts w:hint="eastAsia" w:ascii="宋体" w:hAnsi="宋体"/>
          <w:b/>
          <w:sz w:val="24"/>
          <w:szCs w:val="20"/>
        </w:rPr>
      </w:pPr>
      <w:r>
        <w:rPr>
          <w:rFonts w:hAnsi="宋体"/>
          <w:u w:val="single"/>
        </w:rPr>
        <w:br w:type="page"/>
      </w:r>
      <w:r>
        <w:rPr>
          <w:rFonts w:hint="eastAsia" w:ascii="宋体" w:hAnsi="宋体"/>
          <w:b/>
          <w:sz w:val="24"/>
        </w:rPr>
        <w:t>4. 开标一览表</w:t>
      </w:r>
    </w:p>
    <w:p w14:paraId="02FAE385">
      <w:pPr>
        <w:snapToGrid w:val="0"/>
        <w:spacing w:before="50" w:after="50"/>
        <w:jc w:val="center"/>
        <w:rPr>
          <w:rFonts w:hint="eastAsia" w:ascii="宋体" w:hAnsi="宋体"/>
          <w:b/>
          <w:sz w:val="30"/>
        </w:rPr>
      </w:pPr>
      <w:r>
        <w:rPr>
          <w:rFonts w:hint="eastAsia" w:ascii="宋体" w:hAnsi="宋体"/>
          <w:b/>
          <w:sz w:val="30"/>
        </w:rPr>
        <w:t>开标一览表</w:t>
      </w:r>
    </w:p>
    <w:p w14:paraId="3C72EFFB">
      <w:pPr>
        <w:snapToGrid w:val="0"/>
        <w:spacing w:before="50" w:after="50"/>
        <w:jc w:val="center"/>
        <w:rPr>
          <w:rFonts w:hint="eastAsia" w:ascii="宋体" w:hAnsi="宋体"/>
          <w:b/>
          <w:sz w:val="30"/>
          <w:szCs w:val="20"/>
        </w:rPr>
      </w:pPr>
    </w:p>
    <w:p w14:paraId="3FB92119">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245FC698">
      <w:pPr>
        <w:snapToGrid w:val="0"/>
        <w:spacing w:before="50" w:after="50" w:line="360" w:lineRule="auto"/>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 xml:space="preserve">                       单位：元</w:t>
      </w:r>
    </w:p>
    <w:tbl>
      <w:tblPr>
        <w:tblStyle w:val="4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7"/>
        <w:gridCol w:w="2551"/>
        <w:gridCol w:w="789"/>
        <w:gridCol w:w="1447"/>
        <w:gridCol w:w="1419"/>
        <w:gridCol w:w="2033"/>
      </w:tblGrid>
      <w:tr w14:paraId="011ED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230CB50D">
            <w:pPr>
              <w:snapToGrid w:val="0"/>
              <w:spacing w:before="50" w:after="50" w:line="360" w:lineRule="auto"/>
              <w:jc w:val="center"/>
              <w:rPr>
                <w:rFonts w:hint="eastAsia" w:ascii="宋体" w:hAnsi="宋体"/>
                <w:b/>
                <w:sz w:val="24"/>
              </w:rPr>
            </w:pPr>
            <w:r>
              <w:rPr>
                <w:rFonts w:hint="eastAsia" w:ascii="宋体" w:hAnsi="宋体"/>
                <w:b/>
                <w:sz w:val="24"/>
              </w:rPr>
              <w:t>序号</w:t>
            </w:r>
          </w:p>
        </w:tc>
        <w:tc>
          <w:tcPr>
            <w:tcW w:w="1426" w:type="pct"/>
            <w:tcBorders>
              <w:top w:val="single" w:color="auto" w:sz="4" w:space="0"/>
              <w:left w:val="single" w:color="auto" w:sz="4" w:space="0"/>
              <w:bottom w:val="single" w:color="auto" w:sz="4" w:space="0"/>
              <w:right w:val="single" w:color="auto" w:sz="4" w:space="0"/>
            </w:tcBorders>
            <w:vAlign w:val="center"/>
          </w:tcPr>
          <w:p w14:paraId="7C34D486">
            <w:pPr>
              <w:snapToGrid w:val="0"/>
              <w:spacing w:before="50" w:after="50" w:line="360" w:lineRule="auto"/>
              <w:jc w:val="center"/>
              <w:rPr>
                <w:rFonts w:hint="eastAsia" w:ascii="宋体" w:hAnsi="宋体"/>
                <w:b/>
                <w:sz w:val="24"/>
              </w:rPr>
            </w:pPr>
            <w:r>
              <w:rPr>
                <w:rFonts w:hint="eastAsia" w:ascii="宋体" w:hAnsi="宋体"/>
                <w:b/>
                <w:sz w:val="24"/>
              </w:rPr>
              <w:t>标的的名称</w:t>
            </w:r>
          </w:p>
        </w:tc>
        <w:tc>
          <w:tcPr>
            <w:tcW w:w="441" w:type="pct"/>
            <w:tcBorders>
              <w:top w:val="single" w:color="auto" w:sz="4" w:space="0"/>
              <w:left w:val="single" w:color="auto" w:sz="4" w:space="0"/>
              <w:bottom w:val="single" w:color="auto" w:sz="4" w:space="0"/>
              <w:right w:val="single" w:color="auto" w:sz="4" w:space="0"/>
            </w:tcBorders>
            <w:vAlign w:val="center"/>
          </w:tcPr>
          <w:p w14:paraId="03BFFB2E">
            <w:pPr>
              <w:snapToGrid w:val="0"/>
              <w:spacing w:before="50" w:after="50" w:line="360" w:lineRule="auto"/>
              <w:jc w:val="center"/>
              <w:rPr>
                <w:rFonts w:hint="eastAsia" w:ascii="宋体" w:hAnsi="宋体"/>
                <w:b/>
                <w:sz w:val="24"/>
              </w:rPr>
            </w:pPr>
            <w:r>
              <w:rPr>
                <w:rFonts w:hint="eastAsia" w:ascii="宋体" w:hAnsi="宋体"/>
                <w:b/>
                <w:sz w:val="24"/>
              </w:rPr>
              <w:t>品牌</w:t>
            </w:r>
          </w:p>
        </w:tc>
        <w:tc>
          <w:tcPr>
            <w:tcW w:w="809" w:type="pct"/>
            <w:tcBorders>
              <w:top w:val="single" w:color="auto" w:sz="4" w:space="0"/>
              <w:left w:val="single" w:color="auto" w:sz="4" w:space="0"/>
              <w:bottom w:val="single" w:color="auto" w:sz="4" w:space="0"/>
              <w:right w:val="single" w:color="auto" w:sz="4" w:space="0"/>
            </w:tcBorders>
            <w:vAlign w:val="center"/>
          </w:tcPr>
          <w:p w14:paraId="7A151E89">
            <w:pPr>
              <w:snapToGrid w:val="0"/>
              <w:spacing w:before="50" w:after="50" w:line="360" w:lineRule="auto"/>
              <w:jc w:val="center"/>
              <w:rPr>
                <w:rFonts w:hint="eastAsia" w:ascii="宋体" w:hAnsi="宋体"/>
                <w:b/>
                <w:sz w:val="24"/>
              </w:rPr>
            </w:pPr>
            <w:r>
              <w:rPr>
                <w:rFonts w:hint="eastAsia" w:ascii="宋体" w:hAnsi="宋体"/>
                <w:b/>
                <w:sz w:val="24"/>
              </w:rPr>
              <w:t>数量及单位①</w:t>
            </w:r>
          </w:p>
        </w:tc>
        <w:tc>
          <w:tcPr>
            <w:tcW w:w="793" w:type="pct"/>
            <w:tcBorders>
              <w:top w:val="single" w:color="auto" w:sz="4" w:space="0"/>
              <w:left w:val="single" w:color="auto" w:sz="4" w:space="0"/>
              <w:bottom w:val="single" w:color="auto" w:sz="4" w:space="0"/>
              <w:right w:val="single" w:color="auto" w:sz="4" w:space="0"/>
            </w:tcBorders>
            <w:vAlign w:val="center"/>
          </w:tcPr>
          <w:p w14:paraId="0356241F">
            <w:pPr>
              <w:snapToGrid w:val="0"/>
              <w:spacing w:before="50" w:after="50" w:line="360" w:lineRule="auto"/>
              <w:jc w:val="center"/>
              <w:rPr>
                <w:rFonts w:hint="eastAsia" w:ascii="宋体" w:hAnsi="宋体"/>
                <w:b/>
                <w:sz w:val="24"/>
              </w:rPr>
            </w:pPr>
            <w:r>
              <w:rPr>
                <w:rFonts w:hint="eastAsia" w:ascii="宋体" w:hAnsi="宋体"/>
                <w:b/>
                <w:sz w:val="24"/>
              </w:rPr>
              <w:t>单价</w:t>
            </w:r>
          </w:p>
          <w:p w14:paraId="34E9F9F0">
            <w:pPr>
              <w:snapToGrid w:val="0"/>
              <w:spacing w:before="50" w:after="50" w:line="360" w:lineRule="auto"/>
              <w:jc w:val="center"/>
              <w:rPr>
                <w:rFonts w:hint="eastAsia" w:ascii="宋体" w:hAnsi="宋体"/>
                <w:b/>
                <w:sz w:val="24"/>
              </w:rPr>
            </w:pPr>
            <w:r>
              <w:rPr>
                <w:rFonts w:hint="eastAsia" w:ascii="宋体" w:hAnsi="宋体"/>
                <w:b/>
                <w:sz w:val="24"/>
              </w:rPr>
              <w:t>②</w:t>
            </w:r>
          </w:p>
        </w:tc>
        <w:tc>
          <w:tcPr>
            <w:tcW w:w="1136" w:type="pct"/>
            <w:tcBorders>
              <w:top w:val="single" w:color="auto" w:sz="4" w:space="0"/>
              <w:left w:val="single" w:color="auto" w:sz="4" w:space="0"/>
              <w:bottom w:val="single" w:color="auto" w:sz="4" w:space="0"/>
              <w:right w:val="single" w:color="auto" w:sz="4" w:space="0"/>
            </w:tcBorders>
            <w:vAlign w:val="center"/>
          </w:tcPr>
          <w:p w14:paraId="1A1111BD">
            <w:pPr>
              <w:snapToGrid w:val="0"/>
              <w:spacing w:before="50" w:after="50" w:line="360" w:lineRule="auto"/>
              <w:jc w:val="center"/>
              <w:rPr>
                <w:rFonts w:hint="eastAsia" w:ascii="宋体" w:hAnsi="宋体"/>
                <w:b/>
                <w:sz w:val="24"/>
              </w:rPr>
            </w:pPr>
            <w:r>
              <w:rPr>
                <w:rFonts w:hint="eastAsia" w:ascii="宋体" w:hAnsi="宋体"/>
                <w:b/>
                <w:sz w:val="24"/>
              </w:rPr>
              <w:t>投标报价</w:t>
            </w:r>
          </w:p>
          <w:p w14:paraId="5711B9F7">
            <w:pPr>
              <w:snapToGrid w:val="0"/>
              <w:spacing w:before="50" w:after="50" w:line="360" w:lineRule="auto"/>
              <w:jc w:val="center"/>
              <w:rPr>
                <w:rFonts w:hint="eastAsia" w:ascii="宋体" w:hAnsi="宋体"/>
                <w:b/>
                <w:sz w:val="24"/>
              </w:rPr>
            </w:pPr>
            <w:r>
              <w:rPr>
                <w:rFonts w:ascii="宋体" w:hAnsi="宋体"/>
                <w:b/>
                <w:sz w:val="24"/>
              </w:rPr>
              <w:t>③</w:t>
            </w:r>
            <w:r>
              <w:rPr>
                <w:rFonts w:hint="eastAsia" w:ascii="宋体" w:hAnsi="宋体"/>
                <w:b/>
                <w:sz w:val="24"/>
              </w:rPr>
              <w:t>=①×②</w:t>
            </w:r>
          </w:p>
        </w:tc>
      </w:tr>
      <w:tr w14:paraId="7BFC4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3"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13D6A68C">
            <w:pPr>
              <w:snapToGrid w:val="0"/>
              <w:spacing w:before="50" w:after="50" w:line="360" w:lineRule="auto"/>
              <w:jc w:val="center"/>
              <w:rPr>
                <w:rFonts w:hint="eastAsia" w:ascii="宋体" w:hAnsi="宋体"/>
                <w:b/>
                <w:sz w:val="24"/>
              </w:rPr>
            </w:pPr>
            <w:r>
              <w:rPr>
                <w:rFonts w:hint="eastAsia" w:ascii="宋体" w:hAnsi="宋体"/>
                <w:b/>
                <w:sz w:val="24"/>
              </w:rPr>
              <w:t>1</w:t>
            </w:r>
          </w:p>
        </w:tc>
        <w:tc>
          <w:tcPr>
            <w:tcW w:w="1426" w:type="pct"/>
            <w:tcBorders>
              <w:top w:val="single" w:color="auto" w:sz="4" w:space="0"/>
              <w:left w:val="single" w:color="auto" w:sz="4" w:space="0"/>
              <w:bottom w:val="single" w:color="auto" w:sz="4" w:space="0"/>
              <w:right w:val="single" w:color="auto" w:sz="4" w:space="0"/>
            </w:tcBorders>
            <w:vAlign w:val="center"/>
          </w:tcPr>
          <w:p w14:paraId="11C80945">
            <w:pPr>
              <w:snapToGrid w:val="0"/>
              <w:spacing w:before="50" w:after="50" w:line="360" w:lineRule="auto"/>
              <w:jc w:val="center"/>
              <w:rPr>
                <w:rFonts w:hint="eastAsia" w:ascii="宋体" w:hAnsi="宋体"/>
                <w:b/>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7C5686CB">
            <w:pPr>
              <w:snapToGrid w:val="0"/>
              <w:spacing w:before="50" w:after="50" w:line="360" w:lineRule="auto"/>
              <w:rPr>
                <w:rFonts w:hint="eastAsia" w:ascii="宋体" w:hAnsi="宋体"/>
                <w:sz w:val="24"/>
              </w:rPr>
            </w:pPr>
          </w:p>
        </w:tc>
        <w:tc>
          <w:tcPr>
            <w:tcW w:w="809" w:type="pct"/>
            <w:tcBorders>
              <w:top w:val="single" w:color="auto" w:sz="4" w:space="0"/>
              <w:left w:val="single" w:color="auto" w:sz="4" w:space="0"/>
              <w:bottom w:val="single" w:color="auto" w:sz="4" w:space="0"/>
              <w:right w:val="single" w:color="auto" w:sz="4" w:space="0"/>
            </w:tcBorders>
            <w:vAlign w:val="center"/>
          </w:tcPr>
          <w:p w14:paraId="428FA152">
            <w:pPr>
              <w:snapToGrid w:val="0"/>
              <w:spacing w:before="50" w:after="50" w:line="360" w:lineRule="auto"/>
              <w:rPr>
                <w:rFonts w:hint="eastAsia" w:ascii="宋体" w:hAnsi="宋体"/>
                <w:sz w:val="24"/>
              </w:rPr>
            </w:pPr>
          </w:p>
        </w:tc>
        <w:tc>
          <w:tcPr>
            <w:tcW w:w="793" w:type="pct"/>
            <w:tcBorders>
              <w:top w:val="single" w:color="auto" w:sz="4" w:space="0"/>
              <w:left w:val="single" w:color="auto" w:sz="4" w:space="0"/>
              <w:bottom w:val="single" w:color="auto" w:sz="4" w:space="0"/>
              <w:right w:val="single" w:color="auto" w:sz="4" w:space="0"/>
            </w:tcBorders>
            <w:vAlign w:val="center"/>
          </w:tcPr>
          <w:p w14:paraId="3B70F769">
            <w:pPr>
              <w:snapToGrid w:val="0"/>
              <w:spacing w:before="50" w:after="50" w:line="360" w:lineRule="auto"/>
              <w:rPr>
                <w:rFonts w:hint="eastAsia" w:ascii="宋体" w:hAnsi="宋体"/>
                <w:sz w:val="24"/>
              </w:rPr>
            </w:pPr>
          </w:p>
        </w:tc>
        <w:tc>
          <w:tcPr>
            <w:tcW w:w="1136" w:type="pct"/>
            <w:tcBorders>
              <w:top w:val="single" w:color="auto" w:sz="4" w:space="0"/>
              <w:left w:val="single" w:color="auto" w:sz="4" w:space="0"/>
              <w:bottom w:val="single" w:color="auto" w:sz="4" w:space="0"/>
              <w:right w:val="single" w:color="auto" w:sz="4" w:space="0"/>
            </w:tcBorders>
            <w:vAlign w:val="center"/>
          </w:tcPr>
          <w:p w14:paraId="2DFA3F5C">
            <w:pPr>
              <w:snapToGrid w:val="0"/>
              <w:spacing w:before="50" w:after="50" w:line="360" w:lineRule="auto"/>
              <w:rPr>
                <w:rFonts w:hint="eastAsia" w:ascii="宋体" w:hAnsi="宋体"/>
                <w:sz w:val="24"/>
              </w:rPr>
            </w:pPr>
          </w:p>
        </w:tc>
      </w:tr>
      <w:tr w14:paraId="70A95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7504C2C">
            <w:pPr>
              <w:snapToGrid w:val="0"/>
              <w:spacing w:before="50" w:after="50" w:line="360" w:lineRule="auto"/>
              <w:rPr>
                <w:rFonts w:hint="eastAsia" w:ascii="宋体" w:hAnsi="宋体"/>
                <w:sz w:val="24"/>
              </w:rPr>
            </w:pPr>
            <w:r>
              <w:rPr>
                <w:rFonts w:hint="eastAsia" w:ascii="宋体" w:hAnsi="宋体" w:cs="仿宋_GB2312"/>
                <w:sz w:val="24"/>
              </w:rPr>
              <w:t>合计金额大写：人民币</w:t>
            </w:r>
            <w:r>
              <w:rPr>
                <w:rFonts w:hint="eastAsia" w:ascii="宋体" w:hAnsi="宋体" w:cs="仿宋_GB2312"/>
                <w:sz w:val="24"/>
                <w:u w:val="single"/>
              </w:rPr>
              <w:t xml:space="preserve">           </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rPr>
              <w:t>）</w:t>
            </w:r>
          </w:p>
        </w:tc>
      </w:tr>
    </w:tbl>
    <w:p w14:paraId="4D0B0AF3">
      <w:pPr>
        <w:snapToGrid w:val="0"/>
        <w:spacing w:line="360" w:lineRule="auto"/>
        <w:jc w:val="left"/>
        <w:rPr>
          <w:rFonts w:hint="eastAsia" w:ascii="宋体" w:hAnsi="宋体"/>
          <w:sz w:val="24"/>
        </w:rPr>
      </w:pPr>
      <w:r>
        <w:rPr>
          <w:rFonts w:hint="eastAsia" w:ascii="宋体" w:hAnsi="宋体"/>
          <w:sz w:val="24"/>
        </w:rPr>
        <w:t xml:space="preserve">注： </w:t>
      </w:r>
    </w:p>
    <w:p w14:paraId="5886AB3D">
      <w:pPr>
        <w:snapToGrid w:val="0"/>
        <w:spacing w:line="360" w:lineRule="auto"/>
        <w:ind w:firstLine="480" w:firstLineChars="200"/>
        <w:jc w:val="left"/>
        <w:rPr>
          <w:rFonts w:hint="eastAsia" w:ascii="宋体" w:hAnsi="宋体"/>
          <w:b/>
          <w:sz w:val="24"/>
        </w:rPr>
      </w:pPr>
      <w:r>
        <w:rPr>
          <w:rFonts w:hint="eastAsia" w:ascii="宋体" w:hAnsi="宋体"/>
          <w:bCs/>
          <w:sz w:val="24"/>
        </w:rPr>
        <w:t>1.</w:t>
      </w:r>
      <w:r>
        <w:rPr>
          <w:rFonts w:hint="eastAsia" w:ascii="宋体" w:hAnsi="宋体"/>
          <w:sz w:val="24"/>
        </w:rPr>
        <w:t>报价一经涂改，应在涂改处加盖投标人公章</w:t>
      </w:r>
      <w:r>
        <w:rPr>
          <w:rFonts w:hint="eastAsia" w:ascii="宋体" w:hAnsi="宋体" w:cs="仿宋_GB2312"/>
          <w:sz w:val="24"/>
        </w:rPr>
        <w:t>或者加盖电子签章</w:t>
      </w:r>
      <w:r>
        <w:rPr>
          <w:rFonts w:hint="eastAsia" w:ascii="宋体" w:hAnsi="宋体"/>
          <w:sz w:val="24"/>
        </w:rPr>
        <w:t>或者由法定代表人或者委托代理人签字（或者电子签名）</w:t>
      </w:r>
      <w:r>
        <w:rPr>
          <w:rFonts w:hint="eastAsia" w:ascii="宋体" w:hAnsi="宋体"/>
          <w:b/>
          <w:sz w:val="24"/>
        </w:rPr>
        <w:t>，否则其投标作无效标处理。</w:t>
      </w:r>
    </w:p>
    <w:p w14:paraId="20F8C59C">
      <w:pPr>
        <w:snapToGrid w:val="0"/>
        <w:spacing w:line="360" w:lineRule="auto"/>
        <w:ind w:firstLine="480" w:firstLineChars="200"/>
        <w:jc w:val="left"/>
        <w:rPr>
          <w:rFonts w:hint="eastAsia" w:ascii="宋体" w:hAnsi="宋体"/>
          <w:sz w:val="24"/>
        </w:rPr>
      </w:pPr>
      <w:r>
        <w:rPr>
          <w:rFonts w:hint="eastAsia" w:ascii="宋体" w:hAnsi="宋体"/>
          <w:sz w:val="24"/>
        </w:rPr>
        <w:t>2.如为联合体投标，“投标人名称”处必须列明联合体各方名称，并标注联合体牵头人名称，</w:t>
      </w:r>
      <w:r>
        <w:rPr>
          <w:rFonts w:hint="eastAsia" w:ascii="宋体" w:hAnsi="宋体"/>
          <w:b/>
          <w:sz w:val="24"/>
        </w:rPr>
        <w:t>否则其投标作无效标处理。</w:t>
      </w:r>
    </w:p>
    <w:p w14:paraId="79F1EF2C">
      <w:pPr>
        <w:snapToGrid w:val="0"/>
        <w:spacing w:line="360" w:lineRule="auto"/>
        <w:ind w:firstLine="456" w:firstLineChars="200"/>
        <w:jc w:val="left"/>
        <w:rPr>
          <w:rFonts w:hint="eastAsia" w:ascii="宋体" w:hAnsi="宋体"/>
          <w:spacing w:val="-6"/>
          <w:sz w:val="24"/>
        </w:rPr>
      </w:pPr>
      <w:r>
        <w:rPr>
          <w:rFonts w:hint="eastAsia" w:ascii="宋体" w:hAnsi="宋体"/>
          <w:spacing w:val="-6"/>
          <w:sz w:val="24"/>
        </w:rPr>
        <w:t>3.如为联合体投标，盖章处须加盖联合体牵头人电子签章，</w:t>
      </w:r>
      <w:r>
        <w:rPr>
          <w:rFonts w:hint="eastAsia" w:ascii="宋体" w:hAnsi="宋体"/>
          <w:b/>
          <w:spacing w:val="-6"/>
          <w:sz w:val="24"/>
        </w:rPr>
        <w:t>否则其投标作无效标处理。</w:t>
      </w:r>
    </w:p>
    <w:p w14:paraId="16D87D62">
      <w:pPr>
        <w:snapToGrid w:val="0"/>
        <w:spacing w:line="360" w:lineRule="auto"/>
        <w:ind w:firstLine="480" w:firstLineChars="200"/>
        <w:rPr>
          <w:rFonts w:hint="eastAsia" w:ascii="宋体" w:hAnsi="宋体"/>
          <w:b/>
          <w:sz w:val="24"/>
        </w:rPr>
      </w:pPr>
      <w:r>
        <w:rPr>
          <w:rFonts w:hint="eastAsia" w:ascii="宋体" w:hAnsi="宋体"/>
          <w:sz w:val="24"/>
        </w:rPr>
        <w:t>4.如有多分标，按分标分别提供开标一览表，</w:t>
      </w:r>
      <w:r>
        <w:rPr>
          <w:rFonts w:hint="eastAsia" w:ascii="宋体" w:hAnsi="宋体"/>
          <w:b/>
          <w:sz w:val="24"/>
        </w:rPr>
        <w:t>否则投标无效。</w:t>
      </w:r>
    </w:p>
    <w:p w14:paraId="5426148B">
      <w:pPr>
        <w:pStyle w:val="18"/>
      </w:pPr>
    </w:p>
    <w:p w14:paraId="2767C75B">
      <w:pPr>
        <w:snapToGrid w:val="0"/>
        <w:spacing w:line="360" w:lineRule="auto"/>
        <w:ind w:left="-2" w:leftChars="-1" w:right="-817" w:rightChars="-389"/>
        <w:rPr>
          <w:rFonts w:hint="eastAsia" w:ascii="宋体" w:hAnsi="宋体"/>
          <w:sz w:val="24"/>
        </w:rPr>
      </w:pPr>
      <w:r>
        <w:rPr>
          <w:rFonts w:hint="eastAsia" w:ascii="宋体" w:hAnsi="宋体"/>
          <w:sz w:val="24"/>
        </w:rPr>
        <w:t xml:space="preserve">                                  法定代表人或者委托代理人（签字或者电子签名）： </w:t>
      </w:r>
    </w:p>
    <w:p w14:paraId="4053A3E7">
      <w:pPr>
        <w:snapToGrid w:val="0"/>
        <w:spacing w:line="360" w:lineRule="auto"/>
        <w:ind w:left="-3" w:leftChars="-15" w:right="-817" w:rightChars="-389" w:hanging="28" w:hangingChars="12"/>
        <w:rPr>
          <w:rFonts w:hint="eastAsia" w:ascii="宋体" w:hAnsi="宋体"/>
          <w:sz w:val="24"/>
        </w:rPr>
      </w:pPr>
      <w:r>
        <w:rPr>
          <w:rFonts w:hint="eastAsia" w:ascii="宋体" w:hAnsi="宋体"/>
          <w:sz w:val="24"/>
        </w:rPr>
        <w:t xml:space="preserve">                                  投标人名称（电子签章）：</w:t>
      </w:r>
    </w:p>
    <w:p w14:paraId="55F30A63">
      <w:pPr>
        <w:snapToGrid w:val="0"/>
        <w:spacing w:line="360" w:lineRule="auto"/>
        <w:ind w:left="-3" w:leftChars="-15" w:right="-817" w:rightChars="-389" w:hanging="28" w:hangingChars="12"/>
        <w:rPr>
          <w:rFonts w:hint="eastAsia" w:ascii="宋体" w:hAnsi="宋体"/>
          <w:szCs w:val="21"/>
        </w:rPr>
      </w:pPr>
      <w:r>
        <w:rPr>
          <w:rFonts w:hint="eastAsia" w:ascii="宋体" w:hAnsi="宋体"/>
          <w:sz w:val="24"/>
        </w:rPr>
        <w:t xml:space="preserve">                                  日期：    年   月   日</w:t>
      </w:r>
    </w:p>
    <w:p w14:paraId="10C4B1BD">
      <w:pPr>
        <w:rPr>
          <w:b/>
          <w:sz w:val="28"/>
          <w:szCs w:val="28"/>
        </w:rPr>
      </w:pPr>
      <w:r>
        <w:rPr>
          <w:rFonts w:ascii="宋体" w:hAnsi="宋体"/>
          <w:b/>
          <w:bCs/>
          <w:sz w:val="24"/>
        </w:rPr>
        <w:br w:type="page"/>
      </w:r>
      <w:bookmarkStart w:id="147" w:name="_Toc19686837"/>
      <w:r>
        <w:rPr>
          <w:rFonts w:hint="eastAsia"/>
          <w:b/>
          <w:sz w:val="28"/>
          <w:szCs w:val="28"/>
        </w:rPr>
        <w:t>二、资格证明文件格式</w:t>
      </w:r>
      <w:bookmarkEnd w:id="145"/>
      <w:bookmarkEnd w:id="146"/>
      <w:bookmarkEnd w:id="147"/>
    </w:p>
    <w:p w14:paraId="68DD3E5F">
      <w:pPr>
        <w:snapToGrid w:val="0"/>
        <w:spacing w:before="120" w:beforeLines="50" w:after="50" w:line="360" w:lineRule="auto"/>
        <w:jc w:val="left"/>
        <w:rPr>
          <w:rFonts w:hint="eastAsia" w:ascii="宋体" w:hAnsi="宋体"/>
          <w:b/>
          <w:sz w:val="24"/>
        </w:rPr>
      </w:pPr>
      <w:r>
        <w:rPr>
          <w:rFonts w:hint="eastAsia" w:ascii="宋体" w:hAnsi="宋体"/>
          <w:b/>
          <w:sz w:val="24"/>
        </w:rPr>
        <w:t xml:space="preserve">1.资格证明文件封面格式： </w:t>
      </w:r>
    </w:p>
    <w:p w14:paraId="2248515B">
      <w:pPr>
        <w:snapToGrid w:val="0"/>
        <w:spacing w:before="120" w:beforeLines="50" w:after="50"/>
        <w:jc w:val="center"/>
        <w:rPr>
          <w:rFonts w:hint="eastAsia" w:ascii="宋体" w:hAnsi="宋体" w:eastAsia="方正小标宋简体"/>
          <w:bCs/>
          <w:sz w:val="48"/>
          <w:szCs w:val="48"/>
        </w:rPr>
      </w:pPr>
      <w:r>
        <w:rPr>
          <w:rFonts w:hint="eastAsia" w:ascii="宋体" w:hAnsi="宋体" w:eastAsia="方正小标宋简体"/>
          <w:bCs/>
          <w:sz w:val="48"/>
          <w:szCs w:val="48"/>
        </w:rPr>
        <w:t>电子投标文件</w:t>
      </w:r>
    </w:p>
    <w:p w14:paraId="27484872">
      <w:pPr>
        <w:snapToGrid w:val="0"/>
        <w:spacing w:before="120" w:beforeLines="50" w:after="50"/>
        <w:jc w:val="center"/>
        <w:rPr>
          <w:rFonts w:hint="eastAsia" w:ascii="宋体" w:hAnsi="宋体"/>
          <w:b/>
          <w:sz w:val="24"/>
          <w:szCs w:val="20"/>
        </w:rPr>
      </w:pPr>
      <w:r>
        <w:rPr>
          <w:rFonts w:hint="eastAsia" w:ascii="宋体" w:hAnsi="宋体"/>
          <w:b/>
          <w:sz w:val="32"/>
          <w:szCs w:val="32"/>
        </w:rPr>
        <w:t>资格证明文件</w:t>
      </w:r>
    </w:p>
    <w:p w14:paraId="105D6BC7">
      <w:pPr>
        <w:snapToGrid w:val="0"/>
        <w:spacing w:before="120" w:beforeLines="50" w:after="50"/>
        <w:rPr>
          <w:rFonts w:hint="eastAsia" w:ascii="宋体" w:hAnsi="宋体"/>
          <w:bCs/>
          <w:sz w:val="24"/>
          <w:szCs w:val="20"/>
        </w:rPr>
      </w:pPr>
    </w:p>
    <w:p w14:paraId="220AB2CA">
      <w:pPr>
        <w:snapToGrid w:val="0"/>
        <w:spacing w:before="120" w:beforeLines="50" w:after="50"/>
        <w:rPr>
          <w:rFonts w:hint="eastAsia" w:ascii="宋体" w:hAnsi="宋体"/>
          <w:bCs/>
          <w:sz w:val="24"/>
          <w:szCs w:val="20"/>
        </w:rPr>
      </w:pPr>
    </w:p>
    <w:p w14:paraId="221C65BD">
      <w:pPr>
        <w:snapToGrid w:val="0"/>
        <w:spacing w:before="120" w:beforeLines="50" w:after="50"/>
        <w:rPr>
          <w:rFonts w:hint="eastAsia" w:ascii="宋体" w:hAnsi="宋体"/>
          <w:bCs/>
          <w:sz w:val="24"/>
          <w:szCs w:val="20"/>
        </w:rPr>
      </w:pPr>
    </w:p>
    <w:p w14:paraId="39C11FF8">
      <w:pPr>
        <w:snapToGrid w:val="0"/>
        <w:spacing w:before="120" w:beforeLines="50" w:after="50"/>
        <w:rPr>
          <w:rFonts w:hint="eastAsia" w:ascii="宋体" w:hAnsi="宋体"/>
          <w:bCs/>
          <w:sz w:val="24"/>
          <w:szCs w:val="20"/>
        </w:rPr>
      </w:pPr>
    </w:p>
    <w:p w14:paraId="0EF62C08">
      <w:pPr>
        <w:snapToGrid w:val="0"/>
        <w:spacing w:before="120" w:beforeLines="50" w:after="50"/>
        <w:rPr>
          <w:rFonts w:hint="eastAsia" w:ascii="宋体" w:hAnsi="宋体"/>
          <w:bCs/>
          <w:sz w:val="24"/>
          <w:szCs w:val="20"/>
        </w:rPr>
      </w:pPr>
    </w:p>
    <w:p w14:paraId="5BE89879">
      <w:pPr>
        <w:snapToGrid w:val="0"/>
        <w:spacing w:before="120" w:beforeLines="50" w:after="50"/>
        <w:rPr>
          <w:rFonts w:hint="eastAsia" w:ascii="宋体" w:hAnsi="宋体"/>
          <w:bCs/>
          <w:sz w:val="24"/>
          <w:szCs w:val="20"/>
        </w:rPr>
      </w:pPr>
    </w:p>
    <w:p w14:paraId="0B2627E0">
      <w:pPr>
        <w:snapToGrid w:val="0"/>
        <w:spacing w:before="120" w:beforeLines="50" w:after="50"/>
        <w:rPr>
          <w:rFonts w:hint="eastAsia" w:ascii="宋体" w:hAnsi="宋体"/>
          <w:bCs/>
          <w:sz w:val="24"/>
          <w:szCs w:val="20"/>
        </w:rPr>
      </w:pPr>
    </w:p>
    <w:p w14:paraId="427568F3">
      <w:pPr>
        <w:snapToGrid w:val="0"/>
        <w:spacing w:before="120" w:beforeLines="50" w:after="50"/>
        <w:ind w:firstLine="540" w:firstLineChars="225"/>
        <w:rPr>
          <w:rFonts w:hint="eastAsia" w:ascii="宋体" w:hAnsi="宋体"/>
          <w:bCs/>
          <w:sz w:val="24"/>
        </w:rPr>
      </w:pPr>
      <w:r>
        <w:rPr>
          <w:rFonts w:hint="eastAsia" w:ascii="宋体" w:hAnsi="宋体"/>
          <w:bCs/>
          <w:sz w:val="24"/>
        </w:rPr>
        <w:t>项目名称：</w:t>
      </w:r>
    </w:p>
    <w:p w14:paraId="770D7981">
      <w:pPr>
        <w:snapToGrid w:val="0"/>
        <w:spacing w:before="120" w:beforeLines="50" w:after="50"/>
        <w:ind w:firstLine="540" w:firstLineChars="225"/>
        <w:rPr>
          <w:rFonts w:hint="eastAsia" w:ascii="宋体" w:hAnsi="宋体"/>
          <w:bCs/>
          <w:sz w:val="24"/>
          <w:szCs w:val="20"/>
        </w:rPr>
      </w:pPr>
    </w:p>
    <w:p w14:paraId="5A51268B">
      <w:pPr>
        <w:snapToGrid w:val="0"/>
        <w:spacing w:before="120" w:beforeLines="50" w:after="50"/>
        <w:ind w:firstLine="540" w:firstLineChars="225"/>
        <w:rPr>
          <w:rFonts w:hint="eastAsia" w:ascii="宋体" w:hAnsi="宋体"/>
          <w:bCs/>
          <w:sz w:val="24"/>
        </w:rPr>
      </w:pPr>
      <w:r>
        <w:rPr>
          <w:rFonts w:hint="eastAsia" w:ascii="宋体" w:hAnsi="宋体"/>
          <w:bCs/>
          <w:sz w:val="24"/>
        </w:rPr>
        <w:t>项目编号：</w:t>
      </w:r>
    </w:p>
    <w:p w14:paraId="00BB373D">
      <w:pPr>
        <w:snapToGrid w:val="0"/>
        <w:spacing w:before="120" w:beforeLines="50" w:after="50"/>
        <w:ind w:firstLine="540" w:firstLineChars="225"/>
        <w:rPr>
          <w:rFonts w:hint="eastAsia" w:ascii="宋体" w:hAnsi="宋体"/>
          <w:bCs/>
          <w:sz w:val="24"/>
          <w:szCs w:val="20"/>
        </w:rPr>
      </w:pPr>
      <w:r>
        <w:rPr>
          <w:rFonts w:hint="eastAsia" w:ascii="宋体" w:hAnsi="宋体"/>
          <w:bCs/>
          <w:sz w:val="24"/>
        </w:rPr>
        <w:t xml:space="preserve"> </w:t>
      </w:r>
    </w:p>
    <w:p w14:paraId="2F96E7A7">
      <w:pPr>
        <w:snapToGrid w:val="0"/>
        <w:spacing w:before="120" w:beforeLines="50" w:after="50"/>
        <w:ind w:firstLine="540" w:firstLineChars="225"/>
        <w:rPr>
          <w:rFonts w:hint="eastAsia" w:ascii="宋体" w:hAnsi="宋体"/>
          <w:bCs/>
          <w:sz w:val="24"/>
        </w:rPr>
      </w:pPr>
      <w:r>
        <w:rPr>
          <w:rFonts w:hint="eastAsia" w:ascii="宋体" w:hAnsi="宋体"/>
          <w:bCs/>
          <w:sz w:val="24"/>
        </w:rPr>
        <w:t>所投分标：</w:t>
      </w:r>
    </w:p>
    <w:p w14:paraId="6F4BCE4E">
      <w:pPr>
        <w:pStyle w:val="7"/>
        <w:snapToGrid w:val="0"/>
        <w:spacing w:before="50" w:after="50"/>
        <w:ind w:firstLine="540" w:firstLineChars="225"/>
        <w:rPr>
          <w:rFonts w:hint="eastAsia" w:ascii="宋体" w:hAnsi="宋体"/>
          <w:bCs/>
          <w:sz w:val="24"/>
          <w:szCs w:val="24"/>
        </w:rPr>
      </w:pPr>
    </w:p>
    <w:p w14:paraId="2DE0A056">
      <w:pPr>
        <w:pStyle w:val="7"/>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74CD6A0F">
      <w:pPr>
        <w:pStyle w:val="7"/>
        <w:snapToGrid w:val="0"/>
        <w:spacing w:before="50" w:after="50"/>
        <w:ind w:firstLine="540" w:firstLineChars="225"/>
        <w:rPr>
          <w:rFonts w:hint="eastAsia" w:ascii="宋体" w:hAnsi="宋体"/>
          <w:bCs/>
          <w:sz w:val="24"/>
          <w:szCs w:val="24"/>
        </w:rPr>
      </w:pPr>
    </w:p>
    <w:p w14:paraId="17090A34">
      <w:pPr>
        <w:pStyle w:val="7"/>
        <w:snapToGrid w:val="0"/>
        <w:spacing w:before="50" w:after="50"/>
        <w:ind w:firstLine="960" w:firstLineChars="400"/>
        <w:rPr>
          <w:rFonts w:hint="eastAsia" w:ascii="宋体" w:hAnsi="宋体"/>
          <w:bCs/>
          <w:sz w:val="24"/>
          <w:szCs w:val="24"/>
        </w:rPr>
      </w:pPr>
    </w:p>
    <w:p w14:paraId="284F14C9">
      <w:pPr>
        <w:snapToGrid w:val="0"/>
        <w:spacing w:before="120" w:beforeLines="50" w:after="50"/>
        <w:ind w:firstLine="645"/>
        <w:jc w:val="center"/>
        <w:rPr>
          <w:rFonts w:hint="eastAsia" w:ascii="宋体" w:hAnsi="宋体"/>
          <w:sz w:val="24"/>
        </w:rPr>
      </w:pPr>
      <w:r>
        <w:rPr>
          <w:rFonts w:hint="eastAsia" w:ascii="宋体" w:hAnsi="宋体"/>
          <w:sz w:val="24"/>
        </w:rPr>
        <w:t>年  月  日</w:t>
      </w:r>
    </w:p>
    <w:p w14:paraId="0A3EBE95">
      <w:pPr>
        <w:snapToGrid w:val="0"/>
        <w:spacing w:before="120" w:beforeLines="50" w:after="50"/>
        <w:rPr>
          <w:rFonts w:hint="eastAsia" w:ascii="宋体" w:hAnsi="宋体"/>
          <w:sz w:val="24"/>
          <w:szCs w:val="20"/>
        </w:rPr>
      </w:pPr>
      <w:r>
        <w:rPr>
          <w:rFonts w:ascii="宋体" w:hAnsi="宋体"/>
          <w:sz w:val="24"/>
          <w:szCs w:val="20"/>
        </w:rPr>
        <w:t xml:space="preserve"> </w:t>
      </w:r>
    </w:p>
    <w:p w14:paraId="4986E55E">
      <w:pPr>
        <w:snapToGrid w:val="0"/>
        <w:spacing w:before="120" w:beforeLines="50" w:after="50"/>
        <w:rPr>
          <w:rFonts w:hint="eastAsia" w:ascii="宋体" w:hAnsi="宋体"/>
          <w:sz w:val="24"/>
          <w:szCs w:val="20"/>
        </w:rPr>
      </w:pPr>
    </w:p>
    <w:p w14:paraId="44C40F1C">
      <w:pPr>
        <w:snapToGrid w:val="0"/>
        <w:spacing w:before="120" w:beforeLines="50" w:after="50" w:line="360" w:lineRule="auto"/>
        <w:jc w:val="left"/>
        <w:rPr>
          <w:rFonts w:hint="eastAsia" w:ascii="宋体" w:hAnsi="宋体"/>
          <w:sz w:val="24"/>
          <w:szCs w:val="20"/>
        </w:rPr>
      </w:pPr>
      <w:r>
        <w:rPr>
          <w:rFonts w:ascii="宋体" w:hAnsi="宋体"/>
          <w:b/>
          <w:bCs/>
          <w:sz w:val="24"/>
        </w:rPr>
        <w:br w:type="page"/>
      </w:r>
      <w:r>
        <w:rPr>
          <w:rFonts w:hint="eastAsia" w:ascii="宋体" w:hAnsi="宋体"/>
          <w:b/>
          <w:bCs/>
          <w:sz w:val="24"/>
        </w:rPr>
        <w:t>2.资格证明文件目录</w:t>
      </w:r>
    </w:p>
    <w:p w14:paraId="299518BA">
      <w:pPr>
        <w:snapToGrid w:val="0"/>
        <w:spacing w:line="360" w:lineRule="auto"/>
        <w:ind w:firstLine="420" w:firstLineChars="200"/>
        <w:jc w:val="left"/>
        <w:rPr>
          <w:rFonts w:hint="eastAsia" w:ascii="宋体" w:hAnsi="宋体"/>
          <w:szCs w:val="21"/>
        </w:rPr>
      </w:pPr>
      <w:r>
        <w:rPr>
          <w:rFonts w:hint="eastAsia" w:ascii="宋体" w:hAnsi="宋体"/>
          <w:szCs w:val="21"/>
        </w:rPr>
        <w:t>根据招标文件规定及投标人提供的材料自行编写目录。</w:t>
      </w:r>
    </w:p>
    <w:p w14:paraId="695D0B4F">
      <w:pPr>
        <w:snapToGrid w:val="0"/>
        <w:spacing w:before="50" w:after="120" w:afterLines="50"/>
        <w:jc w:val="left"/>
        <w:rPr>
          <w:rFonts w:hint="eastAsia" w:ascii="宋体" w:hAnsi="宋体"/>
          <w:sz w:val="24"/>
        </w:rPr>
      </w:pPr>
    </w:p>
    <w:p w14:paraId="3FC885BD">
      <w:pPr>
        <w:snapToGrid w:val="0"/>
        <w:spacing w:before="50" w:after="120" w:afterLines="50"/>
        <w:jc w:val="left"/>
        <w:rPr>
          <w:rFonts w:hint="eastAsia" w:ascii="宋体" w:hAnsi="宋体"/>
          <w:sz w:val="24"/>
        </w:rPr>
      </w:pPr>
    </w:p>
    <w:p w14:paraId="15DAA5F5">
      <w:pPr>
        <w:snapToGrid w:val="0"/>
        <w:spacing w:before="120" w:beforeLines="50" w:after="50"/>
        <w:jc w:val="left"/>
        <w:rPr>
          <w:rFonts w:hint="eastAsia" w:ascii="宋体" w:hAnsi="宋体"/>
          <w:b/>
          <w:sz w:val="24"/>
        </w:rPr>
      </w:pPr>
      <w:r>
        <w:rPr>
          <w:rFonts w:ascii="宋体" w:hAnsi="宋体"/>
          <w:b/>
          <w:sz w:val="24"/>
        </w:rPr>
        <w:br w:type="page"/>
      </w:r>
      <w:r>
        <w:rPr>
          <w:rFonts w:hint="eastAsia" w:ascii="宋体" w:hAnsi="宋体"/>
          <w:b/>
          <w:sz w:val="24"/>
        </w:rPr>
        <w:t>3.</w:t>
      </w:r>
      <w:r>
        <w:rPr>
          <w:rFonts w:hint="eastAsia" w:ascii="宋体" w:hAnsi="宋体"/>
          <w:b/>
          <w:sz w:val="28"/>
          <w:szCs w:val="28"/>
        </w:rPr>
        <w:t>投标人直接控股股东信息表</w:t>
      </w:r>
    </w:p>
    <w:p w14:paraId="3D3C115C">
      <w:pPr>
        <w:snapToGrid w:val="0"/>
        <w:spacing w:before="50" w:after="120" w:afterLines="50"/>
        <w:jc w:val="center"/>
        <w:rPr>
          <w:rFonts w:hint="eastAsia" w:ascii="宋体" w:hAnsi="宋体"/>
          <w:b/>
          <w:sz w:val="28"/>
          <w:szCs w:val="28"/>
        </w:rPr>
      </w:pPr>
    </w:p>
    <w:p w14:paraId="2097060B">
      <w:pPr>
        <w:snapToGrid w:val="0"/>
        <w:spacing w:before="50" w:after="120" w:afterLines="50" w:line="360" w:lineRule="auto"/>
        <w:jc w:val="center"/>
        <w:rPr>
          <w:rFonts w:hint="eastAsia" w:ascii="宋体" w:hAnsi="宋体"/>
          <w:b/>
          <w:sz w:val="32"/>
          <w:szCs w:val="32"/>
        </w:rPr>
      </w:pPr>
      <w:r>
        <w:rPr>
          <w:rFonts w:hint="eastAsia" w:ascii="宋体" w:hAnsi="宋体"/>
          <w:b/>
          <w:sz w:val="32"/>
          <w:szCs w:val="32"/>
        </w:rPr>
        <w:t>投标人直接控股股东信息表</w:t>
      </w:r>
    </w:p>
    <w:tbl>
      <w:tblPr>
        <w:tblStyle w:val="4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AE590BD">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743BE4">
            <w:pPr>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8EB85E">
            <w:pPr>
              <w:spacing w:line="360" w:lineRule="auto"/>
              <w:jc w:val="center"/>
              <w:rPr>
                <w:rFonts w:hint="eastAsia"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89ABF65">
            <w:pPr>
              <w:spacing w:line="360" w:lineRule="auto"/>
              <w:jc w:val="center"/>
              <w:rPr>
                <w:rFonts w:hint="eastAsia"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4D7410A">
            <w:pPr>
              <w:spacing w:line="360" w:lineRule="auto"/>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4269B2">
            <w:pPr>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39FD2D7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EB0525">
            <w:pPr>
              <w:spacing w:line="360" w:lineRule="auto"/>
              <w:jc w:val="center"/>
              <w:rPr>
                <w:rFonts w:hint="eastAsia"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7607A3">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3B1586">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C8DCAD">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8FE68E">
            <w:pPr>
              <w:spacing w:line="360" w:lineRule="auto"/>
              <w:jc w:val="center"/>
              <w:rPr>
                <w:rFonts w:hint="eastAsia" w:ascii="宋体" w:hAnsi="宋体" w:cs="宋体"/>
                <w:kern w:val="0"/>
                <w:sz w:val="24"/>
              </w:rPr>
            </w:pPr>
          </w:p>
        </w:tc>
      </w:tr>
      <w:tr w14:paraId="180EBC5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288BA1">
            <w:pPr>
              <w:spacing w:line="360" w:lineRule="auto"/>
              <w:jc w:val="center"/>
              <w:rPr>
                <w:rFonts w:hint="eastAsia"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1C22F0">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281F98">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6C4576">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26540D">
            <w:pPr>
              <w:spacing w:line="360" w:lineRule="auto"/>
              <w:jc w:val="center"/>
              <w:rPr>
                <w:rFonts w:hint="eastAsia" w:ascii="宋体" w:hAnsi="宋体" w:cs="宋体"/>
                <w:kern w:val="0"/>
                <w:sz w:val="24"/>
              </w:rPr>
            </w:pPr>
          </w:p>
        </w:tc>
      </w:tr>
      <w:tr w14:paraId="6180EB2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3FDBC4">
            <w:pPr>
              <w:spacing w:line="360" w:lineRule="auto"/>
              <w:jc w:val="center"/>
              <w:rPr>
                <w:rFonts w:hint="eastAsia"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B9A1A7">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A6655A">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74D566">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50C25A">
            <w:pPr>
              <w:spacing w:line="360" w:lineRule="auto"/>
              <w:jc w:val="center"/>
              <w:rPr>
                <w:rFonts w:hint="eastAsia" w:ascii="宋体" w:hAnsi="宋体" w:cs="宋体"/>
                <w:kern w:val="0"/>
                <w:sz w:val="24"/>
              </w:rPr>
            </w:pPr>
          </w:p>
        </w:tc>
      </w:tr>
      <w:tr w14:paraId="3FD8A6A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9D6F8F">
            <w:pPr>
              <w:spacing w:line="360" w:lineRule="auto"/>
              <w:jc w:val="center"/>
              <w:rPr>
                <w:rFonts w:hint="eastAsia"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322570">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0F47B9">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515145">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7D4D0C">
            <w:pPr>
              <w:spacing w:line="360" w:lineRule="auto"/>
              <w:jc w:val="center"/>
              <w:rPr>
                <w:rFonts w:hint="eastAsia" w:ascii="宋体" w:hAnsi="宋体" w:cs="宋体"/>
                <w:kern w:val="0"/>
                <w:sz w:val="24"/>
              </w:rPr>
            </w:pPr>
          </w:p>
        </w:tc>
      </w:tr>
    </w:tbl>
    <w:p w14:paraId="658385F0">
      <w:pPr>
        <w:snapToGrid w:val="0"/>
        <w:spacing w:line="360" w:lineRule="auto"/>
        <w:jc w:val="left"/>
        <w:rPr>
          <w:rFonts w:hint="eastAsia" w:ascii="宋体" w:hAnsi="宋体"/>
          <w:sz w:val="24"/>
        </w:rPr>
      </w:pPr>
      <w:r>
        <w:rPr>
          <w:rFonts w:hint="eastAsia" w:ascii="宋体" w:hAnsi="宋体"/>
          <w:sz w:val="24"/>
        </w:rPr>
        <w:t>注：</w:t>
      </w:r>
    </w:p>
    <w:p w14:paraId="5CB49BAE">
      <w:pPr>
        <w:snapToGrid w:val="0"/>
        <w:spacing w:line="360" w:lineRule="auto"/>
        <w:jc w:val="left"/>
        <w:rPr>
          <w:rFonts w:hint="eastAsia"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975F17C">
      <w:pPr>
        <w:snapToGrid w:val="0"/>
        <w:spacing w:line="360" w:lineRule="auto"/>
        <w:jc w:val="left"/>
        <w:rPr>
          <w:rFonts w:hint="eastAsia"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776FDB36">
      <w:pPr>
        <w:snapToGrid w:val="0"/>
        <w:spacing w:line="360" w:lineRule="auto"/>
        <w:jc w:val="left"/>
        <w:rPr>
          <w:rFonts w:hint="eastAsia" w:ascii="宋体" w:hAnsi="宋体"/>
          <w:sz w:val="24"/>
        </w:rPr>
      </w:pPr>
      <w:r>
        <w:rPr>
          <w:rFonts w:hint="eastAsia" w:ascii="宋体" w:hAnsi="宋体"/>
          <w:sz w:val="24"/>
        </w:rPr>
        <w:t>3.供应商不存在直接控股股东的，则在“</w:t>
      </w:r>
      <w:r>
        <w:rPr>
          <w:rFonts w:hint="eastAsia" w:ascii="宋体" w:hAnsi="宋体" w:cs="宋体"/>
          <w:b/>
          <w:bCs/>
          <w:kern w:val="0"/>
          <w:sz w:val="24"/>
        </w:rPr>
        <w:t>直接控股股东名称</w:t>
      </w:r>
      <w:r>
        <w:rPr>
          <w:rFonts w:hint="eastAsia" w:ascii="宋体" w:hAnsi="宋体"/>
          <w:sz w:val="24"/>
        </w:rPr>
        <w:t>”中填“无”。</w:t>
      </w:r>
    </w:p>
    <w:p w14:paraId="5A27BDDD">
      <w:pPr>
        <w:snapToGrid w:val="0"/>
        <w:spacing w:line="360" w:lineRule="auto"/>
        <w:jc w:val="left"/>
        <w:rPr>
          <w:rFonts w:hint="eastAsia" w:ascii="宋体" w:hAnsi="宋体"/>
          <w:sz w:val="24"/>
        </w:rPr>
      </w:pPr>
    </w:p>
    <w:p w14:paraId="18543797">
      <w:pPr>
        <w:snapToGrid w:val="0"/>
        <w:spacing w:line="360" w:lineRule="auto"/>
        <w:jc w:val="left"/>
        <w:rPr>
          <w:rFonts w:hint="eastAsia" w:ascii="宋体" w:hAnsi="宋体"/>
          <w:sz w:val="24"/>
        </w:rPr>
      </w:pPr>
    </w:p>
    <w:p w14:paraId="43147135">
      <w:pPr>
        <w:snapToGrid w:val="0"/>
        <w:spacing w:line="360" w:lineRule="auto"/>
        <w:jc w:val="left"/>
        <w:rPr>
          <w:rFonts w:hint="eastAsia" w:ascii="宋体" w:hAnsi="宋体"/>
          <w:sz w:val="24"/>
        </w:rPr>
      </w:pPr>
    </w:p>
    <w:p w14:paraId="42D5A0CB">
      <w:pPr>
        <w:snapToGrid w:val="0"/>
        <w:spacing w:line="360" w:lineRule="auto"/>
        <w:ind w:left="-2" w:leftChars="-1" w:right="-817" w:rightChars="-389"/>
        <w:rPr>
          <w:rFonts w:hint="eastAsia" w:ascii="宋体" w:hAnsi="宋体"/>
          <w:sz w:val="24"/>
        </w:rPr>
      </w:pPr>
      <w:r>
        <w:rPr>
          <w:rFonts w:hint="eastAsia" w:ascii="宋体" w:hAnsi="宋体"/>
          <w:sz w:val="24"/>
        </w:rPr>
        <w:t xml:space="preserve">             法定代表人或者委托代理人（签字或者电子签名）：</w:t>
      </w:r>
    </w:p>
    <w:p w14:paraId="71D2384A">
      <w:pPr>
        <w:snapToGrid w:val="0"/>
        <w:spacing w:line="360" w:lineRule="auto"/>
        <w:ind w:left="-3" w:leftChars="-15" w:right="-817" w:rightChars="-389" w:hanging="28" w:hangingChars="12"/>
        <w:rPr>
          <w:rFonts w:hint="eastAsia" w:ascii="宋体" w:hAnsi="宋体"/>
          <w:sz w:val="24"/>
        </w:rPr>
      </w:pPr>
      <w:r>
        <w:rPr>
          <w:rFonts w:hint="eastAsia" w:ascii="宋体" w:hAnsi="宋体"/>
          <w:sz w:val="24"/>
        </w:rPr>
        <w:t xml:space="preserve">                                    投标人名称（电子签章）：</w:t>
      </w:r>
    </w:p>
    <w:p w14:paraId="69F439CE">
      <w:pPr>
        <w:snapToGrid w:val="0"/>
        <w:spacing w:line="360" w:lineRule="auto"/>
        <w:jc w:val="left"/>
        <w:rPr>
          <w:rFonts w:hint="eastAsia" w:ascii="宋体" w:hAnsi="宋体"/>
          <w:szCs w:val="21"/>
        </w:rPr>
      </w:pPr>
      <w:r>
        <w:rPr>
          <w:rFonts w:hint="eastAsia" w:ascii="宋体" w:hAnsi="宋体"/>
          <w:sz w:val="24"/>
        </w:rPr>
        <w:t xml:space="preserve">                                    日期：    年   月   日</w:t>
      </w:r>
    </w:p>
    <w:p w14:paraId="304230C3">
      <w:pPr>
        <w:snapToGrid w:val="0"/>
        <w:jc w:val="center"/>
        <w:rPr>
          <w:rFonts w:hint="eastAsia" w:ascii="宋体" w:hAnsi="宋体"/>
          <w:b/>
          <w:sz w:val="28"/>
          <w:szCs w:val="28"/>
        </w:rPr>
      </w:pPr>
    </w:p>
    <w:p w14:paraId="4FCC25C4">
      <w:pPr>
        <w:snapToGrid w:val="0"/>
        <w:spacing w:line="360" w:lineRule="auto"/>
        <w:jc w:val="left"/>
        <w:rPr>
          <w:rFonts w:hint="eastAsia" w:ascii="宋体" w:hAnsi="宋体"/>
          <w:b/>
          <w:sz w:val="32"/>
          <w:szCs w:val="32"/>
        </w:rPr>
      </w:pPr>
      <w:r>
        <w:rPr>
          <w:rFonts w:ascii="宋体" w:hAnsi="宋体"/>
          <w:b/>
          <w:sz w:val="32"/>
          <w:szCs w:val="32"/>
        </w:rPr>
        <w:br w:type="page"/>
      </w:r>
      <w:r>
        <w:rPr>
          <w:rFonts w:hint="eastAsia" w:ascii="宋体" w:hAnsi="宋体"/>
          <w:b/>
          <w:sz w:val="24"/>
        </w:rPr>
        <w:t>4.</w:t>
      </w:r>
      <w:r>
        <w:rPr>
          <w:rFonts w:hint="eastAsia"/>
        </w:rPr>
        <w:t xml:space="preserve"> </w:t>
      </w:r>
      <w:r>
        <w:rPr>
          <w:rFonts w:hint="eastAsia" w:ascii="宋体" w:hAnsi="宋体"/>
          <w:b/>
          <w:sz w:val="28"/>
          <w:szCs w:val="28"/>
        </w:rPr>
        <w:t>投标人直接管理关系信息表</w:t>
      </w:r>
    </w:p>
    <w:p w14:paraId="0A3C8B94">
      <w:pPr>
        <w:snapToGrid w:val="0"/>
        <w:spacing w:line="360" w:lineRule="auto"/>
        <w:jc w:val="center"/>
        <w:rPr>
          <w:rFonts w:hint="eastAsia" w:ascii="宋体" w:hAnsi="宋体"/>
          <w:sz w:val="32"/>
          <w:szCs w:val="32"/>
        </w:rPr>
      </w:pPr>
      <w:r>
        <w:rPr>
          <w:rFonts w:hint="eastAsia" w:ascii="宋体" w:hAnsi="宋体"/>
          <w:b/>
          <w:sz w:val="32"/>
          <w:szCs w:val="32"/>
        </w:rPr>
        <w:t>投标人直接管理关系信息表</w:t>
      </w:r>
    </w:p>
    <w:tbl>
      <w:tblPr>
        <w:tblStyle w:val="4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96C0CA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37EC070">
            <w:pPr>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189110">
            <w:pPr>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0F835C">
            <w:pPr>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A9DA42">
            <w:pPr>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5D58D37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E0947E">
            <w:pPr>
              <w:spacing w:line="360" w:lineRule="auto"/>
              <w:jc w:val="center"/>
              <w:rPr>
                <w:rFonts w:hint="eastAsia"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C9F95C">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BC0625">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3CED50">
            <w:pPr>
              <w:spacing w:line="360" w:lineRule="auto"/>
              <w:jc w:val="center"/>
              <w:rPr>
                <w:rFonts w:hint="eastAsia" w:ascii="宋体" w:hAnsi="宋体" w:cs="宋体"/>
                <w:kern w:val="0"/>
                <w:sz w:val="24"/>
              </w:rPr>
            </w:pPr>
          </w:p>
        </w:tc>
      </w:tr>
      <w:tr w14:paraId="5315266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CA633B">
            <w:pPr>
              <w:spacing w:line="360" w:lineRule="auto"/>
              <w:jc w:val="center"/>
              <w:rPr>
                <w:rFonts w:hint="eastAsia"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CF467F">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EEE2D7">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F66B42">
            <w:pPr>
              <w:spacing w:line="360" w:lineRule="auto"/>
              <w:jc w:val="center"/>
              <w:rPr>
                <w:rFonts w:hint="eastAsia" w:ascii="宋体" w:hAnsi="宋体" w:cs="宋体"/>
                <w:kern w:val="0"/>
                <w:sz w:val="24"/>
              </w:rPr>
            </w:pPr>
          </w:p>
        </w:tc>
      </w:tr>
      <w:tr w14:paraId="422AB3A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BEF368">
            <w:pPr>
              <w:spacing w:line="360" w:lineRule="auto"/>
              <w:jc w:val="center"/>
              <w:rPr>
                <w:rFonts w:hint="eastAsia"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BDECB7">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0F8675">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823F0B">
            <w:pPr>
              <w:spacing w:line="360" w:lineRule="auto"/>
              <w:jc w:val="center"/>
              <w:rPr>
                <w:rFonts w:hint="eastAsia" w:ascii="宋体" w:hAnsi="宋体" w:cs="宋体"/>
                <w:kern w:val="0"/>
                <w:sz w:val="24"/>
              </w:rPr>
            </w:pPr>
          </w:p>
        </w:tc>
      </w:tr>
      <w:tr w14:paraId="11E4211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910A4F">
            <w:pPr>
              <w:spacing w:line="360" w:lineRule="auto"/>
              <w:jc w:val="center"/>
              <w:rPr>
                <w:rFonts w:hint="eastAsia"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511021">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C5BCF9">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357B8B">
            <w:pPr>
              <w:spacing w:line="360" w:lineRule="auto"/>
              <w:jc w:val="center"/>
              <w:rPr>
                <w:rFonts w:hint="eastAsia" w:ascii="宋体" w:hAnsi="宋体" w:cs="宋体"/>
                <w:kern w:val="0"/>
                <w:sz w:val="24"/>
              </w:rPr>
            </w:pPr>
          </w:p>
        </w:tc>
      </w:tr>
    </w:tbl>
    <w:p w14:paraId="5651B896">
      <w:pPr>
        <w:snapToGrid w:val="0"/>
        <w:spacing w:line="360" w:lineRule="auto"/>
        <w:jc w:val="left"/>
        <w:rPr>
          <w:rFonts w:hint="eastAsia" w:ascii="宋体" w:hAnsi="宋体"/>
          <w:sz w:val="24"/>
        </w:rPr>
      </w:pPr>
      <w:r>
        <w:rPr>
          <w:rFonts w:hint="eastAsia" w:ascii="宋体" w:hAnsi="宋体"/>
          <w:sz w:val="24"/>
        </w:rPr>
        <w:t>注：</w:t>
      </w:r>
    </w:p>
    <w:p w14:paraId="01DD7E3A">
      <w:pPr>
        <w:snapToGrid w:val="0"/>
        <w:spacing w:line="360" w:lineRule="auto"/>
        <w:ind w:firstLine="480" w:firstLineChars="200"/>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1D7C35CA">
      <w:pPr>
        <w:snapToGrid w:val="0"/>
        <w:spacing w:line="360" w:lineRule="auto"/>
        <w:ind w:firstLine="480" w:firstLineChars="200"/>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1734EE39">
      <w:pPr>
        <w:snapToGrid w:val="0"/>
        <w:spacing w:line="360" w:lineRule="auto"/>
        <w:ind w:firstLine="480" w:firstLineChars="200"/>
        <w:jc w:val="left"/>
        <w:rPr>
          <w:rFonts w:hint="eastAsia" w:ascii="宋体" w:hAnsi="宋体"/>
          <w:sz w:val="24"/>
        </w:rPr>
      </w:pPr>
      <w:r>
        <w:rPr>
          <w:rFonts w:hint="eastAsia" w:ascii="宋体" w:hAnsi="宋体"/>
          <w:sz w:val="24"/>
        </w:rPr>
        <w:t>3.供应商不存在直接管理关系的，则在“</w:t>
      </w:r>
      <w:r>
        <w:rPr>
          <w:rFonts w:hint="eastAsia" w:ascii="宋体" w:hAnsi="宋体" w:cs="宋体"/>
          <w:b/>
          <w:bCs/>
          <w:kern w:val="0"/>
          <w:sz w:val="24"/>
        </w:rPr>
        <w:t>直接管理关系单位名称</w:t>
      </w:r>
      <w:r>
        <w:rPr>
          <w:rFonts w:hint="eastAsia" w:ascii="宋体" w:hAnsi="宋体"/>
          <w:sz w:val="24"/>
        </w:rPr>
        <w:t>”中填“无”。</w:t>
      </w:r>
    </w:p>
    <w:p w14:paraId="4FDC7322">
      <w:pPr>
        <w:snapToGrid w:val="0"/>
        <w:spacing w:line="360" w:lineRule="auto"/>
        <w:jc w:val="left"/>
        <w:rPr>
          <w:rFonts w:hint="eastAsia" w:ascii="宋体" w:hAnsi="宋体"/>
          <w:sz w:val="24"/>
        </w:rPr>
      </w:pPr>
    </w:p>
    <w:p w14:paraId="7CE5FEA4">
      <w:pPr>
        <w:snapToGrid w:val="0"/>
        <w:spacing w:line="360" w:lineRule="auto"/>
        <w:jc w:val="left"/>
        <w:rPr>
          <w:rFonts w:hint="eastAsia" w:ascii="宋体" w:hAnsi="宋体"/>
          <w:sz w:val="24"/>
        </w:rPr>
      </w:pPr>
    </w:p>
    <w:p w14:paraId="235039E0">
      <w:pPr>
        <w:snapToGrid w:val="0"/>
        <w:spacing w:line="360" w:lineRule="auto"/>
        <w:jc w:val="left"/>
        <w:rPr>
          <w:rFonts w:hint="eastAsia" w:ascii="宋体" w:hAnsi="宋体"/>
          <w:sz w:val="24"/>
        </w:rPr>
      </w:pPr>
    </w:p>
    <w:p w14:paraId="1422447F">
      <w:pPr>
        <w:snapToGrid w:val="0"/>
        <w:spacing w:line="360" w:lineRule="auto"/>
        <w:jc w:val="left"/>
        <w:rPr>
          <w:sz w:val="24"/>
        </w:rPr>
      </w:pPr>
    </w:p>
    <w:p w14:paraId="512B72B0">
      <w:pPr>
        <w:snapToGrid w:val="0"/>
        <w:spacing w:line="360" w:lineRule="auto"/>
        <w:ind w:left="-2" w:leftChars="-1" w:right="-817" w:rightChars="-389"/>
        <w:rPr>
          <w:rFonts w:hint="eastAsia" w:ascii="宋体" w:hAnsi="宋体"/>
          <w:sz w:val="24"/>
        </w:rPr>
      </w:pPr>
      <w:r>
        <w:rPr>
          <w:rFonts w:hint="eastAsia" w:ascii="宋体" w:hAnsi="宋体"/>
          <w:sz w:val="24"/>
        </w:rPr>
        <w:t xml:space="preserve">            法定代表人或者委托代理人（签字或者电子签名）：</w:t>
      </w:r>
    </w:p>
    <w:p w14:paraId="46AB7334">
      <w:pPr>
        <w:snapToGrid w:val="0"/>
        <w:spacing w:line="360" w:lineRule="auto"/>
        <w:ind w:left="-3" w:leftChars="-15" w:right="-817" w:rightChars="-389" w:hanging="28" w:hangingChars="12"/>
        <w:rPr>
          <w:rFonts w:hint="eastAsia" w:ascii="宋体" w:hAnsi="宋体"/>
          <w:sz w:val="24"/>
        </w:rPr>
      </w:pPr>
      <w:r>
        <w:rPr>
          <w:rFonts w:hint="eastAsia" w:ascii="宋体" w:hAnsi="宋体"/>
          <w:sz w:val="24"/>
        </w:rPr>
        <w:t xml:space="preserve">                                  投标人名称（电子签章）：</w:t>
      </w:r>
    </w:p>
    <w:p w14:paraId="5847C6F2">
      <w:pPr>
        <w:snapToGrid w:val="0"/>
        <w:spacing w:line="360" w:lineRule="auto"/>
        <w:ind w:right="480" w:firstLine="240" w:firstLineChars="100"/>
        <w:jc w:val="left"/>
        <w:rPr>
          <w:rFonts w:hint="eastAsia" w:ascii="宋体" w:hAnsi="宋体"/>
          <w:szCs w:val="21"/>
        </w:rPr>
      </w:pPr>
      <w:r>
        <w:rPr>
          <w:rFonts w:hint="eastAsia" w:ascii="宋体" w:hAnsi="宋体"/>
          <w:sz w:val="24"/>
        </w:rPr>
        <w:t xml:space="preserve">                                日期：    年   月   日</w:t>
      </w:r>
    </w:p>
    <w:p w14:paraId="4EAF6807">
      <w:pPr>
        <w:snapToGrid w:val="0"/>
        <w:spacing w:before="120" w:beforeLines="50" w:after="50"/>
        <w:jc w:val="left"/>
        <w:rPr>
          <w:rFonts w:hint="eastAsia" w:ascii="宋体" w:hAnsi="宋体"/>
          <w:b/>
          <w:sz w:val="24"/>
          <w:szCs w:val="20"/>
        </w:rPr>
      </w:pPr>
    </w:p>
    <w:p w14:paraId="2BDADDC8">
      <w:pPr>
        <w:snapToGrid w:val="0"/>
        <w:spacing w:before="120" w:beforeLines="50" w:after="50"/>
        <w:jc w:val="left"/>
        <w:rPr>
          <w:rFonts w:hint="eastAsia" w:ascii="宋体" w:hAnsi="宋体"/>
          <w:b/>
          <w:sz w:val="24"/>
          <w:szCs w:val="20"/>
        </w:rPr>
      </w:pPr>
      <w:r>
        <w:rPr>
          <w:rFonts w:ascii="宋体" w:hAnsi="宋体"/>
          <w:b/>
          <w:sz w:val="24"/>
        </w:rPr>
        <w:br w:type="page"/>
      </w:r>
      <w:r>
        <w:rPr>
          <w:rFonts w:hint="eastAsia" w:ascii="宋体" w:hAnsi="宋体"/>
          <w:b/>
          <w:sz w:val="24"/>
        </w:rPr>
        <w:t>5.投标声明</w:t>
      </w:r>
    </w:p>
    <w:p w14:paraId="32A1F85E">
      <w:pPr>
        <w:snapToGrid w:val="0"/>
        <w:spacing w:before="50" w:after="120" w:afterLines="50"/>
        <w:jc w:val="left"/>
        <w:rPr>
          <w:rFonts w:hint="eastAsia" w:ascii="宋体" w:hAnsi="宋体"/>
        </w:rPr>
      </w:pPr>
    </w:p>
    <w:p w14:paraId="5E488476">
      <w:pPr>
        <w:snapToGrid w:val="0"/>
        <w:spacing w:before="50" w:after="120" w:afterLines="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投标声明</w:t>
      </w:r>
    </w:p>
    <w:p w14:paraId="623FA4E3">
      <w:pPr>
        <w:spacing w:line="400" w:lineRule="exact"/>
        <w:contextualSpacing/>
        <w:jc w:val="left"/>
        <w:rPr>
          <w:sz w:val="24"/>
        </w:rPr>
      </w:pPr>
      <w:r>
        <w:rPr>
          <w:rFonts w:hint="eastAsia"/>
          <w:sz w:val="24"/>
        </w:rPr>
        <w:t>（采购人名称）：</w:t>
      </w:r>
    </w:p>
    <w:p w14:paraId="401139C2">
      <w:pPr>
        <w:spacing w:line="400" w:lineRule="exact"/>
        <w:ind w:firstLine="523" w:firstLineChars="218"/>
        <w:contextualSpacing/>
        <w:jc w:val="left"/>
        <w:rPr>
          <w:rFonts w:hint="eastAsia" w:ascii="宋体" w:hAnsi="宋体"/>
          <w:sz w:val="24"/>
        </w:rPr>
      </w:pPr>
      <w:r>
        <w:rPr>
          <w:rFonts w:hint="eastAsia" w:ascii="宋体" w:hAnsi="宋体"/>
          <w:sz w:val="24"/>
        </w:rPr>
        <w:t>我方参加贵单位组织</w:t>
      </w:r>
      <w:r>
        <w:rPr>
          <w:rFonts w:hint="eastAsia" w:ascii="宋体" w:hAnsi="宋体"/>
          <w:sz w:val="24"/>
          <w:u w:val="single"/>
        </w:rPr>
        <w:t xml:space="preserve">             </w:t>
      </w:r>
      <w:r>
        <w:rPr>
          <w:rFonts w:hint="eastAsia" w:ascii="宋体" w:hAnsi="宋体"/>
          <w:sz w:val="24"/>
        </w:rPr>
        <w:t>项目（项目编号：</w:t>
      </w:r>
      <w:r>
        <w:rPr>
          <w:rFonts w:hint="eastAsia" w:ascii="宋体" w:hAnsi="宋体"/>
          <w:sz w:val="24"/>
          <w:u w:val="single"/>
        </w:rPr>
        <w:t xml:space="preserve">       </w:t>
      </w:r>
      <w:r>
        <w:rPr>
          <w:rFonts w:hint="eastAsia" w:ascii="宋体" w:hAnsi="宋体"/>
          <w:sz w:val="24"/>
        </w:rPr>
        <w:t>）的政府采购活动。我方在此郑重声明：</w:t>
      </w:r>
    </w:p>
    <w:p w14:paraId="33B76C02">
      <w:pPr>
        <w:spacing w:line="400" w:lineRule="exact"/>
        <w:ind w:firstLine="480" w:firstLineChars="200"/>
        <w:contextualSpacing/>
        <w:jc w:val="left"/>
        <w:rPr>
          <w:rFonts w:hint="eastAsia" w:ascii="宋体" w:hAnsi="宋体"/>
          <w:sz w:val="24"/>
        </w:rPr>
      </w:pPr>
      <w:r>
        <w:rPr>
          <w:rFonts w:hint="eastAsia" w:ascii="宋体" w:hAnsi="宋体"/>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8DEA84E">
      <w:pPr>
        <w:spacing w:line="400" w:lineRule="exact"/>
        <w:ind w:firstLine="480" w:firstLineChars="200"/>
        <w:contextualSpacing/>
        <w:jc w:val="left"/>
        <w:rPr>
          <w:rFonts w:hint="eastAsia" w:ascii="宋体" w:hAnsi="宋体"/>
          <w:sz w:val="24"/>
        </w:rPr>
      </w:pPr>
      <w:r>
        <w:rPr>
          <w:rFonts w:hint="eastAsia" w:ascii="宋体" w:hAnsi="宋体"/>
          <w:sz w:val="24"/>
        </w:rPr>
        <w:t>2.我方不是为本次采购项目提供整体设计、规范编制或者项目管理、监理、检测等服务的供应商。</w:t>
      </w:r>
    </w:p>
    <w:p w14:paraId="5B62F2EF">
      <w:pPr>
        <w:spacing w:line="400" w:lineRule="exact"/>
        <w:ind w:firstLine="480" w:firstLineChars="200"/>
        <w:contextualSpacing/>
        <w:jc w:val="left"/>
        <w:rPr>
          <w:rFonts w:hint="eastAsia" w:ascii="宋体" w:hAnsi="宋体"/>
          <w:sz w:val="24"/>
        </w:rPr>
      </w:pPr>
      <w:r>
        <w:rPr>
          <w:rFonts w:hint="eastAsia" w:ascii="宋体" w:hAnsi="宋体"/>
          <w:sz w:val="24"/>
        </w:rPr>
        <w:t>3. 我方承诺符合《中华人民共和国政府采购法》第二十二条规定：</w:t>
      </w:r>
    </w:p>
    <w:p w14:paraId="5876416D">
      <w:pPr>
        <w:spacing w:line="400" w:lineRule="exact"/>
        <w:ind w:firstLine="480" w:firstLineChars="200"/>
        <w:contextualSpacing/>
        <w:jc w:val="left"/>
        <w:rPr>
          <w:rFonts w:hint="eastAsia" w:ascii="宋体" w:hAnsi="宋体"/>
          <w:sz w:val="24"/>
        </w:rPr>
      </w:pPr>
      <w:r>
        <w:rPr>
          <w:rFonts w:hint="eastAsia" w:ascii="宋体" w:hAnsi="宋体"/>
          <w:sz w:val="24"/>
        </w:rPr>
        <w:t>（一）具有独立承担民事责任的能力；</w:t>
      </w:r>
    </w:p>
    <w:p w14:paraId="56DA6CB0">
      <w:pPr>
        <w:spacing w:line="400" w:lineRule="exact"/>
        <w:ind w:firstLine="480" w:firstLineChars="200"/>
        <w:contextualSpacing/>
        <w:jc w:val="left"/>
        <w:rPr>
          <w:rFonts w:hint="eastAsia" w:ascii="宋体" w:hAnsi="宋体"/>
          <w:sz w:val="24"/>
        </w:rPr>
      </w:pPr>
      <w:r>
        <w:rPr>
          <w:rFonts w:hint="eastAsia" w:ascii="宋体" w:hAnsi="宋体"/>
          <w:sz w:val="24"/>
        </w:rPr>
        <w:t>（二）具有良好的商业信誉和健全的财务会计制度；</w:t>
      </w:r>
    </w:p>
    <w:p w14:paraId="02B91774">
      <w:pPr>
        <w:spacing w:line="400" w:lineRule="exact"/>
        <w:ind w:firstLine="480" w:firstLineChars="200"/>
        <w:contextualSpacing/>
        <w:jc w:val="left"/>
        <w:rPr>
          <w:rFonts w:hint="eastAsia" w:ascii="宋体" w:hAnsi="宋体"/>
          <w:sz w:val="24"/>
        </w:rPr>
      </w:pPr>
      <w:r>
        <w:rPr>
          <w:rFonts w:hint="eastAsia" w:ascii="宋体" w:hAnsi="宋体"/>
          <w:sz w:val="24"/>
        </w:rPr>
        <w:t>（三）具有履行合同所必需的设备和专业技术能力；</w:t>
      </w:r>
    </w:p>
    <w:p w14:paraId="759F5A18">
      <w:pPr>
        <w:spacing w:line="400" w:lineRule="exact"/>
        <w:ind w:firstLine="480" w:firstLineChars="200"/>
        <w:contextualSpacing/>
        <w:jc w:val="left"/>
        <w:rPr>
          <w:rFonts w:hint="eastAsia" w:ascii="宋体" w:hAnsi="宋体"/>
          <w:sz w:val="24"/>
        </w:rPr>
      </w:pPr>
      <w:r>
        <w:rPr>
          <w:rFonts w:hint="eastAsia" w:ascii="宋体" w:hAnsi="宋体"/>
          <w:sz w:val="24"/>
        </w:rPr>
        <w:t>（四）有依法缴纳税收和社会保障资金的良好记录；</w:t>
      </w:r>
    </w:p>
    <w:p w14:paraId="1ECC6C41">
      <w:pPr>
        <w:spacing w:line="400" w:lineRule="exact"/>
        <w:ind w:firstLine="480" w:firstLineChars="200"/>
        <w:contextualSpacing/>
        <w:jc w:val="left"/>
        <w:rPr>
          <w:rFonts w:hint="eastAsia" w:ascii="宋体" w:hAnsi="宋体"/>
          <w:sz w:val="24"/>
        </w:rPr>
      </w:pPr>
      <w:r>
        <w:rPr>
          <w:rFonts w:hint="eastAsia" w:ascii="宋体" w:hAnsi="宋体"/>
          <w:sz w:val="24"/>
        </w:rPr>
        <w:t>（五）参加政府采购活动前三年内，在经营活动中没有重大违法记录；</w:t>
      </w:r>
    </w:p>
    <w:p w14:paraId="47AA9FA6">
      <w:pPr>
        <w:spacing w:line="400" w:lineRule="exact"/>
        <w:ind w:firstLine="480" w:firstLineChars="200"/>
        <w:contextualSpacing/>
        <w:jc w:val="left"/>
        <w:rPr>
          <w:rFonts w:hint="eastAsia" w:ascii="宋体" w:hAnsi="宋体"/>
          <w:sz w:val="24"/>
        </w:rPr>
      </w:pPr>
      <w:r>
        <w:rPr>
          <w:rFonts w:hint="eastAsia" w:ascii="宋体" w:hAnsi="宋体"/>
          <w:sz w:val="24"/>
        </w:rPr>
        <w:t>（六）法律、行政法规规定的其他条件。</w:t>
      </w:r>
    </w:p>
    <w:p w14:paraId="1B32D6DB">
      <w:pPr>
        <w:spacing w:line="400" w:lineRule="exact"/>
        <w:ind w:firstLine="480" w:firstLineChars="200"/>
        <w:contextualSpacing/>
        <w:jc w:val="left"/>
        <w:rPr>
          <w:rFonts w:hint="eastAsia" w:ascii="宋体" w:hAnsi="宋体"/>
          <w:sz w:val="24"/>
        </w:rPr>
      </w:pPr>
      <w:r>
        <w:rPr>
          <w:rFonts w:hint="eastAsia" w:ascii="宋体" w:hAnsi="宋体"/>
          <w:sz w:val="24"/>
        </w:rPr>
        <w:t>4.以上事项如有虚假或者隐瞒，我方愿意承担一切后果，并不再寻求任何旨在减轻或者免除法律责任的辩解。</w:t>
      </w:r>
    </w:p>
    <w:p w14:paraId="7CF1CAD6">
      <w:pPr>
        <w:spacing w:line="400" w:lineRule="exact"/>
        <w:contextualSpacing/>
        <w:jc w:val="left"/>
        <w:rPr>
          <w:rFonts w:hint="eastAsia" w:ascii="宋体" w:hAnsi="宋体"/>
          <w:sz w:val="24"/>
        </w:rPr>
      </w:pPr>
      <w:r>
        <w:rPr>
          <w:rFonts w:hint="eastAsia" w:ascii="宋体" w:hAnsi="宋体"/>
          <w:sz w:val="24"/>
        </w:rPr>
        <w:t xml:space="preserve">    特此承诺。</w:t>
      </w:r>
    </w:p>
    <w:p w14:paraId="75EFC952">
      <w:pPr>
        <w:snapToGrid w:val="0"/>
        <w:spacing w:before="50" w:after="50"/>
        <w:rPr>
          <w:rFonts w:hint="eastAsia" w:ascii="宋体" w:hAnsi="宋体"/>
          <w:sz w:val="24"/>
        </w:rPr>
      </w:pPr>
      <w:r>
        <w:rPr>
          <w:rFonts w:hint="eastAsia" w:ascii="宋体" w:hAnsi="宋体"/>
          <w:b/>
          <w:sz w:val="24"/>
        </w:rPr>
        <w:t xml:space="preserve">    </w:t>
      </w:r>
      <w:r>
        <w:rPr>
          <w:rFonts w:hint="eastAsia" w:ascii="宋体" w:hAnsi="宋体"/>
          <w:sz w:val="24"/>
        </w:rPr>
        <w:t xml:space="preserve">            </w:t>
      </w:r>
    </w:p>
    <w:p w14:paraId="5E40C936">
      <w:pPr>
        <w:snapToGrid w:val="0"/>
        <w:spacing w:before="50" w:after="50"/>
        <w:ind w:firstLine="840" w:firstLineChars="350"/>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19C2A5A1">
      <w:pPr>
        <w:spacing w:line="400" w:lineRule="exact"/>
        <w:contextualSpacing/>
        <w:jc w:val="left"/>
        <w:rPr>
          <w:rFonts w:hint="eastAsia" w:ascii="宋体" w:hAnsi="宋体"/>
          <w:sz w:val="24"/>
        </w:rPr>
      </w:pPr>
    </w:p>
    <w:p w14:paraId="0457089F">
      <w:pPr>
        <w:spacing w:line="400" w:lineRule="exact"/>
        <w:contextualSpacing/>
        <w:jc w:val="left"/>
        <w:rPr>
          <w:rFonts w:hint="eastAsia" w:ascii="宋体" w:hAnsi="宋体"/>
          <w:sz w:val="24"/>
        </w:rPr>
      </w:pPr>
      <w:r>
        <w:rPr>
          <w:rFonts w:hint="eastAsia" w:ascii="宋体" w:hAnsi="宋体"/>
          <w:sz w:val="24"/>
        </w:rPr>
        <w:t xml:space="preserve">                           投标人名称（电子签章）：</w:t>
      </w:r>
      <w:r>
        <w:rPr>
          <w:rFonts w:hint="eastAsia" w:ascii="宋体" w:hAnsi="宋体"/>
          <w:sz w:val="24"/>
          <w:u w:val="single"/>
        </w:rPr>
        <w:t xml:space="preserve">                 </w:t>
      </w:r>
    </w:p>
    <w:p w14:paraId="4251CD2E">
      <w:pPr>
        <w:spacing w:line="400" w:lineRule="exact"/>
        <w:contextualSpacing/>
        <w:jc w:val="left"/>
        <w:rPr>
          <w:rFonts w:hint="eastAsia" w:ascii="宋体" w:hAnsi="宋体"/>
        </w:rPr>
      </w:pPr>
      <w:r>
        <w:rPr>
          <w:rFonts w:hint="eastAsia" w:ascii="宋体" w:hAnsi="宋体"/>
          <w:sz w:val="24"/>
        </w:rPr>
        <w:t xml:space="preserve">                                                  年    月    日</w:t>
      </w:r>
    </w:p>
    <w:p w14:paraId="6405CB83">
      <w:pPr>
        <w:spacing w:line="440" w:lineRule="exact"/>
        <w:contextualSpacing/>
        <w:rPr>
          <w:rFonts w:hint="eastAsia" w:ascii="宋体" w:hAnsi="宋体"/>
          <w:b/>
          <w:sz w:val="24"/>
        </w:rPr>
      </w:pPr>
      <w:bookmarkStart w:id="148" w:name="_Toc19686838"/>
      <w:r>
        <w:rPr>
          <w:rFonts w:hint="eastAsia" w:ascii="宋体" w:hAnsi="宋体"/>
          <w:b/>
          <w:sz w:val="24"/>
        </w:rPr>
        <w:t>注：如为联合体投标，盖章处须加盖联合体牵头人电子签章并由联合体牵头人法定代表人签字或者盖章或者电子签名，否则投标无效。</w:t>
      </w:r>
    </w:p>
    <w:p w14:paraId="2F77EA98">
      <w:pPr>
        <w:rPr>
          <w:b/>
          <w:sz w:val="28"/>
          <w:szCs w:val="28"/>
        </w:rPr>
      </w:pPr>
      <w:r>
        <w:rPr>
          <w:b/>
          <w:sz w:val="28"/>
          <w:szCs w:val="28"/>
        </w:rPr>
        <w:br w:type="page"/>
      </w:r>
      <w:r>
        <w:rPr>
          <w:rFonts w:hint="eastAsia"/>
          <w:b/>
          <w:sz w:val="28"/>
          <w:szCs w:val="28"/>
        </w:rPr>
        <w:t>三、商务及技术文件格式</w:t>
      </w:r>
      <w:bookmarkEnd w:id="148"/>
    </w:p>
    <w:p w14:paraId="262301C6">
      <w:pPr>
        <w:snapToGrid w:val="0"/>
        <w:spacing w:before="120" w:beforeLines="50" w:after="50" w:line="360" w:lineRule="auto"/>
        <w:jc w:val="left"/>
        <w:rPr>
          <w:rFonts w:hint="eastAsia" w:ascii="宋体" w:hAnsi="宋体"/>
          <w:b/>
          <w:sz w:val="24"/>
        </w:rPr>
      </w:pPr>
      <w:r>
        <w:rPr>
          <w:rFonts w:hint="eastAsia" w:ascii="宋体" w:hAnsi="宋体"/>
          <w:b/>
          <w:sz w:val="24"/>
        </w:rPr>
        <w:t xml:space="preserve">1.商务及技术文件封面格式： </w:t>
      </w:r>
    </w:p>
    <w:p w14:paraId="771267BD">
      <w:pPr>
        <w:snapToGrid w:val="0"/>
        <w:spacing w:before="120" w:beforeLines="50" w:after="50"/>
        <w:jc w:val="center"/>
        <w:rPr>
          <w:rFonts w:hint="eastAsia" w:ascii="宋体" w:hAnsi="宋体"/>
          <w:sz w:val="24"/>
        </w:rPr>
      </w:pPr>
      <w:r>
        <w:rPr>
          <w:rFonts w:hint="eastAsia" w:ascii="宋体" w:hAnsi="宋体" w:eastAsia="方正小标宋简体"/>
          <w:bCs/>
          <w:sz w:val="48"/>
          <w:szCs w:val="48"/>
        </w:rPr>
        <w:t>电子投标文件</w:t>
      </w:r>
    </w:p>
    <w:p w14:paraId="29C70FC3">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商务及技术文件</w:t>
      </w:r>
    </w:p>
    <w:p w14:paraId="22A41E29">
      <w:pPr>
        <w:snapToGrid w:val="0"/>
        <w:spacing w:before="120" w:beforeLines="50" w:after="50"/>
        <w:rPr>
          <w:rFonts w:hint="eastAsia" w:ascii="宋体" w:hAnsi="宋体"/>
          <w:bCs/>
          <w:sz w:val="24"/>
          <w:szCs w:val="20"/>
        </w:rPr>
      </w:pPr>
    </w:p>
    <w:p w14:paraId="40617071">
      <w:pPr>
        <w:snapToGrid w:val="0"/>
        <w:spacing w:before="120" w:beforeLines="50" w:after="50"/>
        <w:ind w:firstLine="540" w:firstLineChars="225"/>
        <w:rPr>
          <w:rFonts w:hint="eastAsia" w:ascii="宋体" w:hAnsi="宋体"/>
          <w:bCs/>
          <w:sz w:val="24"/>
        </w:rPr>
      </w:pPr>
      <w:r>
        <w:rPr>
          <w:rFonts w:hint="eastAsia" w:ascii="宋体" w:hAnsi="宋体"/>
          <w:bCs/>
          <w:sz w:val="24"/>
        </w:rPr>
        <w:t>项目名称：</w:t>
      </w:r>
    </w:p>
    <w:p w14:paraId="0B43162C">
      <w:pPr>
        <w:snapToGrid w:val="0"/>
        <w:spacing w:before="120" w:beforeLines="50" w:after="50"/>
        <w:ind w:firstLine="540" w:firstLineChars="225"/>
        <w:rPr>
          <w:rFonts w:hint="eastAsia" w:ascii="宋体" w:hAnsi="宋体"/>
          <w:bCs/>
          <w:sz w:val="24"/>
          <w:szCs w:val="20"/>
        </w:rPr>
      </w:pPr>
    </w:p>
    <w:p w14:paraId="5FFF39B5">
      <w:pPr>
        <w:snapToGrid w:val="0"/>
        <w:spacing w:before="120" w:beforeLines="50" w:after="50"/>
        <w:ind w:firstLine="540" w:firstLineChars="225"/>
        <w:rPr>
          <w:rFonts w:hint="eastAsia" w:ascii="宋体" w:hAnsi="宋体"/>
          <w:bCs/>
          <w:sz w:val="24"/>
        </w:rPr>
      </w:pPr>
      <w:r>
        <w:rPr>
          <w:rFonts w:hint="eastAsia" w:ascii="宋体" w:hAnsi="宋体"/>
          <w:bCs/>
          <w:sz w:val="24"/>
        </w:rPr>
        <w:t>项目编号：</w:t>
      </w:r>
    </w:p>
    <w:p w14:paraId="1FF5ED17">
      <w:pPr>
        <w:snapToGrid w:val="0"/>
        <w:spacing w:before="120" w:beforeLines="50" w:after="50"/>
        <w:ind w:firstLine="540" w:firstLineChars="225"/>
        <w:rPr>
          <w:rFonts w:hint="eastAsia" w:ascii="宋体" w:hAnsi="宋体"/>
          <w:bCs/>
          <w:sz w:val="24"/>
          <w:szCs w:val="20"/>
        </w:rPr>
      </w:pPr>
      <w:r>
        <w:rPr>
          <w:rFonts w:hint="eastAsia" w:ascii="宋体" w:hAnsi="宋体"/>
          <w:bCs/>
          <w:sz w:val="24"/>
        </w:rPr>
        <w:t xml:space="preserve"> </w:t>
      </w:r>
    </w:p>
    <w:p w14:paraId="75CEC83C">
      <w:pPr>
        <w:snapToGrid w:val="0"/>
        <w:spacing w:before="120" w:beforeLines="50" w:after="50"/>
        <w:ind w:firstLine="540" w:firstLineChars="225"/>
        <w:rPr>
          <w:rFonts w:hint="eastAsia" w:ascii="宋体" w:hAnsi="宋体"/>
          <w:bCs/>
          <w:sz w:val="24"/>
        </w:rPr>
      </w:pPr>
      <w:r>
        <w:rPr>
          <w:rFonts w:hint="eastAsia" w:ascii="宋体" w:hAnsi="宋体"/>
          <w:bCs/>
          <w:sz w:val="24"/>
        </w:rPr>
        <w:t>所投分标：</w:t>
      </w:r>
    </w:p>
    <w:p w14:paraId="03065F59">
      <w:pPr>
        <w:snapToGrid w:val="0"/>
        <w:spacing w:before="120" w:beforeLines="50" w:after="50"/>
        <w:ind w:firstLine="540" w:firstLineChars="225"/>
        <w:rPr>
          <w:rFonts w:hint="eastAsia" w:ascii="宋体" w:hAnsi="宋体"/>
          <w:bCs/>
          <w:sz w:val="24"/>
          <w:szCs w:val="20"/>
        </w:rPr>
      </w:pPr>
    </w:p>
    <w:p w14:paraId="4F61D8ED">
      <w:pPr>
        <w:pStyle w:val="7"/>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2B498C6D">
      <w:pPr>
        <w:pStyle w:val="7"/>
        <w:snapToGrid w:val="0"/>
        <w:spacing w:before="50" w:after="50"/>
        <w:ind w:firstLine="540" w:firstLineChars="225"/>
        <w:rPr>
          <w:rFonts w:hint="eastAsia" w:ascii="宋体" w:hAnsi="宋体"/>
          <w:bCs/>
          <w:sz w:val="24"/>
          <w:szCs w:val="24"/>
        </w:rPr>
      </w:pPr>
    </w:p>
    <w:p w14:paraId="25B13E91">
      <w:pPr>
        <w:pStyle w:val="7"/>
        <w:snapToGrid w:val="0"/>
        <w:spacing w:before="50" w:after="50"/>
        <w:ind w:firstLine="540" w:firstLineChars="225"/>
        <w:rPr>
          <w:rFonts w:hint="eastAsia" w:ascii="宋体" w:hAnsi="宋体"/>
          <w:bCs/>
          <w:sz w:val="24"/>
          <w:szCs w:val="24"/>
        </w:rPr>
      </w:pPr>
      <w:r>
        <w:rPr>
          <w:rFonts w:hint="eastAsia" w:ascii="宋体" w:hAnsi="宋体"/>
          <w:bCs/>
          <w:sz w:val="24"/>
          <w:szCs w:val="24"/>
        </w:rPr>
        <w:t>投标人地址：</w:t>
      </w:r>
    </w:p>
    <w:p w14:paraId="63A4E8FD">
      <w:pPr>
        <w:pStyle w:val="7"/>
        <w:snapToGrid w:val="0"/>
        <w:spacing w:before="50" w:after="50"/>
        <w:ind w:firstLine="960" w:firstLineChars="400"/>
        <w:rPr>
          <w:rFonts w:hint="eastAsia" w:ascii="宋体" w:hAnsi="宋体"/>
          <w:bCs/>
          <w:sz w:val="24"/>
          <w:szCs w:val="24"/>
        </w:rPr>
      </w:pPr>
    </w:p>
    <w:p w14:paraId="4C855E79">
      <w:pPr>
        <w:snapToGrid w:val="0"/>
        <w:spacing w:before="120" w:beforeLines="50" w:after="50"/>
        <w:ind w:firstLine="645"/>
        <w:rPr>
          <w:rFonts w:hint="eastAsia" w:ascii="宋体" w:hAnsi="宋体"/>
          <w:sz w:val="24"/>
        </w:rPr>
      </w:pPr>
      <w:r>
        <w:rPr>
          <w:rFonts w:hint="eastAsia" w:ascii="宋体" w:hAnsi="宋体"/>
          <w:sz w:val="24"/>
        </w:rPr>
        <w:t xml:space="preserve">                        年  月  日</w:t>
      </w:r>
    </w:p>
    <w:p w14:paraId="781C68FE">
      <w:pPr>
        <w:snapToGrid w:val="0"/>
        <w:spacing w:before="120" w:beforeLines="50" w:after="50"/>
        <w:rPr>
          <w:rFonts w:hint="eastAsia" w:ascii="宋体" w:hAnsi="宋体"/>
          <w:sz w:val="24"/>
          <w:szCs w:val="20"/>
        </w:rPr>
      </w:pPr>
      <w:r>
        <w:rPr>
          <w:rFonts w:ascii="宋体" w:hAnsi="宋体"/>
          <w:sz w:val="24"/>
          <w:szCs w:val="20"/>
        </w:rPr>
        <w:t xml:space="preserve"> </w:t>
      </w:r>
    </w:p>
    <w:p w14:paraId="366C5CFA">
      <w:pPr>
        <w:snapToGrid w:val="0"/>
        <w:spacing w:line="360" w:lineRule="auto"/>
        <w:jc w:val="left"/>
        <w:rPr>
          <w:rFonts w:hint="eastAsia" w:ascii="宋体" w:hAnsi="宋体"/>
          <w:b/>
          <w:sz w:val="24"/>
        </w:rPr>
      </w:pPr>
      <w:r>
        <w:rPr>
          <w:rFonts w:ascii="宋体" w:hAnsi="宋体"/>
          <w:sz w:val="24"/>
          <w:szCs w:val="20"/>
        </w:rPr>
        <w:br w:type="page"/>
      </w:r>
      <w:r>
        <w:rPr>
          <w:rFonts w:hint="eastAsia" w:ascii="宋体" w:hAnsi="宋体"/>
          <w:b/>
          <w:sz w:val="24"/>
        </w:rPr>
        <w:t>2.商务及技术文件目录</w:t>
      </w:r>
    </w:p>
    <w:p w14:paraId="0661E3A3">
      <w:pPr>
        <w:snapToGrid w:val="0"/>
        <w:spacing w:before="50" w:after="120" w:afterLines="50" w:line="360" w:lineRule="auto"/>
        <w:ind w:firstLine="560" w:firstLineChars="200"/>
        <w:jc w:val="left"/>
        <w:rPr>
          <w:rFonts w:hint="eastAsia" w:ascii="微软雅黑" w:hAnsi="微软雅黑" w:eastAsia="微软雅黑"/>
          <w:b/>
          <w:bCs/>
          <w:sz w:val="32"/>
          <w:szCs w:val="32"/>
        </w:rPr>
      </w:pPr>
      <w:r>
        <w:rPr>
          <w:rFonts w:hint="eastAsia" w:ascii="宋体" w:hAnsi="宋体"/>
          <w:sz w:val="28"/>
          <w:szCs w:val="28"/>
        </w:rPr>
        <w:t>根据招标文件规定及投标人提供的材料自行编写目录。</w:t>
      </w:r>
    </w:p>
    <w:p w14:paraId="1DA4DE6A">
      <w:pPr>
        <w:snapToGrid w:val="0"/>
        <w:spacing w:before="50" w:after="120" w:afterLines="50"/>
        <w:jc w:val="left"/>
        <w:rPr>
          <w:rFonts w:hint="eastAsia" w:ascii="宋体" w:hAnsi="宋体"/>
        </w:rPr>
      </w:pPr>
    </w:p>
    <w:p w14:paraId="1F2FC222">
      <w:pPr>
        <w:snapToGrid w:val="0"/>
        <w:spacing w:before="120" w:beforeLines="50" w:after="50"/>
        <w:jc w:val="left"/>
        <w:rPr>
          <w:rFonts w:hint="eastAsia" w:ascii="宋体" w:hAnsi="宋体"/>
          <w:b/>
          <w:sz w:val="24"/>
        </w:rPr>
      </w:pPr>
      <w:r>
        <w:rPr>
          <w:rFonts w:ascii="宋体" w:hAnsi="宋体"/>
          <w:b/>
          <w:sz w:val="24"/>
        </w:rPr>
        <w:br w:type="page"/>
      </w:r>
      <w:r>
        <w:rPr>
          <w:rFonts w:hint="eastAsia" w:ascii="宋体" w:hAnsi="宋体"/>
          <w:b/>
          <w:sz w:val="24"/>
        </w:rPr>
        <w:t>3.投标人参加本项目无围标串标行为的承诺</w:t>
      </w:r>
    </w:p>
    <w:p w14:paraId="30CDFE71">
      <w:pPr>
        <w:snapToGrid w:val="0"/>
        <w:spacing w:before="120" w:beforeLines="50" w:after="50"/>
        <w:jc w:val="left"/>
        <w:rPr>
          <w:rFonts w:hint="eastAsia" w:ascii="宋体" w:hAnsi="宋体"/>
          <w:b/>
          <w:sz w:val="24"/>
        </w:rPr>
      </w:pPr>
    </w:p>
    <w:p w14:paraId="6B95F60F">
      <w:pPr>
        <w:spacing w:line="360" w:lineRule="auto"/>
        <w:ind w:left="420"/>
        <w:contextualSpacing/>
        <w:jc w:val="center"/>
        <w:rPr>
          <w:rFonts w:hint="eastAsia" w:ascii="宋体" w:hAnsi="宋体"/>
          <w:b/>
          <w:sz w:val="24"/>
        </w:rPr>
      </w:pPr>
      <w:r>
        <w:rPr>
          <w:rFonts w:hint="eastAsia" w:ascii="方正小标宋简体" w:hAnsi="方正小标宋简体" w:eastAsia="方正小标宋简体" w:cs="方正小标宋简体"/>
          <w:bCs/>
          <w:spacing w:val="-11"/>
          <w:sz w:val="44"/>
          <w:szCs w:val="44"/>
        </w:rPr>
        <w:t>投标人参加本项目无围标串标行为的承诺函</w:t>
      </w:r>
    </w:p>
    <w:p w14:paraId="7D345CB4">
      <w:pPr>
        <w:spacing w:line="440" w:lineRule="exact"/>
        <w:contextualSpacing/>
        <w:jc w:val="left"/>
        <w:rPr>
          <w:rFonts w:hint="eastAsia" w:ascii="宋体" w:hAnsi="宋体"/>
          <w:b/>
          <w:sz w:val="24"/>
        </w:rPr>
      </w:pPr>
      <w:r>
        <w:rPr>
          <w:rFonts w:hint="eastAsia" w:ascii="宋体" w:hAnsi="宋体"/>
          <w:b/>
          <w:sz w:val="24"/>
        </w:rPr>
        <w:t>一、我方承诺无下列相互串通投标的情形：</w:t>
      </w:r>
    </w:p>
    <w:p w14:paraId="1A7DE1BB">
      <w:pPr>
        <w:spacing w:line="440" w:lineRule="exact"/>
        <w:ind w:firstLine="470" w:firstLineChars="196"/>
        <w:contextualSpacing/>
        <w:jc w:val="left"/>
        <w:rPr>
          <w:rFonts w:hint="eastAsia" w:ascii="宋体" w:hAnsi="宋体"/>
          <w:sz w:val="24"/>
        </w:rPr>
      </w:pPr>
      <w:r>
        <w:rPr>
          <w:rFonts w:hint="eastAsia" w:ascii="宋体" w:hAnsi="宋体"/>
          <w:sz w:val="24"/>
        </w:rPr>
        <w:t>1.不同投标人的投标文件由同一单位或者个人编制；或者不同投标人报名的IP地址一致的；或者编制标书硬件设备CPU编号、硬盘编号、网卡地址一致的情况。</w:t>
      </w:r>
    </w:p>
    <w:p w14:paraId="7568CB7D">
      <w:pPr>
        <w:spacing w:line="440" w:lineRule="exact"/>
        <w:ind w:firstLine="470" w:firstLineChars="196"/>
        <w:contextualSpacing/>
        <w:jc w:val="left"/>
        <w:rPr>
          <w:rFonts w:hint="eastAsia" w:ascii="宋体" w:hAnsi="宋体"/>
          <w:sz w:val="24"/>
        </w:rPr>
      </w:pPr>
      <w:r>
        <w:rPr>
          <w:rFonts w:hint="eastAsia" w:ascii="宋体" w:hAnsi="宋体"/>
          <w:sz w:val="24"/>
        </w:rPr>
        <w:t>2.不同投标人委托同一单位或者个人办理投标事宜；</w:t>
      </w:r>
    </w:p>
    <w:p w14:paraId="20D9A2E3">
      <w:pPr>
        <w:spacing w:line="440" w:lineRule="exact"/>
        <w:ind w:firstLine="470" w:firstLineChars="196"/>
        <w:contextualSpacing/>
        <w:jc w:val="left"/>
        <w:rPr>
          <w:rFonts w:hint="eastAsia" w:ascii="宋体" w:hAnsi="宋体"/>
          <w:sz w:val="24"/>
        </w:rPr>
      </w:pPr>
      <w:r>
        <w:rPr>
          <w:rFonts w:hint="eastAsia" w:ascii="宋体" w:hAnsi="宋体"/>
          <w:sz w:val="24"/>
        </w:rPr>
        <w:t>3.不同的投标人的投标文件载明的项目管理员为同一个人；</w:t>
      </w:r>
    </w:p>
    <w:p w14:paraId="6889677A">
      <w:pPr>
        <w:spacing w:line="440" w:lineRule="exact"/>
        <w:ind w:firstLine="470" w:firstLineChars="196"/>
        <w:contextualSpacing/>
        <w:jc w:val="left"/>
        <w:rPr>
          <w:rFonts w:hint="eastAsia" w:ascii="宋体" w:hAnsi="宋体"/>
          <w:sz w:val="24"/>
        </w:rPr>
      </w:pPr>
      <w:r>
        <w:rPr>
          <w:rFonts w:hint="eastAsia" w:ascii="宋体" w:hAnsi="宋体"/>
          <w:sz w:val="24"/>
        </w:rPr>
        <w:t>4.不同投标人的投标文件异常一致或者投标报价呈规律性差异；</w:t>
      </w:r>
    </w:p>
    <w:p w14:paraId="2C39BCE4">
      <w:pPr>
        <w:spacing w:line="440" w:lineRule="exact"/>
        <w:ind w:firstLine="470" w:firstLineChars="196"/>
        <w:contextualSpacing/>
        <w:jc w:val="left"/>
        <w:rPr>
          <w:rFonts w:hint="eastAsia" w:ascii="宋体" w:hAnsi="宋体"/>
          <w:sz w:val="24"/>
        </w:rPr>
      </w:pPr>
      <w:r>
        <w:rPr>
          <w:rFonts w:hint="eastAsia" w:ascii="宋体" w:hAnsi="宋体"/>
          <w:sz w:val="24"/>
        </w:rPr>
        <w:t>5.不同投标人的投标文件相互混装；</w:t>
      </w:r>
    </w:p>
    <w:p w14:paraId="7F4CF026">
      <w:pPr>
        <w:spacing w:line="440" w:lineRule="exact"/>
        <w:ind w:firstLine="470" w:firstLineChars="196"/>
        <w:contextualSpacing/>
        <w:jc w:val="left"/>
        <w:rPr>
          <w:rFonts w:hint="eastAsia" w:ascii="宋体" w:hAnsi="宋体"/>
          <w:sz w:val="24"/>
        </w:rPr>
      </w:pPr>
      <w:r>
        <w:rPr>
          <w:rFonts w:hint="eastAsia" w:ascii="宋体" w:hAnsi="宋体"/>
          <w:sz w:val="24"/>
        </w:rPr>
        <w:t>6.不同投标人的投标保证金从同一单位或者个人账户转出。</w:t>
      </w:r>
    </w:p>
    <w:p w14:paraId="2526DC91">
      <w:pPr>
        <w:spacing w:line="440" w:lineRule="exact"/>
        <w:contextualSpacing/>
        <w:jc w:val="left"/>
        <w:rPr>
          <w:rFonts w:hint="eastAsia" w:ascii="宋体" w:hAnsi="宋体"/>
          <w:sz w:val="24"/>
        </w:rPr>
      </w:pPr>
      <w:r>
        <w:rPr>
          <w:rFonts w:hint="eastAsia" w:ascii="宋体" w:hAnsi="宋体"/>
          <w:b/>
          <w:sz w:val="24"/>
        </w:rPr>
        <w:t>二、我方承诺无下列恶意串通的情形：</w:t>
      </w:r>
    </w:p>
    <w:p w14:paraId="6BDC95CC">
      <w:pPr>
        <w:spacing w:line="440" w:lineRule="exact"/>
        <w:ind w:firstLine="470" w:firstLineChars="196"/>
        <w:contextualSpacing/>
        <w:jc w:val="left"/>
        <w:rPr>
          <w:rFonts w:hint="eastAsia" w:ascii="宋体" w:hAnsi="宋体"/>
          <w:sz w:val="24"/>
        </w:rPr>
      </w:pPr>
      <w:r>
        <w:rPr>
          <w:rFonts w:hint="eastAsia" w:ascii="宋体" w:hAnsi="宋体"/>
          <w:sz w:val="24"/>
        </w:rPr>
        <w:t>1.投标人直接或者间接从采购人或者采购代理机构处获得其他投标人的相关信息并修改其投标文件或者响应文件；</w:t>
      </w:r>
    </w:p>
    <w:p w14:paraId="7729F57B">
      <w:pPr>
        <w:spacing w:line="440" w:lineRule="exact"/>
        <w:ind w:firstLine="470" w:firstLineChars="196"/>
        <w:contextualSpacing/>
        <w:jc w:val="left"/>
        <w:rPr>
          <w:rFonts w:hint="eastAsia" w:ascii="宋体" w:hAnsi="宋体"/>
          <w:sz w:val="24"/>
        </w:rPr>
      </w:pPr>
      <w:r>
        <w:rPr>
          <w:rFonts w:hint="eastAsia" w:ascii="宋体" w:hAnsi="宋体"/>
          <w:sz w:val="24"/>
        </w:rPr>
        <w:t>2.投标人按照采购人或者采购代理机构的授意撤换、修改投标文件或者响应文件；</w:t>
      </w:r>
    </w:p>
    <w:p w14:paraId="01094BF3">
      <w:pPr>
        <w:spacing w:line="440" w:lineRule="exact"/>
        <w:ind w:firstLine="470" w:firstLineChars="196"/>
        <w:contextualSpacing/>
        <w:jc w:val="left"/>
        <w:rPr>
          <w:rFonts w:hint="eastAsia" w:ascii="宋体" w:hAnsi="宋体"/>
          <w:sz w:val="24"/>
        </w:rPr>
      </w:pPr>
      <w:r>
        <w:rPr>
          <w:rFonts w:hint="eastAsia" w:ascii="宋体" w:hAnsi="宋体"/>
          <w:sz w:val="24"/>
        </w:rPr>
        <w:t>3.投标人之间协商报价、技术方案等投标文件或者响应文件的实质性内容；</w:t>
      </w:r>
    </w:p>
    <w:p w14:paraId="31CDBA72">
      <w:pPr>
        <w:spacing w:line="440" w:lineRule="exact"/>
        <w:ind w:firstLine="470" w:firstLineChars="196"/>
        <w:contextualSpacing/>
        <w:jc w:val="left"/>
        <w:rPr>
          <w:rFonts w:hint="eastAsia" w:ascii="宋体" w:hAnsi="宋体"/>
          <w:sz w:val="24"/>
        </w:rPr>
      </w:pPr>
      <w:r>
        <w:rPr>
          <w:rFonts w:hint="eastAsia" w:ascii="宋体" w:hAnsi="宋体"/>
          <w:sz w:val="24"/>
        </w:rPr>
        <w:t>4.属于同一集团、协会、商会等组织成员的投标人按照该组织要求协同参加政府采购活动；</w:t>
      </w:r>
    </w:p>
    <w:p w14:paraId="45B05047">
      <w:pPr>
        <w:spacing w:line="440" w:lineRule="exact"/>
        <w:ind w:firstLine="470" w:firstLineChars="196"/>
        <w:contextualSpacing/>
        <w:jc w:val="left"/>
        <w:rPr>
          <w:rFonts w:hint="eastAsia" w:ascii="宋体" w:hAnsi="宋体"/>
          <w:sz w:val="24"/>
        </w:rPr>
      </w:pPr>
      <w:r>
        <w:rPr>
          <w:rFonts w:hint="eastAsia" w:ascii="宋体" w:hAnsi="宋体"/>
          <w:sz w:val="24"/>
        </w:rPr>
        <w:t>5.投标人之间事先约定一致抬高或者压低投标报价，或者在招标项目中事先约定轮流以高价位或者低价位中标，或者事先约定由某一特定投标人中标，然后再参加投标；</w:t>
      </w:r>
    </w:p>
    <w:p w14:paraId="081DFF01">
      <w:pPr>
        <w:spacing w:line="440" w:lineRule="exact"/>
        <w:ind w:firstLine="470" w:firstLineChars="196"/>
        <w:contextualSpacing/>
        <w:jc w:val="left"/>
        <w:rPr>
          <w:rFonts w:hint="eastAsia" w:ascii="宋体" w:hAnsi="宋体"/>
          <w:sz w:val="24"/>
        </w:rPr>
      </w:pPr>
      <w:r>
        <w:rPr>
          <w:rFonts w:hint="eastAsia" w:ascii="宋体" w:hAnsi="宋体"/>
          <w:sz w:val="24"/>
        </w:rPr>
        <w:t>6.投标人之间商定部分投标人放弃参加政府采购活动或者放弃中标；</w:t>
      </w:r>
    </w:p>
    <w:p w14:paraId="4C2ACAD7">
      <w:pPr>
        <w:spacing w:line="440" w:lineRule="exact"/>
        <w:ind w:firstLine="470" w:firstLineChars="196"/>
        <w:contextualSpacing/>
        <w:jc w:val="left"/>
        <w:rPr>
          <w:rFonts w:hint="eastAsia" w:ascii="宋体" w:hAnsi="宋体"/>
          <w:sz w:val="24"/>
        </w:rPr>
      </w:pPr>
      <w:r>
        <w:rPr>
          <w:rFonts w:hint="eastAsia" w:ascii="宋体" w:hAnsi="宋体"/>
          <w:sz w:val="24"/>
        </w:rPr>
        <w:t>7.投标人与采购人或者采购代理机构之间、投标人相互之间，为谋求特定投标人中标或者排斥其他投标人的其他串通行为。</w:t>
      </w:r>
    </w:p>
    <w:p w14:paraId="77FD3E98">
      <w:pPr>
        <w:spacing w:line="440" w:lineRule="exact"/>
        <w:ind w:firstLine="472" w:firstLineChars="196"/>
        <w:contextualSpacing/>
        <w:jc w:val="left"/>
        <w:rPr>
          <w:rFonts w:hint="eastAsia" w:ascii="宋体" w:hAnsi="宋体"/>
          <w:b/>
          <w:sz w:val="24"/>
        </w:rPr>
      </w:pPr>
      <w:r>
        <w:rPr>
          <w:rFonts w:hint="eastAsia" w:ascii="宋体" w:hAnsi="宋体"/>
          <w:b/>
          <w:sz w:val="24"/>
        </w:rPr>
        <w:t>以上情形一经核查属实，我方愿意承担一切后果，并不再寻求任何旨在减轻或者免除法律责任的辩解。</w:t>
      </w:r>
    </w:p>
    <w:p w14:paraId="7A970579">
      <w:pPr>
        <w:pStyle w:val="25"/>
        <w:spacing w:line="440" w:lineRule="exact"/>
        <w:ind w:firstLine="960" w:firstLineChars="400"/>
        <w:contextualSpacing/>
        <w:rPr>
          <w:rFonts w:hint="eastAsia" w:hAnsi="宋体"/>
          <w:sz w:val="24"/>
          <w:szCs w:val="24"/>
        </w:rPr>
      </w:pPr>
      <w:r>
        <w:rPr>
          <w:rFonts w:hint="eastAsia" w:hAnsi="宋体"/>
          <w:sz w:val="24"/>
        </w:rPr>
        <w:t>法定代表人或者委托代理人</w:t>
      </w:r>
      <w:r>
        <w:rPr>
          <w:rFonts w:hint="eastAsia" w:hAnsi="宋体"/>
          <w:spacing w:val="20"/>
          <w:sz w:val="24"/>
        </w:rPr>
        <w:t>（签字或者电子签名）：</w:t>
      </w:r>
      <w:r>
        <w:rPr>
          <w:rFonts w:hint="eastAsia" w:hAnsi="宋体"/>
          <w:spacing w:val="20"/>
          <w:sz w:val="24"/>
          <w:u w:val="single"/>
        </w:rPr>
        <w:t xml:space="preserve">        </w:t>
      </w:r>
    </w:p>
    <w:p w14:paraId="3A86C95C">
      <w:pPr>
        <w:pStyle w:val="25"/>
        <w:spacing w:line="440" w:lineRule="exact"/>
        <w:contextualSpacing/>
        <w:jc w:val="center"/>
        <w:rPr>
          <w:rFonts w:hint="eastAsia" w:hAnsi="宋体"/>
          <w:sz w:val="24"/>
          <w:szCs w:val="24"/>
        </w:rPr>
      </w:pPr>
      <w:r>
        <w:rPr>
          <w:rFonts w:hint="eastAsia" w:hAnsi="宋体"/>
          <w:sz w:val="24"/>
          <w:szCs w:val="24"/>
        </w:rPr>
        <w:t xml:space="preserve"> </w:t>
      </w:r>
      <w:r>
        <w:rPr>
          <w:rFonts w:hAnsi="宋体"/>
          <w:sz w:val="24"/>
          <w:szCs w:val="24"/>
        </w:rPr>
        <w:t xml:space="preserve">                                   </w:t>
      </w:r>
      <w:r>
        <w:rPr>
          <w:rFonts w:hint="eastAsia" w:hAnsi="宋体"/>
          <w:sz w:val="24"/>
          <w:szCs w:val="24"/>
        </w:rPr>
        <w:t>投标人名称（电子签章）</w:t>
      </w:r>
    </w:p>
    <w:p w14:paraId="37E75C13">
      <w:pPr>
        <w:pStyle w:val="25"/>
        <w:spacing w:line="440" w:lineRule="exact"/>
        <w:contextualSpacing/>
        <w:rPr>
          <w:rFonts w:hint="eastAsia"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387EE3EC">
      <w:pPr>
        <w:jc w:val="left"/>
        <w:rPr>
          <w:rFonts w:hint="eastAsia" w:ascii="宋体" w:hAnsi="宋体"/>
          <w:b/>
          <w:sz w:val="24"/>
        </w:rPr>
      </w:pPr>
      <w:r>
        <w:rPr>
          <w:rFonts w:hint="eastAsia" w:ascii="宋体" w:hAnsi="宋体"/>
          <w:b/>
          <w:sz w:val="24"/>
        </w:rPr>
        <w:br w:type="page"/>
      </w:r>
      <w:r>
        <w:rPr>
          <w:rFonts w:hint="eastAsia" w:ascii="宋体" w:hAnsi="宋体"/>
          <w:b/>
          <w:sz w:val="24"/>
        </w:rPr>
        <w:t>4.投标保证金证明</w:t>
      </w:r>
    </w:p>
    <w:p w14:paraId="32D13281">
      <w:pPr>
        <w:jc w:val="left"/>
        <w:rPr>
          <w:rFonts w:hint="eastAsia" w:ascii="宋体" w:hAnsi="宋体"/>
          <w:b/>
          <w:sz w:val="24"/>
        </w:rPr>
      </w:pPr>
    </w:p>
    <w:p w14:paraId="190CA116">
      <w:pPr>
        <w:spacing w:line="360" w:lineRule="auto"/>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投标保证金证明</w:t>
      </w:r>
    </w:p>
    <w:p w14:paraId="1BBE43E1">
      <w:pPr>
        <w:tabs>
          <w:tab w:val="left" w:pos="2360"/>
        </w:tabs>
        <w:autoSpaceDE w:val="0"/>
        <w:autoSpaceDN w:val="0"/>
        <w:adjustRightInd w:val="0"/>
        <w:spacing w:line="360" w:lineRule="auto"/>
        <w:ind w:right="-40"/>
        <w:jc w:val="left"/>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广西中信恒泰工程顾问有限公司 </w:t>
      </w:r>
    </w:p>
    <w:p w14:paraId="75CDA674">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我方为____________(项目名称)(项目编号：________)递交保证金人民币________元(大写(人民币　　元)已于______年____月____日以银行主动划账方式划入你方账户。</w:t>
      </w:r>
    </w:p>
    <w:p w14:paraId="549261C0">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详见附件：转账（或电汇）底单复印件。</w:t>
      </w:r>
    </w:p>
    <w:p w14:paraId="26BF0B81">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退还保证金时请按以下内容划入我方账户。若因内容不全、错误、字迹潦草模糊导致该项目保证金未能及时退还或退还过程中发生错误，我方将承担全部责任和损失。</w:t>
      </w:r>
    </w:p>
    <w:tbl>
      <w:tblPr>
        <w:tblStyle w:val="48"/>
        <w:tblW w:w="8780" w:type="dxa"/>
        <w:jc w:val="center"/>
        <w:tblLayout w:type="fixed"/>
        <w:tblCellMar>
          <w:top w:w="0" w:type="dxa"/>
          <w:left w:w="108" w:type="dxa"/>
          <w:bottom w:w="0" w:type="dxa"/>
          <w:right w:w="108" w:type="dxa"/>
        </w:tblCellMar>
      </w:tblPr>
      <w:tblGrid>
        <w:gridCol w:w="1380"/>
        <w:gridCol w:w="3136"/>
        <w:gridCol w:w="1773"/>
        <w:gridCol w:w="2491"/>
      </w:tblGrid>
      <w:tr w14:paraId="652189AF">
        <w:tblPrEx>
          <w:tblCellMar>
            <w:top w:w="0" w:type="dxa"/>
            <w:left w:w="108" w:type="dxa"/>
            <w:bottom w:w="0" w:type="dxa"/>
            <w:right w:w="108" w:type="dxa"/>
          </w:tblCellMar>
        </w:tblPrEx>
        <w:trPr>
          <w:trHeight w:val="488" w:hRule="atLeast"/>
          <w:jc w:val="center"/>
        </w:trPr>
        <w:tc>
          <w:tcPr>
            <w:tcW w:w="8780" w:type="dxa"/>
            <w:gridSpan w:val="4"/>
            <w:tcBorders>
              <w:top w:val="nil"/>
              <w:left w:val="nil"/>
              <w:bottom w:val="single" w:color="auto" w:sz="4" w:space="0"/>
              <w:right w:val="nil"/>
            </w:tcBorders>
            <w:vAlign w:val="center"/>
          </w:tcPr>
          <w:p w14:paraId="4BA39D18">
            <w:pPr>
              <w:tabs>
                <w:tab w:val="left" w:pos="1160"/>
              </w:tabs>
              <w:spacing w:line="360" w:lineRule="auto"/>
              <w:rPr>
                <w:rFonts w:hint="eastAsia" w:ascii="宋体" w:hAnsi="宋体" w:cs="宋体"/>
                <w:bCs/>
                <w:kern w:val="0"/>
                <w:sz w:val="24"/>
              </w:rPr>
            </w:pPr>
            <w:r>
              <w:rPr>
                <w:rFonts w:hint="eastAsia" w:ascii="宋体" w:hAnsi="宋体" w:cs="宋体"/>
                <w:sz w:val="24"/>
              </w:rPr>
              <w:t>保证金交款、退款函</w:t>
            </w:r>
          </w:p>
        </w:tc>
      </w:tr>
      <w:tr w14:paraId="07DD22B1">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2C6304EA">
            <w:pPr>
              <w:tabs>
                <w:tab w:val="left" w:pos="1160"/>
              </w:tabs>
              <w:spacing w:line="360" w:lineRule="auto"/>
              <w:jc w:val="center"/>
              <w:rPr>
                <w:rFonts w:hint="eastAsia" w:ascii="宋体" w:hAnsi="宋体" w:cs="宋体"/>
                <w:sz w:val="24"/>
              </w:rPr>
            </w:pPr>
            <w:r>
              <w:rPr>
                <w:rFonts w:hint="eastAsia" w:ascii="宋体" w:hAnsi="宋体" w:cs="宋体"/>
                <w:sz w:val="24"/>
              </w:rPr>
              <w:t>项目名称</w:t>
            </w:r>
          </w:p>
        </w:tc>
        <w:tc>
          <w:tcPr>
            <w:tcW w:w="3136" w:type="dxa"/>
            <w:tcBorders>
              <w:top w:val="single" w:color="auto" w:sz="4" w:space="0"/>
              <w:left w:val="single" w:color="auto" w:sz="4" w:space="0"/>
              <w:bottom w:val="single" w:color="auto" w:sz="4" w:space="0"/>
              <w:right w:val="single" w:color="auto" w:sz="4" w:space="0"/>
            </w:tcBorders>
            <w:vAlign w:val="center"/>
          </w:tcPr>
          <w:p w14:paraId="3443367D">
            <w:pPr>
              <w:tabs>
                <w:tab w:val="left" w:pos="1160"/>
              </w:tabs>
              <w:spacing w:line="360" w:lineRule="auto"/>
              <w:jc w:val="center"/>
              <w:rPr>
                <w:rFonts w:hint="eastAsia" w:ascii="宋体" w:hAnsi="宋体" w:cs="宋体"/>
                <w:sz w:val="24"/>
              </w:rPr>
            </w:pPr>
          </w:p>
        </w:tc>
        <w:tc>
          <w:tcPr>
            <w:tcW w:w="1773" w:type="dxa"/>
            <w:tcBorders>
              <w:top w:val="single" w:color="auto" w:sz="4" w:space="0"/>
              <w:left w:val="single" w:color="auto" w:sz="4" w:space="0"/>
              <w:bottom w:val="single" w:color="auto" w:sz="4" w:space="0"/>
              <w:right w:val="single" w:color="auto" w:sz="4" w:space="0"/>
            </w:tcBorders>
            <w:vAlign w:val="center"/>
          </w:tcPr>
          <w:p w14:paraId="68FCA90E">
            <w:pPr>
              <w:tabs>
                <w:tab w:val="left" w:pos="1160"/>
              </w:tabs>
              <w:spacing w:line="360" w:lineRule="auto"/>
              <w:jc w:val="center"/>
              <w:rPr>
                <w:rFonts w:hint="eastAsia" w:ascii="宋体" w:hAnsi="宋体" w:cs="宋体"/>
                <w:sz w:val="24"/>
              </w:rPr>
            </w:pPr>
            <w:r>
              <w:rPr>
                <w:rFonts w:hint="eastAsia" w:ascii="宋体" w:hAnsi="宋体" w:cs="宋体"/>
                <w:sz w:val="24"/>
              </w:rPr>
              <w:t>项目编号</w:t>
            </w:r>
          </w:p>
        </w:tc>
        <w:tc>
          <w:tcPr>
            <w:tcW w:w="2491" w:type="dxa"/>
            <w:tcBorders>
              <w:top w:val="single" w:color="auto" w:sz="4" w:space="0"/>
              <w:left w:val="single" w:color="auto" w:sz="4" w:space="0"/>
              <w:bottom w:val="single" w:color="auto" w:sz="4" w:space="0"/>
              <w:right w:val="single" w:color="auto" w:sz="4" w:space="0"/>
            </w:tcBorders>
            <w:vAlign w:val="center"/>
          </w:tcPr>
          <w:p w14:paraId="4507082B">
            <w:pPr>
              <w:tabs>
                <w:tab w:val="left" w:pos="1160"/>
              </w:tabs>
              <w:spacing w:line="360" w:lineRule="auto"/>
              <w:jc w:val="center"/>
              <w:rPr>
                <w:rFonts w:hint="eastAsia" w:ascii="宋体" w:hAnsi="宋体" w:cs="宋体"/>
                <w:sz w:val="24"/>
              </w:rPr>
            </w:pPr>
          </w:p>
        </w:tc>
      </w:tr>
      <w:tr w14:paraId="1AADE363">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0BF68F1F">
            <w:pPr>
              <w:tabs>
                <w:tab w:val="left" w:pos="1160"/>
              </w:tabs>
              <w:spacing w:line="360" w:lineRule="auto"/>
              <w:jc w:val="center"/>
              <w:rPr>
                <w:rFonts w:hint="eastAsia" w:ascii="宋体" w:hAnsi="宋体" w:cs="宋体"/>
                <w:sz w:val="24"/>
              </w:rPr>
            </w:pPr>
            <w:r>
              <w:rPr>
                <w:rFonts w:hint="eastAsia" w:ascii="宋体" w:hAnsi="宋体" w:cs="宋体"/>
                <w:sz w:val="24"/>
              </w:rPr>
              <w:t>交款单位</w:t>
            </w:r>
          </w:p>
        </w:tc>
        <w:tc>
          <w:tcPr>
            <w:tcW w:w="3136" w:type="dxa"/>
            <w:tcBorders>
              <w:top w:val="single" w:color="auto" w:sz="4" w:space="0"/>
              <w:left w:val="single" w:color="auto" w:sz="4" w:space="0"/>
              <w:bottom w:val="single" w:color="auto" w:sz="4" w:space="0"/>
              <w:right w:val="single" w:color="auto" w:sz="4" w:space="0"/>
            </w:tcBorders>
            <w:vAlign w:val="center"/>
          </w:tcPr>
          <w:p w14:paraId="51189104">
            <w:pPr>
              <w:tabs>
                <w:tab w:val="left" w:pos="1160"/>
              </w:tabs>
              <w:spacing w:line="360" w:lineRule="auto"/>
              <w:jc w:val="center"/>
              <w:rPr>
                <w:rFonts w:hint="eastAsia" w:ascii="宋体" w:hAnsi="宋体" w:cs="宋体"/>
                <w:sz w:val="24"/>
              </w:rPr>
            </w:pPr>
          </w:p>
        </w:tc>
        <w:tc>
          <w:tcPr>
            <w:tcW w:w="1773" w:type="dxa"/>
            <w:tcBorders>
              <w:top w:val="single" w:color="auto" w:sz="4" w:space="0"/>
              <w:left w:val="single" w:color="auto" w:sz="4" w:space="0"/>
              <w:bottom w:val="single" w:color="auto" w:sz="4" w:space="0"/>
              <w:right w:val="single" w:color="auto" w:sz="4" w:space="0"/>
            </w:tcBorders>
            <w:vAlign w:val="center"/>
          </w:tcPr>
          <w:p w14:paraId="55123018">
            <w:pPr>
              <w:tabs>
                <w:tab w:val="left" w:pos="1160"/>
              </w:tabs>
              <w:spacing w:line="360" w:lineRule="auto"/>
              <w:jc w:val="center"/>
              <w:rPr>
                <w:rFonts w:hint="eastAsia" w:ascii="宋体" w:hAnsi="宋体" w:cs="宋体"/>
                <w:sz w:val="24"/>
              </w:rPr>
            </w:pPr>
            <w:r>
              <w:rPr>
                <w:rFonts w:hint="eastAsia" w:ascii="宋体" w:hAnsi="宋体" w:cs="宋体"/>
                <w:sz w:val="24"/>
              </w:rPr>
              <w:t>联系人及电话</w:t>
            </w:r>
          </w:p>
        </w:tc>
        <w:tc>
          <w:tcPr>
            <w:tcW w:w="2491" w:type="dxa"/>
            <w:tcBorders>
              <w:top w:val="single" w:color="auto" w:sz="4" w:space="0"/>
              <w:left w:val="single" w:color="auto" w:sz="4" w:space="0"/>
              <w:bottom w:val="single" w:color="auto" w:sz="4" w:space="0"/>
              <w:right w:val="single" w:color="auto" w:sz="4" w:space="0"/>
            </w:tcBorders>
            <w:vAlign w:val="center"/>
          </w:tcPr>
          <w:p w14:paraId="247EF3A5">
            <w:pPr>
              <w:tabs>
                <w:tab w:val="left" w:pos="1160"/>
              </w:tabs>
              <w:spacing w:line="360" w:lineRule="auto"/>
              <w:jc w:val="center"/>
              <w:rPr>
                <w:rFonts w:hint="eastAsia" w:ascii="宋体" w:hAnsi="宋体" w:cs="宋体"/>
                <w:sz w:val="24"/>
              </w:rPr>
            </w:pPr>
          </w:p>
        </w:tc>
      </w:tr>
      <w:tr w14:paraId="4B7E57A8">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3891CD9F">
            <w:pPr>
              <w:tabs>
                <w:tab w:val="left" w:pos="1160"/>
              </w:tabs>
              <w:spacing w:line="360" w:lineRule="auto"/>
              <w:jc w:val="center"/>
              <w:rPr>
                <w:rFonts w:hint="eastAsia" w:ascii="宋体" w:hAnsi="宋体" w:cs="宋体"/>
                <w:sz w:val="24"/>
              </w:rPr>
            </w:pPr>
            <w:r>
              <w:rPr>
                <w:rFonts w:hint="eastAsia" w:ascii="宋体" w:hAnsi="宋体" w:cs="宋体"/>
                <w:sz w:val="24"/>
              </w:rPr>
              <w:t>分标号</w:t>
            </w:r>
          </w:p>
        </w:tc>
        <w:tc>
          <w:tcPr>
            <w:tcW w:w="3136" w:type="dxa"/>
            <w:tcBorders>
              <w:top w:val="single" w:color="auto" w:sz="4" w:space="0"/>
              <w:left w:val="single" w:color="auto" w:sz="4" w:space="0"/>
              <w:bottom w:val="single" w:color="auto" w:sz="4" w:space="0"/>
              <w:right w:val="single" w:color="auto" w:sz="4" w:space="0"/>
            </w:tcBorders>
            <w:vAlign w:val="center"/>
          </w:tcPr>
          <w:p w14:paraId="33E3A3D3">
            <w:pPr>
              <w:tabs>
                <w:tab w:val="left" w:pos="1160"/>
              </w:tabs>
              <w:spacing w:line="360" w:lineRule="auto"/>
              <w:jc w:val="center"/>
              <w:rPr>
                <w:rFonts w:hint="eastAsia" w:ascii="宋体" w:hAnsi="宋体" w:cs="宋体"/>
                <w:bCs/>
                <w:kern w:val="0"/>
                <w:sz w:val="24"/>
              </w:rPr>
            </w:pPr>
            <w:r>
              <w:rPr>
                <w:rFonts w:hint="eastAsia" w:ascii="宋体" w:hAnsi="宋体" w:cs="宋体"/>
                <w:sz w:val="24"/>
              </w:rPr>
              <w:t>（若无留空或写“/”）</w:t>
            </w:r>
          </w:p>
        </w:tc>
        <w:tc>
          <w:tcPr>
            <w:tcW w:w="4264" w:type="dxa"/>
            <w:gridSpan w:val="2"/>
            <w:vMerge w:val="restart"/>
            <w:tcBorders>
              <w:top w:val="single" w:color="auto" w:sz="4" w:space="0"/>
              <w:left w:val="single" w:color="auto" w:sz="4" w:space="0"/>
              <w:bottom w:val="single" w:color="auto" w:sz="4" w:space="0"/>
              <w:right w:val="single" w:color="auto" w:sz="4" w:space="0"/>
            </w:tcBorders>
          </w:tcPr>
          <w:p w14:paraId="437087BE">
            <w:pPr>
              <w:tabs>
                <w:tab w:val="left" w:pos="2360"/>
              </w:tabs>
              <w:autoSpaceDE w:val="0"/>
              <w:autoSpaceDN w:val="0"/>
              <w:adjustRightInd w:val="0"/>
              <w:spacing w:line="360" w:lineRule="auto"/>
              <w:ind w:right="-40"/>
              <w:jc w:val="left"/>
              <w:rPr>
                <w:rFonts w:hint="eastAsia" w:ascii="宋体" w:hAnsi="宋体" w:cs="宋体"/>
                <w:sz w:val="24"/>
              </w:rPr>
            </w:pPr>
            <w:r>
              <w:rPr>
                <w:rFonts w:hint="eastAsia" w:ascii="宋体" w:hAnsi="宋体" w:cs="宋体"/>
                <w:sz w:val="24"/>
              </w:rPr>
              <w:t xml:space="preserve">1.若我单位未中标请采购人或采购代理机构于该项目中标通知书发出后5个工作日内将保证金退回原交款人。 </w:t>
            </w:r>
          </w:p>
          <w:p w14:paraId="09804764">
            <w:pPr>
              <w:tabs>
                <w:tab w:val="left" w:pos="2360"/>
              </w:tabs>
              <w:autoSpaceDE w:val="0"/>
              <w:autoSpaceDN w:val="0"/>
              <w:adjustRightInd w:val="0"/>
              <w:spacing w:line="360" w:lineRule="auto"/>
              <w:ind w:right="-40"/>
              <w:jc w:val="left"/>
              <w:rPr>
                <w:rFonts w:hint="eastAsia" w:ascii="宋体" w:hAnsi="宋体" w:cs="宋体"/>
                <w:sz w:val="24"/>
              </w:rPr>
            </w:pPr>
            <w:r>
              <w:rPr>
                <w:rFonts w:hint="eastAsia" w:ascii="宋体" w:hAnsi="宋体" w:cs="宋体"/>
                <w:sz w:val="24"/>
              </w:rPr>
              <w:t xml:space="preserve">2.若我单位中标，请采购人或采购代理机构收到我单位提交的合同后5个工作日内将保证金退回原交款人。                </w:t>
            </w:r>
          </w:p>
          <w:p w14:paraId="6CAC72C7">
            <w:pPr>
              <w:tabs>
                <w:tab w:val="left" w:pos="2360"/>
              </w:tabs>
              <w:autoSpaceDE w:val="0"/>
              <w:autoSpaceDN w:val="0"/>
              <w:adjustRightInd w:val="0"/>
              <w:spacing w:line="360" w:lineRule="auto"/>
              <w:ind w:right="-40"/>
              <w:jc w:val="left"/>
              <w:rPr>
                <w:rFonts w:hint="eastAsia" w:ascii="宋体" w:hAnsi="宋体" w:cs="宋体"/>
                <w:sz w:val="24"/>
              </w:rPr>
            </w:pPr>
          </w:p>
          <w:p w14:paraId="1DD714EA">
            <w:pPr>
              <w:tabs>
                <w:tab w:val="left" w:pos="2360"/>
              </w:tabs>
              <w:autoSpaceDE w:val="0"/>
              <w:autoSpaceDN w:val="0"/>
              <w:adjustRightInd w:val="0"/>
              <w:spacing w:line="360" w:lineRule="auto"/>
              <w:ind w:right="-40"/>
              <w:jc w:val="left"/>
              <w:rPr>
                <w:rFonts w:hint="eastAsia" w:ascii="宋体" w:hAnsi="宋体" w:cs="宋体"/>
                <w:sz w:val="24"/>
              </w:rPr>
            </w:pPr>
            <w:r>
              <w:rPr>
                <w:rFonts w:hint="eastAsia" w:ascii="宋体" w:hAnsi="宋体" w:cs="宋体"/>
                <w:sz w:val="24"/>
              </w:rPr>
              <w:t>单位名称（公章）：</w:t>
            </w:r>
          </w:p>
          <w:p w14:paraId="0D198E75">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 xml:space="preserve">                  年   月   日</w:t>
            </w:r>
          </w:p>
        </w:tc>
      </w:tr>
      <w:tr w14:paraId="2B1129F0">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17E31CC3">
            <w:pPr>
              <w:tabs>
                <w:tab w:val="left" w:pos="1160"/>
              </w:tabs>
              <w:spacing w:line="360" w:lineRule="auto"/>
              <w:jc w:val="center"/>
              <w:rPr>
                <w:rFonts w:hint="eastAsia" w:ascii="宋体" w:hAnsi="宋体" w:cs="宋体"/>
                <w:sz w:val="24"/>
              </w:rPr>
            </w:pPr>
            <w:r>
              <w:rPr>
                <w:rFonts w:hint="eastAsia" w:ascii="宋体" w:hAnsi="宋体" w:cs="宋体"/>
                <w:sz w:val="24"/>
              </w:rPr>
              <w:t>保证金金额</w:t>
            </w:r>
          </w:p>
        </w:tc>
        <w:tc>
          <w:tcPr>
            <w:tcW w:w="3136" w:type="dxa"/>
            <w:tcBorders>
              <w:top w:val="single" w:color="auto" w:sz="4" w:space="0"/>
              <w:left w:val="single" w:color="auto" w:sz="4" w:space="0"/>
              <w:bottom w:val="single" w:color="auto" w:sz="4" w:space="0"/>
              <w:right w:val="single" w:color="auto" w:sz="4" w:space="0"/>
            </w:tcBorders>
            <w:vAlign w:val="center"/>
          </w:tcPr>
          <w:p w14:paraId="7E914CE8">
            <w:pPr>
              <w:tabs>
                <w:tab w:val="left" w:pos="1160"/>
              </w:tabs>
              <w:spacing w:line="360" w:lineRule="auto"/>
              <w:jc w:val="center"/>
              <w:rPr>
                <w:rFonts w:hint="eastAsia" w:ascii="宋体" w:hAnsi="宋体" w:cs="宋体"/>
                <w:sz w:val="24"/>
              </w:rPr>
            </w:pPr>
            <w:r>
              <w:rPr>
                <w:rFonts w:hint="eastAsia" w:ascii="宋体" w:hAnsi="宋体" w:cs="宋体"/>
                <w:sz w:val="24"/>
              </w:rPr>
              <w:t>¥</w:t>
            </w:r>
          </w:p>
        </w:tc>
        <w:tc>
          <w:tcPr>
            <w:tcW w:w="4264" w:type="dxa"/>
            <w:gridSpan w:val="2"/>
            <w:vMerge w:val="continue"/>
            <w:tcBorders>
              <w:left w:val="single" w:color="auto" w:sz="4" w:space="0"/>
              <w:right w:val="single" w:color="auto" w:sz="4" w:space="0"/>
            </w:tcBorders>
          </w:tcPr>
          <w:p w14:paraId="178ABA54">
            <w:pPr>
              <w:tabs>
                <w:tab w:val="left" w:pos="1160"/>
              </w:tabs>
              <w:spacing w:line="360" w:lineRule="auto"/>
              <w:rPr>
                <w:rFonts w:hint="eastAsia" w:ascii="宋体" w:hAnsi="宋体" w:cs="宋体"/>
                <w:sz w:val="24"/>
              </w:rPr>
            </w:pPr>
          </w:p>
        </w:tc>
      </w:tr>
      <w:tr w14:paraId="29FAE60F">
        <w:tblPrEx>
          <w:tblCellMar>
            <w:top w:w="0" w:type="dxa"/>
            <w:left w:w="108" w:type="dxa"/>
            <w:bottom w:w="0" w:type="dxa"/>
            <w:right w:w="108" w:type="dxa"/>
          </w:tblCellMar>
        </w:tblPrEx>
        <w:trPr>
          <w:trHeight w:val="397" w:hRule="atLeast"/>
          <w:jc w:val="center"/>
        </w:trPr>
        <w:tc>
          <w:tcPr>
            <w:tcW w:w="4516" w:type="dxa"/>
            <w:gridSpan w:val="2"/>
            <w:tcBorders>
              <w:top w:val="single" w:color="auto" w:sz="4" w:space="0"/>
              <w:left w:val="single" w:color="auto" w:sz="4" w:space="0"/>
              <w:bottom w:val="single" w:color="auto" w:sz="4" w:space="0"/>
              <w:right w:val="single" w:color="auto" w:sz="4" w:space="0"/>
            </w:tcBorders>
            <w:vAlign w:val="center"/>
          </w:tcPr>
          <w:p w14:paraId="790EBD24">
            <w:pPr>
              <w:tabs>
                <w:tab w:val="left" w:pos="1160"/>
              </w:tabs>
              <w:spacing w:line="360" w:lineRule="auto"/>
              <w:jc w:val="center"/>
              <w:rPr>
                <w:rFonts w:hint="eastAsia" w:ascii="宋体" w:hAnsi="宋体" w:cs="宋体"/>
                <w:sz w:val="24"/>
              </w:rPr>
            </w:pPr>
            <w:r>
              <w:rPr>
                <w:rFonts w:hint="eastAsia" w:ascii="宋体" w:hAnsi="宋体" w:cs="宋体"/>
                <w:sz w:val="24"/>
              </w:rPr>
              <w:t>退款信息</w:t>
            </w: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2D42E0C2">
            <w:pPr>
              <w:tabs>
                <w:tab w:val="left" w:pos="1160"/>
              </w:tabs>
              <w:spacing w:line="360" w:lineRule="auto"/>
              <w:rPr>
                <w:rFonts w:hint="eastAsia" w:ascii="宋体" w:hAnsi="宋体" w:cs="宋体"/>
                <w:sz w:val="24"/>
              </w:rPr>
            </w:pPr>
          </w:p>
        </w:tc>
      </w:tr>
      <w:tr w14:paraId="71B12CD6">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057AD12E">
            <w:pPr>
              <w:tabs>
                <w:tab w:val="left" w:pos="1160"/>
              </w:tabs>
              <w:spacing w:line="360" w:lineRule="auto"/>
              <w:jc w:val="center"/>
              <w:rPr>
                <w:rFonts w:hint="eastAsia" w:ascii="宋体" w:hAnsi="宋体" w:cs="宋体"/>
                <w:sz w:val="24"/>
              </w:rPr>
            </w:pPr>
            <w:r>
              <w:rPr>
                <w:rFonts w:hint="eastAsia" w:ascii="宋体" w:hAnsi="宋体" w:cs="宋体"/>
                <w:sz w:val="24"/>
              </w:rPr>
              <w:t>户    名</w:t>
            </w:r>
          </w:p>
        </w:tc>
        <w:tc>
          <w:tcPr>
            <w:tcW w:w="3136" w:type="dxa"/>
            <w:tcBorders>
              <w:top w:val="single" w:color="auto" w:sz="4" w:space="0"/>
              <w:left w:val="single" w:color="auto" w:sz="4" w:space="0"/>
              <w:bottom w:val="single" w:color="auto" w:sz="4" w:space="0"/>
              <w:right w:val="single" w:color="auto" w:sz="4" w:space="0"/>
            </w:tcBorders>
            <w:vAlign w:val="center"/>
          </w:tcPr>
          <w:p w14:paraId="6FCA75F5">
            <w:pPr>
              <w:tabs>
                <w:tab w:val="left" w:pos="1160"/>
              </w:tabs>
              <w:spacing w:line="360" w:lineRule="auto"/>
              <w:jc w:val="center"/>
              <w:rPr>
                <w:rFonts w:hint="eastAsia" w:ascii="宋体" w:hAnsi="宋体" w:cs="宋体"/>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tcPr>
          <w:p w14:paraId="0D63D537">
            <w:pPr>
              <w:tabs>
                <w:tab w:val="left" w:pos="1160"/>
              </w:tabs>
              <w:spacing w:line="360" w:lineRule="auto"/>
              <w:rPr>
                <w:rFonts w:hint="eastAsia" w:ascii="宋体" w:hAnsi="宋体" w:cs="宋体"/>
                <w:sz w:val="24"/>
              </w:rPr>
            </w:pPr>
          </w:p>
        </w:tc>
      </w:tr>
      <w:tr w14:paraId="0B695A82">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8C20E2B">
            <w:pPr>
              <w:tabs>
                <w:tab w:val="left" w:pos="1160"/>
              </w:tabs>
              <w:spacing w:line="360" w:lineRule="auto"/>
              <w:jc w:val="center"/>
              <w:rPr>
                <w:rFonts w:hint="eastAsia" w:ascii="宋体" w:hAnsi="宋体" w:cs="宋体"/>
                <w:sz w:val="24"/>
              </w:rPr>
            </w:pPr>
            <w:r>
              <w:rPr>
                <w:rFonts w:hint="eastAsia" w:ascii="宋体" w:hAnsi="宋体" w:cs="宋体"/>
                <w:sz w:val="24"/>
              </w:rPr>
              <w:t>账    号</w:t>
            </w:r>
          </w:p>
        </w:tc>
        <w:tc>
          <w:tcPr>
            <w:tcW w:w="3136" w:type="dxa"/>
            <w:tcBorders>
              <w:top w:val="single" w:color="auto" w:sz="4" w:space="0"/>
              <w:left w:val="single" w:color="auto" w:sz="4" w:space="0"/>
              <w:bottom w:val="single" w:color="auto" w:sz="4" w:space="0"/>
              <w:right w:val="single" w:color="auto" w:sz="4" w:space="0"/>
            </w:tcBorders>
            <w:vAlign w:val="center"/>
          </w:tcPr>
          <w:p w14:paraId="5A5A344F">
            <w:pPr>
              <w:tabs>
                <w:tab w:val="left" w:pos="1160"/>
              </w:tabs>
              <w:spacing w:line="360" w:lineRule="auto"/>
              <w:jc w:val="center"/>
              <w:rPr>
                <w:rFonts w:hint="eastAsia" w:ascii="宋体" w:hAnsi="宋体" w:cs="宋体"/>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78B6984C">
            <w:pPr>
              <w:tabs>
                <w:tab w:val="left" w:pos="1160"/>
              </w:tabs>
              <w:spacing w:line="360" w:lineRule="auto"/>
              <w:rPr>
                <w:rFonts w:hint="eastAsia" w:ascii="宋体" w:hAnsi="宋体" w:cs="宋体"/>
                <w:sz w:val="24"/>
              </w:rPr>
            </w:pPr>
          </w:p>
        </w:tc>
      </w:tr>
      <w:tr w14:paraId="6239B1CA">
        <w:tblPrEx>
          <w:tblCellMar>
            <w:top w:w="0" w:type="dxa"/>
            <w:left w:w="108" w:type="dxa"/>
            <w:bottom w:w="0" w:type="dxa"/>
            <w:right w:w="108" w:type="dxa"/>
          </w:tblCellMar>
        </w:tblPrEx>
        <w:trPr>
          <w:trHeight w:val="90"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B1A21BE">
            <w:pPr>
              <w:tabs>
                <w:tab w:val="left" w:pos="1160"/>
              </w:tabs>
              <w:spacing w:line="360" w:lineRule="auto"/>
              <w:jc w:val="center"/>
              <w:rPr>
                <w:rFonts w:hint="eastAsia" w:ascii="宋体" w:hAnsi="宋体" w:cs="宋体"/>
                <w:sz w:val="24"/>
              </w:rPr>
            </w:pPr>
            <w:r>
              <w:rPr>
                <w:rFonts w:hint="eastAsia" w:ascii="宋体" w:hAnsi="宋体" w:cs="宋体"/>
                <w:sz w:val="24"/>
              </w:rPr>
              <w:t>开户</w:t>
            </w:r>
          </w:p>
        </w:tc>
        <w:tc>
          <w:tcPr>
            <w:tcW w:w="3136" w:type="dxa"/>
            <w:tcBorders>
              <w:top w:val="single" w:color="auto" w:sz="4" w:space="0"/>
              <w:left w:val="single" w:color="auto" w:sz="4" w:space="0"/>
              <w:bottom w:val="single" w:color="auto" w:sz="4" w:space="0"/>
              <w:right w:val="single" w:color="auto" w:sz="4" w:space="0"/>
            </w:tcBorders>
            <w:vAlign w:val="center"/>
          </w:tcPr>
          <w:p w14:paraId="7093C743">
            <w:pPr>
              <w:tabs>
                <w:tab w:val="left" w:pos="1160"/>
              </w:tabs>
              <w:spacing w:line="360" w:lineRule="auto"/>
              <w:jc w:val="center"/>
              <w:rPr>
                <w:rFonts w:hint="eastAsia" w:ascii="宋体" w:hAnsi="宋体" w:cs="宋体"/>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66751FFE">
            <w:pPr>
              <w:tabs>
                <w:tab w:val="left" w:pos="1160"/>
              </w:tabs>
              <w:spacing w:line="360" w:lineRule="auto"/>
              <w:rPr>
                <w:rFonts w:hint="eastAsia" w:ascii="宋体" w:hAnsi="宋体" w:cs="宋体"/>
                <w:sz w:val="24"/>
              </w:rPr>
            </w:pPr>
          </w:p>
        </w:tc>
      </w:tr>
    </w:tbl>
    <w:p w14:paraId="1DB2147D">
      <w:pPr>
        <w:tabs>
          <w:tab w:val="left" w:pos="1160"/>
        </w:tabs>
        <w:spacing w:line="360" w:lineRule="auto"/>
        <w:ind w:firstLine="480" w:firstLineChars="200"/>
        <w:rPr>
          <w:rFonts w:hint="eastAsia" w:ascii="宋体" w:hAnsi="宋体" w:cs="宋体"/>
          <w:sz w:val="24"/>
        </w:rPr>
      </w:pPr>
      <w:r>
        <w:rPr>
          <w:rFonts w:hint="eastAsia" w:ascii="宋体" w:hAnsi="宋体" w:cs="宋体"/>
          <w:sz w:val="24"/>
        </w:rPr>
        <w:t>注：</w:t>
      </w:r>
    </w:p>
    <w:p w14:paraId="2C89A7B6">
      <w:pPr>
        <w:tabs>
          <w:tab w:val="left" w:pos="1160"/>
        </w:tabs>
        <w:spacing w:line="360" w:lineRule="auto"/>
        <w:ind w:firstLine="480" w:firstLineChars="200"/>
        <w:rPr>
          <w:rFonts w:hint="eastAsia" w:ascii="宋体" w:hAnsi="宋体" w:cs="宋体"/>
          <w:sz w:val="24"/>
        </w:rPr>
      </w:pPr>
      <w:r>
        <w:rPr>
          <w:rFonts w:hint="eastAsia" w:ascii="宋体" w:hAnsi="宋体" w:cs="宋体"/>
          <w:sz w:val="24"/>
        </w:rPr>
        <w:t>1.保证金退还帐户必须与交款帐户一致，否则由此造成保证金不能及时退还或退错的后果由供应商自负。</w:t>
      </w:r>
    </w:p>
    <w:p w14:paraId="459D0084">
      <w:pPr>
        <w:tabs>
          <w:tab w:val="left" w:pos="1160"/>
        </w:tabs>
        <w:spacing w:line="360" w:lineRule="auto"/>
        <w:ind w:firstLine="480" w:firstLineChars="200"/>
        <w:rPr>
          <w:rFonts w:hint="eastAsia" w:ascii="宋体" w:hAnsi="宋体" w:cs="宋体"/>
          <w:sz w:val="24"/>
        </w:rPr>
      </w:pPr>
      <w:r>
        <w:rPr>
          <w:rFonts w:hint="eastAsia" w:ascii="宋体" w:hAnsi="宋体" w:cs="宋体"/>
          <w:sz w:val="24"/>
        </w:rPr>
        <w:t xml:space="preserve">2.此函适用转账方式递交保证金，采用支票、汇票、本票或者金融、担保机构出具的保函缴纳方式的，供应商应将支票、汇票、本票或者金融、担保机构出具的保函的复印件作为投标保证金提交证明。    </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0246E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5913" w:type="dxa"/>
            <w:tcBorders>
              <w:top w:val="single" w:color="auto" w:sz="4" w:space="0"/>
              <w:left w:val="single" w:color="auto" w:sz="4" w:space="0"/>
              <w:bottom w:val="single" w:color="auto" w:sz="4" w:space="0"/>
              <w:right w:val="single" w:color="auto" w:sz="4" w:space="0"/>
            </w:tcBorders>
            <w:vAlign w:val="center"/>
          </w:tcPr>
          <w:p w14:paraId="56AE5CE7">
            <w:pPr>
              <w:pStyle w:val="25"/>
              <w:tabs>
                <w:tab w:val="left" w:pos="1160"/>
              </w:tabs>
              <w:spacing w:line="360" w:lineRule="auto"/>
              <w:jc w:val="center"/>
              <w:rPr>
                <w:rFonts w:hint="eastAsia" w:hAnsi="宋体" w:cs="宋体"/>
                <w:sz w:val="24"/>
                <w:szCs w:val="24"/>
              </w:rPr>
            </w:pPr>
            <w:r>
              <w:rPr>
                <w:rFonts w:hint="eastAsia" w:hAnsi="宋体" w:cs="宋体"/>
                <w:sz w:val="24"/>
                <w:szCs w:val="24"/>
              </w:rPr>
              <w:t>转账（或电汇）底单复印件(公章)</w:t>
            </w:r>
          </w:p>
        </w:tc>
      </w:tr>
    </w:tbl>
    <w:p w14:paraId="1CF1ECCE">
      <w:pPr>
        <w:snapToGrid w:val="0"/>
        <w:spacing w:before="120" w:beforeLines="50" w:after="50"/>
        <w:jc w:val="left"/>
        <w:rPr>
          <w:rFonts w:hint="eastAsia" w:ascii="宋体" w:hAnsi="宋体"/>
          <w:b/>
          <w:sz w:val="24"/>
          <w:szCs w:val="20"/>
        </w:rPr>
      </w:pPr>
      <w:r>
        <w:rPr>
          <w:rFonts w:hint="eastAsia" w:ascii="宋体" w:hAnsi="宋体"/>
          <w:b/>
          <w:sz w:val="24"/>
        </w:rPr>
        <w:br w:type="page"/>
      </w:r>
      <w:r>
        <w:rPr>
          <w:rFonts w:hint="eastAsia" w:ascii="宋体" w:hAnsi="宋体"/>
          <w:b/>
          <w:sz w:val="24"/>
        </w:rPr>
        <w:t>5.法定代表人身份证明</w:t>
      </w:r>
    </w:p>
    <w:p w14:paraId="5227F433">
      <w:pPr>
        <w:spacing w:before="240" w:beforeLines="100" w:after="120" w:afterLines="50"/>
        <w:ind w:left="540"/>
        <w:jc w:val="center"/>
        <w:rPr>
          <w:rFonts w:ascii="宋体" w:hAnsi="Courier New"/>
          <w:b/>
          <w:sz w:val="32"/>
          <w:szCs w:val="32"/>
        </w:rPr>
      </w:pPr>
    </w:p>
    <w:p w14:paraId="771E2D4B">
      <w:pPr>
        <w:spacing w:before="240" w:beforeLines="100" w:after="120" w:afterLines="50"/>
        <w:ind w:left="54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法定代表人身份证明</w:t>
      </w:r>
    </w:p>
    <w:p w14:paraId="4B35FFFC">
      <w:pPr>
        <w:spacing w:line="500" w:lineRule="exact"/>
        <w:ind w:left="540"/>
        <w:rPr>
          <w:rFonts w:hint="eastAsia" w:ascii="宋体" w:hAnsi="宋体"/>
          <w:sz w:val="24"/>
        </w:rPr>
      </w:pPr>
      <w:r>
        <w:rPr>
          <w:rFonts w:hint="eastAsia" w:ascii="宋体" w:hAnsi="宋体"/>
          <w:sz w:val="24"/>
        </w:rPr>
        <w:t>投 标 人：</w:t>
      </w:r>
      <w:r>
        <w:rPr>
          <w:rFonts w:hint="eastAsia" w:ascii="宋体" w:hAnsi="宋体"/>
          <w:sz w:val="24"/>
          <w:u w:val="single"/>
        </w:rPr>
        <w:t xml:space="preserve">                                                        </w:t>
      </w:r>
    </w:p>
    <w:p w14:paraId="3FD1EF98">
      <w:pPr>
        <w:spacing w:line="500" w:lineRule="exact"/>
        <w:ind w:left="540"/>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14:paraId="7E987D73">
      <w:pPr>
        <w:spacing w:line="500" w:lineRule="exact"/>
        <w:ind w:left="540"/>
        <w:rPr>
          <w:rFonts w:hint="eastAsia"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p>
    <w:p w14:paraId="1F734278">
      <w:pPr>
        <w:spacing w:line="500" w:lineRule="exact"/>
        <w:ind w:left="540"/>
        <w:rPr>
          <w:rFonts w:hint="eastAsia"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p>
    <w:p w14:paraId="03C91D46">
      <w:pPr>
        <w:spacing w:line="500" w:lineRule="exact"/>
        <w:ind w:left="540"/>
        <w:rPr>
          <w:rFonts w:hint="eastAsia" w:ascii="宋体" w:hAnsi="宋体"/>
          <w:sz w:val="24"/>
        </w:rPr>
      </w:pPr>
      <w:r>
        <w:rPr>
          <w:rFonts w:hint="eastAsia" w:ascii="宋体" w:hAnsi="宋体"/>
          <w:sz w:val="24"/>
        </w:rPr>
        <w:t>身份证</w:t>
      </w:r>
      <w:r>
        <w:rPr>
          <w:rFonts w:hint="eastAsia"/>
          <w:sz w:val="24"/>
        </w:rPr>
        <w:t>号码：</w:t>
      </w:r>
      <w:r>
        <w:rPr>
          <w:rFonts w:hint="eastAsia"/>
          <w:sz w:val="24"/>
          <w:u w:val="single"/>
        </w:rPr>
        <w:t xml:space="preserve">                                 </w:t>
      </w:r>
    </w:p>
    <w:p w14:paraId="59EB76DF">
      <w:pPr>
        <w:spacing w:line="500" w:lineRule="exact"/>
        <w:ind w:left="540"/>
        <w:rPr>
          <w:rFonts w:hint="eastAsia" w:ascii="宋体" w:hAnsi="宋体"/>
          <w:sz w:val="24"/>
        </w:rPr>
      </w:pP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w:t>
      </w:r>
    </w:p>
    <w:p w14:paraId="0F9B6B9F">
      <w:pPr>
        <w:spacing w:line="500" w:lineRule="exact"/>
        <w:ind w:left="540"/>
        <w:rPr>
          <w:rFonts w:hint="eastAsia" w:ascii="宋体" w:hAnsi="宋体"/>
          <w:sz w:val="24"/>
        </w:rPr>
      </w:pPr>
      <w:r>
        <w:rPr>
          <w:rFonts w:hint="eastAsia" w:ascii="宋体" w:hAnsi="宋体"/>
          <w:sz w:val="24"/>
        </w:rPr>
        <w:t>特此证明。</w:t>
      </w:r>
    </w:p>
    <w:p w14:paraId="51F2AC95">
      <w:pPr>
        <w:spacing w:line="500" w:lineRule="exact"/>
        <w:ind w:left="540"/>
        <w:rPr>
          <w:rFonts w:hint="eastAsia" w:ascii="宋体" w:hAnsi="宋体"/>
          <w:sz w:val="24"/>
        </w:rPr>
      </w:pPr>
    </w:p>
    <w:p w14:paraId="1D9D028C">
      <w:pPr>
        <w:spacing w:line="500" w:lineRule="exact"/>
        <w:ind w:left="540"/>
        <w:rPr>
          <w:rFonts w:hint="eastAsia" w:ascii="宋体" w:hAnsi="宋体"/>
          <w:sz w:val="24"/>
        </w:rPr>
      </w:pPr>
    </w:p>
    <w:p w14:paraId="1378E8C5">
      <w:pPr>
        <w:spacing w:line="500" w:lineRule="exact"/>
        <w:ind w:left="540"/>
        <w:rPr>
          <w:rFonts w:hint="eastAsia" w:ascii="宋体" w:hAnsi="宋体"/>
          <w:sz w:val="24"/>
        </w:rPr>
      </w:pPr>
      <w:r>
        <w:rPr>
          <w:rFonts w:hint="eastAsia" w:ascii="宋体" w:hAnsi="宋体"/>
          <w:sz w:val="24"/>
        </w:rPr>
        <w:t>附件：法定代表人有效身份证正反面复印件</w:t>
      </w:r>
    </w:p>
    <w:p w14:paraId="4511C608">
      <w:pPr>
        <w:spacing w:line="500" w:lineRule="exact"/>
        <w:ind w:left="540"/>
        <w:rPr>
          <w:rFonts w:hint="eastAsia" w:ascii="宋体" w:hAnsi="宋体"/>
          <w:sz w:val="24"/>
        </w:rPr>
      </w:pPr>
    </w:p>
    <w:p w14:paraId="6CA08698">
      <w:pPr>
        <w:spacing w:line="500" w:lineRule="exact"/>
        <w:ind w:left="540"/>
        <w:jc w:val="right"/>
        <w:rPr>
          <w:rFonts w:hint="eastAsia" w:ascii="宋体" w:hAnsi="宋体"/>
          <w:sz w:val="24"/>
        </w:rPr>
      </w:pPr>
      <w:r>
        <w:rPr>
          <w:rFonts w:hint="eastAsia" w:ascii="宋体" w:hAnsi="宋体"/>
          <w:sz w:val="24"/>
        </w:rPr>
        <w:t>投标人名称（电子签章）</w:t>
      </w:r>
    </w:p>
    <w:p w14:paraId="7C0A1C65">
      <w:pPr>
        <w:spacing w:line="500" w:lineRule="exact"/>
        <w:ind w:left="540"/>
        <w:jc w:val="right"/>
        <w:rPr>
          <w:rFonts w:hint="eastAsia" w:ascii="宋体" w:hAnsi="宋体"/>
          <w:sz w:val="24"/>
        </w:rPr>
      </w:pPr>
    </w:p>
    <w:p w14:paraId="4651D02C">
      <w:pPr>
        <w:snapToGrid w:val="0"/>
        <w:spacing w:before="120" w:beforeLines="50" w:after="50"/>
        <w:ind w:left="540"/>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6B13E14">
      <w:pPr>
        <w:snapToGrid w:val="0"/>
        <w:spacing w:before="120" w:beforeLines="50" w:after="50"/>
        <w:jc w:val="center"/>
        <w:rPr>
          <w:rFonts w:hint="eastAsia" w:ascii="宋体" w:hAnsi="宋体"/>
          <w:b/>
          <w:sz w:val="24"/>
        </w:rPr>
      </w:pPr>
    </w:p>
    <w:p w14:paraId="16967EC9">
      <w:pPr>
        <w:snapToGrid w:val="0"/>
        <w:spacing w:before="120" w:beforeLines="50" w:after="50"/>
        <w:jc w:val="left"/>
        <w:rPr>
          <w:rFonts w:hint="eastAsia" w:ascii="宋体" w:hAnsi="宋体"/>
          <w:b/>
          <w:sz w:val="24"/>
          <w:szCs w:val="20"/>
        </w:rPr>
      </w:pPr>
      <w:r>
        <w:rPr>
          <w:rFonts w:hint="eastAsia" w:ascii="宋体" w:hAnsi="宋体"/>
          <w:sz w:val="24"/>
        </w:rPr>
        <w:t>注：自然人投标的无需提供</w:t>
      </w:r>
    </w:p>
    <w:p w14:paraId="25444D4A">
      <w:pPr>
        <w:snapToGrid w:val="0"/>
        <w:spacing w:before="120" w:beforeLines="50" w:after="50"/>
        <w:jc w:val="left"/>
        <w:rPr>
          <w:rFonts w:hint="eastAsia" w:ascii="宋体" w:hAnsi="宋体"/>
          <w:b/>
          <w:sz w:val="24"/>
          <w:szCs w:val="20"/>
        </w:rPr>
      </w:pPr>
      <w:r>
        <w:rPr>
          <w:rFonts w:ascii="宋体" w:hAnsi="宋体"/>
          <w:b/>
          <w:sz w:val="24"/>
        </w:rPr>
        <w:br w:type="page"/>
      </w:r>
      <w:r>
        <w:rPr>
          <w:rFonts w:hint="eastAsia" w:ascii="宋体" w:hAnsi="宋体"/>
          <w:b/>
          <w:sz w:val="24"/>
        </w:rPr>
        <w:t>6.授权委托书格式</w:t>
      </w:r>
    </w:p>
    <w:p w14:paraId="6BAE8474">
      <w:pPr>
        <w:snapToGrid w:val="0"/>
        <w:spacing w:before="120" w:beforeLines="50" w:after="50"/>
        <w:jc w:val="center"/>
        <w:rPr>
          <w:rFonts w:hint="eastAsia" w:ascii="宋体" w:hAnsi="宋体"/>
          <w:b/>
          <w:sz w:val="44"/>
          <w:szCs w:val="44"/>
        </w:rPr>
      </w:pPr>
    </w:p>
    <w:p w14:paraId="7AFAEA97">
      <w:pPr>
        <w:spacing w:line="360" w:lineRule="auto"/>
        <w:contextualSpacing/>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授权委托书</w:t>
      </w:r>
    </w:p>
    <w:p w14:paraId="1950C926">
      <w:pPr>
        <w:spacing w:line="360" w:lineRule="auto"/>
        <w:contextualSpacing/>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（非联合体投标格式）</w:t>
      </w:r>
    </w:p>
    <w:p w14:paraId="29910614">
      <w:pPr>
        <w:spacing w:line="360" w:lineRule="auto"/>
        <w:contextualSpacing/>
        <w:jc w:val="center"/>
        <w:rPr>
          <w:rFonts w:hint="eastAsia" w:ascii="方正小标宋简体" w:hAnsi="方正小标宋简体" w:eastAsia="方正小标宋简体" w:cs="方正小标宋简体"/>
          <w:bCs/>
          <w:sz w:val="24"/>
        </w:rPr>
      </w:pPr>
      <w:r>
        <w:rPr>
          <w:rFonts w:hint="eastAsia" w:ascii="方正小标宋简体" w:hAnsi="方正小标宋简体" w:eastAsia="方正小标宋简体" w:cs="方正小标宋简体"/>
          <w:bCs/>
          <w:sz w:val="32"/>
          <w:szCs w:val="32"/>
        </w:rPr>
        <w:t>（如有委托时）</w:t>
      </w:r>
    </w:p>
    <w:p w14:paraId="0C2BA269">
      <w:pPr>
        <w:spacing w:line="440" w:lineRule="exact"/>
        <w:contextualSpacing/>
        <w:jc w:val="center"/>
        <w:rPr>
          <w:rFonts w:hint="eastAsia" w:ascii="宋体" w:hAnsi="宋体"/>
          <w:b/>
          <w:sz w:val="24"/>
        </w:rPr>
      </w:pPr>
    </w:p>
    <w:p w14:paraId="036924EB">
      <w:pPr>
        <w:spacing w:line="440" w:lineRule="exact"/>
        <w:contextualSpacing/>
        <w:rPr>
          <w:rFonts w:hint="eastAsia" w:ascii="宋体" w:hAnsi="宋体"/>
          <w:b/>
          <w:bCs/>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22BC57F7">
      <w:pPr>
        <w:spacing w:line="440" w:lineRule="exact"/>
        <w:ind w:firstLine="566" w:firstLineChars="236"/>
        <w:contextualSpacing/>
        <w:rPr>
          <w:rFonts w:hint="eastAsia" w:ascii="宋体" w:hAnsi="宋体"/>
          <w:sz w:val="24"/>
        </w:rPr>
      </w:pPr>
      <w:r>
        <w:rPr>
          <w:rFonts w:hint="eastAsia" w:ascii="宋体" w:hAnsi="宋体"/>
          <w:sz w:val="24"/>
        </w:rPr>
        <w:t>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462AA2B3">
      <w:pPr>
        <w:spacing w:line="440" w:lineRule="exact"/>
        <w:contextualSpacing/>
        <w:rPr>
          <w:rFonts w:hint="eastAsia" w:ascii="宋体" w:hAnsi="宋体"/>
          <w:sz w:val="24"/>
        </w:rPr>
      </w:pPr>
      <w:r>
        <w:rPr>
          <w:rFonts w:hint="eastAsia" w:ascii="宋体" w:hAnsi="宋体"/>
          <w:sz w:val="24"/>
        </w:rPr>
        <w:t xml:space="preserve">    我方对委托代理人的签字或者电子签名事项负全部责任。</w:t>
      </w:r>
    </w:p>
    <w:p w14:paraId="5B7E7E2E">
      <w:pPr>
        <w:spacing w:line="440" w:lineRule="exact"/>
        <w:ind w:firstLine="480"/>
        <w:contextualSpacing/>
        <w:rPr>
          <w:rFonts w:hint="eastAsia" w:ascii="宋体" w:hAnsi="宋体"/>
          <w:sz w:val="24"/>
        </w:rPr>
      </w:pPr>
      <w:r>
        <w:rPr>
          <w:rFonts w:hint="eastAsia" w:ascii="宋体" w:hAnsi="宋体"/>
          <w:sz w:val="24"/>
          <w:u w:val="single"/>
        </w:rPr>
        <w:t>本授权书自签署之日起生效，在撤销授权的书面通知以前，本授权书一直有效。委托代理人在授权书有效期内签署的所有文件不因授权的撤销而失效。</w:t>
      </w:r>
    </w:p>
    <w:p w14:paraId="4126A198">
      <w:pPr>
        <w:spacing w:line="440" w:lineRule="exact"/>
        <w:ind w:firstLine="480"/>
        <w:contextualSpacing/>
        <w:rPr>
          <w:rFonts w:hint="eastAsia" w:ascii="宋体" w:hAnsi="宋体"/>
          <w:sz w:val="24"/>
        </w:rPr>
      </w:pPr>
      <w:r>
        <w:rPr>
          <w:rFonts w:hint="eastAsia" w:ascii="宋体" w:hAnsi="宋体"/>
          <w:sz w:val="24"/>
        </w:rPr>
        <w:t>委托代理人无转委托权，特此委托。</w:t>
      </w:r>
    </w:p>
    <w:p w14:paraId="1C1897C8">
      <w:pPr>
        <w:spacing w:line="440" w:lineRule="exact"/>
        <w:ind w:firstLine="480"/>
        <w:contextualSpacing/>
        <w:rPr>
          <w:rFonts w:hint="eastAsia" w:ascii="宋体" w:hAnsi="宋体"/>
          <w:sz w:val="24"/>
        </w:rPr>
      </w:pPr>
      <w:r>
        <w:rPr>
          <w:rFonts w:hint="eastAsia" w:ascii="宋体" w:hAnsi="宋体"/>
          <w:sz w:val="24"/>
        </w:rPr>
        <w:t>附：法定代表人身份证明及委托代理人有效身份证正反面复印件</w:t>
      </w:r>
    </w:p>
    <w:p w14:paraId="7F96E4D6">
      <w:pPr>
        <w:spacing w:line="440" w:lineRule="exact"/>
        <w:contextualSpacing/>
        <w:rPr>
          <w:rFonts w:hint="eastAsia" w:ascii="宋体" w:hAnsi="宋体"/>
          <w:sz w:val="24"/>
        </w:rPr>
      </w:pPr>
    </w:p>
    <w:p w14:paraId="753FE921">
      <w:pPr>
        <w:spacing w:line="440" w:lineRule="exact"/>
        <w:contextualSpacing/>
        <w:rPr>
          <w:rFonts w:hint="eastAsia" w:ascii="宋体" w:hAnsi="宋体"/>
          <w:sz w:val="24"/>
        </w:rPr>
      </w:pPr>
      <w:r>
        <w:rPr>
          <w:rFonts w:hint="eastAsia" w:ascii="宋体" w:hAnsi="宋体"/>
          <w:sz w:val="24"/>
        </w:rPr>
        <w:t>委托代理人（签字或者电子签名）：</w:t>
      </w:r>
      <w:r>
        <w:rPr>
          <w:rFonts w:hint="eastAsia" w:ascii="宋体" w:hAnsi="宋体"/>
          <w:sz w:val="24"/>
          <w:u w:val="single"/>
        </w:rPr>
        <w:t xml:space="preserve">               </w:t>
      </w:r>
      <w:r>
        <w:rPr>
          <w:rFonts w:hint="eastAsia" w:ascii="宋体" w:hAnsi="宋体"/>
          <w:sz w:val="24"/>
        </w:rPr>
        <w:t xml:space="preserve">            </w:t>
      </w:r>
    </w:p>
    <w:p w14:paraId="76882041">
      <w:pPr>
        <w:spacing w:line="440" w:lineRule="exact"/>
        <w:contextualSpacing/>
        <w:rPr>
          <w:rFonts w:hint="eastAsia" w:ascii="宋体" w:hAnsi="宋体"/>
          <w:sz w:val="24"/>
          <w:u w:val="single"/>
        </w:rPr>
      </w:pPr>
      <w:r>
        <w:rPr>
          <w:rFonts w:hint="eastAsia" w:ascii="宋体" w:hAnsi="宋体"/>
          <w:sz w:val="24"/>
        </w:rPr>
        <w:t>委托代理人身份证号码：</w:t>
      </w:r>
      <w:r>
        <w:rPr>
          <w:rFonts w:hint="eastAsia" w:ascii="宋体" w:hAnsi="宋体"/>
          <w:sz w:val="24"/>
          <w:u w:val="single"/>
        </w:rPr>
        <w:t xml:space="preserve">                             </w:t>
      </w:r>
    </w:p>
    <w:p w14:paraId="5D59714A">
      <w:pPr>
        <w:spacing w:line="440" w:lineRule="exact"/>
        <w:contextualSpacing/>
        <w:rPr>
          <w:rFonts w:hint="eastAsia" w:ascii="宋体" w:hAnsi="宋体"/>
          <w:sz w:val="24"/>
          <w:u w:val="single"/>
        </w:rPr>
      </w:pPr>
      <w:r>
        <w:rPr>
          <w:rFonts w:hint="eastAsia" w:ascii="宋体" w:hAnsi="宋体"/>
          <w:sz w:val="24"/>
        </w:rPr>
        <w:t>法定代表人（签字或者盖章或者电子签名）：</w:t>
      </w:r>
      <w:r>
        <w:rPr>
          <w:rFonts w:hint="eastAsia" w:ascii="宋体" w:hAnsi="宋体"/>
          <w:sz w:val="24"/>
          <w:u w:val="single"/>
        </w:rPr>
        <w:t xml:space="preserve">              </w:t>
      </w:r>
    </w:p>
    <w:p w14:paraId="41B43C25">
      <w:pPr>
        <w:spacing w:line="440" w:lineRule="exact"/>
        <w:contextualSpacing/>
        <w:rPr>
          <w:rFonts w:hint="eastAsia" w:ascii="宋体" w:hAnsi="宋体"/>
          <w:sz w:val="24"/>
        </w:rPr>
      </w:pPr>
      <w:r>
        <w:rPr>
          <w:rFonts w:hint="eastAsia" w:ascii="宋体" w:hAnsi="宋体"/>
          <w:sz w:val="24"/>
        </w:rPr>
        <w:t xml:space="preserve"> </w:t>
      </w:r>
    </w:p>
    <w:p w14:paraId="13554459">
      <w:pPr>
        <w:spacing w:line="440" w:lineRule="exact"/>
        <w:contextualSpacing/>
        <w:jc w:val="center"/>
        <w:rPr>
          <w:rFonts w:hint="eastAsia" w:ascii="宋体" w:hAnsi="宋体"/>
          <w:sz w:val="24"/>
        </w:rPr>
      </w:pPr>
      <w:r>
        <w:rPr>
          <w:rFonts w:hint="eastAsia" w:ascii="宋体" w:hAnsi="宋体"/>
          <w:sz w:val="24"/>
        </w:rPr>
        <w:t xml:space="preserve">                                                投标人名称（电子签章）：</w:t>
      </w:r>
    </w:p>
    <w:p w14:paraId="2DF20AE4">
      <w:pPr>
        <w:spacing w:line="440" w:lineRule="exact"/>
        <w:contextualSpacing/>
        <w:jc w:val="center"/>
        <w:rPr>
          <w:rFonts w:hint="eastAsia" w:ascii="宋体" w:hAnsi="宋体"/>
          <w:sz w:val="24"/>
        </w:rPr>
      </w:pPr>
      <w:r>
        <w:rPr>
          <w:rFonts w:hint="eastAsia" w:ascii="宋体" w:hAnsi="宋体"/>
          <w:sz w:val="24"/>
        </w:rPr>
        <w:t xml:space="preserve">                                              年    月    日</w:t>
      </w:r>
    </w:p>
    <w:p w14:paraId="13A58AB7">
      <w:pPr>
        <w:spacing w:line="440" w:lineRule="exact"/>
        <w:contextualSpacing/>
        <w:rPr>
          <w:rFonts w:hint="eastAsia" w:ascii="宋体" w:hAnsi="宋体" w:cs="仿宋_GB2312"/>
          <w:sz w:val="24"/>
        </w:rPr>
      </w:pPr>
      <w:r>
        <w:rPr>
          <w:rFonts w:hint="eastAsia" w:ascii="宋体" w:hAnsi="宋体" w:cs="仿宋_GB2312"/>
          <w:sz w:val="24"/>
        </w:rPr>
        <w:t>注：1.</w:t>
      </w:r>
      <w:bookmarkStart w:id="149" w:name="_Hlk65851555"/>
      <w:bookmarkStart w:id="150" w:name="_Hlk65851620"/>
      <w:r>
        <w:rPr>
          <w:rFonts w:hint="eastAsia" w:ascii="宋体" w:hAnsi="宋体" w:cs="仿宋_GB2312"/>
          <w:sz w:val="24"/>
        </w:rPr>
        <w:t>法定代表人必须在授权委托书上签字或者盖章</w:t>
      </w:r>
      <w:r>
        <w:rPr>
          <w:rFonts w:hint="eastAsia" w:ascii="宋体" w:hAnsi="宋体"/>
          <w:sz w:val="24"/>
        </w:rPr>
        <w:t>或者电子签名</w:t>
      </w:r>
      <w:r>
        <w:rPr>
          <w:rFonts w:hint="eastAsia" w:ascii="宋体" w:hAnsi="宋体" w:cs="仿宋_GB2312"/>
          <w:sz w:val="24"/>
        </w:rPr>
        <w:t>，</w:t>
      </w:r>
      <w:bookmarkEnd w:id="149"/>
      <w:r>
        <w:rPr>
          <w:rFonts w:hint="eastAsia" w:ascii="宋体" w:hAnsi="宋体" w:cs="仿宋_GB2312"/>
          <w:sz w:val="24"/>
        </w:rPr>
        <w:t>委托代理人必须在授权委托书上签字</w:t>
      </w:r>
      <w:r>
        <w:rPr>
          <w:rFonts w:hint="eastAsia" w:ascii="宋体" w:hAnsi="宋体"/>
          <w:sz w:val="24"/>
        </w:rPr>
        <w:t>或者电子签名</w:t>
      </w:r>
      <w:r>
        <w:rPr>
          <w:rFonts w:hint="eastAsia" w:ascii="宋体" w:hAnsi="宋体" w:cs="仿宋_GB2312"/>
          <w:sz w:val="24"/>
        </w:rPr>
        <w:t>，</w:t>
      </w:r>
      <w:r>
        <w:rPr>
          <w:rFonts w:hint="eastAsia" w:ascii="宋体" w:hAnsi="宋体" w:cs="仿宋_GB2312"/>
          <w:b/>
          <w:bCs/>
          <w:sz w:val="24"/>
        </w:rPr>
        <w:t>否则按无效投标处理</w:t>
      </w:r>
      <w:r>
        <w:rPr>
          <w:rFonts w:hint="eastAsia" w:ascii="宋体" w:hAnsi="宋体" w:cs="仿宋_GB2312"/>
          <w:sz w:val="24"/>
        </w:rPr>
        <w:t>；</w:t>
      </w:r>
      <w:bookmarkEnd w:id="150"/>
    </w:p>
    <w:p w14:paraId="21B0FB80">
      <w:pPr>
        <w:spacing w:line="440" w:lineRule="exact"/>
        <w:ind w:firstLine="480" w:firstLineChars="200"/>
        <w:contextualSpacing/>
        <w:jc w:val="left"/>
        <w:rPr>
          <w:rFonts w:hint="eastAsia" w:ascii="宋体" w:hAnsi="宋体"/>
          <w:sz w:val="24"/>
        </w:rPr>
      </w:pPr>
      <w:r>
        <w:rPr>
          <w:rFonts w:hint="eastAsia" w:ascii="宋体" w:hAnsi="宋体" w:cs="仿宋_GB2312"/>
          <w:sz w:val="24"/>
        </w:rPr>
        <w:t>2.法人、其他组织投标时“我方”是指“我单位”，自然人投标时“我方”是指“本人”。</w:t>
      </w:r>
    </w:p>
    <w:p w14:paraId="49F0395E">
      <w:pPr>
        <w:snapToGrid w:val="0"/>
        <w:spacing w:before="120" w:beforeLines="50" w:after="50"/>
        <w:ind w:firstLine="566" w:firstLineChars="236"/>
        <w:jc w:val="center"/>
        <w:rPr>
          <w:rFonts w:hint="eastAsia" w:ascii="方正小标宋简体" w:hAnsi="方正小标宋简体" w:eastAsia="方正小标宋简体" w:cs="方正小标宋简体"/>
          <w:sz w:val="44"/>
          <w:szCs w:val="44"/>
        </w:rPr>
      </w:pPr>
      <w:r>
        <w:rPr>
          <w:rFonts w:ascii="宋体" w:hAnsi="宋体"/>
          <w:sz w:val="24"/>
        </w:rPr>
        <w:br w:type="page"/>
      </w:r>
      <w:r>
        <w:rPr>
          <w:rFonts w:hint="eastAsia" w:ascii="方正小标宋简体" w:hAnsi="方正小标宋简体" w:eastAsia="方正小标宋简体" w:cs="方正小标宋简体"/>
          <w:sz w:val="44"/>
          <w:szCs w:val="44"/>
        </w:rPr>
        <w:t>授权委托书</w:t>
      </w:r>
    </w:p>
    <w:p w14:paraId="320C52DA">
      <w:pPr>
        <w:snapToGrid w:val="0"/>
        <w:spacing w:before="120" w:beforeLines="50" w:after="50"/>
        <w:ind w:firstLine="755" w:firstLineChars="236"/>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（联合体投标格式）</w:t>
      </w:r>
    </w:p>
    <w:p w14:paraId="1950F23A">
      <w:pPr>
        <w:snapToGrid w:val="0"/>
        <w:spacing w:before="120" w:beforeLines="50" w:after="50"/>
        <w:ind w:firstLine="755" w:firstLineChars="236"/>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2"/>
          <w:szCs w:val="32"/>
        </w:rPr>
        <w:t>（如有委托时）</w:t>
      </w:r>
    </w:p>
    <w:p w14:paraId="5F923673">
      <w:pPr>
        <w:spacing w:line="440" w:lineRule="exact"/>
        <w:contextualSpacing/>
        <w:jc w:val="left"/>
        <w:rPr>
          <w:rFonts w:hint="eastAsia" w:ascii="宋体" w:hAnsi="宋体"/>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5EC2977A">
      <w:pPr>
        <w:spacing w:line="440" w:lineRule="exact"/>
        <w:ind w:firstLine="566" w:firstLineChars="236"/>
        <w:contextualSpacing/>
        <w:rPr>
          <w:rFonts w:hint="eastAsia" w:ascii="宋体" w:hAnsi="宋体"/>
          <w:sz w:val="24"/>
        </w:rPr>
      </w:pPr>
      <w:r>
        <w:rPr>
          <w:rFonts w:hint="eastAsia" w:ascii="宋体" w:hAnsi="宋体"/>
          <w:sz w:val="24"/>
        </w:rPr>
        <w:t xml:space="preserve">根据 </w:t>
      </w:r>
      <w:r>
        <w:rPr>
          <w:rFonts w:hint="eastAsia" w:ascii="宋体" w:hAnsi="宋体"/>
          <w:sz w:val="24"/>
          <w:u w:val="single"/>
        </w:rPr>
        <w:t xml:space="preserve"> （牵头人名称）</w:t>
      </w:r>
      <w:r>
        <w:rPr>
          <w:rFonts w:hint="eastAsia" w:ascii="宋体" w:hAnsi="宋体"/>
          <w:sz w:val="24"/>
        </w:rPr>
        <w:t>与</w:t>
      </w:r>
      <w:r>
        <w:rPr>
          <w:rFonts w:hint="eastAsia" w:ascii="宋体" w:hAnsi="宋体"/>
          <w:sz w:val="24"/>
          <w:u w:val="single"/>
        </w:rPr>
        <w:t>（联合体其他成员名称）</w:t>
      </w:r>
      <w:r>
        <w:rPr>
          <w:rFonts w:hint="eastAsia" w:ascii="宋体" w:hAnsi="宋体"/>
          <w:sz w:val="24"/>
        </w:rPr>
        <w:t>签订的《联合体投标协议书》的内容，</w:t>
      </w:r>
      <w:r>
        <w:rPr>
          <w:rFonts w:hint="eastAsia" w:ascii="宋体" w:hAnsi="宋体"/>
          <w:sz w:val="24"/>
          <w:u w:val="single"/>
        </w:rPr>
        <w:t>（牵头人名称）</w:t>
      </w:r>
      <w:r>
        <w:rPr>
          <w:rFonts w:hint="eastAsia" w:ascii="宋体" w:hAnsi="宋体"/>
          <w:sz w:val="24"/>
        </w:rPr>
        <w:t>的法定代表人</w:t>
      </w:r>
      <w:r>
        <w:rPr>
          <w:rFonts w:hint="eastAsia" w:ascii="宋体" w:hAnsi="宋体"/>
          <w:sz w:val="24"/>
          <w:u w:val="single"/>
        </w:rPr>
        <w:t>（姓名）</w:t>
      </w:r>
      <w:r>
        <w:rPr>
          <w:rFonts w:hint="eastAsia" w:ascii="宋体" w:hAnsi="宋体"/>
          <w:sz w:val="24"/>
        </w:rPr>
        <w:t>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77F1126E">
      <w:pPr>
        <w:spacing w:line="440" w:lineRule="exact"/>
        <w:ind w:firstLine="566" w:firstLineChars="236"/>
        <w:contextualSpacing/>
        <w:rPr>
          <w:rFonts w:hint="eastAsia" w:ascii="宋体" w:hAnsi="宋体"/>
          <w:sz w:val="24"/>
        </w:rPr>
      </w:pPr>
      <w:r>
        <w:rPr>
          <w:rFonts w:hint="eastAsia" w:ascii="宋体" w:hAnsi="宋体"/>
          <w:sz w:val="24"/>
        </w:rPr>
        <w:t>我方对委托代理人的签字或者电子签名事项负全部责任。</w:t>
      </w:r>
    </w:p>
    <w:p w14:paraId="39D59EB1">
      <w:pPr>
        <w:spacing w:line="440" w:lineRule="exact"/>
        <w:ind w:firstLine="566" w:firstLineChars="236"/>
        <w:contextualSpacing/>
        <w:rPr>
          <w:rFonts w:hint="eastAsia" w:ascii="宋体" w:hAnsi="宋体"/>
          <w:sz w:val="24"/>
        </w:rPr>
      </w:pPr>
      <w:r>
        <w:rPr>
          <w:rFonts w:hint="eastAsia" w:ascii="宋体" w:hAnsi="宋体"/>
          <w:sz w:val="24"/>
        </w:rPr>
        <w:t>本授权书自签署之日起生效，在撤销授权的书面通知以前，本授权书一直有效。委托代理人在授权书有效期内签署的所有文件不因授权的撤销而失效。</w:t>
      </w:r>
    </w:p>
    <w:p w14:paraId="303558FD">
      <w:pPr>
        <w:spacing w:line="440" w:lineRule="exact"/>
        <w:ind w:firstLine="566" w:firstLineChars="236"/>
        <w:contextualSpacing/>
        <w:rPr>
          <w:rFonts w:hint="eastAsia" w:ascii="宋体" w:hAnsi="宋体"/>
          <w:sz w:val="24"/>
        </w:rPr>
      </w:pPr>
      <w:r>
        <w:rPr>
          <w:rFonts w:hint="eastAsia" w:ascii="宋体" w:hAnsi="宋体"/>
          <w:sz w:val="24"/>
        </w:rPr>
        <w:t>委托代理人无转委托权，特此委托。</w:t>
      </w:r>
    </w:p>
    <w:p w14:paraId="666A2D79">
      <w:pPr>
        <w:spacing w:line="440" w:lineRule="exact"/>
        <w:ind w:firstLine="566" w:firstLineChars="236"/>
        <w:contextualSpacing/>
        <w:rPr>
          <w:rFonts w:hint="eastAsia" w:ascii="宋体" w:hAnsi="宋体"/>
          <w:sz w:val="24"/>
        </w:rPr>
      </w:pPr>
      <w:r>
        <w:rPr>
          <w:rFonts w:hint="eastAsia" w:ascii="宋体" w:hAnsi="宋体"/>
          <w:sz w:val="24"/>
        </w:rPr>
        <w:t>附：牵头人法定代表人身份证明及委托代理人有效身份证正反面复印件</w:t>
      </w:r>
    </w:p>
    <w:p w14:paraId="44879131">
      <w:pPr>
        <w:spacing w:line="440" w:lineRule="exact"/>
        <w:ind w:firstLine="566" w:firstLineChars="236"/>
        <w:contextualSpacing/>
        <w:rPr>
          <w:rFonts w:hint="eastAsia" w:ascii="宋体" w:hAnsi="宋体"/>
          <w:sz w:val="24"/>
        </w:rPr>
      </w:pPr>
    </w:p>
    <w:p w14:paraId="087E9000">
      <w:pPr>
        <w:spacing w:line="440" w:lineRule="exact"/>
        <w:ind w:firstLine="566" w:firstLineChars="236"/>
        <w:contextualSpacing/>
        <w:rPr>
          <w:rFonts w:hint="eastAsia" w:ascii="宋体" w:hAnsi="宋体"/>
          <w:sz w:val="24"/>
        </w:rPr>
      </w:pPr>
      <w:r>
        <w:rPr>
          <w:rFonts w:hint="eastAsia" w:ascii="宋体" w:hAnsi="宋体"/>
          <w:sz w:val="24"/>
        </w:rPr>
        <w:t>牵头人法定代表人（签字或者盖章或者电子签名）：</w:t>
      </w:r>
    </w:p>
    <w:p w14:paraId="0FEA1D09">
      <w:pPr>
        <w:spacing w:line="440" w:lineRule="exact"/>
        <w:ind w:firstLine="566" w:firstLineChars="236"/>
        <w:contextualSpacing/>
        <w:rPr>
          <w:rFonts w:hint="eastAsia" w:ascii="宋体" w:hAnsi="宋体"/>
          <w:sz w:val="24"/>
        </w:rPr>
      </w:pPr>
      <w:r>
        <w:rPr>
          <w:rFonts w:hint="eastAsia" w:ascii="宋体" w:hAnsi="宋体"/>
          <w:sz w:val="24"/>
        </w:rPr>
        <w:t>牵头人（电子签章）：</w:t>
      </w:r>
    </w:p>
    <w:p w14:paraId="3BAD116D">
      <w:pPr>
        <w:spacing w:line="440" w:lineRule="exact"/>
        <w:ind w:firstLine="566" w:firstLineChars="236"/>
        <w:contextualSpacing/>
        <w:rPr>
          <w:rFonts w:hint="eastAsia" w:ascii="宋体" w:hAnsi="宋体"/>
          <w:sz w:val="24"/>
        </w:rPr>
      </w:pPr>
      <w:r>
        <w:rPr>
          <w:rFonts w:hint="eastAsia" w:ascii="宋体" w:hAnsi="宋体"/>
          <w:sz w:val="24"/>
        </w:rPr>
        <w:t>日期：    年   月   日</w:t>
      </w:r>
    </w:p>
    <w:p w14:paraId="3B597636">
      <w:pPr>
        <w:spacing w:line="440" w:lineRule="exact"/>
        <w:ind w:firstLine="566" w:firstLineChars="236"/>
        <w:contextualSpacing/>
        <w:rPr>
          <w:rFonts w:hint="eastAsia" w:ascii="宋体" w:hAnsi="宋体"/>
          <w:sz w:val="24"/>
        </w:rPr>
      </w:pPr>
    </w:p>
    <w:p w14:paraId="08422530">
      <w:pPr>
        <w:spacing w:line="440" w:lineRule="exact"/>
        <w:ind w:firstLine="566" w:firstLineChars="236"/>
        <w:contextualSpacing/>
        <w:rPr>
          <w:rFonts w:hint="eastAsia" w:ascii="宋体" w:hAnsi="宋体"/>
          <w:sz w:val="24"/>
        </w:rPr>
      </w:pPr>
      <w:r>
        <w:rPr>
          <w:rFonts w:hint="eastAsia" w:ascii="宋体" w:hAnsi="宋体"/>
          <w:sz w:val="24"/>
        </w:rPr>
        <w:t>被授权人（签字或者电子签名）：</w:t>
      </w:r>
    </w:p>
    <w:p w14:paraId="7639E852">
      <w:pPr>
        <w:spacing w:line="440" w:lineRule="exact"/>
        <w:ind w:firstLine="566" w:firstLineChars="236"/>
        <w:contextualSpacing/>
        <w:rPr>
          <w:rFonts w:hint="eastAsia" w:ascii="宋体" w:hAnsi="宋体" w:cs="仿宋_GB2312"/>
          <w:sz w:val="32"/>
          <w:szCs w:val="32"/>
        </w:rPr>
      </w:pPr>
      <w:r>
        <w:rPr>
          <w:rFonts w:hint="eastAsia" w:ascii="宋体" w:hAnsi="宋体"/>
          <w:sz w:val="24"/>
        </w:rPr>
        <w:t>日期：    年   月   日</w:t>
      </w:r>
    </w:p>
    <w:p w14:paraId="43FEEEB7">
      <w:pPr>
        <w:spacing w:line="440" w:lineRule="exact"/>
        <w:contextualSpacing/>
        <w:rPr>
          <w:rFonts w:hint="eastAsia" w:ascii="宋体" w:hAnsi="宋体" w:cs="仿宋_GB2312"/>
          <w:sz w:val="24"/>
        </w:rPr>
      </w:pPr>
      <w:r>
        <w:rPr>
          <w:rFonts w:hint="eastAsia" w:ascii="宋体" w:hAnsi="宋体" w:cs="仿宋_GB2312"/>
          <w:sz w:val="24"/>
        </w:rPr>
        <w:t>注：1.法定代表人必须在授权委托书上签字或者盖章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w:t>
      </w:r>
      <w:r>
        <w:rPr>
          <w:rFonts w:hint="eastAsia" w:ascii="宋体" w:hAnsi="宋体"/>
          <w:sz w:val="24"/>
        </w:rPr>
        <w:t>或者电子签名</w:t>
      </w:r>
      <w:r>
        <w:rPr>
          <w:rFonts w:hint="eastAsia" w:ascii="宋体" w:hAnsi="宋体" w:cs="仿宋_GB2312"/>
          <w:sz w:val="24"/>
        </w:rPr>
        <w:t>，</w:t>
      </w:r>
      <w:r>
        <w:rPr>
          <w:rFonts w:hint="eastAsia" w:ascii="宋体" w:hAnsi="宋体" w:cs="仿宋_GB2312"/>
          <w:b/>
          <w:bCs/>
          <w:sz w:val="24"/>
        </w:rPr>
        <w:t>否则按无效投标处理</w:t>
      </w:r>
      <w:r>
        <w:rPr>
          <w:rFonts w:hint="eastAsia" w:ascii="宋体" w:hAnsi="宋体" w:cs="仿宋_GB2312"/>
          <w:sz w:val="24"/>
        </w:rPr>
        <w:t>；</w:t>
      </w:r>
    </w:p>
    <w:p w14:paraId="296F46FE">
      <w:pPr>
        <w:spacing w:line="440" w:lineRule="exact"/>
        <w:ind w:firstLine="480" w:firstLineChars="200"/>
        <w:contextualSpacing/>
        <w:jc w:val="left"/>
        <w:rPr>
          <w:rFonts w:hint="eastAsia" w:ascii="宋体" w:hAnsi="宋体"/>
          <w:sz w:val="24"/>
        </w:rPr>
      </w:pPr>
      <w:r>
        <w:rPr>
          <w:rFonts w:hint="eastAsia" w:ascii="宋体" w:hAnsi="宋体" w:cs="仿宋_GB2312"/>
          <w:sz w:val="24"/>
        </w:rPr>
        <w:t>2.法人、其他组织投标时“我方”是指“我单位”，自然人投标时“我方”是指“本人”。</w:t>
      </w:r>
    </w:p>
    <w:p w14:paraId="2B61C5D8">
      <w:pPr>
        <w:spacing w:line="440" w:lineRule="exact"/>
        <w:contextualSpacing/>
        <w:rPr>
          <w:rFonts w:hint="eastAsia" w:ascii="宋体" w:hAnsi="宋体"/>
          <w:sz w:val="24"/>
        </w:rPr>
      </w:pPr>
    </w:p>
    <w:p w14:paraId="7DE4A93E">
      <w:pPr>
        <w:snapToGrid w:val="0"/>
        <w:spacing w:before="50" w:after="120" w:afterLines="50"/>
        <w:ind w:firstLine="480" w:firstLineChars="200"/>
        <w:jc w:val="left"/>
        <w:rPr>
          <w:rFonts w:hint="eastAsia" w:ascii="宋体" w:hAnsi="宋体"/>
          <w:sz w:val="24"/>
        </w:rPr>
        <w:sectPr>
          <w:footerReference r:id="rId7" w:type="first"/>
          <w:footerReference r:id="rId6" w:type="default"/>
          <w:pgSz w:w="11906" w:h="16838"/>
          <w:pgMar w:top="1134" w:right="1588" w:bottom="1134" w:left="1588" w:header="851" w:footer="992" w:gutter="0"/>
          <w:pgNumType w:start="1"/>
          <w:cols w:space="720" w:num="1"/>
          <w:docGrid w:linePitch="312" w:charSpace="0"/>
        </w:sectPr>
      </w:pPr>
    </w:p>
    <w:p w14:paraId="65CA736F">
      <w:pPr>
        <w:rPr>
          <w:rFonts w:hint="eastAsia" w:ascii="宋体" w:hAnsi="宋体"/>
          <w:sz w:val="24"/>
        </w:rPr>
      </w:pPr>
    </w:p>
    <w:p w14:paraId="100D5BCF">
      <w:pPr>
        <w:rPr>
          <w:rFonts w:hint="eastAsia" w:ascii="宋体" w:hAnsi="宋体"/>
          <w:b/>
          <w:sz w:val="24"/>
          <w:szCs w:val="20"/>
        </w:rPr>
      </w:pPr>
      <w:r>
        <w:rPr>
          <w:rFonts w:hint="eastAsia" w:ascii="宋体" w:hAnsi="宋体"/>
          <w:b/>
          <w:sz w:val="24"/>
        </w:rPr>
        <w:t>7.商务要求偏离表格式</w:t>
      </w:r>
    </w:p>
    <w:p w14:paraId="49B9BB9D">
      <w:pPr>
        <w:snapToGrid w:val="0"/>
        <w:spacing w:before="50"/>
        <w:jc w:val="left"/>
        <w:rPr>
          <w:rFonts w:hint="eastAsia" w:ascii="宋体" w:hAnsi="宋体"/>
          <w:sz w:val="24"/>
        </w:rPr>
      </w:pPr>
    </w:p>
    <w:p w14:paraId="0035D8C2">
      <w:pPr>
        <w:pStyle w:val="25"/>
        <w:rPr>
          <w:rFonts w:hint="eastAsia" w:hAnsi="宋体"/>
          <w:sz w:val="24"/>
          <w:szCs w:val="24"/>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p w14:paraId="2B1E4385">
      <w:pPr>
        <w:snapToGrid w:val="0"/>
        <w:spacing w:before="50"/>
        <w:jc w:val="left"/>
        <w:rPr>
          <w:rFonts w:hint="eastAsia" w:ascii="宋体" w:hAnsi="宋体"/>
          <w:sz w:val="24"/>
          <w:u w:val="single"/>
        </w:rPr>
      </w:pPr>
    </w:p>
    <w:tbl>
      <w:tblPr>
        <w:tblStyle w:val="48"/>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3E0A5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3DD1FD5F">
            <w:pPr>
              <w:snapToGrid w:val="0"/>
              <w:spacing w:before="120" w:beforeLines="50"/>
              <w:jc w:val="center"/>
              <w:rPr>
                <w:rFonts w:hint="eastAsia" w:ascii="宋体" w:hAnsi="宋体"/>
                <w:sz w:val="24"/>
              </w:rPr>
            </w:pPr>
            <w:r>
              <w:rPr>
                <w:rFonts w:hint="eastAsia" w:ascii="宋体" w:hAnsi="宋体"/>
                <w:sz w:val="24"/>
              </w:rPr>
              <w:t>项目</w:t>
            </w:r>
          </w:p>
        </w:tc>
        <w:tc>
          <w:tcPr>
            <w:tcW w:w="3336" w:type="dxa"/>
            <w:tcBorders>
              <w:top w:val="single" w:color="auto" w:sz="4" w:space="0"/>
              <w:left w:val="single" w:color="auto" w:sz="4" w:space="0"/>
              <w:bottom w:val="single" w:color="auto" w:sz="4" w:space="0"/>
              <w:right w:val="single" w:color="auto" w:sz="4" w:space="0"/>
            </w:tcBorders>
          </w:tcPr>
          <w:p w14:paraId="08940675">
            <w:pPr>
              <w:snapToGrid w:val="0"/>
              <w:spacing w:before="120" w:beforeLines="50"/>
              <w:jc w:val="center"/>
              <w:rPr>
                <w:rFonts w:hint="eastAsia" w:ascii="宋体" w:hAnsi="宋体"/>
                <w:sz w:val="24"/>
              </w:rPr>
            </w:pPr>
            <w:r>
              <w:rPr>
                <w:rFonts w:hint="eastAsia" w:ascii="宋体" w:hAnsi="宋体"/>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03AC1AEB">
            <w:pPr>
              <w:snapToGrid w:val="0"/>
              <w:spacing w:before="120" w:beforeLines="50"/>
              <w:jc w:val="center"/>
              <w:rPr>
                <w:rFonts w:hint="eastAsia" w:ascii="宋体" w:hAnsi="宋体"/>
                <w:sz w:val="24"/>
              </w:rPr>
            </w:pPr>
            <w:r>
              <w:rPr>
                <w:rFonts w:hint="eastAsia" w:ascii="宋体" w:hAnsi="宋体"/>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286A6C0C">
            <w:pPr>
              <w:snapToGrid w:val="0"/>
              <w:spacing w:before="120" w:beforeLines="50"/>
              <w:jc w:val="center"/>
              <w:rPr>
                <w:rFonts w:hint="eastAsia" w:ascii="宋体" w:hAnsi="宋体"/>
                <w:sz w:val="24"/>
              </w:rPr>
            </w:pPr>
            <w:r>
              <w:rPr>
                <w:rFonts w:hint="eastAsia" w:ascii="宋体" w:hAnsi="宋体"/>
                <w:sz w:val="24"/>
              </w:rPr>
              <w:t>偏离说明</w:t>
            </w:r>
          </w:p>
        </w:tc>
      </w:tr>
      <w:tr w14:paraId="69A5A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0865A9D9">
            <w:pPr>
              <w:jc w:val="center"/>
              <w:rPr>
                <w:rFonts w:hint="eastAsia" w:ascii="宋体" w:hAnsi="宋体"/>
                <w:iCs/>
                <w:sz w:val="24"/>
              </w:rPr>
            </w:pPr>
          </w:p>
        </w:tc>
        <w:tc>
          <w:tcPr>
            <w:tcW w:w="3336" w:type="dxa"/>
            <w:tcBorders>
              <w:top w:val="single" w:color="auto" w:sz="4" w:space="0"/>
              <w:left w:val="single" w:color="auto" w:sz="4" w:space="0"/>
              <w:bottom w:val="single" w:color="auto" w:sz="4" w:space="0"/>
              <w:right w:val="single" w:color="auto" w:sz="4" w:space="0"/>
            </w:tcBorders>
          </w:tcPr>
          <w:p w14:paraId="053411F9">
            <w:pPr>
              <w:snapToGrid w:val="0"/>
              <w:spacing w:before="120" w:beforeLines="50"/>
              <w:jc w:val="center"/>
              <w:rPr>
                <w:rFonts w:hint="eastAsia"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346F1B03">
            <w:pPr>
              <w:snapToGrid w:val="0"/>
              <w:spacing w:before="120" w:beforeLines="50"/>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23EE4D9E">
            <w:pPr>
              <w:snapToGrid w:val="0"/>
              <w:spacing w:before="120" w:beforeLines="50"/>
              <w:jc w:val="center"/>
              <w:rPr>
                <w:rFonts w:hint="eastAsia" w:ascii="宋体" w:hAnsi="宋体"/>
                <w:sz w:val="24"/>
              </w:rPr>
            </w:pPr>
          </w:p>
        </w:tc>
      </w:tr>
      <w:tr w14:paraId="507F0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510" w:type="dxa"/>
            <w:tcBorders>
              <w:top w:val="single" w:color="auto" w:sz="4" w:space="0"/>
              <w:left w:val="single" w:color="auto" w:sz="4" w:space="0"/>
              <w:bottom w:val="single" w:color="auto" w:sz="4" w:space="0"/>
              <w:right w:val="single" w:color="auto" w:sz="4" w:space="0"/>
            </w:tcBorders>
            <w:vAlign w:val="center"/>
          </w:tcPr>
          <w:p w14:paraId="7BA87472">
            <w:pPr>
              <w:jc w:val="center"/>
              <w:rPr>
                <w:rFonts w:hint="eastAsia" w:ascii="宋体" w:hAnsi="宋体"/>
                <w:iCs/>
                <w:sz w:val="24"/>
              </w:rPr>
            </w:pPr>
          </w:p>
        </w:tc>
        <w:tc>
          <w:tcPr>
            <w:tcW w:w="3336" w:type="dxa"/>
            <w:tcBorders>
              <w:top w:val="single" w:color="auto" w:sz="4" w:space="0"/>
              <w:left w:val="single" w:color="auto" w:sz="4" w:space="0"/>
              <w:bottom w:val="single" w:color="auto" w:sz="4" w:space="0"/>
              <w:right w:val="single" w:color="auto" w:sz="4" w:space="0"/>
            </w:tcBorders>
          </w:tcPr>
          <w:p w14:paraId="0369B3FB">
            <w:pPr>
              <w:snapToGrid w:val="0"/>
              <w:spacing w:before="120" w:beforeLines="50"/>
              <w:rPr>
                <w:rFonts w:hint="eastAsia" w:ascii="宋体" w:hAnsi="宋体"/>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7CCC530B">
            <w:pPr>
              <w:snapToGrid w:val="0"/>
              <w:spacing w:before="120" w:beforeLines="50"/>
              <w:ind w:left="43"/>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5C70EA21">
            <w:pPr>
              <w:snapToGrid w:val="0"/>
              <w:spacing w:before="120" w:beforeLines="50"/>
              <w:ind w:left="43"/>
              <w:jc w:val="center"/>
              <w:rPr>
                <w:rFonts w:hint="eastAsia" w:ascii="宋体" w:hAnsi="宋体"/>
                <w:sz w:val="24"/>
              </w:rPr>
            </w:pPr>
          </w:p>
        </w:tc>
      </w:tr>
      <w:tr w14:paraId="6C677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510" w:type="dxa"/>
            <w:tcBorders>
              <w:top w:val="single" w:color="auto" w:sz="4" w:space="0"/>
              <w:left w:val="single" w:color="auto" w:sz="4" w:space="0"/>
              <w:bottom w:val="single" w:color="auto" w:sz="4" w:space="0"/>
              <w:right w:val="single" w:color="auto" w:sz="4" w:space="0"/>
            </w:tcBorders>
            <w:vAlign w:val="center"/>
          </w:tcPr>
          <w:p w14:paraId="729DECDE">
            <w:pPr>
              <w:jc w:val="center"/>
              <w:rPr>
                <w:rFonts w:hint="eastAsia" w:ascii="宋体" w:hAnsi="宋体"/>
                <w:iCs/>
                <w:sz w:val="24"/>
              </w:rPr>
            </w:pPr>
          </w:p>
        </w:tc>
        <w:tc>
          <w:tcPr>
            <w:tcW w:w="3336" w:type="dxa"/>
            <w:tcBorders>
              <w:top w:val="single" w:color="auto" w:sz="4" w:space="0"/>
              <w:left w:val="single" w:color="auto" w:sz="4" w:space="0"/>
              <w:bottom w:val="single" w:color="auto" w:sz="4" w:space="0"/>
              <w:right w:val="single" w:color="auto" w:sz="4" w:space="0"/>
            </w:tcBorders>
          </w:tcPr>
          <w:p w14:paraId="0C0A4078">
            <w:pPr>
              <w:snapToGrid w:val="0"/>
              <w:spacing w:before="120" w:beforeLines="50"/>
              <w:rPr>
                <w:rFonts w:hint="eastAsia" w:ascii="宋体" w:hAnsi="宋体"/>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0391F459">
            <w:pPr>
              <w:snapToGrid w:val="0"/>
              <w:spacing w:before="120" w:beforeLines="50"/>
              <w:ind w:left="43"/>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1B2EEAA8">
            <w:pPr>
              <w:snapToGrid w:val="0"/>
              <w:spacing w:before="120" w:beforeLines="50"/>
              <w:ind w:left="43"/>
              <w:jc w:val="center"/>
              <w:rPr>
                <w:rFonts w:hint="eastAsia" w:ascii="宋体" w:hAnsi="宋体"/>
                <w:sz w:val="24"/>
              </w:rPr>
            </w:pPr>
          </w:p>
        </w:tc>
      </w:tr>
      <w:tr w14:paraId="2EC26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510" w:type="dxa"/>
            <w:tcBorders>
              <w:top w:val="single" w:color="auto" w:sz="4" w:space="0"/>
              <w:left w:val="single" w:color="auto" w:sz="4" w:space="0"/>
              <w:bottom w:val="single" w:color="auto" w:sz="4" w:space="0"/>
              <w:right w:val="single" w:color="auto" w:sz="4" w:space="0"/>
            </w:tcBorders>
            <w:vAlign w:val="center"/>
          </w:tcPr>
          <w:p w14:paraId="525CDFE4">
            <w:pPr>
              <w:jc w:val="center"/>
              <w:rPr>
                <w:rFonts w:hint="eastAsia" w:ascii="宋体" w:hAnsi="宋体"/>
                <w:iCs/>
                <w:sz w:val="24"/>
              </w:rPr>
            </w:pPr>
          </w:p>
        </w:tc>
        <w:tc>
          <w:tcPr>
            <w:tcW w:w="3336" w:type="dxa"/>
            <w:tcBorders>
              <w:top w:val="single" w:color="auto" w:sz="4" w:space="0"/>
              <w:left w:val="single" w:color="auto" w:sz="4" w:space="0"/>
              <w:bottom w:val="single" w:color="auto" w:sz="4" w:space="0"/>
              <w:right w:val="single" w:color="auto" w:sz="4" w:space="0"/>
            </w:tcBorders>
          </w:tcPr>
          <w:p w14:paraId="0030676F">
            <w:pPr>
              <w:snapToGrid w:val="0"/>
              <w:spacing w:before="120" w:beforeLines="50"/>
              <w:rPr>
                <w:rFonts w:hint="eastAsia" w:ascii="宋体" w:hAnsi="宋体"/>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44234091">
            <w:pPr>
              <w:snapToGrid w:val="0"/>
              <w:spacing w:before="120" w:beforeLines="50"/>
              <w:ind w:left="43"/>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697A1256">
            <w:pPr>
              <w:snapToGrid w:val="0"/>
              <w:spacing w:before="120" w:beforeLines="50"/>
              <w:ind w:left="43"/>
              <w:jc w:val="center"/>
              <w:rPr>
                <w:rFonts w:hint="eastAsia" w:ascii="宋体" w:hAnsi="宋体"/>
                <w:sz w:val="24"/>
              </w:rPr>
            </w:pPr>
          </w:p>
        </w:tc>
      </w:tr>
      <w:tr w14:paraId="11C63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2D57C7F3">
            <w:pPr>
              <w:snapToGrid w:val="0"/>
              <w:spacing w:before="120" w:beforeLines="50"/>
              <w:jc w:val="center"/>
              <w:rPr>
                <w:rFonts w:hint="eastAsia" w:ascii="宋体" w:hAnsi="宋体"/>
                <w:iCs/>
                <w:sz w:val="24"/>
              </w:rPr>
            </w:pPr>
            <w:r>
              <w:rPr>
                <w:rFonts w:hint="eastAsia" w:ascii="宋体" w:hAnsi="宋体"/>
                <w:iCs/>
                <w:sz w:val="24"/>
              </w:rPr>
              <w:t>…</w:t>
            </w:r>
          </w:p>
        </w:tc>
        <w:tc>
          <w:tcPr>
            <w:tcW w:w="3336" w:type="dxa"/>
            <w:tcBorders>
              <w:top w:val="single" w:color="auto" w:sz="4" w:space="0"/>
              <w:left w:val="single" w:color="auto" w:sz="4" w:space="0"/>
              <w:bottom w:val="single" w:color="auto" w:sz="4" w:space="0"/>
              <w:right w:val="single" w:color="auto" w:sz="4" w:space="0"/>
            </w:tcBorders>
          </w:tcPr>
          <w:p w14:paraId="5D8F47F1">
            <w:pPr>
              <w:snapToGrid w:val="0"/>
              <w:spacing w:before="120" w:beforeLines="50"/>
              <w:jc w:val="center"/>
              <w:rPr>
                <w:rFonts w:hint="eastAsia"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6F347464">
            <w:pPr>
              <w:snapToGrid w:val="0"/>
              <w:spacing w:before="120" w:beforeLines="50"/>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69F5F508">
            <w:pPr>
              <w:snapToGrid w:val="0"/>
              <w:spacing w:before="120" w:beforeLines="50"/>
              <w:jc w:val="center"/>
              <w:rPr>
                <w:rFonts w:hint="eastAsia" w:ascii="宋体" w:hAnsi="宋体"/>
                <w:sz w:val="24"/>
              </w:rPr>
            </w:pPr>
          </w:p>
        </w:tc>
      </w:tr>
    </w:tbl>
    <w:p w14:paraId="6DEB51D2">
      <w:pPr>
        <w:pStyle w:val="17"/>
        <w:rPr>
          <w:rFonts w:hint="eastAsia" w:ascii="宋体" w:hAnsi="宋体"/>
        </w:rPr>
      </w:pPr>
      <w:r>
        <w:rPr>
          <w:rFonts w:hint="eastAsia" w:ascii="宋体" w:hAnsi="宋体"/>
        </w:rPr>
        <w:t>注：</w:t>
      </w:r>
    </w:p>
    <w:p w14:paraId="6D3A726B">
      <w:pPr>
        <w:pStyle w:val="19"/>
        <w:spacing w:line="520" w:lineRule="exact"/>
        <w:ind w:firstLine="0" w:firstLineChars="0"/>
        <w:rPr>
          <w:rFonts w:hint="eastAsia" w:hAnsi="仿宋_GB2312" w:cs="仿宋_GB2312"/>
          <w:szCs w:val="32"/>
        </w:rPr>
      </w:pPr>
      <w:r>
        <w:rPr>
          <w:rFonts w:hint="eastAsia" w:ascii="宋体" w:hAnsi="宋体" w:eastAsia="宋体"/>
          <w:sz w:val="24"/>
          <w:szCs w:val="24"/>
        </w:rPr>
        <w:t>1.</w:t>
      </w:r>
      <w:r>
        <w:rPr>
          <w:rFonts w:hint="eastAsia"/>
        </w:rPr>
        <w:t xml:space="preserve"> </w:t>
      </w:r>
      <w:r>
        <w:rPr>
          <w:rFonts w:hint="eastAsia" w:ascii="宋体" w:hAnsi="宋体" w:eastAsia="宋体"/>
          <w:sz w:val="24"/>
          <w:szCs w:val="24"/>
        </w:rPr>
        <w:t>说明：应对照招标文件“第二章 采购需求”中的商务要求逐条作明确的投标响应，并作出偏离说明。</w:t>
      </w:r>
    </w:p>
    <w:p w14:paraId="005F7885">
      <w:pPr>
        <w:pStyle w:val="17"/>
        <w:rPr>
          <w:rFonts w:hint="eastAsia" w:ascii="宋体" w:hAnsi="宋体"/>
          <w:b w:val="0"/>
          <w:bCs w:val="0"/>
        </w:rPr>
      </w:pPr>
      <w:r>
        <w:rPr>
          <w:rFonts w:ascii="宋体" w:hAnsi="宋体"/>
          <w:b w:val="0"/>
          <w:bCs w:val="0"/>
        </w:rPr>
        <w:t>2.</w:t>
      </w:r>
      <w:r>
        <w:rPr>
          <w:rFonts w:hint="eastAsia" w:ascii="宋体" w:hAnsi="宋体"/>
          <w:b w:val="0"/>
          <w:bCs w:val="0"/>
        </w:rPr>
        <w:t>投标人应根据自身的承诺，对照招标文件要求在“偏离说明”中注明“</w:t>
      </w:r>
      <w:r>
        <w:rPr>
          <w:rFonts w:hint="eastAsia" w:ascii="宋体" w:hAnsi="宋体"/>
        </w:rPr>
        <w:t>正偏离”“负偏离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689E340A">
      <w:pPr>
        <w:snapToGrid w:val="0"/>
        <w:spacing w:before="50" w:after="50"/>
        <w:rPr>
          <w:rFonts w:hint="eastAsia" w:ascii="宋体" w:hAnsi="宋体"/>
          <w:sz w:val="24"/>
        </w:rPr>
      </w:pPr>
    </w:p>
    <w:p w14:paraId="51874229">
      <w:pPr>
        <w:snapToGrid w:val="0"/>
        <w:spacing w:before="50" w:after="50"/>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7D5E8D5B">
      <w:pPr>
        <w:snapToGrid w:val="0"/>
        <w:spacing w:before="120" w:beforeLines="50"/>
        <w:rPr>
          <w:rFonts w:hint="eastAsia"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388A72C4">
      <w:pPr>
        <w:snapToGrid w:val="0"/>
        <w:spacing w:before="120" w:beforeLines="50"/>
        <w:rPr>
          <w:rFonts w:hint="eastAsia"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2DFE9B77">
      <w:pPr>
        <w:snapToGrid w:val="0"/>
        <w:spacing w:before="120" w:beforeLines="50"/>
        <w:rPr>
          <w:rFonts w:hint="eastAsia" w:ascii="宋体" w:hAnsi="宋体"/>
          <w:sz w:val="24"/>
          <w:szCs w:val="20"/>
        </w:rPr>
      </w:pPr>
    </w:p>
    <w:p w14:paraId="5A64EF81">
      <w:pPr>
        <w:snapToGrid w:val="0"/>
        <w:spacing w:before="120" w:beforeLines="50" w:after="50"/>
        <w:jc w:val="left"/>
        <w:rPr>
          <w:rFonts w:hint="eastAsia" w:ascii="宋体" w:hAnsi="宋体"/>
          <w:sz w:val="24"/>
          <w:szCs w:val="20"/>
        </w:rPr>
      </w:pPr>
    </w:p>
    <w:p w14:paraId="715DAE20">
      <w:pPr>
        <w:snapToGrid w:val="0"/>
        <w:spacing w:before="120" w:beforeLines="50" w:after="50"/>
        <w:jc w:val="left"/>
        <w:rPr>
          <w:rFonts w:hint="eastAsia" w:ascii="宋体" w:hAnsi="宋体"/>
          <w:b/>
          <w:sz w:val="24"/>
        </w:rPr>
      </w:pPr>
      <w:r>
        <w:rPr>
          <w:rFonts w:ascii="宋体" w:hAnsi="宋体"/>
          <w:sz w:val="24"/>
          <w:szCs w:val="20"/>
        </w:rPr>
        <w:br w:type="page"/>
      </w:r>
      <w:r>
        <w:rPr>
          <w:rFonts w:hint="eastAsia" w:ascii="宋体" w:hAnsi="宋体"/>
          <w:b/>
          <w:sz w:val="24"/>
        </w:rPr>
        <w:t>8.投标人业绩证明材料</w:t>
      </w:r>
    </w:p>
    <w:p w14:paraId="49A37FDF">
      <w:pPr>
        <w:pStyle w:val="35"/>
        <w:snapToGrid w:val="0"/>
        <w:ind w:left="480" w:hanging="480"/>
        <w:rPr>
          <w:rFonts w:hint="eastAsia" w:ascii="宋体" w:hAnsi="宋体"/>
          <w:sz w:val="24"/>
        </w:rPr>
      </w:pPr>
    </w:p>
    <w:p w14:paraId="147D9A6A">
      <w:pPr>
        <w:pStyle w:val="35"/>
        <w:snapToGrid w:val="0"/>
        <w:ind w:left="480" w:hanging="480"/>
        <w:rPr>
          <w:rFonts w:hint="eastAsia" w:ascii="宋体" w:hAnsi="宋体"/>
          <w:sz w:val="24"/>
        </w:rPr>
      </w:pPr>
      <w:r>
        <w:rPr>
          <w:rFonts w:hint="eastAsia" w:ascii="宋体" w:hAnsi="宋体"/>
          <w:sz w:val="24"/>
        </w:rPr>
        <w:t xml:space="preserve">投标人业绩情况一览表格式： </w:t>
      </w:r>
    </w:p>
    <w:tbl>
      <w:tblPr>
        <w:tblStyle w:val="4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7"/>
        <w:gridCol w:w="1857"/>
        <w:gridCol w:w="1857"/>
        <w:gridCol w:w="2995"/>
      </w:tblGrid>
      <w:tr w14:paraId="46C74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1A7C90BD">
            <w:pPr>
              <w:snapToGrid w:val="0"/>
              <w:spacing w:line="240" w:lineRule="exact"/>
              <w:jc w:val="center"/>
              <w:rPr>
                <w:rFonts w:hint="eastAsia" w:ascii="宋体" w:hAnsi="宋体"/>
                <w:sz w:val="24"/>
              </w:rPr>
            </w:pPr>
            <w:r>
              <w:rPr>
                <w:rFonts w:hint="eastAsia" w:ascii="宋体" w:hAnsi="宋体"/>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6CEB463A">
            <w:pPr>
              <w:snapToGrid w:val="0"/>
              <w:spacing w:line="240" w:lineRule="exact"/>
              <w:jc w:val="center"/>
              <w:rPr>
                <w:rFonts w:hint="eastAsia" w:ascii="宋体" w:hAnsi="宋体"/>
                <w:sz w:val="24"/>
              </w:rPr>
            </w:pPr>
            <w:r>
              <w:rPr>
                <w:rFonts w:hint="eastAsia" w:ascii="宋体" w:hAnsi="宋体"/>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21C98EB">
            <w:pPr>
              <w:snapToGrid w:val="0"/>
              <w:spacing w:line="240" w:lineRule="exact"/>
              <w:jc w:val="center"/>
              <w:rPr>
                <w:rFonts w:hint="eastAsia" w:ascii="宋体" w:hAnsi="宋体"/>
                <w:sz w:val="24"/>
              </w:rPr>
            </w:pPr>
            <w:r>
              <w:rPr>
                <w:rFonts w:hint="eastAsia" w:ascii="宋体" w:hAnsi="宋体"/>
                <w:sz w:val="24"/>
              </w:rPr>
              <w:t>合同金额</w:t>
            </w:r>
          </w:p>
          <w:p w14:paraId="16EC2AA5">
            <w:pPr>
              <w:snapToGrid w:val="0"/>
              <w:spacing w:line="240" w:lineRule="exact"/>
              <w:jc w:val="center"/>
              <w:rPr>
                <w:rFonts w:hint="eastAsia" w:ascii="宋体" w:hAnsi="宋体"/>
                <w:sz w:val="24"/>
              </w:rPr>
            </w:pPr>
            <w:r>
              <w:rPr>
                <w:rFonts w:hint="eastAsia" w:ascii="宋体" w:hAnsi="宋体"/>
                <w:sz w:val="24"/>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416A9CA7">
            <w:pPr>
              <w:snapToGrid w:val="0"/>
              <w:spacing w:line="240" w:lineRule="exact"/>
              <w:jc w:val="center"/>
              <w:rPr>
                <w:rFonts w:hint="eastAsia" w:ascii="宋体" w:hAnsi="宋体"/>
                <w:sz w:val="24"/>
              </w:rPr>
            </w:pPr>
            <w:r>
              <w:rPr>
                <w:rFonts w:hint="eastAsia" w:ascii="宋体" w:hAnsi="宋体"/>
                <w:sz w:val="24"/>
              </w:rPr>
              <w:t>采购人联系人及</w:t>
            </w:r>
          </w:p>
          <w:p w14:paraId="40EDA35A">
            <w:pPr>
              <w:snapToGrid w:val="0"/>
              <w:spacing w:line="240" w:lineRule="exact"/>
              <w:jc w:val="center"/>
              <w:rPr>
                <w:rFonts w:hint="eastAsia" w:ascii="宋体" w:hAnsi="宋体"/>
                <w:sz w:val="24"/>
              </w:rPr>
            </w:pPr>
            <w:r>
              <w:rPr>
                <w:rFonts w:hint="eastAsia" w:ascii="宋体" w:hAnsi="宋体"/>
                <w:sz w:val="24"/>
              </w:rPr>
              <w:t>联系电话</w:t>
            </w:r>
          </w:p>
        </w:tc>
      </w:tr>
      <w:tr w14:paraId="01514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310ECC00">
            <w:pPr>
              <w:jc w:val="left"/>
              <w:rPr>
                <w:rFonts w:hint="eastAsia" w:ascii="宋体" w:hAnsi="宋体"/>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5C0B2CFE">
            <w:pPr>
              <w:jc w:val="left"/>
              <w:rPr>
                <w:rFonts w:hint="eastAsia" w:ascii="宋体" w:hAnsi="宋体"/>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123675AE">
            <w:pPr>
              <w:jc w:val="left"/>
              <w:rPr>
                <w:rFonts w:hint="eastAsia" w:ascii="宋体" w:hAnsi="宋体"/>
                <w:sz w:val="24"/>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D36A2F3">
            <w:pPr>
              <w:jc w:val="left"/>
              <w:rPr>
                <w:rFonts w:hint="eastAsia" w:ascii="宋体" w:hAnsi="宋体"/>
                <w:sz w:val="24"/>
              </w:rPr>
            </w:pPr>
          </w:p>
        </w:tc>
      </w:tr>
      <w:tr w14:paraId="6B562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79E179D3">
            <w:pPr>
              <w:snapToGrid w:val="0"/>
              <w:spacing w:line="24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4C89B60A">
            <w:pPr>
              <w:snapToGrid w:val="0"/>
              <w:spacing w:line="24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5BFF3710">
            <w:pPr>
              <w:snapToGrid w:val="0"/>
              <w:spacing w:line="24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2503E206">
            <w:pPr>
              <w:snapToGrid w:val="0"/>
              <w:spacing w:line="240" w:lineRule="exact"/>
              <w:jc w:val="left"/>
              <w:rPr>
                <w:rFonts w:hint="eastAsia" w:ascii="宋体" w:hAnsi="宋体"/>
                <w:sz w:val="24"/>
              </w:rPr>
            </w:pPr>
          </w:p>
        </w:tc>
      </w:tr>
      <w:tr w14:paraId="61E79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4DE3BC5C">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2294DB00">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2D3CDA52">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3D35C996">
            <w:pPr>
              <w:snapToGrid w:val="0"/>
              <w:spacing w:before="50" w:after="120" w:afterLines="50" w:line="400" w:lineRule="exact"/>
              <w:jc w:val="left"/>
              <w:rPr>
                <w:rFonts w:hint="eastAsia" w:ascii="宋体" w:hAnsi="宋体"/>
                <w:sz w:val="24"/>
              </w:rPr>
            </w:pPr>
          </w:p>
        </w:tc>
      </w:tr>
      <w:tr w14:paraId="50348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14948232">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664EDA99">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26F19BAD">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279FC619">
            <w:pPr>
              <w:snapToGrid w:val="0"/>
              <w:spacing w:before="50" w:after="120" w:afterLines="50" w:line="400" w:lineRule="exact"/>
              <w:jc w:val="left"/>
              <w:rPr>
                <w:rFonts w:hint="eastAsia" w:ascii="宋体" w:hAnsi="宋体"/>
                <w:sz w:val="24"/>
              </w:rPr>
            </w:pPr>
          </w:p>
        </w:tc>
      </w:tr>
      <w:tr w14:paraId="74883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925BCD6">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539CEA4E">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3A487512">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6723FD6D">
            <w:pPr>
              <w:snapToGrid w:val="0"/>
              <w:spacing w:before="50" w:after="120" w:afterLines="50" w:line="400" w:lineRule="exact"/>
              <w:jc w:val="left"/>
              <w:rPr>
                <w:rFonts w:hint="eastAsia" w:ascii="宋体" w:hAnsi="宋体"/>
                <w:sz w:val="24"/>
              </w:rPr>
            </w:pPr>
          </w:p>
        </w:tc>
      </w:tr>
      <w:tr w14:paraId="48DA6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43571A67">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229C8C19">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3D5473B3">
            <w:pPr>
              <w:snapToGrid w:val="0"/>
              <w:spacing w:before="50" w:after="120" w:afterLines="50" w:line="400" w:lineRule="exact"/>
              <w:jc w:val="left"/>
              <w:rPr>
                <w:rFonts w:hint="eastAsia"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62AA0D84">
            <w:pPr>
              <w:snapToGrid w:val="0"/>
              <w:spacing w:before="50" w:after="120" w:afterLines="50" w:line="400" w:lineRule="exact"/>
              <w:jc w:val="left"/>
              <w:rPr>
                <w:rFonts w:hint="eastAsia" w:ascii="宋体" w:hAnsi="宋体"/>
                <w:sz w:val="24"/>
              </w:rPr>
            </w:pPr>
          </w:p>
        </w:tc>
      </w:tr>
    </w:tbl>
    <w:p w14:paraId="34FC4F63">
      <w:pPr>
        <w:pStyle w:val="14"/>
        <w:spacing w:before="0" w:after="0" w:line="360" w:lineRule="auto"/>
        <w:contextualSpacing/>
        <w:rPr>
          <w:rFonts w:hint="eastAsia" w:ascii="宋体" w:hAnsi="宋体" w:eastAsia="宋体"/>
          <w:sz w:val="24"/>
          <w:szCs w:val="24"/>
        </w:rPr>
      </w:pPr>
    </w:p>
    <w:p w14:paraId="2D9B6BAF">
      <w:pPr>
        <w:pStyle w:val="14"/>
        <w:spacing w:before="0" w:after="0" w:line="360" w:lineRule="auto"/>
        <w:contextualSpacing/>
        <w:rPr>
          <w:rFonts w:hint="eastAsia" w:ascii="宋体" w:hAnsi="宋体" w:eastAsia="宋体"/>
          <w:sz w:val="24"/>
          <w:szCs w:val="24"/>
        </w:rPr>
      </w:pPr>
      <w:r>
        <w:rPr>
          <w:rFonts w:hint="eastAsia" w:ascii="宋体" w:hAnsi="宋体" w:eastAsia="宋体"/>
          <w:sz w:val="24"/>
          <w:szCs w:val="24"/>
        </w:rPr>
        <w:t>注：</w:t>
      </w:r>
      <w:r>
        <w:rPr>
          <w:rFonts w:hint="eastAsia" w:ascii="宋体" w:hAnsi="宋体"/>
          <w:sz w:val="24"/>
        </w:rPr>
        <w:t>投标人根据评标标准具体要求附业绩证明材料。</w:t>
      </w:r>
    </w:p>
    <w:p w14:paraId="1E569C01">
      <w:pPr>
        <w:pStyle w:val="14"/>
        <w:spacing w:before="0" w:after="0" w:line="360" w:lineRule="auto"/>
        <w:contextualSpacing/>
        <w:jc w:val="left"/>
        <w:rPr>
          <w:rFonts w:hint="eastAsia" w:ascii="宋体" w:hAnsi="宋体" w:eastAsia="宋体"/>
          <w:sz w:val="24"/>
          <w:szCs w:val="24"/>
          <w:u w:val="single"/>
        </w:rPr>
      </w:pPr>
      <w:r>
        <w:rPr>
          <w:rFonts w:hint="eastAsia" w:ascii="宋体" w:hAnsi="宋体" w:eastAsia="宋体"/>
          <w:sz w:val="24"/>
          <w:szCs w:val="24"/>
        </w:rPr>
        <w:t>法定代表人或者委托代理人（签字或者电子签名）：</w:t>
      </w:r>
      <w:r>
        <w:rPr>
          <w:rFonts w:hint="eastAsia" w:ascii="宋体" w:hAnsi="宋体" w:eastAsia="宋体"/>
          <w:sz w:val="24"/>
          <w:szCs w:val="24"/>
          <w:u w:val="single"/>
        </w:rPr>
        <w:t>　　　　　</w:t>
      </w:r>
    </w:p>
    <w:p w14:paraId="68F11CAB">
      <w:pPr>
        <w:spacing w:line="360" w:lineRule="auto"/>
        <w:ind w:right="480"/>
        <w:contextualSpacing/>
        <w:jc w:val="left"/>
        <w:rPr>
          <w:rFonts w:hint="eastAsia" w:ascii="宋体" w:hAnsi="宋体"/>
          <w:sz w:val="24"/>
          <w:szCs w:val="20"/>
        </w:rPr>
      </w:pPr>
      <w:r>
        <w:rPr>
          <w:rFonts w:hint="eastAsia" w:ascii="宋体" w:hAnsi="宋体" w:cs="Arial"/>
          <w:sz w:val="24"/>
        </w:rPr>
        <w:t xml:space="preserve">投标人名称（电子签章）： </w:t>
      </w:r>
      <w:r>
        <w:rPr>
          <w:rFonts w:hint="eastAsia" w:ascii="宋体" w:hAnsi="宋体"/>
          <w:sz w:val="24"/>
          <w:u w:val="single"/>
        </w:rPr>
        <w:t xml:space="preserve">                </w:t>
      </w:r>
      <w:r>
        <w:rPr>
          <w:rFonts w:hint="eastAsia" w:ascii="宋体" w:hAnsi="宋体"/>
          <w:sz w:val="24"/>
        </w:rPr>
        <w:t xml:space="preserve">                                                              年    月    日</w:t>
      </w:r>
    </w:p>
    <w:p w14:paraId="1459E586">
      <w:pPr>
        <w:snapToGrid w:val="0"/>
        <w:spacing w:before="50"/>
        <w:ind w:firstLine="480" w:firstLineChars="200"/>
        <w:jc w:val="left"/>
        <w:rPr>
          <w:rFonts w:hint="eastAsia" w:ascii="宋体" w:hAnsi="宋体"/>
          <w:sz w:val="24"/>
          <w:szCs w:val="20"/>
        </w:rPr>
      </w:pPr>
    </w:p>
    <w:p w14:paraId="6C462B19">
      <w:pPr>
        <w:snapToGrid w:val="0"/>
        <w:spacing w:before="120" w:beforeLines="50" w:after="50"/>
        <w:jc w:val="left"/>
        <w:rPr>
          <w:rFonts w:hint="eastAsia" w:ascii="宋体" w:hAnsi="宋体"/>
          <w:b/>
          <w:sz w:val="24"/>
        </w:rPr>
      </w:pPr>
      <w:r>
        <w:rPr>
          <w:rFonts w:ascii="宋体" w:hAnsi="宋体"/>
          <w:sz w:val="24"/>
        </w:rPr>
        <w:br w:type="page"/>
      </w:r>
      <w:r>
        <w:rPr>
          <w:rFonts w:hint="eastAsia" w:ascii="宋体" w:hAnsi="宋体"/>
          <w:b/>
          <w:sz w:val="24"/>
        </w:rPr>
        <w:t>9.代理服务费承诺书</w:t>
      </w:r>
    </w:p>
    <w:p w14:paraId="69C5D3CC">
      <w:pPr>
        <w:snapToGrid w:val="0"/>
        <w:spacing w:before="120" w:beforeLines="50" w:after="50"/>
        <w:jc w:val="left"/>
        <w:rPr>
          <w:rFonts w:hint="eastAsia" w:ascii="方正小标宋简体" w:hAnsi="方正小标宋简体" w:eastAsia="方正小标宋简体" w:cs="方正小标宋简体"/>
          <w:bCs/>
          <w:szCs w:val="21"/>
        </w:rPr>
      </w:pPr>
    </w:p>
    <w:p w14:paraId="5A5529BE">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代理服务费承诺书</w:t>
      </w:r>
    </w:p>
    <w:p w14:paraId="312C5E0E">
      <w:pPr>
        <w:snapToGrid w:val="0"/>
        <w:spacing w:before="120" w:beforeLines="50" w:after="50"/>
        <w:jc w:val="center"/>
        <w:rPr>
          <w:rFonts w:hint="eastAsia" w:ascii="宋体" w:hAnsi="宋体"/>
          <w:b/>
          <w:sz w:val="24"/>
        </w:rPr>
      </w:pPr>
    </w:p>
    <w:p w14:paraId="36044901">
      <w:pPr>
        <w:spacing w:line="360" w:lineRule="auto"/>
        <w:rPr>
          <w:rFonts w:hint="eastAsia" w:ascii="宋体" w:hAnsi="宋体"/>
          <w:b/>
          <w:bCs/>
          <w:sz w:val="24"/>
        </w:rPr>
      </w:pPr>
      <w:r>
        <w:rPr>
          <w:rFonts w:hint="eastAsia" w:ascii="宋体" w:hAnsi="宋体"/>
          <w:bCs/>
          <w:sz w:val="24"/>
        </w:rPr>
        <w:t>致：</w:t>
      </w:r>
      <w:r>
        <w:rPr>
          <w:rFonts w:hint="eastAsia" w:ascii="宋体" w:hAnsi="宋体"/>
          <w:sz w:val="24"/>
          <w:u w:val="single"/>
        </w:rPr>
        <w:t>招标代理机构名称</w:t>
      </w:r>
      <w:r>
        <w:rPr>
          <w:rFonts w:hint="eastAsia" w:ascii="宋体" w:hAnsi="宋体"/>
          <w:sz w:val="24"/>
        </w:rPr>
        <w:t>：</w:t>
      </w:r>
    </w:p>
    <w:p w14:paraId="0A365489">
      <w:pPr>
        <w:spacing w:line="360" w:lineRule="auto"/>
        <w:ind w:firstLine="480" w:firstLineChars="200"/>
        <w:rPr>
          <w:rFonts w:hint="eastAsia" w:ascii="宋体" w:hAnsi="宋体"/>
          <w:sz w:val="24"/>
        </w:rPr>
      </w:pPr>
      <w:r>
        <w:rPr>
          <w:rFonts w:hint="eastAsia" w:ascii="宋体" w:hAnsi="宋体"/>
          <w:sz w:val="24"/>
        </w:rPr>
        <w:t>本单位参加了贵方组织的</w:t>
      </w:r>
      <w:r>
        <w:rPr>
          <w:rFonts w:hint="eastAsia" w:ascii="宋体" w:hAnsi="宋体"/>
          <w:sz w:val="24"/>
          <w:u w:val="single"/>
        </w:rPr>
        <w:t xml:space="preserve">  项目名称（项目编号）  </w:t>
      </w:r>
      <w:r>
        <w:rPr>
          <w:rFonts w:hint="eastAsia" w:ascii="宋体" w:hAnsi="宋体"/>
          <w:sz w:val="24"/>
        </w:rPr>
        <w:t>项目， 在此说明如下：</w:t>
      </w:r>
    </w:p>
    <w:p w14:paraId="062DE025">
      <w:pPr>
        <w:spacing w:line="360" w:lineRule="auto"/>
        <w:ind w:firstLine="360" w:firstLineChars="150"/>
        <w:rPr>
          <w:rFonts w:hint="eastAsia" w:ascii="宋体" w:hAnsi="宋体"/>
          <w:sz w:val="24"/>
        </w:rPr>
      </w:pPr>
      <w:r>
        <w:rPr>
          <w:rFonts w:hint="eastAsia" w:ascii="宋体" w:hAnsi="宋体"/>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51B09ADC">
      <w:pPr>
        <w:spacing w:line="360" w:lineRule="auto"/>
        <w:ind w:firstLine="360" w:firstLineChars="150"/>
        <w:rPr>
          <w:rFonts w:hint="eastAsia" w:ascii="宋体" w:hAnsi="宋体"/>
          <w:sz w:val="24"/>
        </w:rPr>
      </w:pPr>
      <w:r>
        <w:rPr>
          <w:rFonts w:hint="eastAsia" w:ascii="宋体" w:hAnsi="宋体"/>
          <w:sz w:val="24"/>
        </w:rPr>
        <w:t>2.本单位选择第</w:t>
      </w:r>
      <w:r>
        <w:rPr>
          <w:rFonts w:hint="eastAsia" w:ascii="宋体" w:hAnsi="宋体"/>
          <w:sz w:val="24"/>
          <w:u w:val="single"/>
        </w:rPr>
        <w:t xml:space="preserve">     </w:t>
      </w:r>
      <w:r>
        <w:rPr>
          <w:rFonts w:hint="eastAsia" w:ascii="宋体" w:hAnsi="宋体"/>
          <w:sz w:val="24"/>
        </w:rPr>
        <w:t>种方式作为代理服务费开票类型：</w:t>
      </w:r>
    </w:p>
    <w:p w14:paraId="19AE3C89">
      <w:pPr>
        <w:spacing w:line="360" w:lineRule="auto"/>
        <w:ind w:firstLine="360" w:firstLineChars="150"/>
        <w:rPr>
          <w:rFonts w:hint="eastAsia" w:ascii="宋体" w:hAnsi="宋体"/>
          <w:sz w:val="24"/>
        </w:rPr>
      </w:pPr>
      <w:r>
        <w:rPr>
          <w:rFonts w:hint="eastAsia" w:ascii="宋体" w:hAnsi="宋体"/>
          <w:sz w:val="24"/>
        </w:rPr>
        <w:t>第一种方式：开具增值税普通发票。开票信息如下：</w:t>
      </w:r>
    </w:p>
    <w:p w14:paraId="0553A07B">
      <w:pPr>
        <w:spacing w:line="360" w:lineRule="auto"/>
        <w:ind w:firstLine="360" w:firstLineChars="150"/>
        <w:rPr>
          <w:rFonts w:hint="eastAsia" w:ascii="宋体" w:hAnsi="宋体"/>
          <w:sz w:val="24"/>
        </w:rPr>
      </w:pPr>
      <w:r>
        <w:rPr>
          <w:rFonts w:hint="eastAsia" w:ascii="宋体" w:hAnsi="宋体"/>
          <w:sz w:val="24"/>
        </w:rPr>
        <w:t>（1）公司名称</w:t>
      </w:r>
      <w:r>
        <w:rPr>
          <w:rFonts w:hint="eastAsia" w:ascii="宋体" w:hAnsi="宋体"/>
          <w:sz w:val="24"/>
          <w:u w:val="single"/>
        </w:rPr>
        <w:t xml:space="preserve">                       </w:t>
      </w:r>
      <w:r>
        <w:rPr>
          <w:rFonts w:hint="eastAsia" w:ascii="宋体" w:hAnsi="宋体"/>
          <w:sz w:val="24"/>
        </w:rPr>
        <w:t>；</w:t>
      </w:r>
    </w:p>
    <w:p w14:paraId="1E50A6BA">
      <w:pPr>
        <w:spacing w:line="360" w:lineRule="auto"/>
        <w:ind w:firstLine="360" w:firstLineChars="150"/>
        <w:rPr>
          <w:rFonts w:hint="eastAsia" w:ascii="宋体" w:hAnsi="宋体"/>
          <w:sz w:val="24"/>
        </w:rPr>
      </w:pPr>
      <w:r>
        <w:rPr>
          <w:rFonts w:hint="eastAsia" w:ascii="宋体" w:hAnsi="宋体"/>
          <w:sz w:val="24"/>
        </w:rPr>
        <w:t>（2）纳税人识别号</w:t>
      </w:r>
      <w:r>
        <w:rPr>
          <w:rFonts w:hint="eastAsia" w:ascii="宋体" w:hAnsi="宋体"/>
          <w:sz w:val="24"/>
          <w:u w:val="single"/>
        </w:rPr>
        <w:t xml:space="preserve">                   </w:t>
      </w:r>
      <w:r>
        <w:rPr>
          <w:rFonts w:hint="eastAsia" w:ascii="宋体" w:hAnsi="宋体"/>
          <w:sz w:val="24"/>
        </w:rPr>
        <w:t>。</w:t>
      </w:r>
    </w:p>
    <w:p w14:paraId="1869BEC7">
      <w:pPr>
        <w:spacing w:line="360" w:lineRule="auto"/>
        <w:ind w:firstLine="360" w:firstLineChars="150"/>
        <w:rPr>
          <w:rFonts w:hint="eastAsia" w:ascii="宋体" w:hAnsi="宋体"/>
          <w:sz w:val="24"/>
        </w:rPr>
      </w:pPr>
      <w:r>
        <w:rPr>
          <w:rFonts w:hint="eastAsia" w:ascii="宋体" w:hAnsi="宋体"/>
          <w:sz w:val="24"/>
        </w:rPr>
        <w:t>第二种方式：开具增值税专用发票，开票信息如下：</w:t>
      </w:r>
    </w:p>
    <w:p w14:paraId="184A49A9">
      <w:pPr>
        <w:spacing w:line="360" w:lineRule="auto"/>
        <w:ind w:firstLine="360" w:firstLineChars="150"/>
        <w:rPr>
          <w:rFonts w:hint="eastAsia" w:ascii="宋体" w:hAnsi="宋体"/>
          <w:sz w:val="24"/>
        </w:rPr>
      </w:pPr>
      <w:r>
        <w:rPr>
          <w:rFonts w:hint="eastAsia" w:ascii="宋体" w:hAnsi="宋体"/>
          <w:sz w:val="24"/>
        </w:rPr>
        <w:t>（1）公司名称</w:t>
      </w:r>
      <w:r>
        <w:rPr>
          <w:rFonts w:hint="eastAsia" w:ascii="宋体" w:hAnsi="宋体"/>
          <w:sz w:val="24"/>
          <w:u w:val="single"/>
        </w:rPr>
        <w:t xml:space="preserve">                           </w:t>
      </w:r>
      <w:r>
        <w:rPr>
          <w:rFonts w:hint="eastAsia" w:ascii="宋体" w:hAnsi="宋体"/>
          <w:sz w:val="24"/>
        </w:rPr>
        <w:t>；</w:t>
      </w:r>
    </w:p>
    <w:p w14:paraId="1E2B06C7">
      <w:pPr>
        <w:spacing w:line="360" w:lineRule="auto"/>
        <w:ind w:firstLine="360" w:firstLineChars="150"/>
        <w:rPr>
          <w:rFonts w:hint="eastAsia" w:ascii="宋体" w:hAnsi="宋体"/>
          <w:sz w:val="24"/>
        </w:rPr>
      </w:pPr>
      <w:r>
        <w:rPr>
          <w:rFonts w:hint="eastAsia" w:ascii="宋体" w:hAnsi="宋体"/>
          <w:sz w:val="24"/>
        </w:rPr>
        <w:t>（2）纳税人识别号</w:t>
      </w:r>
      <w:r>
        <w:rPr>
          <w:rFonts w:hint="eastAsia" w:ascii="宋体" w:hAnsi="宋体"/>
          <w:sz w:val="24"/>
          <w:u w:val="single"/>
        </w:rPr>
        <w:t xml:space="preserve">                       </w:t>
      </w:r>
      <w:r>
        <w:rPr>
          <w:rFonts w:hint="eastAsia" w:ascii="宋体" w:hAnsi="宋体"/>
          <w:sz w:val="24"/>
        </w:rPr>
        <w:t>；</w:t>
      </w:r>
    </w:p>
    <w:p w14:paraId="27FB1605">
      <w:pPr>
        <w:spacing w:line="360" w:lineRule="auto"/>
        <w:ind w:firstLine="360" w:firstLineChars="150"/>
        <w:rPr>
          <w:rFonts w:hint="eastAsia" w:ascii="宋体" w:hAnsi="宋体"/>
          <w:sz w:val="24"/>
        </w:rPr>
      </w:pPr>
      <w:r>
        <w:rPr>
          <w:rFonts w:hint="eastAsia" w:ascii="宋体" w:hAnsi="宋体"/>
          <w:sz w:val="24"/>
        </w:rPr>
        <w:t>（3）在税局登记的地址</w:t>
      </w:r>
      <w:r>
        <w:rPr>
          <w:rFonts w:hint="eastAsia" w:ascii="宋体" w:hAnsi="宋体"/>
          <w:sz w:val="24"/>
          <w:u w:val="single"/>
        </w:rPr>
        <w:t xml:space="preserve">                   </w:t>
      </w:r>
      <w:r>
        <w:rPr>
          <w:rFonts w:hint="eastAsia" w:ascii="宋体" w:hAnsi="宋体"/>
          <w:sz w:val="24"/>
        </w:rPr>
        <w:t>；</w:t>
      </w:r>
    </w:p>
    <w:p w14:paraId="63B6BBCA">
      <w:pPr>
        <w:spacing w:line="360" w:lineRule="auto"/>
        <w:ind w:firstLine="360" w:firstLineChars="150"/>
        <w:rPr>
          <w:rFonts w:hint="eastAsia" w:ascii="宋体" w:hAnsi="宋体"/>
          <w:sz w:val="24"/>
        </w:rPr>
      </w:pPr>
      <w:r>
        <w:rPr>
          <w:rFonts w:hint="eastAsia" w:ascii="宋体" w:hAnsi="宋体"/>
          <w:sz w:val="24"/>
        </w:rPr>
        <w:t>（4）在税局登记的电话</w:t>
      </w:r>
      <w:r>
        <w:rPr>
          <w:rFonts w:hint="eastAsia" w:ascii="宋体" w:hAnsi="宋体"/>
          <w:sz w:val="24"/>
          <w:u w:val="single"/>
        </w:rPr>
        <w:t xml:space="preserve">                   </w:t>
      </w:r>
      <w:r>
        <w:rPr>
          <w:rFonts w:hint="eastAsia" w:ascii="宋体" w:hAnsi="宋体"/>
          <w:sz w:val="24"/>
        </w:rPr>
        <w:t>；</w:t>
      </w:r>
    </w:p>
    <w:p w14:paraId="5DB91F30">
      <w:pPr>
        <w:spacing w:line="360" w:lineRule="auto"/>
        <w:ind w:firstLine="360" w:firstLineChars="150"/>
        <w:rPr>
          <w:rFonts w:hint="eastAsia" w:ascii="宋体" w:hAnsi="宋体"/>
          <w:sz w:val="24"/>
        </w:rPr>
      </w:pPr>
      <w:r>
        <w:rPr>
          <w:rFonts w:hint="eastAsia" w:ascii="宋体" w:hAnsi="宋体"/>
          <w:sz w:val="24"/>
        </w:rPr>
        <w:t>（5）开户银行</w:t>
      </w:r>
      <w:r>
        <w:rPr>
          <w:rFonts w:hint="eastAsia" w:ascii="宋体" w:hAnsi="宋体"/>
          <w:sz w:val="24"/>
          <w:u w:val="single"/>
        </w:rPr>
        <w:t xml:space="preserve">                           </w:t>
      </w:r>
      <w:r>
        <w:rPr>
          <w:rFonts w:hint="eastAsia" w:ascii="宋体" w:hAnsi="宋体"/>
          <w:sz w:val="24"/>
        </w:rPr>
        <w:t>；</w:t>
      </w:r>
    </w:p>
    <w:p w14:paraId="696A41B7">
      <w:pPr>
        <w:spacing w:line="360" w:lineRule="auto"/>
        <w:ind w:firstLine="360" w:firstLineChars="150"/>
        <w:rPr>
          <w:rFonts w:hint="eastAsia" w:ascii="宋体" w:hAnsi="宋体"/>
          <w:sz w:val="24"/>
        </w:rPr>
      </w:pPr>
      <w:r>
        <w:rPr>
          <w:rFonts w:hint="eastAsia" w:ascii="宋体" w:hAnsi="宋体"/>
          <w:sz w:val="24"/>
        </w:rPr>
        <w:t>（6）银行账户</w:t>
      </w:r>
      <w:r>
        <w:rPr>
          <w:rFonts w:hint="eastAsia" w:ascii="宋体" w:hAnsi="宋体"/>
          <w:sz w:val="24"/>
          <w:u w:val="single"/>
        </w:rPr>
        <w:t xml:space="preserve">                           </w:t>
      </w:r>
      <w:r>
        <w:rPr>
          <w:rFonts w:hint="eastAsia" w:ascii="宋体" w:hAnsi="宋体"/>
          <w:sz w:val="24"/>
        </w:rPr>
        <w:t>。</w:t>
      </w:r>
    </w:p>
    <w:p w14:paraId="6EAE16C6">
      <w:pPr>
        <w:spacing w:line="440" w:lineRule="exact"/>
        <w:rPr>
          <w:rFonts w:hint="eastAsia" w:ascii="宋体" w:hAnsi="宋体"/>
          <w:sz w:val="24"/>
        </w:rPr>
      </w:pPr>
    </w:p>
    <w:p w14:paraId="6EBC5819">
      <w:pPr>
        <w:spacing w:line="440" w:lineRule="exact"/>
        <w:rPr>
          <w:rFonts w:hint="eastAsia" w:ascii="宋体" w:hAnsi="宋体"/>
          <w:sz w:val="24"/>
        </w:rPr>
      </w:pPr>
    </w:p>
    <w:p w14:paraId="198562FE">
      <w:pPr>
        <w:spacing w:line="440" w:lineRule="exact"/>
        <w:rPr>
          <w:rFonts w:hint="eastAsia" w:ascii="宋体" w:hAnsi="宋体"/>
          <w:sz w:val="24"/>
        </w:rPr>
      </w:pPr>
    </w:p>
    <w:p w14:paraId="447167A3">
      <w:pPr>
        <w:snapToGrid w:val="0"/>
        <w:spacing w:line="360" w:lineRule="auto"/>
        <w:ind w:left="-2" w:leftChars="-1" w:right="-817" w:rightChars="-389" w:firstLine="1920" w:firstLineChars="800"/>
        <w:rPr>
          <w:rFonts w:hint="eastAsia" w:ascii="宋体" w:hAnsi="宋体"/>
          <w:sz w:val="24"/>
        </w:rPr>
      </w:pPr>
      <w:r>
        <w:rPr>
          <w:rFonts w:hint="eastAsia" w:ascii="宋体" w:hAnsi="宋体"/>
          <w:sz w:val="24"/>
        </w:rPr>
        <w:t xml:space="preserve">法定代表人或者委托代理人（签字或者电子签名）： </w:t>
      </w:r>
    </w:p>
    <w:p w14:paraId="6B8B3AAC">
      <w:pPr>
        <w:snapToGrid w:val="0"/>
        <w:spacing w:line="360" w:lineRule="auto"/>
        <w:ind w:left="-3" w:leftChars="-15" w:right="-817" w:rightChars="-389" w:hanging="28" w:hangingChars="12"/>
        <w:rPr>
          <w:rFonts w:hint="eastAsia" w:ascii="宋体" w:hAnsi="宋体"/>
          <w:sz w:val="24"/>
        </w:rPr>
      </w:pPr>
      <w:r>
        <w:rPr>
          <w:rFonts w:hint="eastAsia" w:ascii="宋体" w:hAnsi="宋体"/>
          <w:sz w:val="24"/>
        </w:rPr>
        <w:t xml:space="preserve">                                      供应商公章（电子签章）：</w:t>
      </w:r>
    </w:p>
    <w:p w14:paraId="2D04E923">
      <w:pPr>
        <w:snapToGrid w:val="0"/>
        <w:spacing w:line="360" w:lineRule="auto"/>
        <w:ind w:right="480" w:firstLine="240" w:firstLineChars="100"/>
        <w:jc w:val="left"/>
        <w:rPr>
          <w:rFonts w:hint="eastAsia" w:ascii="宋体" w:hAnsi="宋体"/>
          <w:szCs w:val="21"/>
        </w:rPr>
      </w:pPr>
      <w:r>
        <w:rPr>
          <w:rFonts w:hint="eastAsia" w:ascii="宋体" w:hAnsi="宋体"/>
          <w:sz w:val="24"/>
        </w:rPr>
        <w:t xml:space="preserve">                                    日期：    年   月   日</w:t>
      </w:r>
    </w:p>
    <w:p w14:paraId="223384A8"/>
    <w:p w14:paraId="66F6CB11">
      <w:pPr>
        <w:snapToGrid w:val="0"/>
        <w:spacing w:before="50"/>
        <w:jc w:val="left"/>
        <w:rPr>
          <w:rFonts w:hint="eastAsia" w:ascii="宋体" w:hAnsi="宋体"/>
          <w:sz w:val="24"/>
        </w:rPr>
      </w:pPr>
    </w:p>
    <w:p w14:paraId="7BA8F0F3">
      <w:pPr>
        <w:snapToGrid w:val="0"/>
        <w:spacing w:before="120" w:beforeLines="50"/>
        <w:rPr>
          <w:rFonts w:hint="eastAsia" w:ascii="宋体" w:hAnsi="宋体"/>
          <w:sz w:val="24"/>
          <w:szCs w:val="20"/>
        </w:rPr>
        <w:sectPr>
          <w:pgSz w:w="11906" w:h="16838"/>
          <w:pgMar w:top="1134" w:right="1588" w:bottom="1134" w:left="1588" w:header="851" w:footer="992" w:gutter="0"/>
          <w:cols w:space="720" w:num="1"/>
          <w:docGrid w:linePitch="312" w:charSpace="0"/>
        </w:sectPr>
      </w:pPr>
    </w:p>
    <w:p w14:paraId="42BCFB46">
      <w:pPr>
        <w:snapToGrid w:val="0"/>
        <w:spacing w:before="120" w:beforeLines="50" w:after="50"/>
        <w:jc w:val="left"/>
        <w:rPr>
          <w:rFonts w:hint="eastAsia" w:ascii="宋体" w:hAnsi="宋体"/>
          <w:b/>
          <w:sz w:val="24"/>
        </w:rPr>
      </w:pPr>
      <w:r>
        <w:rPr>
          <w:rFonts w:hint="eastAsia" w:ascii="宋体" w:hAnsi="宋体"/>
          <w:b/>
          <w:sz w:val="24"/>
        </w:rPr>
        <w:t>10.设备性能配置清单格式</w:t>
      </w:r>
    </w:p>
    <w:p w14:paraId="41ED5781">
      <w:pPr>
        <w:snapToGrid w:val="0"/>
        <w:spacing w:before="120" w:beforeLines="50" w:after="50"/>
        <w:ind w:left="142"/>
        <w:jc w:val="left"/>
        <w:rPr>
          <w:rFonts w:hint="eastAsia" w:ascii="宋体" w:hAnsi="宋体"/>
          <w:b/>
          <w:sz w:val="24"/>
        </w:rPr>
      </w:pPr>
    </w:p>
    <w:p w14:paraId="0F8FCC9A">
      <w:pPr>
        <w:snapToGrid w:val="0"/>
        <w:spacing w:before="120" w:beforeLines="50" w:after="50"/>
        <w:ind w:left="142"/>
        <w:jc w:val="center"/>
        <w:rPr>
          <w:rFonts w:hint="eastAsia" w:ascii="宋体" w:hAnsi="宋体"/>
          <w:b/>
          <w:sz w:val="32"/>
          <w:szCs w:val="32"/>
        </w:rPr>
      </w:pPr>
      <w:r>
        <w:rPr>
          <w:rFonts w:hint="eastAsia" w:ascii="宋体" w:hAnsi="宋体"/>
          <w:b/>
          <w:sz w:val="32"/>
          <w:szCs w:val="32"/>
        </w:rPr>
        <w:t>设备性能配置清单</w:t>
      </w:r>
    </w:p>
    <w:p w14:paraId="35E7C6D7">
      <w:pPr>
        <w:pStyle w:val="25"/>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4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77"/>
        <w:gridCol w:w="1569"/>
        <w:gridCol w:w="1041"/>
        <w:gridCol w:w="743"/>
        <w:gridCol w:w="1637"/>
        <w:gridCol w:w="1020"/>
        <w:gridCol w:w="963"/>
        <w:gridCol w:w="1496"/>
      </w:tblGrid>
      <w:tr w14:paraId="030FE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3F29F566">
            <w:pPr>
              <w:snapToGrid w:val="0"/>
              <w:spacing w:before="50" w:after="50"/>
              <w:jc w:val="center"/>
              <w:rPr>
                <w:rFonts w:hint="eastAsia" w:ascii="宋体" w:hAnsi="宋体"/>
                <w:sz w:val="24"/>
              </w:rPr>
            </w:pPr>
            <w:r>
              <w:rPr>
                <w:rFonts w:hint="eastAsia" w:ascii="宋体" w:hAnsi="宋体"/>
                <w:sz w:val="24"/>
              </w:rPr>
              <w:t>序号</w:t>
            </w:r>
          </w:p>
        </w:tc>
        <w:tc>
          <w:tcPr>
            <w:tcW w:w="877" w:type="pct"/>
            <w:tcBorders>
              <w:top w:val="single" w:color="auto" w:sz="4" w:space="0"/>
              <w:left w:val="single" w:color="auto" w:sz="4" w:space="0"/>
              <w:bottom w:val="single" w:color="auto" w:sz="4" w:space="0"/>
              <w:right w:val="single" w:color="auto" w:sz="4" w:space="0"/>
            </w:tcBorders>
            <w:vAlign w:val="center"/>
          </w:tcPr>
          <w:p w14:paraId="4C6B2A39">
            <w:pPr>
              <w:snapToGrid w:val="0"/>
              <w:spacing w:before="50" w:after="50"/>
              <w:jc w:val="center"/>
              <w:rPr>
                <w:rFonts w:hint="eastAsia" w:ascii="宋体" w:hAnsi="宋体"/>
                <w:sz w:val="24"/>
              </w:rPr>
            </w:pPr>
            <w:r>
              <w:rPr>
                <w:rFonts w:hint="eastAsia" w:hAnsi="宋体" w:cs="Courier New"/>
                <w:sz w:val="24"/>
              </w:rPr>
              <w:t>标的的名称</w:t>
            </w:r>
          </w:p>
        </w:tc>
        <w:tc>
          <w:tcPr>
            <w:tcW w:w="582" w:type="pct"/>
            <w:tcBorders>
              <w:top w:val="single" w:color="auto" w:sz="4" w:space="0"/>
              <w:left w:val="single" w:color="auto" w:sz="4" w:space="0"/>
              <w:bottom w:val="single" w:color="auto" w:sz="4" w:space="0"/>
              <w:right w:val="single" w:color="auto" w:sz="4" w:space="0"/>
            </w:tcBorders>
            <w:vAlign w:val="center"/>
          </w:tcPr>
          <w:p w14:paraId="79E6492B">
            <w:pPr>
              <w:snapToGrid w:val="0"/>
              <w:spacing w:before="50" w:after="50"/>
              <w:jc w:val="center"/>
              <w:rPr>
                <w:rFonts w:hint="eastAsia" w:ascii="宋体" w:hAnsi="宋体"/>
                <w:sz w:val="24"/>
              </w:rPr>
            </w:pPr>
            <w:r>
              <w:rPr>
                <w:rFonts w:hint="eastAsia" w:ascii="宋体" w:hAnsi="宋体"/>
                <w:sz w:val="24"/>
              </w:rPr>
              <w:t>数量及单位</w:t>
            </w:r>
          </w:p>
        </w:tc>
        <w:tc>
          <w:tcPr>
            <w:tcW w:w="415" w:type="pct"/>
            <w:tcBorders>
              <w:top w:val="single" w:color="auto" w:sz="4" w:space="0"/>
              <w:left w:val="single" w:color="auto" w:sz="4" w:space="0"/>
              <w:bottom w:val="single" w:color="auto" w:sz="4" w:space="0"/>
              <w:right w:val="single" w:color="auto" w:sz="4" w:space="0"/>
            </w:tcBorders>
            <w:vAlign w:val="center"/>
          </w:tcPr>
          <w:p w14:paraId="772CA9CC">
            <w:pPr>
              <w:snapToGrid w:val="0"/>
              <w:spacing w:before="50" w:after="50"/>
              <w:jc w:val="center"/>
              <w:rPr>
                <w:rFonts w:hint="eastAsia" w:ascii="宋体" w:hAnsi="宋体"/>
                <w:sz w:val="24"/>
              </w:rPr>
            </w:pPr>
            <w:r>
              <w:rPr>
                <w:rFonts w:hint="eastAsia" w:ascii="宋体" w:hAnsi="宋体"/>
                <w:sz w:val="24"/>
              </w:rPr>
              <w:t>品牌</w:t>
            </w:r>
          </w:p>
        </w:tc>
        <w:tc>
          <w:tcPr>
            <w:tcW w:w="915" w:type="pct"/>
            <w:tcBorders>
              <w:top w:val="single" w:color="auto" w:sz="4" w:space="0"/>
              <w:left w:val="single" w:color="auto" w:sz="4" w:space="0"/>
              <w:bottom w:val="single" w:color="auto" w:sz="4" w:space="0"/>
              <w:right w:val="single" w:color="auto" w:sz="4" w:space="0"/>
            </w:tcBorders>
            <w:vAlign w:val="center"/>
          </w:tcPr>
          <w:p w14:paraId="61C61399">
            <w:pPr>
              <w:snapToGrid w:val="0"/>
              <w:spacing w:before="50" w:after="50"/>
              <w:jc w:val="center"/>
              <w:rPr>
                <w:rFonts w:hint="eastAsia" w:ascii="宋体" w:hAnsi="宋体"/>
                <w:sz w:val="24"/>
              </w:rPr>
            </w:pPr>
            <w:r>
              <w:rPr>
                <w:rFonts w:hint="eastAsia" w:ascii="宋体" w:hAnsi="宋体"/>
                <w:sz w:val="24"/>
              </w:rPr>
              <w:t>规格型号</w:t>
            </w:r>
          </w:p>
        </w:tc>
        <w:tc>
          <w:tcPr>
            <w:tcW w:w="570" w:type="pct"/>
            <w:tcBorders>
              <w:top w:val="single" w:color="auto" w:sz="4" w:space="0"/>
              <w:left w:val="single" w:color="auto" w:sz="4" w:space="0"/>
              <w:bottom w:val="single" w:color="auto" w:sz="4" w:space="0"/>
              <w:right w:val="single" w:color="auto" w:sz="4" w:space="0"/>
            </w:tcBorders>
            <w:vAlign w:val="center"/>
          </w:tcPr>
          <w:p w14:paraId="1113C822">
            <w:pPr>
              <w:snapToGrid w:val="0"/>
              <w:spacing w:before="50" w:after="50"/>
              <w:jc w:val="center"/>
              <w:rPr>
                <w:rFonts w:hint="eastAsia" w:ascii="宋体" w:hAnsi="宋体"/>
                <w:sz w:val="24"/>
              </w:rPr>
            </w:pPr>
            <w:r>
              <w:rPr>
                <w:rFonts w:hint="eastAsia" w:ascii="宋体" w:hAnsi="宋体"/>
                <w:sz w:val="24"/>
              </w:rPr>
              <w:t>制造商</w:t>
            </w:r>
          </w:p>
        </w:tc>
        <w:tc>
          <w:tcPr>
            <w:tcW w:w="538" w:type="pct"/>
            <w:tcBorders>
              <w:top w:val="single" w:color="auto" w:sz="4" w:space="0"/>
              <w:left w:val="single" w:color="auto" w:sz="4" w:space="0"/>
              <w:bottom w:val="single" w:color="auto" w:sz="4" w:space="0"/>
              <w:right w:val="single" w:color="auto" w:sz="4" w:space="0"/>
            </w:tcBorders>
            <w:vAlign w:val="center"/>
          </w:tcPr>
          <w:p w14:paraId="1E9FA918">
            <w:pPr>
              <w:snapToGrid w:val="0"/>
              <w:spacing w:before="50" w:after="50"/>
              <w:jc w:val="center"/>
              <w:rPr>
                <w:rFonts w:hint="eastAsia" w:ascii="宋体" w:hAnsi="宋体"/>
                <w:sz w:val="24"/>
              </w:rPr>
            </w:pPr>
            <w:r>
              <w:rPr>
                <w:rFonts w:hint="eastAsia" w:ascii="宋体" w:hAnsi="宋体"/>
                <w:sz w:val="24"/>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0CDE9929">
            <w:pPr>
              <w:snapToGrid w:val="0"/>
              <w:spacing w:before="50" w:after="50"/>
              <w:jc w:val="center"/>
              <w:rPr>
                <w:rFonts w:hint="eastAsia" w:ascii="宋体" w:hAnsi="宋体"/>
                <w:sz w:val="24"/>
              </w:rPr>
            </w:pPr>
            <w:r>
              <w:rPr>
                <w:rFonts w:hint="eastAsia" w:ascii="宋体" w:hAnsi="宋体"/>
                <w:sz w:val="24"/>
              </w:rPr>
              <w:t>参数性能、指标及配置</w:t>
            </w:r>
          </w:p>
        </w:tc>
      </w:tr>
      <w:tr w14:paraId="6347DC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538D4BBC">
            <w:pPr>
              <w:snapToGrid w:val="0"/>
              <w:spacing w:before="50" w:after="50"/>
              <w:jc w:val="center"/>
              <w:rPr>
                <w:rFonts w:hint="eastAsia" w:ascii="宋体" w:hAnsi="宋体"/>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3EFBC9A5">
            <w:pPr>
              <w:snapToGrid w:val="0"/>
              <w:spacing w:before="50" w:after="50"/>
              <w:jc w:val="center"/>
              <w:rPr>
                <w:rFonts w:hint="eastAsia" w:ascii="宋体" w:hAnsi="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1F0AD01E">
            <w:pPr>
              <w:snapToGrid w:val="0"/>
              <w:spacing w:before="50" w:after="50"/>
              <w:jc w:val="center"/>
              <w:rPr>
                <w:rFonts w:hint="eastAsia" w:ascii="宋体" w:hAnsi="宋体"/>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2F7CCE4F">
            <w:pPr>
              <w:snapToGrid w:val="0"/>
              <w:spacing w:before="50" w:after="50"/>
              <w:jc w:val="center"/>
              <w:rPr>
                <w:rFonts w:hint="eastAsia" w:ascii="宋体" w:hAnsi="宋体"/>
                <w:sz w:val="24"/>
              </w:rPr>
            </w:pPr>
          </w:p>
        </w:tc>
        <w:tc>
          <w:tcPr>
            <w:tcW w:w="915" w:type="pct"/>
            <w:tcBorders>
              <w:top w:val="single" w:color="auto" w:sz="4" w:space="0"/>
              <w:left w:val="single" w:color="auto" w:sz="4" w:space="0"/>
              <w:bottom w:val="single" w:color="auto" w:sz="4" w:space="0"/>
              <w:right w:val="single" w:color="auto" w:sz="4" w:space="0"/>
            </w:tcBorders>
          </w:tcPr>
          <w:p w14:paraId="663D083A">
            <w:pPr>
              <w:snapToGrid w:val="0"/>
              <w:spacing w:before="50" w:after="50"/>
              <w:jc w:val="center"/>
              <w:rPr>
                <w:rFonts w:hint="eastAsia" w:ascii="宋体" w:hAnsi="宋体"/>
                <w:sz w:val="24"/>
              </w:rPr>
            </w:pPr>
          </w:p>
        </w:tc>
        <w:tc>
          <w:tcPr>
            <w:tcW w:w="570" w:type="pct"/>
            <w:tcBorders>
              <w:top w:val="single" w:color="auto" w:sz="4" w:space="0"/>
              <w:left w:val="single" w:color="auto" w:sz="4" w:space="0"/>
              <w:bottom w:val="single" w:color="auto" w:sz="4" w:space="0"/>
              <w:right w:val="single" w:color="auto" w:sz="4" w:space="0"/>
            </w:tcBorders>
            <w:vAlign w:val="center"/>
          </w:tcPr>
          <w:p w14:paraId="64C05A18">
            <w:pPr>
              <w:snapToGrid w:val="0"/>
              <w:spacing w:before="50" w:after="50"/>
              <w:jc w:val="center"/>
              <w:rPr>
                <w:rFonts w:hint="eastAsia" w:ascii="宋体" w:hAnsi="宋体"/>
                <w:sz w:val="24"/>
              </w:rPr>
            </w:pPr>
          </w:p>
        </w:tc>
        <w:tc>
          <w:tcPr>
            <w:tcW w:w="538" w:type="pct"/>
            <w:tcBorders>
              <w:top w:val="single" w:color="auto" w:sz="4" w:space="0"/>
              <w:left w:val="single" w:color="auto" w:sz="4" w:space="0"/>
              <w:bottom w:val="single" w:color="auto" w:sz="4" w:space="0"/>
              <w:right w:val="single" w:color="auto" w:sz="4" w:space="0"/>
            </w:tcBorders>
            <w:vAlign w:val="center"/>
          </w:tcPr>
          <w:p w14:paraId="7BBCFB08">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63571588">
            <w:pPr>
              <w:snapToGrid w:val="0"/>
              <w:spacing w:before="50" w:after="50"/>
              <w:jc w:val="center"/>
              <w:rPr>
                <w:rFonts w:hint="eastAsia" w:ascii="宋体" w:hAnsi="宋体"/>
                <w:sz w:val="24"/>
              </w:rPr>
            </w:pPr>
          </w:p>
        </w:tc>
      </w:tr>
      <w:tr w14:paraId="742C6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7E7B33AA">
            <w:pPr>
              <w:snapToGrid w:val="0"/>
              <w:spacing w:before="50" w:after="50"/>
              <w:jc w:val="center"/>
              <w:rPr>
                <w:rFonts w:hint="eastAsia" w:ascii="宋体" w:hAnsi="宋体"/>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57ACBE72">
            <w:pPr>
              <w:snapToGrid w:val="0"/>
              <w:spacing w:before="50" w:after="50"/>
              <w:jc w:val="center"/>
              <w:rPr>
                <w:rFonts w:hint="eastAsia" w:ascii="宋体" w:hAnsi="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126C390B">
            <w:pPr>
              <w:snapToGrid w:val="0"/>
              <w:spacing w:before="50" w:after="50"/>
              <w:jc w:val="center"/>
              <w:rPr>
                <w:rFonts w:hint="eastAsia" w:ascii="宋体" w:hAnsi="宋体"/>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4AD84D1D">
            <w:pPr>
              <w:snapToGrid w:val="0"/>
              <w:spacing w:before="50" w:after="50"/>
              <w:jc w:val="center"/>
              <w:rPr>
                <w:rFonts w:hint="eastAsia" w:ascii="宋体" w:hAnsi="宋体"/>
                <w:sz w:val="24"/>
              </w:rPr>
            </w:pPr>
          </w:p>
        </w:tc>
        <w:tc>
          <w:tcPr>
            <w:tcW w:w="915" w:type="pct"/>
            <w:tcBorders>
              <w:top w:val="single" w:color="auto" w:sz="4" w:space="0"/>
              <w:left w:val="single" w:color="auto" w:sz="4" w:space="0"/>
              <w:bottom w:val="single" w:color="auto" w:sz="4" w:space="0"/>
              <w:right w:val="single" w:color="auto" w:sz="4" w:space="0"/>
            </w:tcBorders>
          </w:tcPr>
          <w:p w14:paraId="302B7A4E">
            <w:pPr>
              <w:snapToGrid w:val="0"/>
              <w:spacing w:before="50" w:after="50"/>
              <w:jc w:val="center"/>
              <w:rPr>
                <w:rFonts w:hint="eastAsia" w:ascii="宋体" w:hAnsi="宋体"/>
                <w:sz w:val="24"/>
              </w:rPr>
            </w:pPr>
          </w:p>
        </w:tc>
        <w:tc>
          <w:tcPr>
            <w:tcW w:w="570" w:type="pct"/>
            <w:tcBorders>
              <w:top w:val="single" w:color="auto" w:sz="4" w:space="0"/>
              <w:left w:val="single" w:color="auto" w:sz="4" w:space="0"/>
              <w:bottom w:val="single" w:color="auto" w:sz="4" w:space="0"/>
              <w:right w:val="single" w:color="auto" w:sz="4" w:space="0"/>
            </w:tcBorders>
            <w:vAlign w:val="center"/>
          </w:tcPr>
          <w:p w14:paraId="06B8C863">
            <w:pPr>
              <w:snapToGrid w:val="0"/>
              <w:spacing w:before="50" w:after="50"/>
              <w:jc w:val="center"/>
              <w:rPr>
                <w:rFonts w:hint="eastAsia" w:ascii="宋体" w:hAnsi="宋体"/>
                <w:sz w:val="24"/>
              </w:rPr>
            </w:pPr>
          </w:p>
        </w:tc>
        <w:tc>
          <w:tcPr>
            <w:tcW w:w="538" w:type="pct"/>
            <w:tcBorders>
              <w:top w:val="single" w:color="auto" w:sz="4" w:space="0"/>
              <w:left w:val="single" w:color="auto" w:sz="4" w:space="0"/>
              <w:bottom w:val="single" w:color="auto" w:sz="4" w:space="0"/>
              <w:right w:val="single" w:color="auto" w:sz="4" w:space="0"/>
            </w:tcBorders>
            <w:vAlign w:val="center"/>
          </w:tcPr>
          <w:p w14:paraId="171172C0">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0E3DE31E">
            <w:pPr>
              <w:snapToGrid w:val="0"/>
              <w:spacing w:before="50" w:after="50"/>
              <w:jc w:val="center"/>
              <w:rPr>
                <w:rFonts w:hint="eastAsia" w:ascii="宋体" w:hAnsi="宋体"/>
                <w:sz w:val="24"/>
              </w:rPr>
            </w:pPr>
          </w:p>
        </w:tc>
      </w:tr>
      <w:tr w14:paraId="63CF9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2EE3844D">
            <w:pPr>
              <w:snapToGrid w:val="0"/>
              <w:spacing w:before="50" w:after="50"/>
              <w:jc w:val="center"/>
              <w:rPr>
                <w:rFonts w:hint="eastAsia" w:ascii="宋体" w:hAnsi="宋体"/>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48CE7254">
            <w:pPr>
              <w:snapToGrid w:val="0"/>
              <w:spacing w:before="50" w:after="50"/>
              <w:jc w:val="center"/>
              <w:rPr>
                <w:rFonts w:hint="eastAsia" w:ascii="宋体" w:hAnsi="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50A879CC">
            <w:pPr>
              <w:snapToGrid w:val="0"/>
              <w:spacing w:before="50" w:after="50"/>
              <w:jc w:val="center"/>
              <w:rPr>
                <w:rFonts w:hint="eastAsia" w:ascii="宋体" w:hAnsi="宋体"/>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35986051">
            <w:pPr>
              <w:snapToGrid w:val="0"/>
              <w:spacing w:before="50" w:after="50"/>
              <w:jc w:val="center"/>
              <w:rPr>
                <w:rFonts w:hint="eastAsia" w:ascii="宋体" w:hAnsi="宋体"/>
                <w:sz w:val="24"/>
              </w:rPr>
            </w:pPr>
          </w:p>
        </w:tc>
        <w:tc>
          <w:tcPr>
            <w:tcW w:w="915" w:type="pct"/>
            <w:tcBorders>
              <w:top w:val="single" w:color="auto" w:sz="4" w:space="0"/>
              <w:left w:val="single" w:color="auto" w:sz="4" w:space="0"/>
              <w:bottom w:val="single" w:color="auto" w:sz="4" w:space="0"/>
              <w:right w:val="single" w:color="auto" w:sz="4" w:space="0"/>
            </w:tcBorders>
          </w:tcPr>
          <w:p w14:paraId="7C5108D8">
            <w:pPr>
              <w:snapToGrid w:val="0"/>
              <w:spacing w:before="50" w:after="50"/>
              <w:jc w:val="center"/>
              <w:rPr>
                <w:rFonts w:hint="eastAsia" w:ascii="宋体" w:hAnsi="宋体"/>
                <w:sz w:val="24"/>
              </w:rPr>
            </w:pPr>
          </w:p>
        </w:tc>
        <w:tc>
          <w:tcPr>
            <w:tcW w:w="570" w:type="pct"/>
            <w:tcBorders>
              <w:top w:val="single" w:color="auto" w:sz="4" w:space="0"/>
              <w:left w:val="single" w:color="auto" w:sz="4" w:space="0"/>
              <w:bottom w:val="single" w:color="auto" w:sz="4" w:space="0"/>
              <w:right w:val="single" w:color="auto" w:sz="4" w:space="0"/>
            </w:tcBorders>
            <w:vAlign w:val="center"/>
          </w:tcPr>
          <w:p w14:paraId="388ED72F">
            <w:pPr>
              <w:snapToGrid w:val="0"/>
              <w:spacing w:before="50" w:after="50"/>
              <w:jc w:val="center"/>
              <w:rPr>
                <w:rFonts w:hint="eastAsia" w:ascii="宋体" w:hAnsi="宋体"/>
                <w:sz w:val="24"/>
              </w:rPr>
            </w:pPr>
          </w:p>
        </w:tc>
        <w:tc>
          <w:tcPr>
            <w:tcW w:w="538" w:type="pct"/>
            <w:tcBorders>
              <w:top w:val="single" w:color="auto" w:sz="4" w:space="0"/>
              <w:left w:val="single" w:color="auto" w:sz="4" w:space="0"/>
              <w:bottom w:val="single" w:color="auto" w:sz="4" w:space="0"/>
              <w:right w:val="single" w:color="auto" w:sz="4" w:space="0"/>
            </w:tcBorders>
            <w:vAlign w:val="center"/>
          </w:tcPr>
          <w:p w14:paraId="54BCFE92">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0F7F98BA">
            <w:pPr>
              <w:snapToGrid w:val="0"/>
              <w:spacing w:before="50" w:after="50"/>
              <w:jc w:val="center"/>
              <w:rPr>
                <w:rFonts w:hint="eastAsia" w:ascii="宋体" w:hAnsi="宋体"/>
                <w:sz w:val="24"/>
              </w:rPr>
            </w:pPr>
          </w:p>
        </w:tc>
      </w:tr>
    </w:tbl>
    <w:p w14:paraId="10A0D869">
      <w:pPr>
        <w:spacing w:line="360" w:lineRule="auto"/>
        <w:contextualSpacing/>
        <w:rPr>
          <w:rFonts w:hint="eastAsia" w:ascii="宋体" w:hAnsi="宋体"/>
          <w:sz w:val="24"/>
        </w:rPr>
      </w:pPr>
      <w:r>
        <w:rPr>
          <w:rFonts w:hint="eastAsia" w:ascii="宋体" w:hAnsi="宋体"/>
          <w:sz w:val="24"/>
        </w:rPr>
        <w:t>备注：</w:t>
      </w:r>
    </w:p>
    <w:p w14:paraId="6CA2B27E">
      <w:pPr>
        <w:spacing w:line="360" w:lineRule="auto"/>
        <w:ind w:firstLine="480" w:firstLineChars="200"/>
        <w:contextualSpacing/>
        <w:rPr>
          <w:rFonts w:hint="eastAsia" w:ascii="宋体" w:hAnsi="宋体"/>
          <w:b/>
          <w:sz w:val="24"/>
        </w:rPr>
      </w:pPr>
      <w:r>
        <w:rPr>
          <w:rFonts w:hint="eastAsia" w:ascii="宋体" w:hAnsi="宋体"/>
          <w:sz w:val="24"/>
        </w:rPr>
        <w:t>以上设备性能配置清单中“货物名称、数量及单位、品牌、规格型号、制造商、原产地、参数性能、指标及配置”必须如实填写完整，品牌、规格型号没有则填无，填写有缺漏</w:t>
      </w:r>
      <w:r>
        <w:rPr>
          <w:rFonts w:hint="eastAsia" w:ascii="宋体" w:hAnsi="宋体"/>
          <w:bCs/>
          <w:sz w:val="24"/>
        </w:rPr>
        <w:t>的，</w:t>
      </w:r>
      <w:r>
        <w:rPr>
          <w:rFonts w:hint="eastAsia" w:ascii="宋体" w:hAnsi="宋体"/>
          <w:b/>
          <w:sz w:val="24"/>
        </w:rPr>
        <w:t>作无效投标处理。</w:t>
      </w:r>
      <w:r>
        <w:rPr>
          <w:rFonts w:hint="eastAsia" w:hAnsi="宋体" w:cs="Courier New"/>
          <w:sz w:val="24"/>
        </w:rPr>
        <w:t>标的的名称</w:t>
      </w:r>
      <w:r>
        <w:rPr>
          <w:rFonts w:hint="eastAsia" w:ascii="宋体" w:hAnsi="宋体"/>
          <w:sz w:val="24"/>
        </w:rPr>
        <w:t>、数量及单位、品牌必须与“开标一览表”一致，</w:t>
      </w:r>
      <w:r>
        <w:rPr>
          <w:rFonts w:hint="eastAsia" w:ascii="宋体" w:hAnsi="宋体"/>
          <w:b/>
          <w:sz w:val="24"/>
        </w:rPr>
        <w:t>否则按无效投标处理。</w:t>
      </w:r>
    </w:p>
    <w:p w14:paraId="43F12B28">
      <w:pPr>
        <w:spacing w:line="360" w:lineRule="auto"/>
        <w:ind w:firstLine="480" w:firstLineChars="200"/>
        <w:contextualSpacing/>
        <w:rPr>
          <w:rFonts w:hint="eastAsia" w:ascii="宋体" w:hAnsi="宋体"/>
          <w:sz w:val="24"/>
        </w:rPr>
      </w:pPr>
    </w:p>
    <w:p w14:paraId="769538E5">
      <w:pPr>
        <w:spacing w:line="360" w:lineRule="auto"/>
        <w:contextualSpacing/>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73079A0D">
      <w:pPr>
        <w:spacing w:line="360" w:lineRule="auto"/>
        <w:contextualSpacing/>
        <w:rPr>
          <w:rFonts w:hint="eastAsia"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0B93FCF1">
      <w:pPr>
        <w:spacing w:line="360" w:lineRule="auto"/>
        <w:contextualSpacing/>
        <w:rPr>
          <w:rFonts w:hint="eastAsia"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5A119E24">
      <w:pPr>
        <w:snapToGrid w:val="0"/>
        <w:spacing w:before="50" w:after="120" w:afterLines="50"/>
        <w:jc w:val="left"/>
        <w:rPr>
          <w:rFonts w:hint="eastAsia" w:ascii="宋体" w:hAnsi="宋体"/>
          <w:sz w:val="24"/>
          <w:szCs w:val="20"/>
        </w:rPr>
      </w:pPr>
    </w:p>
    <w:p w14:paraId="08E33789">
      <w:pPr>
        <w:snapToGrid w:val="0"/>
        <w:spacing w:before="50" w:after="120" w:afterLines="50"/>
        <w:jc w:val="left"/>
        <w:rPr>
          <w:rFonts w:hint="eastAsia" w:ascii="宋体" w:hAnsi="宋体"/>
          <w:sz w:val="24"/>
          <w:szCs w:val="20"/>
        </w:rPr>
      </w:pPr>
    </w:p>
    <w:p w14:paraId="7BECB7BF">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11.技术要求偏离表格式</w:t>
      </w:r>
    </w:p>
    <w:p w14:paraId="30C645F0">
      <w:pPr>
        <w:snapToGrid w:val="0"/>
        <w:spacing w:before="120" w:beforeLines="50" w:after="50"/>
        <w:ind w:left="142"/>
        <w:jc w:val="left"/>
        <w:rPr>
          <w:rFonts w:hint="eastAsia" w:ascii="宋体" w:hAnsi="宋体"/>
          <w:b/>
          <w:sz w:val="24"/>
        </w:rPr>
      </w:pPr>
    </w:p>
    <w:p w14:paraId="54A60480">
      <w:pPr>
        <w:snapToGrid w:val="0"/>
        <w:spacing w:before="120" w:beforeLines="50" w:after="50"/>
        <w:ind w:left="142"/>
        <w:jc w:val="center"/>
        <w:rPr>
          <w:rFonts w:hint="eastAsia" w:ascii="宋体" w:hAnsi="宋体"/>
          <w:b/>
          <w:sz w:val="32"/>
          <w:szCs w:val="32"/>
        </w:rPr>
      </w:pPr>
      <w:r>
        <w:rPr>
          <w:rFonts w:hint="eastAsia" w:ascii="宋体" w:hAnsi="宋体"/>
          <w:b/>
          <w:sz w:val="32"/>
          <w:szCs w:val="32"/>
        </w:rPr>
        <w:t>技术要求偏离表</w:t>
      </w:r>
    </w:p>
    <w:p w14:paraId="7F81D197">
      <w:pPr>
        <w:pStyle w:val="25"/>
        <w:rPr>
          <w:rFonts w:hint="eastAsia" w:hAnsi="宋体"/>
          <w:sz w:val="24"/>
          <w:szCs w:val="24"/>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68A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5C27E9D0">
            <w:pPr>
              <w:pStyle w:val="25"/>
              <w:spacing w:line="400" w:lineRule="exact"/>
              <w:jc w:val="center"/>
              <w:rPr>
                <w:rFonts w:hint="eastAsia" w:hAnsi="宋体" w:cs="Courier New"/>
                <w:kern w:val="2"/>
                <w:sz w:val="24"/>
                <w:szCs w:val="24"/>
              </w:rPr>
            </w:pPr>
            <w:r>
              <w:rPr>
                <w:rFonts w:hint="eastAsia" w:hAnsi="宋体" w:cs="Courier New"/>
                <w:kern w:val="2"/>
                <w:sz w:val="24"/>
                <w:szCs w:val="24"/>
              </w:rPr>
              <w:t>项号</w:t>
            </w:r>
          </w:p>
        </w:tc>
        <w:tc>
          <w:tcPr>
            <w:tcW w:w="2143" w:type="dxa"/>
            <w:vAlign w:val="center"/>
          </w:tcPr>
          <w:p w14:paraId="2A50E00E">
            <w:pPr>
              <w:pStyle w:val="25"/>
              <w:spacing w:line="400" w:lineRule="exact"/>
              <w:jc w:val="center"/>
              <w:rPr>
                <w:rFonts w:hint="eastAsia" w:hAnsi="宋体" w:cs="Courier New"/>
                <w:kern w:val="2"/>
                <w:sz w:val="24"/>
                <w:szCs w:val="24"/>
              </w:rPr>
            </w:pPr>
            <w:r>
              <w:rPr>
                <w:rFonts w:hint="eastAsia" w:hAnsi="宋体" w:cs="Courier New"/>
                <w:kern w:val="2"/>
                <w:sz w:val="24"/>
                <w:szCs w:val="24"/>
              </w:rPr>
              <w:t>标的的名称</w:t>
            </w:r>
          </w:p>
        </w:tc>
        <w:tc>
          <w:tcPr>
            <w:tcW w:w="1834" w:type="dxa"/>
            <w:vAlign w:val="center"/>
          </w:tcPr>
          <w:p w14:paraId="23DC8B8C">
            <w:pPr>
              <w:pStyle w:val="25"/>
              <w:spacing w:line="400" w:lineRule="exact"/>
              <w:jc w:val="center"/>
              <w:rPr>
                <w:rFonts w:hint="eastAsia" w:hAnsi="宋体" w:cs="Courier New"/>
                <w:kern w:val="2"/>
                <w:sz w:val="24"/>
                <w:szCs w:val="24"/>
              </w:rPr>
            </w:pPr>
            <w:r>
              <w:rPr>
                <w:rFonts w:hint="eastAsia" w:hAnsi="宋体" w:cs="Courier New"/>
                <w:kern w:val="2"/>
                <w:sz w:val="24"/>
                <w:szCs w:val="24"/>
              </w:rPr>
              <w:t>技术要求</w:t>
            </w:r>
          </w:p>
        </w:tc>
        <w:tc>
          <w:tcPr>
            <w:tcW w:w="2181" w:type="dxa"/>
            <w:vAlign w:val="center"/>
          </w:tcPr>
          <w:p w14:paraId="00B0E73B">
            <w:pPr>
              <w:pStyle w:val="25"/>
              <w:spacing w:line="400" w:lineRule="exact"/>
              <w:jc w:val="center"/>
              <w:rPr>
                <w:rFonts w:hint="eastAsia" w:hAnsi="宋体" w:cs="Courier New"/>
                <w:kern w:val="2"/>
                <w:sz w:val="24"/>
                <w:szCs w:val="24"/>
              </w:rPr>
            </w:pPr>
            <w:r>
              <w:rPr>
                <w:rFonts w:hint="eastAsia" w:hAnsi="宋体" w:cs="Courier New"/>
                <w:kern w:val="2"/>
                <w:sz w:val="24"/>
                <w:szCs w:val="24"/>
              </w:rPr>
              <w:t>投标响应</w:t>
            </w:r>
          </w:p>
        </w:tc>
        <w:tc>
          <w:tcPr>
            <w:tcW w:w="1934" w:type="dxa"/>
            <w:vAlign w:val="center"/>
          </w:tcPr>
          <w:p w14:paraId="7C1719A2">
            <w:pPr>
              <w:pStyle w:val="25"/>
              <w:spacing w:line="400" w:lineRule="exact"/>
              <w:jc w:val="center"/>
              <w:rPr>
                <w:rFonts w:hint="eastAsia" w:hAnsi="宋体" w:cs="Courier New"/>
                <w:kern w:val="2"/>
                <w:sz w:val="24"/>
                <w:szCs w:val="24"/>
              </w:rPr>
            </w:pPr>
            <w:r>
              <w:rPr>
                <w:rFonts w:hint="eastAsia" w:hAnsi="宋体" w:cs="Courier New"/>
                <w:kern w:val="2"/>
                <w:sz w:val="24"/>
                <w:szCs w:val="24"/>
              </w:rPr>
              <w:t>偏离说明</w:t>
            </w:r>
          </w:p>
        </w:tc>
      </w:tr>
      <w:tr w14:paraId="2C57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63DA4">
            <w:pPr>
              <w:pStyle w:val="25"/>
              <w:spacing w:line="600" w:lineRule="exact"/>
              <w:jc w:val="center"/>
              <w:rPr>
                <w:rFonts w:hint="eastAsia" w:hAnsi="宋体" w:cs="Courier New"/>
                <w:kern w:val="2"/>
                <w:sz w:val="24"/>
                <w:szCs w:val="24"/>
              </w:rPr>
            </w:pPr>
          </w:p>
        </w:tc>
        <w:tc>
          <w:tcPr>
            <w:tcW w:w="2143" w:type="dxa"/>
            <w:vAlign w:val="center"/>
          </w:tcPr>
          <w:p w14:paraId="5C85C903">
            <w:pPr>
              <w:pStyle w:val="25"/>
              <w:spacing w:line="600" w:lineRule="exact"/>
              <w:jc w:val="center"/>
              <w:rPr>
                <w:rFonts w:hint="eastAsia" w:hAnsi="宋体" w:cs="Courier New"/>
                <w:kern w:val="2"/>
                <w:sz w:val="24"/>
                <w:szCs w:val="24"/>
              </w:rPr>
            </w:pPr>
          </w:p>
        </w:tc>
        <w:tc>
          <w:tcPr>
            <w:tcW w:w="1834" w:type="dxa"/>
            <w:vAlign w:val="center"/>
          </w:tcPr>
          <w:p w14:paraId="77CC1035">
            <w:pPr>
              <w:pStyle w:val="25"/>
              <w:spacing w:line="600" w:lineRule="exact"/>
              <w:jc w:val="center"/>
              <w:rPr>
                <w:rFonts w:hint="eastAsia" w:hAnsi="宋体" w:cs="Courier New"/>
                <w:kern w:val="2"/>
                <w:sz w:val="24"/>
                <w:szCs w:val="24"/>
              </w:rPr>
            </w:pPr>
          </w:p>
        </w:tc>
        <w:tc>
          <w:tcPr>
            <w:tcW w:w="2181" w:type="dxa"/>
            <w:vAlign w:val="center"/>
          </w:tcPr>
          <w:p w14:paraId="222483DB">
            <w:pPr>
              <w:pStyle w:val="25"/>
              <w:spacing w:line="600" w:lineRule="exact"/>
              <w:jc w:val="center"/>
              <w:rPr>
                <w:rFonts w:hint="eastAsia" w:hAnsi="宋体" w:cs="Courier New"/>
                <w:kern w:val="2"/>
                <w:sz w:val="24"/>
                <w:szCs w:val="24"/>
              </w:rPr>
            </w:pPr>
          </w:p>
        </w:tc>
        <w:tc>
          <w:tcPr>
            <w:tcW w:w="1934" w:type="dxa"/>
            <w:vAlign w:val="center"/>
          </w:tcPr>
          <w:p w14:paraId="6C4E0F64">
            <w:pPr>
              <w:pStyle w:val="25"/>
              <w:spacing w:line="600" w:lineRule="exact"/>
              <w:jc w:val="center"/>
              <w:rPr>
                <w:rFonts w:hint="eastAsia" w:hAnsi="宋体" w:cs="Courier New"/>
                <w:kern w:val="2"/>
                <w:sz w:val="24"/>
                <w:szCs w:val="24"/>
              </w:rPr>
            </w:pPr>
          </w:p>
        </w:tc>
      </w:tr>
      <w:tr w14:paraId="675F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85C4894">
            <w:pPr>
              <w:pStyle w:val="25"/>
              <w:spacing w:line="600" w:lineRule="exact"/>
              <w:rPr>
                <w:rFonts w:hint="eastAsia" w:hAnsi="宋体" w:cs="Courier New"/>
                <w:kern w:val="2"/>
                <w:sz w:val="24"/>
                <w:szCs w:val="24"/>
              </w:rPr>
            </w:pPr>
          </w:p>
        </w:tc>
        <w:tc>
          <w:tcPr>
            <w:tcW w:w="2143" w:type="dxa"/>
          </w:tcPr>
          <w:p w14:paraId="07C1ACCB">
            <w:pPr>
              <w:pStyle w:val="25"/>
              <w:spacing w:line="600" w:lineRule="exact"/>
              <w:rPr>
                <w:rFonts w:hint="eastAsia" w:hAnsi="宋体" w:cs="Courier New"/>
                <w:kern w:val="2"/>
                <w:sz w:val="24"/>
                <w:szCs w:val="24"/>
              </w:rPr>
            </w:pPr>
          </w:p>
        </w:tc>
        <w:tc>
          <w:tcPr>
            <w:tcW w:w="1834" w:type="dxa"/>
          </w:tcPr>
          <w:p w14:paraId="0ED15EBC">
            <w:pPr>
              <w:pStyle w:val="25"/>
              <w:spacing w:line="600" w:lineRule="exact"/>
              <w:rPr>
                <w:rFonts w:hint="eastAsia" w:hAnsi="宋体" w:cs="Courier New"/>
                <w:kern w:val="2"/>
                <w:sz w:val="24"/>
                <w:szCs w:val="24"/>
              </w:rPr>
            </w:pPr>
          </w:p>
        </w:tc>
        <w:tc>
          <w:tcPr>
            <w:tcW w:w="2181" w:type="dxa"/>
          </w:tcPr>
          <w:p w14:paraId="65CAA274">
            <w:pPr>
              <w:pStyle w:val="25"/>
              <w:spacing w:line="600" w:lineRule="exact"/>
              <w:rPr>
                <w:rFonts w:hint="eastAsia" w:hAnsi="宋体" w:cs="Courier New"/>
                <w:kern w:val="2"/>
                <w:sz w:val="24"/>
                <w:szCs w:val="24"/>
              </w:rPr>
            </w:pPr>
          </w:p>
        </w:tc>
        <w:tc>
          <w:tcPr>
            <w:tcW w:w="1934" w:type="dxa"/>
          </w:tcPr>
          <w:p w14:paraId="74A3E2A6">
            <w:pPr>
              <w:pStyle w:val="25"/>
              <w:spacing w:line="600" w:lineRule="exact"/>
              <w:rPr>
                <w:rFonts w:hint="eastAsia" w:hAnsi="宋体" w:cs="Courier New"/>
                <w:kern w:val="2"/>
                <w:sz w:val="24"/>
                <w:szCs w:val="24"/>
              </w:rPr>
            </w:pPr>
          </w:p>
        </w:tc>
      </w:tr>
      <w:tr w14:paraId="1F4B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0F03396">
            <w:pPr>
              <w:pStyle w:val="25"/>
              <w:spacing w:line="600" w:lineRule="exact"/>
              <w:rPr>
                <w:rFonts w:hint="eastAsia" w:hAnsi="宋体" w:cs="Courier New"/>
                <w:kern w:val="2"/>
                <w:sz w:val="24"/>
                <w:szCs w:val="24"/>
              </w:rPr>
            </w:pPr>
          </w:p>
        </w:tc>
        <w:tc>
          <w:tcPr>
            <w:tcW w:w="2143" w:type="dxa"/>
          </w:tcPr>
          <w:p w14:paraId="720F6FDE">
            <w:pPr>
              <w:pStyle w:val="25"/>
              <w:spacing w:line="600" w:lineRule="exact"/>
              <w:rPr>
                <w:rFonts w:hint="eastAsia" w:hAnsi="宋体" w:cs="Courier New"/>
                <w:kern w:val="2"/>
                <w:sz w:val="24"/>
                <w:szCs w:val="24"/>
              </w:rPr>
            </w:pPr>
          </w:p>
        </w:tc>
        <w:tc>
          <w:tcPr>
            <w:tcW w:w="1834" w:type="dxa"/>
          </w:tcPr>
          <w:p w14:paraId="1B91A95E">
            <w:pPr>
              <w:pStyle w:val="25"/>
              <w:spacing w:line="600" w:lineRule="exact"/>
              <w:rPr>
                <w:rFonts w:hint="eastAsia" w:hAnsi="宋体" w:cs="Courier New"/>
                <w:kern w:val="2"/>
                <w:sz w:val="24"/>
                <w:szCs w:val="24"/>
              </w:rPr>
            </w:pPr>
          </w:p>
        </w:tc>
        <w:tc>
          <w:tcPr>
            <w:tcW w:w="2181" w:type="dxa"/>
          </w:tcPr>
          <w:p w14:paraId="0781FCB5">
            <w:pPr>
              <w:pStyle w:val="25"/>
              <w:spacing w:line="600" w:lineRule="exact"/>
              <w:rPr>
                <w:rFonts w:hint="eastAsia" w:hAnsi="宋体" w:cs="Courier New"/>
                <w:kern w:val="2"/>
                <w:sz w:val="24"/>
                <w:szCs w:val="24"/>
              </w:rPr>
            </w:pPr>
          </w:p>
        </w:tc>
        <w:tc>
          <w:tcPr>
            <w:tcW w:w="1934" w:type="dxa"/>
          </w:tcPr>
          <w:p w14:paraId="15E99690">
            <w:pPr>
              <w:pStyle w:val="25"/>
              <w:spacing w:line="600" w:lineRule="exact"/>
              <w:rPr>
                <w:rFonts w:hint="eastAsia" w:hAnsi="宋体" w:cs="Courier New"/>
                <w:kern w:val="2"/>
                <w:sz w:val="24"/>
                <w:szCs w:val="24"/>
              </w:rPr>
            </w:pPr>
          </w:p>
        </w:tc>
      </w:tr>
      <w:tr w14:paraId="456C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C62C103">
            <w:pPr>
              <w:pStyle w:val="25"/>
              <w:spacing w:line="600" w:lineRule="exact"/>
              <w:rPr>
                <w:rFonts w:hint="eastAsia" w:hAnsi="宋体" w:cs="Courier New"/>
                <w:kern w:val="2"/>
                <w:sz w:val="24"/>
                <w:szCs w:val="24"/>
              </w:rPr>
            </w:pPr>
          </w:p>
        </w:tc>
        <w:tc>
          <w:tcPr>
            <w:tcW w:w="2143" w:type="dxa"/>
          </w:tcPr>
          <w:p w14:paraId="18F5F0ED">
            <w:pPr>
              <w:pStyle w:val="25"/>
              <w:spacing w:line="600" w:lineRule="exact"/>
              <w:rPr>
                <w:rFonts w:hint="eastAsia" w:hAnsi="宋体" w:cs="Courier New"/>
                <w:kern w:val="2"/>
                <w:sz w:val="24"/>
                <w:szCs w:val="24"/>
              </w:rPr>
            </w:pPr>
          </w:p>
        </w:tc>
        <w:tc>
          <w:tcPr>
            <w:tcW w:w="1834" w:type="dxa"/>
          </w:tcPr>
          <w:p w14:paraId="7C17952E">
            <w:pPr>
              <w:pStyle w:val="25"/>
              <w:spacing w:line="600" w:lineRule="exact"/>
              <w:rPr>
                <w:rFonts w:hint="eastAsia" w:hAnsi="宋体" w:cs="Courier New"/>
                <w:kern w:val="2"/>
                <w:sz w:val="24"/>
                <w:szCs w:val="24"/>
              </w:rPr>
            </w:pPr>
          </w:p>
        </w:tc>
        <w:tc>
          <w:tcPr>
            <w:tcW w:w="2181" w:type="dxa"/>
          </w:tcPr>
          <w:p w14:paraId="61916DE0">
            <w:pPr>
              <w:pStyle w:val="25"/>
              <w:spacing w:line="600" w:lineRule="exact"/>
              <w:rPr>
                <w:rFonts w:hint="eastAsia" w:hAnsi="宋体" w:cs="Courier New"/>
                <w:kern w:val="2"/>
                <w:sz w:val="24"/>
                <w:szCs w:val="24"/>
              </w:rPr>
            </w:pPr>
          </w:p>
        </w:tc>
        <w:tc>
          <w:tcPr>
            <w:tcW w:w="1934" w:type="dxa"/>
          </w:tcPr>
          <w:p w14:paraId="46377EED">
            <w:pPr>
              <w:pStyle w:val="25"/>
              <w:spacing w:line="600" w:lineRule="exact"/>
              <w:rPr>
                <w:rFonts w:hint="eastAsia" w:hAnsi="宋体" w:cs="Courier New"/>
                <w:kern w:val="2"/>
                <w:sz w:val="24"/>
                <w:szCs w:val="24"/>
              </w:rPr>
            </w:pPr>
          </w:p>
        </w:tc>
      </w:tr>
      <w:tr w14:paraId="13E3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252A378">
            <w:pPr>
              <w:pStyle w:val="25"/>
              <w:spacing w:line="600" w:lineRule="exact"/>
              <w:rPr>
                <w:rFonts w:hint="eastAsia" w:hAnsi="宋体" w:cs="Courier New"/>
                <w:kern w:val="2"/>
                <w:sz w:val="24"/>
                <w:szCs w:val="24"/>
              </w:rPr>
            </w:pPr>
          </w:p>
        </w:tc>
        <w:tc>
          <w:tcPr>
            <w:tcW w:w="2143" w:type="dxa"/>
          </w:tcPr>
          <w:p w14:paraId="4563F730">
            <w:pPr>
              <w:pStyle w:val="25"/>
              <w:spacing w:line="600" w:lineRule="exact"/>
              <w:rPr>
                <w:rFonts w:hint="eastAsia" w:hAnsi="宋体" w:cs="Courier New"/>
                <w:kern w:val="2"/>
                <w:sz w:val="24"/>
                <w:szCs w:val="24"/>
              </w:rPr>
            </w:pPr>
          </w:p>
        </w:tc>
        <w:tc>
          <w:tcPr>
            <w:tcW w:w="1834" w:type="dxa"/>
          </w:tcPr>
          <w:p w14:paraId="38F601FE">
            <w:pPr>
              <w:pStyle w:val="25"/>
              <w:spacing w:line="600" w:lineRule="exact"/>
              <w:rPr>
                <w:rFonts w:hint="eastAsia" w:hAnsi="宋体" w:cs="Courier New"/>
                <w:kern w:val="2"/>
                <w:sz w:val="24"/>
                <w:szCs w:val="24"/>
              </w:rPr>
            </w:pPr>
          </w:p>
        </w:tc>
        <w:tc>
          <w:tcPr>
            <w:tcW w:w="2181" w:type="dxa"/>
          </w:tcPr>
          <w:p w14:paraId="41B6A606">
            <w:pPr>
              <w:pStyle w:val="25"/>
              <w:spacing w:line="600" w:lineRule="exact"/>
              <w:rPr>
                <w:rFonts w:hint="eastAsia" w:hAnsi="宋体" w:cs="Courier New"/>
                <w:kern w:val="2"/>
                <w:sz w:val="24"/>
                <w:szCs w:val="24"/>
              </w:rPr>
            </w:pPr>
          </w:p>
        </w:tc>
        <w:tc>
          <w:tcPr>
            <w:tcW w:w="1934" w:type="dxa"/>
          </w:tcPr>
          <w:p w14:paraId="07C8C89B">
            <w:pPr>
              <w:pStyle w:val="25"/>
              <w:spacing w:line="600" w:lineRule="exact"/>
              <w:rPr>
                <w:rFonts w:hint="eastAsia" w:hAnsi="宋体" w:cs="Courier New"/>
                <w:kern w:val="2"/>
                <w:sz w:val="24"/>
                <w:szCs w:val="24"/>
              </w:rPr>
            </w:pPr>
          </w:p>
        </w:tc>
      </w:tr>
      <w:tr w14:paraId="3F52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409BDA4">
            <w:pPr>
              <w:pStyle w:val="25"/>
              <w:spacing w:line="600" w:lineRule="exact"/>
              <w:rPr>
                <w:rFonts w:hint="eastAsia" w:hAnsi="宋体" w:cs="Courier New"/>
                <w:kern w:val="2"/>
                <w:sz w:val="24"/>
                <w:szCs w:val="24"/>
              </w:rPr>
            </w:pPr>
          </w:p>
        </w:tc>
        <w:tc>
          <w:tcPr>
            <w:tcW w:w="2143" w:type="dxa"/>
          </w:tcPr>
          <w:p w14:paraId="173DCF1F">
            <w:pPr>
              <w:pStyle w:val="25"/>
              <w:spacing w:line="600" w:lineRule="exact"/>
              <w:rPr>
                <w:rFonts w:hint="eastAsia" w:hAnsi="宋体" w:cs="Courier New"/>
                <w:kern w:val="2"/>
                <w:sz w:val="24"/>
                <w:szCs w:val="24"/>
              </w:rPr>
            </w:pPr>
          </w:p>
        </w:tc>
        <w:tc>
          <w:tcPr>
            <w:tcW w:w="1834" w:type="dxa"/>
          </w:tcPr>
          <w:p w14:paraId="44102AFF">
            <w:pPr>
              <w:pStyle w:val="25"/>
              <w:spacing w:line="600" w:lineRule="exact"/>
              <w:rPr>
                <w:rFonts w:hint="eastAsia" w:hAnsi="宋体" w:cs="Courier New"/>
                <w:kern w:val="2"/>
                <w:sz w:val="24"/>
                <w:szCs w:val="24"/>
              </w:rPr>
            </w:pPr>
          </w:p>
        </w:tc>
        <w:tc>
          <w:tcPr>
            <w:tcW w:w="2181" w:type="dxa"/>
          </w:tcPr>
          <w:p w14:paraId="0AFF1A70">
            <w:pPr>
              <w:pStyle w:val="25"/>
              <w:spacing w:line="600" w:lineRule="exact"/>
              <w:rPr>
                <w:rFonts w:hint="eastAsia" w:hAnsi="宋体" w:cs="Courier New"/>
                <w:kern w:val="2"/>
                <w:sz w:val="24"/>
                <w:szCs w:val="24"/>
              </w:rPr>
            </w:pPr>
          </w:p>
        </w:tc>
        <w:tc>
          <w:tcPr>
            <w:tcW w:w="1934" w:type="dxa"/>
          </w:tcPr>
          <w:p w14:paraId="52AD4B3A">
            <w:pPr>
              <w:pStyle w:val="25"/>
              <w:spacing w:line="600" w:lineRule="exact"/>
              <w:rPr>
                <w:rFonts w:hint="eastAsia" w:hAnsi="宋体" w:cs="Courier New"/>
                <w:kern w:val="2"/>
                <w:sz w:val="24"/>
                <w:szCs w:val="24"/>
              </w:rPr>
            </w:pPr>
          </w:p>
        </w:tc>
      </w:tr>
    </w:tbl>
    <w:p w14:paraId="4CB1E547">
      <w:pPr>
        <w:pStyle w:val="17"/>
        <w:rPr>
          <w:rFonts w:hint="eastAsia" w:ascii="宋体" w:hAnsi="宋体"/>
        </w:rPr>
      </w:pPr>
      <w:r>
        <w:rPr>
          <w:rFonts w:hint="eastAsia" w:ascii="宋体" w:hAnsi="宋体"/>
        </w:rPr>
        <w:t>注：</w:t>
      </w:r>
    </w:p>
    <w:p w14:paraId="5B465887">
      <w:pPr>
        <w:pStyle w:val="19"/>
        <w:spacing w:line="360" w:lineRule="auto"/>
        <w:ind w:firstLine="0" w:firstLineChars="0"/>
        <w:rPr>
          <w:rFonts w:hint="eastAsia" w:hAnsi="仿宋_GB2312" w:cs="仿宋_GB2312"/>
          <w:szCs w:val="32"/>
        </w:rPr>
      </w:pPr>
      <w:r>
        <w:rPr>
          <w:rFonts w:hint="eastAsia" w:ascii="宋体" w:hAnsi="宋体" w:eastAsia="宋体"/>
          <w:sz w:val="24"/>
          <w:szCs w:val="24"/>
        </w:rPr>
        <w:t>1. 说明：应对照招标文件“第二章 采购需求”中的“技术要求”逐条做明确的投标响应，并作出偏离说明。</w:t>
      </w:r>
    </w:p>
    <w:p w14:paraId="40E9F65B">
      <w:pPr>
        <w:pStyle w:val="17"/>
        <w:spacing w:line="360" w:lineRule="auto"/>
        <w:rPr>
          <w:rFonts w:hint="eastAsia" w:ascii="宋体" w:hAnsi="宋体"/>
          <w:b w:val="0"/>
          <w:bCs w:val="0"/>
        </w:rPr>
      </w:pPr>
      <w:r>
        <w:rPr>
          <w:rFonts w:ascii="宋体" w:hAnsi="宋体"/>
          <w:b w:val="0"/>
          <w:bCs w:val="0"/>
        </w:rPr>
        <w:t>2.</w:t>
      </w:r>
      <w:r>
        <w:rPr>
          <w:rFonts w:hint="eastAsia" w:ascii="宋体" w:hAnsi="宋体"/>
          <w:b w:val="0"/>
          <w:bCs w:val="0"/>
        </w:rPr>
        <w:t>投标人根据投标货物的性能指标，对照招标文件技术要求，在“偏离说明”中注明“</w:t>
      </w:r>
      <w:r>
        <w:rPr>
          <w:rFonts w:hint="eastAsia" w:ascii="宋体" w:hAnsi="宋体"/>
        </w:rPr>
        <w:t>正偏离”“负偏离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5BDE6ED8">
      <w:pPr>
        <w:pStyle w:val="19"/>
        <w:spacing w:line="360" w:lineRule="auto"/>
        <w:ind w:firstLine="0" w:firstLineChars="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 xml:space="preserve"> 如技术要求偏离表中的投标响应与佐证材料不一致的，以佐证材料为准。</w:t>
      </w:r>
    </w:p>
    <w:p w14:paraId="25B411D6">
      <w:pPr>
        <w:snapToGrid w:val="0"/>
        <w:spacing w:before="50" w:after="50" w:line="360" w:lineRule="auto"/>
        <w:rPr>
          <w:rFonts w:hint="eastAsia" w:ascii="宋体" w:hAnsi="宋体"/>
          <w:sz w:val="24"/>
        </w:rPr>
      </w:pPr>
    </w:p>
    <w:p w14:paraId="3389D360">
      <w:pPr>
        <w:snapToGrid w:val="0"/>
        <w:spacing w:before="50" w:after="50" w:line="360" w:lineRule="auto"/>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5D9A01F9">
      <w:pPr>
        <w:snapToGrid w:val="0"/>
        <w:spacing w:before="50" w:after="50" w:line="360" w:lineRule="auto"/>
        <w:rPr>
          <w:rFonts w:hint="eastAsia"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51377682">
      <w:pPr>
        <w:snapToGrid w:val="0"/>
        <w:spacing w:before="50" w:after="50" w:line="360" w:lineRule="auto"/>
        <w:rPr>
          <w:rFonts w:hint="eastAsia" w:ascii="宋体" w:hAnsi="宋体"/>
          <w:spacing w:val="20"/>
          <w:sz w:val="24"/>
          <w:u w:val="single"/>
        </w:rPr>
      </w:pPr>
      <w:r>
        <w:rPr>
          <w:rFonts w:hint="eastAsia" w:ascii="宋体" w:hAnsi="宋体"/>
          <w:spacing w:val="20"/>
          <w:sz w:val="24"/>
        </w:rPr>
        <w:t>日 期：</w:t>
      </w:r>
      <w:r>
        <w:rPr>
          <w:rFonts w:hint="eastAsia" w:ascii="宋体" w:hAnsi="宋体"/>
          <w:spacing w:val="20"/>
          <w:sz w:val="24"/>
          <w:u w:val="single"/>
        </w:rPr>
        <w:t xml:space="preserve">        </w:t>
      </w:r>
    </w:p>
    <w:p w14:paraId="353AAE53">
      <w:pPr>
        <w:snapToGrid w:val="0"/>
        <w:spacing w:before="50" w:after="50" w:line="360" w:lineRule="auto"/>
        <w:rPr>
          <w:rFonts w:hint="eastAsia" w:ascii="宋体" w:hAnsi="宋体"/>
          <w:sz w:val="24"/>
          <w:szCs w:val="20"/>
        </w:rPr>
      </w:pPr>
    </w:p>
    <w:p w14:paraId="047E8B11">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12.项目实施人员一览表格式</w:t>
      </w:r>
    </w:p>
    <w:p w14:paraId="3E374595">
      <w:pPr>
        <w:snapToGrid w:val="0"/>
        <w:spacing w:before="120" w:beforeLines="50" w:after="50"/>
        <w:ind w:left="142"/>
        <w:jc w:val="left"/>
        <w:rPr>
          <w:rFonts w:hint="eastAsia" w:ascii="宋体" w:hAnsi="宋体"/>
          <w:b/>
          <w:sz w:val="24"/>
        </w:rPr>
      </w:pPr>
    </w:p>
    <w:p w14:paraId="7D7B807E">
      <w:pPr>
        <w:snapToGrid w:val="0"/>
        <w:spacing w:before="120" w:beforeLines="50" w:after="50"/>
        <w:ind w:left="142"/>
        <w:jc w:val="center"/>
        <w:rPr>
          <w:rFonts w:hint="eastAsia" w:ascii="宋体" w:hAnsi="宋体"/>
          <w:b/>
          <w:sz w:val="32"/>
          <w:szCs w:val="32"/>
        </w:rPr>
      </w:pPr>
      <w:r>
        <w:rPr>
          <w:rFonts w:hint="eastAsia" w:ascii="宋体" w:hAnsi="宋体"/>
          <w:b/>
          <w:sz w:val="32"/>
          <w:szCs w:val="32"/>
        </w:rPr>
        <w:t>项目实施人员一览表</w:t>
      </w:r>
    </w:p>
    <w:p w14:paraId="208A4FA0">
      <w:pPr>
        <w:pStyle w:val="25"/>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020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385F8D5">
            <w:pPr>
              <w:snapToGrid w:val="0"/>
              <w:spacing w:before="50" w:after="120" w:afterLines="50"/>
              <w:jc w:val="center"/>
              <w:rPr>
                <w:rFonts w:hint="eastAsia" w:ascii="宋体" w:hAnsi="宋体"/>
                <w:sz w:val="24"/>
                <w:szCs w:val="20"/>
              </w:rPr>
            </w:pPr>
            <w:r>
              <w:rPr>
                <w:rFonts w:hint="eastAsia" w:ascii="宋体" w:hAnsi="宋体"/>
                <w:sz w:val="24"/>
                <w:szCs w:val="20"/>
              </w:rPr>
              <w:t>姓名</w:t>
            </w:r>
          </w:p>
        </w:tc>
        <w:tc>
          <w:tcPr>
            <w:tcW w:w="709" w:type="dxa"/>
            <w:vAlign w:val="center"/>
          </w:tcPr>
          <w:p w14:paraId="03856E6B">
            <w:pPr>
              <w:snapToGrid w:val="0"/>
              <w:spacing w:before="50" w:after="120" w:afterLines="50"/>
              <w:jc w:val="center"/>
              <w:rPr>
                <w:rFonts w:hint="eastAsia" w:ascii="宋体" w:hAnsi="宋体"/>
                <w:sz w:val="24"/>
                <w:szCs w:val="20"/>
              </w:rPr>
            </w:pPr>
            <w:r>
              <w:rPr>
                <w:rFonts w:hint="eastAsia" w:ascii="宋体" w:hAnsi="宋体"/>
                <w:sz w:val="24"/>
                <w:szCs w:val="20"/>
              </w:rPr>
              <w:t>职务</w:t>
            </w:r>
          </w:p>
        </w:tc>
        <w:tc>
          <w:tcPr>
            <w:tcW w:w="1701" w:type="dxa"/>
            <w:vAlign w:val="center"/>
          </w:tcPr>
          <w:p w14:paraId="2B097A2C">
            <w:pPr>
              <w:snapToGrid w:val="0"/>
              <w:spacing w:before="50" w:after="120" w:afterLines="50"/>
              <w:jc w:val="center"/>
              <w:rPr>
                <w:rFonts w:hint="eastAsia" w:ascii="宋体" w:hAnsi="宋体"/>
                <w:sz w:val="24"/>
                <w:szCs w:val="20"/>
              </w:rPr>
            </w:pPr>
            <w:r>
              <w:rPr>
                <w:rFonts w:hint="eastAsia" w:ascii="宋体" w:hAnsi="宋体"/>
                <w:sz w:val="24"/>
                <w:szCs w:val="20"/>
              </w:rPr>
              <w:t>专业技术资格（职称）或者职业资格或者执业资格证或者其他证书</w:t>
            </w:r>
          </w:p>
        </w:tc>
        <w:tc>
          <w:tcPr>
            <w:tcW w:w="1420" w:type="dxa"/>
            <w:vAlign w:val="center"/>
          </w:tcPr>
          <w:p w14:paraId="6D3AA19D">
            <w:pPr>
              <w:snapToGrid w:val="0"/>
              <w:spacing w:before="50" w:after="120" w:afterLines="50"/>
              <w:jc w:val="center"/>
              <w:rPr>
                <w:rFonts w:hint="eastAsia" w:ascii="宋体" w:hAnsi="宋体"/>
                <w:sz w:val="24"/>
                <w:szCs w:val="20"/>
              </w:rPr>
            </w:pPr>
            <w:r>
              <w:rPr>
                <w:rFonts w:hint="eastAsia" w:ascii="宋体" w:hAnsi="宋体"/>
                <w:sz w:val="24"/>
                <w:szCs w:val="20"/>
              </w:rPr>
              <w:t>证书编号</w:t>
            </w:r>
          </w:p>
        </w:tc>
        <w:tc>
          <w:tcPr>
            <w:tcW w:w="1698" w:type="dxa"/>
            <w:vAlign w:val="center"/>
          </w:tcPr>
          <w:p w14:paraId="51B2C409">
            <w:pPr>
              <w:snapToGrid w:val="0"/>
              <w:spacing w:before="50" w:after="120" w:afterLines="50"/>
              <w:jc w:val="center"/>
              <w:rPr>
                <w:rFonts w:hint="eastAsia" w:ascii="宋体" w:hAnsi="宋体"/>
                <w:sz w:val="24"/>
                <w:szCs w:val="20"/>
              </w:rPr>
            </w:pPr>
            <w:r>
              <w:rPr>
                <w:rFonts w:hint="eastAsia" w:ascii="宋体" w:hAnsi="宋体"/>
                <w:sz w:val="24"/>
                <w:szCs w:val="20"/>
              </w:rPr>
              <w:t>参加本单位</w:t>
            </w:r>
          </w:p>
          <w:p w14:paraId="7C6B12A5">
            <w:pPr>
              <w:snapToGrid w:val="0"/>
              <w:spacing w:before="50" w:after="120" w:afterLines="50"/>
              <w:jc w:val="center"/>
              <w:rPr>
                <w:rFonts w:hint="eastAsia" w:ascii="宋体" w:hAnsi="宋体"/>
                <w:sz w:val="24"/>
                <w:szCs w:val="20"/>
              </w:rPr>
            </w:pPr>
            <w:r>
              <w:rPr>
                <w:rFonts w:hint="eastAsia" w:ascii="宋体" w:hAnsi="宋体"/>
                <w:sz w:val="24"/>
                <w:szCs w:val="20"/>
              </w:rPr>
              <w:t>工作时间</w:t>
            </w:r>
          </w:p>
        </w:tc>
        <w:tc>
          <w:tcPr>
            <w:tcW w:w="1843" w:type="dxa"/>
            <w:vAlign w:val="center"/>
          </w:tcPr>
          <w:p w14:paraId="6BB63848">
            <w:pPr>
              <w:snapToGrid w:val="0"/>
              <w:spacing w:before="50" w:after="120" w:afterLines="50"/>
              <w:jc w:val="center"/>
              <w:rPr>
                <w:rFonts w:hint="eastAsia" w:ascii="宋体" w:hAnsi="宋体"/>
                <w:sz w:val="24"/>
                <w:szCs w:val="20"/>
              </w:rPr>
            </w:pPr>
            <w:r>
              <w:rPr>
                <w:rFonts w:hint="eastAsia" w:ascii="宋体" w:hAnsi="宋体"/>
                <w:sz w:val="24"/>
                <w:szCs w:val="20"/>
              </w:rPr>
              <w:t>劳动合同编号</w:t>
            </w:r>
          </w:p>
        </w:tc>
      </w:tr>
      <w:tr w14:paraId="5940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48FAEB6">
            <w:pPr>
              <w:snapToGrid w:val="0"/>
              <w:spacing w:before="50" w:after="120" w:afterLines="50"/>
              <w:jc w:val="center"/>
              <w:rPr>
                <w:rFonts w:hint="eastAsia" w:ascii="宋体" w:hAnsi="宋体"/>
                <w:sz w:val="24"/>
                <w:szCs w:val="20"/>
              </w:rPr>
            </w:pPr>
          </w:p>
        </w:tc>
        <w:tc>
          <w:tcPr>
            <w:tcW w:w="709" w:type="dxa"/>
            <w:vAlign w:val="center"/>
          </w:tcPr>
          <w:p w14:paraId="1741034C">
            <w:pPr>
              <w:snapToGrid w:val="0"/>
              <w:spacing w:before="50" w:after="120" w:afterLines="50"/>
              <w:jc w:val="center"/>
              <w:rPr>
                <w:rFonts w:hint="eastAsia" w:ascii="宋体" w:hAnsi="宋体"/>
                <w:sz w:val="24"/>
                <w:szCs w:val="20"/>
              </w:rPr>
            </w:pPr>
          </w:p>
        </w:tc>
        <w:tc>
          <w:tcPr>
            <w:tcW w:w="1701" w:type="dxa"/>
            <w:vAlign w:val="center"/>
          </w:tcPr>
          <w:p w14:paraId="431FEFA6">
            <w:pPr>
              <w:snapToGrid w:val="0"/>
              <w:spacing w:before="50" w:after="120" w:afterLines="50"/>
              <w:jc w:val="center"/>
              <w:rPr>
                <w:rFonts w:hint="eastAsia" w:ascii="宋体" w:hAnsi="宋体"/>
                <w:sz w:val="24"/>
                <w:szCs w:val="20"/>
              </w:rPr>
            </w:pPr>
          </w:p>
        </w:tc>
        <w:tc>
          <w:tcPr>
            <w:tcW w:w="1420" w:type="dxa"/>
            <w:vAlign w:val="center"/>
          </w:tcPr>
          <w:p w14:paraId="44F4C577">
            <w:pPr>
              <w:snapToGrid w:val="0"/>
              <w:spacing w:before="50" w:after="120" w:afterLines="50"/>
              <w:jc w:val="center"/>
              <w:rPr>
                <w:rFonts w:hint="eastAsia" w:ascii="宋体" w:hAnsi="宋体"/>
                <w:sz w:val="24"/>
                <w:szCs w:val="20"/>
              </w:rPr>
            </w:pPr>
          </w:p>
        </w:tc>
        <w:tc>
          <w:tcPr>
            <w:tcW w:w="1698" w:type="dxa"/>
            <w:vAlign w:val="center"/>
          </w:tcPr>
          <w:p w14:paraId="5EF84A54">
            <w:pPr>
              <w:snapToGrid w:val="0"/>
              <w:spacing w:before="50" w:after="120" w:afterLines="50"/>
              <w:jc w:val="center"/>
              <w:rPr>
                <w:rFonts w:hint="eastAsia" w:ascii="宋体" w:hAnsi="宋体"/>
                <w:sz w:val="24"/>
                <w:szCs w:val="20"/>
              </w:rPr>
            </w:pPr>
          </w:p>
        </w:tc>
        <w:tc>
          <w:tcPr>
            <w:tcW w:w="1843" w:type="dxa"/>
            <w:vAlign w:val="center"/>
          </w:tcPr>
          <w:p w14:paraId="074B6D4F">
            <w:pPr>
              <w:snapToGrid w:val="0"/>
              <w:spacing w:before="50" w:after="120" w:afterLines="50"/>
              <w:jc w:val="center"/>
              <w:rPr>
                <w:rFonts w:hint="eastAsia" w:ascii="宋体" w:hAnsi="宋体"/>
                <w:sz w:val="24"/>
                <w:szCs w:val="20"/>
              </w:rPr>
            </w:pPr>
          </w:p>
        </w:tc>
      </w:tr>
      <w:tr w14:paraId="598D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7A2C943">
            <w:pPr>
              <w:snapToGrid w:val="0"/>
              <w:spacing w:before="50" w:after="120" w:afterLines="50"/>
              <w:jc w:val="center"/>
              <w:rPr>
                <w:rFonts w:hint="eastAsia" w:ascii="宋体" w:hAnsi="宋体"/>
                <w:sz w:val="24"/>
                <w:szCs w:val="20"/>
              </w:rPr>
            </w:pPr>
          </w:p>
        </w:tc>
        <w:tc>
          <w:tcPr>
            <w:tcW w:w="709" w:type="dxa"/>
            <w:vAlign w:val="center"/>
          </w:tcPr>
          <w:p w14:paraId="2DCF03DD">
            <w:pPr>
              <w:snapToGrid w:val="0"/>
              <w:spacing w:before="50" w:after="120" w:afterLines="50"/>
              <w:jc w:val="center"/>
              <w:rPr>
                <w:rFonts w:hint="eastAsia" w:ascii="宋体" w:hAnsi="宋体"/>
                <w:sz w:val="24"/>
                <w:szCs w:val="20"/>
              </w:rPr>
            </w:pPr>
          </w:p>
        </w:tc>
        <w:tc>
          <w:tcPr>
            <w:tcW w:w="1701" w:type="dxa"/>
            <w:vAlign w:val="center"/>
          </w:tcPr>
          <w:p w14:paraId="232F4503">
            <w:pPr>
              <w:snapToGrid w:val="0"/>
              <w:spacing w:before="50" w:after="120" w:afterLines="50"/>
              <w:jc w:val="center"/>
              <w:rPr>
                <w:rFonts w:hint="eastAsia" w:ascii="宋体" w:hAnsi="宋体"/>
                <w:sz w:val="24"/>
                <w:szCs w:val="20"/>
              </w:rPr>
            </w:pPr>
          </w:p>
        </w:tc>
        <w:tc>
          <w:tcPr>
            <w:tcW w:w="1420" w:type="dxa"/>
            <w:vAlign w:val="center"/>
          </w:tcPr>
          <w:p w14:paraId="220AD04E">
            <w:pPr>
              <w:snapToGrid w:val="0"/>
              <w:spacing w:before="50" w:after="120" w:afterLines="50"/>
              <w:jc w:val="center"/>
              <w:rPr>
                <w:rFonts w:hint="eastAsia" w:ascii="宋体" w:hAnsi="宋体"/>
                <w:sz w:val="24"/>
                <w:szCs w:val="20"/>
              </w:rPr>
            </w:pPr>
          </w:p>
        </w:tc>
        <w:tc>
          <w:tcPr>
            <w:tcW w:w="1698" w:type="dxa"/>
            <w:vAlign w:val="center"/>
          </w:tcPr>
          <w:p w14:paraId="3A3C13AF">
            <w:pPr>
              <w:snapToGrid w:val="0"/>
              <w:spacing w:before="50" w:after="120" w:afterLines="50"/>
              <w:jc w:val="center"/>
              <w:rPr>
                <w:rFonts w:hint="eastAsia" w:ascii="宋体" w:hAnsi="宋体"/>
                <w:sz w:val="24"/>
                <w:szCs w:val="20"/>
              </w:rPr>
            </w:pPr>
          </w:p>
        </w:tc>
        <w:tc>
          <w:tcPr>
            <w:tcW w:w="1843" w:type="dxa"/>
            <w:vAlign w:val="center"/>
          </w:tcPr>
          <w:p w14:paraId="573BDF96">
            <w:pPr>
              <w:snapToGrid w:val="0"/>
              <w:spacing w:before="50" w:after="120" w:afterLines="50"/>
              <w:jc w:val="center"/>
              <w:rPr>
                <w:rFonts w:hint="eastAsia" w:ascii="宋体" w:hAnsi="宋体"/>
                <w:sz w:val="24"/>
                <w:szCs w:val="20"/>
              </w:rPr>
            </w:pPr>
          </w:p>
        </w:tc>
      </w:tr>
      <w:tr w14:paraId="12F1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D818976">
            <w:pPr>
              <w:snapToGrid w:val="0"/>
              <w:spacing w:before="50" w:after="120" w:afterLines="50"/>
              <w:jc w:val="center"/>
              <w:rPr>
                <w:rFonts w:hint="eastAsia" w:ascii="宋体" w:hAnsi="宋体"/>
                <w:sz w:val="24"/>
                <w:szCs w:val="20"/>
              </w:rPr>
            </w:pPr>
          </w:p>
        </w:tc>
        <w:tc>
          <w:tcPr>
            <w:tcW w:w="709" w:type="dxa"/>
            <w:vAlign w:val="center"/>
          </w:tcPr>
          <w:p w14:paraId="0D7BE8D3">
            <w:pPr>
              <w:snapToGrid w:val="0"/>
              <w:spacing w:before="50" w:after="120" w:afterLines="50"/>
              <w:jc w:val="center"/>
              <w:rPr>
                <w:rFonts w:hint="eastAsia" w:ascii="宋体" w:hAnsi="宋体"/>
                <w:sz w:val="24"/>
                <w:szCs w:val="20"/>
              </w:rPr>
            </w:pPr>
          </w:p>
        </w:tc>
        <w:tc>
          <w:tcPr>
            <w:tcW w:w="1701" w:type="dxa"/>
            <w:vAlign w:val="center"/>
          </w:tcPr>
          <w:p w14:paraId="7FBF17F7">
            <w:pPr>
              <w:snapToGrid w:val="0"/>
              <w:spacing w:before="50" w:after="120" w:afterLines="50"/>
              <w:jc w:val="center"/>
              <w:rPr>
                <w:rFonts w:hint="eastAsia" w:ascii="宋体" w:hAnsi="宋体"/>
                <w:sz w:val="24"/>
                <w:szCs w:val="20"/>
              </w:rPr>
            </w:pPr>
          </w:p>
        </w:tc>
        <w:tc>
          <w:tcPr>
            <w:tcW w:w="1420" w:type="dxa"/>
            <w:vAlign w:val="center"/>
          </w:tcPr>
          <w:p w14:paraId="49824D50">
            <w:pPr>
              <w:snapToGrid w:val="0"/>
              <w:spacing w:before="50" w:after="120" w:afterLines="50"/>
              <w:jc w:val="center"/>
              <w:rPr>
                <w:rFonts w:hint="eastAsia" w:ascii="宋体" w:hAnsi="宋体"/>
                <w:sz w:val="24"/>
                <w:szCs w:val="20"/>
              </w:rPr>
            </w:pPr>
          </w:p>
        </w:tc>
        <w:tc>
          <w:tcPr>
            <w:tcW w:w="1698" w:type="dxa"/>
            <w:vAlign w:val="center"/>
          </w:tcPr>
          <w:p w14:paraId="7F70320E">
            <w:pPr>
              <w:snapToGrid w:val="0"/>
              <w:spacing w:before="50" w:after="120" w:afterLines="50"/>
              <w:jc w:val="center"/>
              <w:rPr>
                <w:rFonts w:hint="eastAsia" w:ascii="宋体" w:hAnsi="宋体"/>
                <w:sz w:val="24"/>
                <w:szCs w:val="20"/>
              </w:rPr>
            </w:pPr>
          </w:p>
        </w:tc>
        <w:tc>
          <w:tcPr>
            <w:tcW w:w="1843" w:type="dxa"/>
            <w:vAlign w:val="center"/>
          </w:tcPr>
          <w:p w14:paraId="715C42C9">
            <w:pPr>
              <w:snapToGrid w:val="0"/>
              <w:spacing w:before="50" w:after="120" w:afterLines="50"/>
              <w:jc w:val="center"/>
              <w:rPr>
                <w:rFonts w:hint="eastAsia" w:ascii="宋体" w:hAnsi="宋体"/>
                <w:sz w:val="24"/>
                <w:szCs w:val="20"/>
              </w:rPr>
            </w:pPr>
          </w:p>
        </w:tc>
      </w:tr>
    </w:tbl>
    <w:p w14:paraId="1BC64A79">
      <w:pPr>
        <w:snapToGrid w:val="0"/>
        <w:spacing w:before="50" w:after="120" w:afterLines="50"/>
        <w:jc w:val="left"/>
        <w:rPr>
          <w:rFonts w:hint="eastAsia" w:ascii="宋体" w:hAnsi="宋体"/>
          <w:sz w:val="24"/>
          <w:szCs w:val="20"/>
        </w:rPr>
      </w:pPr>
    </w:p>
    <w:p w14:paraId="5E0ACD4E">
      <w:pPr>
        <w:spacing w:line="360" w:lineRule="auto"/>
        <w:contextualSpacing/>
        <w:jc w:val="left"/>
        <w:rPr>
          <w:rFonts w:hint="eastAsia" w:ascii="宋体" w:hAnsi="宋体"/>
          <w:sz w:val="24"/>
          <w:szCs w:val="20"/>
        </w:rPr>
      </w:pPr>
      <w:r>
        <w:rPr>
          <w:rFonts w:hint="eastAsia" w:ascii="宋体" w:hAnsi="宋体"/>
          <w:sz w:val="24"/>
          <w:szCs w:val="20"/>
        </w:rPr>
        <w:t>注：</w:t>
      </w:r>
    </w:p>
    <w:p w14:paraId="01033886">
      <w:pPr>
        <w:spacing w:line="360" w:lineRule="auto"/>
        <w:contextualSpacing/>
        <w:jc w:val="left"/>
        <w:rPr>
          <w:rFonts w:hint="eastAsia" w:ascii="宋体" w:hAnsi="宋体"/>
          <w:sz w:val="24"/>
          <w:szCs w:val="20"/>
        </w:rPr>
      </w:pPr>
      <w:r>
        <w:rPr>
          <w:rFonts w:hint="eastAsia" w:ascii="宋体" w:hAnsi="宋体"/>
          <w:sz w:val="24"/>
          <w:szCs w:val="20"/>
        </w:rPr>
        <w:t>1</w:t>
      </w:r>
      <w:r>
        <w:rPr>
          <w:rFonts w:ascii="宋体" w:hAnsi="宋体"/>
          <w:sz w:val="24"/>
          <w:szCs w:val="20"/>
        </w:rPr>
        <w:t>.</w:t>
      </w:r>
      <w:r>
        <w:rPr>
          <w:rFonts w:hint="eastAsia" w:ascii="宋体" w:hAnsi="宋体"/>
          <w:sz w:val="24"/>
          <w:szCs w:val="20"/>
        </w:rPr>
        <w:t>在填写时，如本表格不适合投标单位的实际情况，可根据本表格式自行制表填写。</w:t>
      </w:r>
    </w:p>
    <w:p w14:paraId="0F43425A">
      <w:pPr>
        <w:spacing w:line="360" w:lineRule="auto"/>
        <w:contextualSpacing/>
        <w:jc w:val="left"/>
        <w:rPr>
          <w:rFonts w:hint="eastAsia" w:ascii="宋体" w:hAnsi="宋体"/>
          <w:sz w:val="24"/>
          <w:szCs w:val="20"/>
        </w:rPr>
      </w:pPr>
      <w:r>
        <w:rPr>
          <w:rFonts w:ascii="宋体" w:hAnsi="宋体"/>
          <w:sz w:val="24"/>
          <w:szCs w:val="20"/>
        </w:rPr>
        <w:t>2.</w:t>
      </w:r>
      <w:r>
        <w:rPr>
          <w:rFonts w:hint="eastAsia" w:ascii="宋体" w:hAnsi="宋体"/>
          <w:sz w:val="24"/>
          <w:szCs w:val="20"/>
        </w:rPr>
        <w:t>投标人应当附本表所列证书的复印件并加盖投标人电子签章。</w:t>
      </w:r>
    </w:p>
    <w:p w14:paraId="65131716">
      <w:pPr>
        <w:spacing w:line="360" w:lineRule="auto"/>
        <w:contextualSpacing/>
        <w:jc w:val="left"/>
        <w:rPr>
          <w:rFonts w:hint="eastAsia" w:ascii="宋体" w:hAnsi="宋体"/>
          <w:sz w:val="24"/>
          <w:szCs w:val="20"/>
        </w:rPr>
      </w:pPr>
    </w:p>
    <w:p w14:paraId="5B193E3C">
      <w:pPr>
        <w:spacing w:line="360" w:lineRule="auto"/>
        <w:contextualSpacing/>
        <w:jc w:val="left"/>
        <w:rPr>
          <w:rFonts w:hint="eastAsia" w:ascii="宋体" w:hAnsi="宋体"/>
          <w:sz w:val="24"/>
          <w:szCs w:val="20"/>
        </w:rPr>
      </w:pPr>
    </w:p>
    <w:p w14:paraId="0BDEE9A0">
      <w:pPr>
        <w:spacing w:line="360" w:lineRule="auto"/>
        <w:contextualSpacing/>
        <w:rPr>
          <w:rFonts w:hint="eastAsia"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6F63E7C9">
      <w:pPr>
        <w:spacing w:line="360" w:lineRule="auto"/>
        <w:contextualSpacing/>
        <w:jc w:val="left"/>
        <w:rPr>
          <w:rFonts w:hint="eastAsia"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63591530">
      <w:pPr>
        <w:spacing w:line="360" w:lineRule="auto"/>
        <w:contextualSpacing/>
        <w:jc w:val="left"/>
        <w:rPr>
          <w:rFonts w:hint="eastAsia"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65977A98">
      <w:pPr>
        <w:snapToGrid w:val="0"/>
        <w:spacing w:before="50" w:after="120" w:afterLines="50"/>
        <w:jc w:val="left"/>
        <w:rPr>
          <w:rFonts w:hint="eastAsia" w:ascii="宋体" w:hAnsi="宋体"/>
          <w:sz w:val="24"/>
          <w:szCs w:val="20"/>
        </w:rPr>
      </w:pPr>
    </w:p>
    <w:p w14:paraId="1B38840F">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13.选配件、专用耗材、售后服务优惠表格式</w:t>
      </w:r>
    </w:p>
    <w:p w14:paraId="4B9C4044">
      <w:pPr>
        <w:snapToGrid w:val="0"/>
        <w:spacing w:before="120" w:beforeLines="50" w:after="50"/>
        <w:ind w:left="142"/>
        <w:jc w:val="left"/>
        <w:rPr>
          <w:rFonts w:hint="eastAsia" w:ascii="宋体" w:hAnsi="宋体"/>
          <w:b/>
          <w:sz w:val="24"/>
        </w:rPr>
      </w:pPr>
    </w:p>
    <w:p w14:paraId="17DFDB89">
      <w:pPr>
        <w:snapToGrid w:val="0"/>
        <w:spacing w:before="120" w:beforeLines="50" w:after="50"/>
        <w:ind w:left="142"/>
        <w:jc w:val="center"/>
        <w:rPr>
          <w:rFonts w:hint="eastAsia" w:ascii="宋体" w:hAnsi="宋体"/>
          <w:b/>
          <w:sz w:val="32"/>
          <w:szCs w:val="32"/>
        </w:rPr>
      </w:pPr>
      <w:r>
        <w:rPr>
          <w:rFonts w:hint="eastAsia" w:ascii="宋体" w:hAnsi="宋体"/>
          <w:b/>
          <w:sz w:val="32"/>
          <w:szCs w:val="32"/>
        </w:rPr>
        <w:t>选配件、专用耗材、售后服务优惠表</w:t>
      </w:r>
    </w:p>
    <w:p w14:paraId="73DB75D3">
      <w:pPr>
        <w:pStyle w:val="25"/>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4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6A745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962B36">
            <w:pPr>
              <w:pStyle w:val="25"/>
              <w:snapToGrid w:val="0"/>
              <w:spacing w:before="295" w:after="295"/>
              <w:jc w:val="center"/>
              <w:rPr>
                <w:rFonts w:hint="eastAsia" w:hAnsi="宋体" w:cs="Courier New"/>
                <w:kern w:val="2"/>
                <w:sz w:val="24"/>
                <w:szCs w:val="24"/>
              </w:rPr>
            </w:pPr>
            <w:r>
              <w:rPr>
                <w:rFonts w:hint="eastAsia" w:hAnsi="宋体" w:cs="Courier New"/>
                <w:kern w:val="2"/>
                <w:sz w:val="24"/>
                <w:szCs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52FAB22D">
            <w:pPr>
              <w:pStyle w:val="25"/>
              <w:snapToGrid w:val="0"/>
              <w:spacing w:before="295" w:after="295"/>
              <w:jc w:val="center"/>
              <w:rPr>
                <w:rFonts w:hint="eastAsia" w:hAnsi="宋体" w:cs="Courier New"/>
                <w:kern w:val="2"/>
                <w:sz w:val="24"/>
                <w:szCs w:val="24"/>
              </w:rPr>
            </w:pPr>
            <w:r>
              <w:rPr>
                <w:rFonts w:hint="eastAsia" w:hAnsi="宋体" w:cs="Courier New"/>
                <w:kern w:val="2"/>
                <w:sz w:val="24"/>
                <w:szCs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2E1CEEE5">
            <w:pPr>
              <w:pStyle w:val="25"/>
              <w:snapToGrid w:val="0"/>
              <w:spacing w:before="295" w:after="295"/>
              <w:jc w:val="center"/>
              <w:rPr>
                <w:rFonts w:hint="eastAsia" w:hAnsi="宋体" w:cs="Courier New"/>
                <w:kern w:val="2"/>
                <w:sz w:val="24"/>
                <w:szCs w:val="24"/>
              </w:rPr>
            </w:pPr>
            <w:r>
              <w:rPr>
                <w:rFonts w:hint="eastAsia" w:hAnsi="宋体" w:cs="Courier New"/>
                <w:kern w:val="2"/>
                <w:sz w:val="24"/>
                <w:szCs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76CB39CA">
            <w:pPr>
              <w:pStyle w:val="25"/>
              <w:snapToGrid w:val="0"/>
              <w:spacing w:before="295" w:after="295"/>
              <w:jc w:val="center"/>
              <w:rPr>
                <w:rFonts w:hint="eastAsia" w:hAnsi="宋体" w:cs="Courier New"/>
                <w:kern w:val="2"/>
                <w:sz w:val="24"/>
                <w:szCs w:val="24"/>
              </w:rPr>
            </w:pPr>
            <w:r>
              <w:rPr>
                <w:rFonts w:hint="eastAsia" w:hAnsi="宋体" w:cs="Courier New"/>
                <w:kern w:val="2"/>
                <w:sz w:val="24"/>
                <w:szCs w:val="24"/>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481D03DA">
            <w:pPr>
              <w:pStyle w:val="25"/>
              <w:snapToGrid w:val="0"/>
              <w:spacing w:before="295" w:after="295"/>
              <w:jc w:val="center"/>
              <w:rPr>
                <w:rFonts w:hint="eastAsia" w:hAnsi="宋体" w:cs="Courier New"/>
                <w:kern w:val="2"/>
                <w:sz w:val="24"/>
                <w:szCs w:val="24"/>
              </w:rPr>
            </w:pPr>
            <w:r>
              <w:rPr>
                <w:rFonts w:hint="eastAsia" w:hAnsi="宋体" w:cs="Courier New"/>
                <w:kern w:val="2"/>
                <w:sz w:val="24"/>
                <w:szCs w:val="24"/>
              </w:rPr>
              <w:t>比市场价优惠率</w:t>
            </w:r>
          </w:p>
        </w:tc>
      </w:tr>
      <w:tr w14:paraId="31AB9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7FF4C9C">
            <w:pPr>
              <w:pStyle w:val="25"/>
              <w:snapToGrid w:val="0"/>
              <w:spacing w:before="295" w:after="295"/>
              <w:jc w:val="center"/>
              <w:rPr>
                <w:rFonts w:hint="eastAsia" w:hAnsi="宋体"/>
                <w:kern w:val="2"/>
                <w:sz w:val="24"/>
                <w:szCs w:val="24"/>
              </w:rPr>
            </w:pPr>
            <w:r>
              <w:rPr>
                <w:rFonts w:hint="eastAsia" w:hAnsi="宋体"/>
                <w:kern w:val="2"/>
                <w:sz w:val="24"/>
                <w:szCs w:val="24"/>
              </w:rPr>
              <w:t>1</w:t>
            </w:r>
          </w:p>
        </w:tc>
        <w:tc>
          <w:tcPr>
            <w:tcW w:w="2700" w:type="dxa"/>
            <w:tcBorders>
              <w:top w:val="single" w:color="auto" w:sz="2" w:space="0"/>
              <w:left w:val="single" w:color="auto" w:sz="2" w:space="0"/>
              <w:bottom w:val="single" w:color="auto" w:sz="6" w:space="0"/>
              <w:right w:val="single" w:color="auto" w:sz="4" w:space="0"/>
            </w:tcBorders>
            <w:vAlign w:val="center"/>
          </w:tcPr>
          <w:p w14:paraId="5AB6D8E3">
            <w:pPr>
              <w:pStyle w:val="25"/>
              <w:snapToGrid w:val="0"/>
              <w:spacing w:before="295" w:after="295"/>
              <w:jc w:val="center"/>
              <w:rPr>
                <w:rFonts w:hint="eastAsia" w:hAnsi="宋体"/>
                <w:kern w:val="2"/>
                <w:sz w:val="24"/>
                <w:szCs w:val="24"/>
              </w:rPr>
            </w:pPr>
          </w:p>
        </w:tc>
        <w:tc>
          <w:tcPr>
            <w:tcW w:w="1440" w:type="dxa"/>
            <w:tcBorders>
              <w:top w:val="single" w:color="auto" w:sz="2" w:space="0"/>
              <w:left w:val="single" w:color="auto" w:sz="4" w:space="0"/>
              <w:bottom w:val="single" w:color="auto" w:sz="6" w:space="0"/>
              <w:right w:val="single" w:color="auto" w:sz="6" w:space="0"/>
            </w:tcBorders>
            <w:vAlign w:val="center"/>
          </w:tcPr>
          <w:p w14:paraId="3DF9003C">
            <w:pPr>
              <w:pStyle w:val="25"/>
              <w:snapToGrid w:val="0"/>
              <w:spacing w:before="295" w:after="295"/>
              <w:jc w:val="center"/>
              <w:rPr>
                <w:rFonts w:hint="eastAsia" w:hAnsi="宋体"/>
                <w:kern w:val="2"/>
                <w:sz w:val="24"/>
                <w:szCs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0CC228C9">
            <w:pPr>
              <w:pStyle w:val="25"/>
              <w:snapToGrid w:val="0"/>
              <w:spacing w:before="295" w:after="295"/>
              <w:jc w:val="center"/>
              <w:rPr>
                <w:rFonts w:hint="eastAsia" w:hAnsi="宋体"/>
                <w:kern w:val="2"/>
                <w:sz w:val="24"/>
                <w:szCs w:val="24"/>
              </w:rPr>
            </w:pPr>
          </w:p>
        </w:tc>
        <w:tc>
          <w:tcPr>
            <w:tcW w:w="2340" w:type="dxa"/>
            <w:tcBorders>
              <w:top w:val="single" w:color="auto" w:sz="2" w:space="0"/>
              <w:left w:val="single" w:color="auto" w:sz="6" w:space="0"/>
              <w:bottom w:val="single" w:color="auto" w:sz="6" w:space="0"/>
              <w:right w:val="single" w:color="auto" w:sz="2" w:space="0"/>
            </w:tcBorders>
            <w:vAlign w:val="center"/>
          </w:tcPr>
          <w:p w14:paraId="798BA3A6">
            <w:pPr>
              <w:pStyle w:val="25"/>
              <w:snapToGrid w:val="0"/>
              <w:spacing w:before="295" w:after="295"/>
              <w:jc w:val="center"/>
              <w:rPr>
                <w:rFonts w:hint="eastAsia" w:hAnsi="宋体"/>
                <w:kern w:val="2"/>
                <w:sz w:val="24"/>
                <w:szCs w:val="24"/>
              </w:rPr>
            </w:pPr>
            <w:r>
              <w:rPr>
                <w:rFonts w:hint="eastAsia" w:hAnsi="宋体"/>
                <w:kern w:val="2"/>
                <w:sz w:val="24"/>
                <w:szCs w:val="24"/>
              </w:rPr>
              <w:t xml:space="preserve"> </w:t>
            </w:r>
            <w:r>
              <w:rPr>
                <w:rFonts w:hint="eastAsia" w:hAnsi="宋体"/>
                <w:kern w:val="2"/>
                <w:sz w:val="24"/>
                <w:szCs w:val="24"/>
                <w:u w:val="single"/>
              </w:rPr>
              <w:t xml:space="preserve">           </w:t>
            </w:r>
            <w:r>
              <w:rPr>
                <w:rFonts w:hint="eastAsia" w:hAnsi="宋体"/>
                <w:kern w:val="2"/>
                <w:sz w:val="24"/>
                <w:szCs w:val="24"/>
              </w:rPr>
              <w:t>%</w:t>
            </w:r>
          </w:p>
        </w:tc>
      </w:tr>
      <w:tr w14:paraId="71D08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457C44E">
            <w:pPr>
              <w:pStyle w:val="25"/>
              <w:snapToGrid w:val="0"/>
              <w:spacing w:before="295" w:after="295"/>
              <w:jc w:val="center"/>
              <w:rPr>
                <w:rFonts w:hint="eastAsia" w:hAnsi="宋体"/>
                <w:kern w:val="2"/>
                <w:sz w:val="24"/>
                <w:szCs w:val="24"/>
              </w:rPr>
            </w:pPr>
            <w:r>
              <w:rPr>
                <w:rFonts w:hint="eastAsia" w:hAnsi="宋体"/>
                <w:kern w:val="2"/>
                <w:sz w:val="24"/>
                <w:szCs w:val="24"/>
              </w:rPr>
              <w:t>2</w:t>
            </w:r>
          </w:p>
        </w:tc>
        <w:tc>
          <w:tcPr>
            <w:tcW w:w="2700" w:type="dxa"/>
            <w:tcBorders>
              <w:top w:val="single" w:color="auto" w:sz="6" w:space="0"/>
              <w:left w:val="single" w:color="auto" w:sz="2" w:space="0"/>
              <w:bottom w:val="single" w:color="auto" w:sz="6" w:space="0"/>
              <w:right w:val="single" w:color="auto" w:sz="4" w:space="0"/>
            </w:tcBorders>
            <w:vAlign w:val="center"/>
          </w:tcPr>
          <w:p w14:paraId="162CBD1D">
            <w:pPr>
              <w:pStyle w:val="25"/>
              <w:snapToGrid w:val="0"/>
              <w:spacing w:before="295" w:after="295"/>
              <w:jc w:val="center"/>
              <w:rPr>
                <w:rFonts w:hint="eastAsia" w:hAnsi="宋体"/>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5DDB8D3A">
            <w:pPr>
              <w:pStyle w:val="25"/>
              <w:snapToGrid w:val="0"/>
              <w:spacing w:before="295" w:after="295"/>
              <w:jc w:val="center"/>
              <w:rPr>
                <w:rFonts w:hint="eastAsia" w:hAnsi="宋体"/>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2F52F1B">
            <w:pPr>
              <w:pStyle w:val="25"/>
              <w:snapToGrid w:val="0"/>
              <w:spacing w:before="295" w:after="295"/>
              <w:jc w:val="center"/>
              <w:rPr>
                <w:rFonts w:hint="eastAsia" w:hAnsi="宋体"/>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6C70EA53">
            <w:pPr>
              <w:pStyle w:val="25"/>
              <w:snapToGrid w:val="0"/>
              <w:spacing w:before="295" w:after="295"/>
              <w:jc w:val="center"/>
              <w:rPr>
                <w:rFonts w:hint="eastAsia" w:hAnsi="宋体"/>
                <w:kern w:val="2"/>
                <w:sz w:val="24"/>
                <w:szCs w:val="24"/>
              </w:rPr>
            </w:pPr>
            <w:r>
              <w:rPr>
                <w:rFonts w:hint="eastAsia" w:hAnsi="宋体"/>
                <w:kern w:val="2"/>
                <w:sz w:val="24"/>
                <w:szCs w:val="24"/>
              </w:rPr>
              <w:t xml:space="preserve"> </w:t>
            </w:r>
            <w:r>
              <w:rPr>
                <w:rFonts w:hint="eastAsia" w:hAnsi="宋体"/>
                <w:kern w:val="2"/>
                <w:sz w:val="24"/>
                <w:szCs w:val="24"/>
                <w:u w:val="single"/>
              </w:rPr>
              <w:t xml:space="preserve">           </w:t>
            </w:r>
            <w:r>
              <w:rPr>
                <w:rFonts w:hint="eastAsia" w:hAnsi="宋体"/>
                <w:kern w:val="2"/>
                <w:sz w:val="24"/>
                <w:szCs w:val="24"/>
              </w:rPr>
              <w:t>%</w:t>
            </w:r>
          </w:p>
        </w:tc>
      </w:tr>
      <w:tr w14:paraId="7EF8F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9617F1F">
            <w:pPr>
              <w:pStyle w:val="25"/>
              <w:snapToGrid w:val="0"/>
              <w:spacing w:before="295" w:after="295"/>
              <w:jc w:val="center"/>
              <w:rPr>
                <w:rFonts w:hint="eastAsia" w:hAnsi="宋体"/>
                <w:kern w:val="2"/>
                <w:sz w:val="24"/>
                <w:szCs w:val="24"/>
              </w:rPr>
            </w:pPr>
            <w:r>
              <w:rPr>
                <w:rFonts w:hint="eastAsia" w:hAnsi="宋体"/>
                <w:kern w:val="2"/>
                <w:sz w:val="24"/>
                <w:szCs w:val="24"/>
              </w:rPr>
              <w:t>3</w:t>
            </w:r>
          </w:p>
        </w:tc>
        <w:tc>
          <w:tcPr>
            <w:tcW w:w="2700" w:type="dxa"/>
            <w:tcBorders>
              <w:top w:val="single" w:color="auto" w:sz="6" w:space="0"/>
              <w:left w:val="single" w:color="auto" w:sz="2" w:space="0"/>
              <w:bottom w:val="single" w:color="auto" w:sz="6" w:space="0"/>
              <w:right w:val="single" w:color="auto" w:sz="4" w:space="0"/>
            </w:tcBorders>
            <w:vAlign w:val="center"/>
          </w:tcPr>
          <w:p w14:paraId="27944273">
            <w:pPr>
              <w:pStyle w:val="25"/>
              <w:snapToGrid w:val="0"/>
              <w:spacing w:before="295" w:after="295"/>
              <w:jc w:val="center"/>
              <w:rPr>
                <w:rFonts w:hint="eastAsia" w:hAnsi="宋体"/>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6E7F303A">
            <w:pPr>
              <w:pStyle w:val="25"/>
              <w:snapToGrid w:val="0"/>
              <w:spacing w:before="295" w:after="295"/>
              <w:jc w:val="center"/>
              <w:rPr>
                <w:rFonts w:hint="eastAsia" w:hAnsi="宋体"/>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63E410A">
            <w:pPr>
              <w:pStyle w:val="25"/>
              <w:snapToGrid w:val="0"/>
              <w:spacing w:before="295" w:after="295"/>
              <w:jc w:val="center"/>
              <w:rPr>
                <w:rFonts w:hint="eastAsia" w:hAnsi="宋体"/>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79841AD1">
            <w:pPr>
              <w:pStyle w:val="25"/>
              <w:snapToGrid w:val="0"/>
              <w:spacing w:before="295" w:after="295"/>
              <w:jc w:val="center"/>
              <w:rPr>
                <w:rFonts w:hint="eastAsia" w:hAnsi="宋体"/>
                <w:kern w:val="2"/>
                <w:sz w:val="24"/>
                <w:szCs w:val="24"/>
              </w:rPr>
            </w:pPr>
            <w:r>
              <w:rPr>
                <w:rFonts w:hint="eastAsia" w:hAnsi="宋体"/>
                <w:kern w:val="2"/>
                <w:sz w:val="24"/>
                <w:szCs w:val="24"/>
              </w:rPr>
              <w:t xml:space="preserve"> </w:t>
            </w:r>
            <w:r>
              <w:rPr>
                <w:rFonts w:hint="eastAsia" w:hAnsi="宋体"/>
                <w:kern w:val="2"/>
                <w:sz w:val="24"/>
                <w:szCs w:val="24"/>
                <w:u w:val="single"/>
              </w:rPr>
              <w:t xml:space="preserve">           </w:t>
            </w:r>
            <w:r>
              <w:rPr>
                <w:rFonts w:hint="eastAsia" w:hAnsi="宋体"/>
                <w:kern w:val="2"/>
                <w:sz w:val="24"/>
                <w:szCs w:val="24"/>
              </w:rPr>
              <w:t>%</w:t>
            </w:r>
          </w:p>
        </w:tc>
      </w:tr>
    </w:tbl>
    <w:p w14:paraId="1C4D9BB8">
      <w:pPr>
        <w:spacing w:line="360" w:lineRule="auto"/>
        <w:contextualSpacing/>
        <w:rPr>
          <w:rFonts w:hint="eastAsia" w:ascii="宋体" w:hAnsi="宋体"/>
          <w:sz w:val="24"/>
        </w:rPr>
      </w:pPr>
    </w:p>
    <w:p w14:paraId="5CFD476C">
      <w:pPr>
        <w:spacing w:line="360" w:lineRule="auto"/>
        <w:contextualSpacing/>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7446DF69">
      <w:pPr>
        <w:spacing w:line="360" w:lineRule="auto"/>
        <w:contextualSpacing/>
        <w:jc w:val="left"/>
        <w:rPr>
          <w:rFonts w:hint="eastAsia"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4D0039B5">
      <w:pPr>
        <w:spacing w:line="360" w:lineRule="auto"/>
        <w:contextualSpacing/>
        <w:jc w:val="left"/>
        <w:rPr>
          <w:rFonts w:hint="eastAsia"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39FB5DBF">
      <w:pPr>
        <w:snapToGrid w:val="0"/>
        <w:spacing w:before="50" w:after="120" w:afterLines="50"/>
        <w:jc w:val="left"/>
        <w:rPr>
          <w:rFonts w:hint="eastAsia" w:ascii="宋体" w:hAnsi="宋体"/>
          <w:sz w:val="24"/>
          <w:szCs w:val="20"/>
        </w:rPr>
      </w:pPr>
    </w:p>
    <w:p w14:paraId="1B12D6A9">
      <w:pPr>
        <w:rPr>
          <w:b/>
          <w:sz w:val="28"/>
          <w:szCs w:val="28"/>
        </w:rPr>
      </w:pPr>
      <w:r>
        <w:rPr>
          <w:rFonts w:ascii="宋体" w:hAnsi="宋体"/>
          <w:b/>
          <w:bCs/>
          <w:sz w:val="24"/>
        </w:rPr>
        <w:br w:type="page"/>
      </w:r>
      <w:r>
        <w:rPr>
          <w:rFonts w:hint="eastAsia"/>
          <w:b/>
          <w:sz w:val="28"/>
          <w:szCs w:val="28"/>
        </w:rPr>
        <w:t>四、其他文书、文件格式</w:t>
      </w:r>
    </w:p>
    <w:p w14:paraId="3396D3BC">
      <w:pPr>
        <w:snapToGrid w:val="0"/>
        <w:spacing w:before="120" w:beforeLines="50" w:after="50"/>
        <w:ind w:left="142"/>
        <w:jc w:val="left"/>
        <w:rPr>
          <w:rFonts w:hint="eastAsia" w:ascii="宋体" w:hAnsi="宋体"/>
          <w:b/>
          <w:spacing w:val="20"/>
          <w:sz w:val="24"/>
        </w:rPr>
      </w:pPr>
      <w:r>
        <w:rPr>
          <w:rFonts w:hint="eastAsia" w:ascii="宋体" w:hAnsi="宋体"/>
          <w:b/>
          <w:spacing w:val="20"/>
          <w:sz w:val="24"/>
        </w:rPr>
        <w:t>1.联合投标协议书格式</w:t>
      </w:r>
    </w:p>
    <w:p w14:paraId="5B37139F">
      <w:pPr>
        <w:pStyle w:val="7"/>
        <w:overflowPunct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联合体协议书</w:t>
      </w:r>
    </w:p>
    <w:p w14:paraId="1C952308">
      <w:pPr>
        <w:pStyle w:val="7"/>
        <w:overflowPunct w:val="0"/>
        <w:rPr>
          <w:rFonts w:hint="eastAsia" w:ascii="宋体" w:hAnsi="宋体"/>
          <w:sz w:val="24"/>
        </w:rPr>
      </w:pPr>
    </w:p>
    <w:p w14:paraId="02AC0B91">
      <w:pPr>
        <w:pStyle w:val="7"/>
        <w:overflowPunct w:val="0"/>
        <w:spacing w:line="360" w:lineRule="auto"/>
        <w:contextualSpacing/>
        <w:rPr>
          <w:rFonts w:hint="eastAsia" w:ascii="宋体" w:hAnsi="宋体"/>
          <w:sz w:val="24"/>
        </w:rPr>
      </w:pPr>
      <w:r>
        <w:rPr>
          <w:rFonts w:ascii="宋体" w:hAnsi="宋体"/>
          <w:sz w:val="24"/>
          <w:u w:val="single"/>
        </w:rPr>
        <w:t xml:space="preserve"> </w:t>
      </w:r>
      <w:r>
        <w:rPr>
          <w:rFonts w:ascii="宋体" w:hAnsi="宋体"/>
          <w:sz w:val="24"/>
          <w:u w:val="single"/>
        </w:rPr>
        <w:tab/>
      </w:r>
      <w:r>
        <w:rPr>
          <w:rFonts w:hint="eastAsia" w:ascii="宋体" w:hAnsi="宋体"/>
          <w:sz w:val="24"/>
        </w:rPr>
        <w:t>（所有成员单位名称）自愿组成</w:t>
      </w:r>
      <w:r>
        <w:rPr>
          <w:rFonts w:ascii="宋体" w:hAnsi="宋体"/>
          <w:sz w:val="24"/>
          <w:u w:val="single"/>
        </w:rPr>
        <w:t xml:space="preserve"> </w:t>
      </w:r>
      <w:r>
        <w:rPr>
          <w:rFonts w:ascii="宋体" w:hAnsi="宋体"/>
          <w:sz w:val="24"/>
          <w:u w:val="single"/>
        </w:rPr>
        <w:tab/>
      </w:r>
      <w:r>
        <w:rPr>
          <w:rFonts w:hint="eastAsia" w:ascii="宋体" w:hAnsi="宋体"/>
          <w:sz w:val="24"/>
        </w:rPr>
        <w:t>（联合体名称）联合体，共同参加</w:t>
      </w:r>
      <w:r>
        <w:rPr>
          <w:rFonts w:ascii="宋体" w:hAnsi="宋体"/>
          <w:sz w:val="24"/>
          <w:u w:val="single"/>
        </w:rPr>
        <w:t xml:space="preserve"> </w:t>
      </w:r>
      <w:r>
        <w:rPr>
          <w:rFonts w:ascii="宋体" w:hAnsi="宋体"/>
          <w:sz w:val="24"/>
          <w:u w:val="single"/>
        </w:rPr>
        <w:tab/>
      </w:r>
      <w:r>
        <w:rPr>
          <w:rFonts w:hint="eastAsia" w:ascii="宋体" w:hAnsi="宋体"/>
          <w:sz w:val="24"/>
          <w:u w:val="single"/>
        </w:rPr>
        <w:t>（项目名称）</w:t>
      </w:r>
      <w:r>
        <w:rPr>
          <w:rFonts w:hint="eastAsia" w:ascii="宋体" w:hAnsi="宋体"/>
          <w:sz w:val="24"/>
        </w:rPr>
        <w:t>采购招标项目投标。现就联合体投标事宜订立如下协议。</w:t>
      </w:r>
    </w:p>
    <w:p w14:paraId="25420E69">
      <w:pPr>
        <w:pStyle w:val="7"/>
        <w:overflowPunct w:val="0"/>
        <w:spacing w:line="360" w:lineRule="auto"/>
        <w:ind w:firstLineChars="175"/>
        <w:contextualSpacing/>
        <w:rPr>
          <w:rFonts w:hint="eastAsia" w:ascii="宋体" w:hAnsi="宋体"/>
          <w:sz w:val="24"/>
        </w:rPr>
      </w:pPr>
      <w:r>
        <w:rPr>
          <w:rFonts w:ascii="宋体" w:hAnsi="宋体"/>
          <w:sz w:val="24"/>
        </w:rPr>
        <w:t xml:space="preserve">1.  </w:t>
      </w:r>
      <w:r>
        <w:rPr>
          <w:rFonts w:ascii="宋体" w:hAnsi="宋体"/>
          <w:sz w:val="24"/>
          <w:u w:val="single"/>
        </w:rPr>
        <w:t xml:space="preserve"> </w:t>
      </w:r>
      <w:r>
        <w:rPr>
          <w:rFonts w:ascii="宋体" w:hAnsi="宋体"/>
          <w:sz w:val="24"/>
          <w:u w:val="single"/>
        </w:rPr>
        <w:tab/>
      </w:r>
      <w:r>
        <w:rPr>
          <w:rFonts w:hint="eastAsia" w:ascii="宋体" w:hAnsi="宋体"/>
          <w:sz w:val="24"/>
        </w:rPr>
        <w:t>（某成员单位名称）为</w:t>
      </w:r>
      <w:r>
        <w:rPr>
          <w:rFonts w:ascii="宋体" w:hAnsi="宋体"/>
          <w:sz w:val="24"/>
          <w:u w:val="single"/>
        </w:rPr>
        <w:t xml:space="preserve"> </w:t>
      </w:r>
      <w:r>
        <w:rPr>
          <w:rFonts w:ascii="宋体" w:hAnsi="宋体"/>
          <w:sz w:val="24"/>
          <w:u w:val="single"/>
        </w:rPr>
        <w:tab/>
      </w:r>
      <w:r>
        <w:rPr>
          <w:rFonts w:hint="eastAsia" w:ascii="宋体" w:hAnsi="宋体"/>
          <w:sz w:val="24"/>
        </w:rPr>
        <w:t>（联合体名称）牵头人。</w:t>
      </w:r>
    </w:p>
    <w:p w14:paraId="4326AC78">
      <w:pPr>
        <w:pStyle w:val="7"/>
        <w:overflowPunct w:val="0"/>
        <w:spacing w:line="360" w:lineRule="auto"/>
        <w:ind w:firstLineChars="175"/>
        <w:contextualSpacing/>
        <w:rPr>
          <w:rFonts w:hint="eastAsia" w:ascii="宋体" w:hAnsi="宋体"/>
          <w:sz w:val="24"/>
        </w:rPr>
      </w:pPr>
      <w:r>
        <w:rPr>
          <w:rFonts w:ascii="宋体" w:hAnsi="宋体"/>
          <w:sz w:val="24"/>
        </w:rPr>
        <w:t>2.</w:t>
      </w:r>
      <w:r>
        <w:rPr>
          <w:rFonts w:hint="eastAsia" w:ascii="宋体" w:hAnsi="宋体"/>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5FBF4AFF">
      <w:pPr>
        <w:pStyle w:val="7"/>
        <w:overflowPunct w:val="0"/>
        <w:spacing w:line="360" w:lineRule="auto"/>
        <w:ind w:firstLineChars="175"/>
        <w:contextualSpacing/>
        <w:rPr>
          <w:rFonts w:hint="eastAsia" w:ascii="宋体" w:hAnsi="宋体"/>
          <w:sz w:val="24"/>
        </w:rPr>
      </w:pPr>
      <w:r>
        <w:rPr>
          <w:rFonts w:ascii="宋体" w:hAnsi="宋体"/>
          <w:sz w:val="24"/>
        </w:rPr>
        <w:t>3.</w:t>
      </w:r>
      <w:r>
        <w:rPr>
          <w:rFonts w:hint="eastAsia" w:ascii="宋体" w:hAnsi="宋体"/>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312868CC">
      <w:pPr>
        <w:pStyle w:val="7"/>
        <w:overflowPunct w:val="0"/>
        <w:spacing w:line="360" w:lineRule="auto"/>
        <w:ind w:firstLineChars="175"/>
        <w:contextualSpacing/>
        <w:rPr>
          <w:rFonts w:hint="eastAsia" w:ascii="宋体" w:hAnsi="宋体"/>
          <w:sz w:val="24"/>
        </w:rPr>
      </w:pPr>
      <w:r>
        <w:rPr>
          <w:rFonts w:ascii="宋体" w:hAnsi="宋体"/>
          <w:sz w:val="24"/>
        </w:rPr>
        <w:t>4.</w:t>
      </w:r>
      <w:r>
        <w:rPr>
          <w:rFonts w:hint="eastAsia" w:ascii="宋体" w:hAnsi="宋体"/>
          <w:sz w:val="24"/>
        </w:rPr>
        <w:t>联合体各成员单位内部的职责分工如下：</w:t>
      </w:r>
      <w:r>
        <w:rPr>
          <w:rFonts w:ascii="宋体" w:hAnsi="宋体"/>
          <w:sz w:val="24"/>
          <w:u w:val="single"/>
        </w:rPr>
        <w:t xml:space="preserve"> </w:t>
      </w:r>
      <w:r>
        <w:rPr>
          <w:rFonts w:ascii="宋体" w:hAnsi="宋体"/>
          <w:sz w:val="24"/>
          <w:u w:val="single"/>
        </w:rPr>
        <w:tab/>
      </w:r>
      <w:r>
        <w:rPr>
          <w:rFonts w:hint="eastAsia" w:ascii="宋体" w:hAnsi="宋体"/>
          <w:sz w:val="24"/>
        </w:rPr>
        <w:t>。</w:t>
      </w:r>
    </w:p>
    <w:p w14:paraId="0CE8623F">
      <w:pPr>
        <w:pStyle w:val="7"/>
        <w:overflowPunct w:val="0"/>
        <w:spacing w:line="360" w:lineRule="auto"/>
        <w:ind w:firstLineChars="175"/>
        <w:contextualSpacing/>
        <w:rPr>
          <w:rFonts w:hint="eastAsia" w:ascii="宋体" w:hAnsi="宋体"/>
          <w:sz w:val="24"/>
        </w:rPr>
      </w:pPr>
      <w:r>
        <w:rPr>
          <w:rFonts w:ascii="宋体" w:hAnsi="宋体"/>
          <w:sz w:val="24"/>
        </w:rPr>
        <w:t>5.</w:t>
      </w:r>
      <w:r>
        <w:rPr>
          <w:rFonts w:hint="eastAsia" w:ascii="宋体" w:hAnsi="宋体"/>
          <w:sz w:val="24"/>
        </w:rPr>
        <w:t>本协议书自所有成员单位法定代表人或者其委托代理人签字（或者电子签名）或者盖公章之日起生效，合同履行完毕后自动失效。</w:t>
      </w:r>
    </w:p>
    <w:p w14:paraId="2957640D">
      <w:pPr>
        <w:pStyle w:val="7"/>
        <w:overflowPunct w:val="0"/>
        <w:spacing w:line="360" w:lineRule="auto"/>
        <w:ind w:firstLineChars="175"/>
        <w:contextualSpacing/>
        <w:rPr>
          <w:rFonts w:hint="eastAsia" w:ascii="宋体" w:hAnsi="宋体"/>
          <w:sz w:val="24"/>
        </w:rPr>
      </w:pPr>
      <w:r>
        <w:rPr>
          <w:rFonts w:ascii="宋体" w:hAnsi="宋体"/>
          <w:sz w:val="24"/>
        </w:rPr>
        <w:t>6.</w:t>
      </w:r>
      <w:r>
        <w:rPr>
          <w:rFonts w:hint="eastAsia" w:ascii="宋体" w:hAnsi="宋体"/>
          <w:sz w:val="24"/>
        </w:rPr>
        <w:t>本协议书一式</w:t>
      </w:r>
      <w:r>
        <w:rPr>
          <w:rFonts w:ascii="宋体" w:hAnsi="宋体"/>
          <w:sz w:val="24"/>
          <w:u w:val="single"/>
        </w:rPr>
        <w:t xml:space="preserve"> </w:t>
      </w:r>
      <w:r>
        <w:rPr>
          <w:rFonts w:ascii="宋体" w:hAnsi="宋体"/>
          <w:sz w:val="24"/>
          <w:u w:val="single"/>
        </w:rPr>
        <w:tab/>
      </w:r>
      <w:r>
        <w:rPr>
          <w:rFonts w:hint="eastAsia" w:ascii="宋体" w:hAnsi="宋体"/>
          <w:sz w:val="24"/>
        </w:rPr>
        <w:t>份，联合体成员和招标人各执一份。</w:t>
      </w:r>
    </w:p>
    <w:p w14:paraId="57DF3FC6">
      <w:pPr>
        <w:pStyle w:val="7"/>
        <w:overflowPunct w:val="0"/>
        <w:spacing w:line="360" w:lineRule="auto"/>
        <w:ind w:firstLineChars="175"/>
        <w:contextualSpacing/>
        <w:rPr>
          <w:rFonts w:hint="eastAsia" w:ascii="宋体" w:hAnsi="宋体"/>
          <w:sz w:val="24"/>
        </w:rPr>
      </w:pPr>
      <w:r>
        <w:rPr>
          <w:rFonts w:hint="eastAsia" w:ascii="宋体" w:hAnsi="宋体"/>
          <w:sz w:val="24"/>
        </w:rPr>
        <w:t>注：本协议书应附法定代表人身份证明；有委托代理的，应附授权委托书</w:t>
      </w:r>
      <w:r>
        <w:rPr>
          <w:rFonts w:hint="eastAsia" w:ascii="宋体" w:hAnsi="宋体" w:cs="仿宋_GB2312"/>
          <w:sz w:val="24"/>
        </w:rPr>
        <w:t>（格式自拟）</w:t>
      </w:r>
      <w:r>
        <w:rPr>
          <w:rFonts w:hint="eastAsia" w:ascii="宋体" w:hAnsi="宋体"/>
          <w:sz w:val="24"/>
        </w:rPr>
        <w:t>。</w:t>
      </w:r>
    </w:p>
    <w:p w14:paraId="7EC37ABE">
      <w:pPr>
        <w:pStyle w:val="7"/>
        <w:overflowPunct w:val="0"/>
        <w:spacing w:line="360" w:lineRule="auto"/>
        <w:ind w:firstLineChars="175"/>
        <w:contextualSpacing/>
        <w:rPr>
          <w:rFonts w:hint="eastAsia" w:ascii="宋体" w:hAnsi="宋体"/>
          <w:sz w:val="24"/>
        </w:rPr>
      </w:pPr>
    </w:p>
    <w:p w14:paraId="1BD6EC05">
      <w:pPr>
        <w:pStyle w:val="7"/>
        <w:overflowPunct w:val="0"/>
        <w:spacing w:line="360" w:lineRule="auto"/>
        <w:ind w:firstLineChars="175"/>
        <w:contextualSpacing/>
        <w:rPr>
          <w:rFonts w:hint="eastAsia" w:ascii="宋体" w:hAnsi="宋体"/>
          <w:sz w:val="24"/>
        </w:rPr>
      </w:pPr>
      <w:r>
        <w:rPr>
          <w:rFonts w:hint="eastAsia" w:ascii="宋体" w:hAnsi="宋体"/>
          <w:sz w:val="24"/>
        </w:rPr>
        <w:t>联合体牵头人名称（电子签章）：</w:t>
      </w:r>
    </w:p>
    <w:p w14:paraId="2DD46084">
      <w:pPr>
        <w:pStyle w:val="7"/>
        <w:overflowPunct w:val="0"/>
        <w:spacing w:line="360" w:lineRule="auto"/>
        <w:ind w:firstLineChars="175"/>
        <w:contextualSpacing/>
        <w:rPr>
          <w:rFonts w:hint="eastAsia" w:ascii="宋体" w:hAnsi="宋体"/>
          <w:sz w:val="24"/>
        </w:rPr>
      </w:pPr>
      <w:r>
        <w:rPr>
          <w:rFonts w:hint="eastAsia" w:ascii="宋体" w:hAnsi="宋体"/>
          <w:sz w:val="24"/>
        </w:rPr>
        <w:t>法定代表人或者其委托代理人：</w:t>
      </w:r>
      <w:r>
        <w:rPr>
          <w:rFonts w:ascii="宋体" w:hAnsi="宋体"/>
          <w:sz w:val="24"/>
        </w:rPr>
        <w:t xml:space="preserve"> </w:t>
      </w:r>
      <w:r>
        <w:rPr>
          <w:rFonts w:ascii="宋体" w:hAnsi="宋体"/>
          <w:sz w:val="24"/>
        </w:rPr>
        <w:tab/>
      </w:r>
      <w:r>
        <w:rPr>
          <w:rFonts w:hint="eastAsia" w:ascii="宋体" w:hAnsi="宋体"/>
          <w:sz w:val="24"/>
        </w:rPr>
        <w:t>（签字或者电子签名）</w:t>
      </w:r>
    </w:p>
    <w:p w14:paraId="0E1A391A">
      <w:pPr>
        <w:pStyle w:val="7"/>
        <w:overflowPunct w:val="0"/>
        <w:spacing w:line="360" w:lineRule="auto"/>
        <w:ind w:firstLineChars="175"/>
        <w:contextualSpacing/>
        <w:rPr>
          <w:rFonts w:hint="eastAsia" w:ascii="宋体" w:hAnsi="宋体"/>
          <w:sz w:val="24"/>
        </w:rPr>
      </w:pPr>
    </w:p>
    <w:p w14:paraId="4091B498">
      <w:pPr>
        <w:pStyle w:val="7"/>
        <w:overflowPunct w:val="0"/>
        <w:spacing w:line="360" w:lineRule="auto"/>
        <w:ind w:firstLineChars="175"/>
        <w:contextualSpacing/>
        <w:rPr>
          <w:rFonts w:hint="eastAsia" w:ascii="宋体" w:hAnsi="宋体"/>
          <w:sz w:val="24"/>
        </w:rPr>
      </w:pPr>
      <w:r>
        <w:rPr>
          <w:rFonts w:hint="eastAsia" w:ascii="宋体" w:hAnsi="宋体"/>
          <w:sz w:val="24"/>
        </w:rPr>
        <w:t>联合体成员名称（</w:t>
      </w:r>
      <w:r>
        <w:rPr>
          <w:rFonts w:hint="eastAsia" w:ascii="宋体" w:hAnsi="宋体" w:cs="仿宋_GB2312"/>
          <w:sz w:val="24"/>
        </w:rPr>
        <w:t>盖公章或者电子签章</w:t>
      </w:r>
      <w:r>
        <w:rPr>
          <w:rFonts w:hint="eastAsia" w:ascii="宋体" w:hAnsi="宋体"/>
          <w:sz w:val="24"/>
        </w:rPr>
        <w:t>）：</w:t>
      </w:r>
    </w:p>
    <w:p w14:paraId="2D5C9E57">
      <w:pPr>
        <w:pStyle w:val="7"/>
        <w:overflowPunct w:val="0"/>
        <w:spacing w:line="360" w:lineRule="auto"/>
        <w:ind w:firstLineChars="175"/>
        <w:contextualSpacing/>
        <w:rPr>
          <w:rFonts w:hint="eastAsia" w:ascii="宋体" w:hAnsi="宋体"/>
          <w:sz w:val="24"/>
        </w:rPr>
      </w:pPr>
      <w:r>
        <w:rPr>
          <w:rFonts w:hint="eastAsia" w:ascii="宋体" w:hAnsi="宋体"/>
          <w:sz w:val="24"/>
        </w:rPr>
        <w:t>法定代表人或者其委托代理人：</w:t>
      </w:r>
      <w:r>
        <w:rPr>
          <w:rFonts w:ascii="宋体" w:hAnsi="宋体"/>
          <w:sz w:val="24"/>
        </w:rPr>
        <w:t xml:space="preserve"> </w:t>
      </w:r>
      <w:r>
        <w:rPr>
          <w:rFonts w:ascii="宋体" w:hAnsi="宋体"/>
          <w:sz w:val="24"/>
        </w:rPr>
        <w:tab/>
      </w:r>
      <w:r>
        <w:rPr>
          <w:rFonts w:hint="eastAsia" w:ascii="宋体" w:hAnsi="宋体"/>
          <w:sz w:val="24"/>
        </w:rPr>
        <w:t>（签字或者电子签名）</w:t>
      </w:r>
    </w:p>
    <w:p w14:paraId="097D4744">
      <w:pPr>
        <w:pStyle w:val="7"/>
        <w:overflowPunct w:val="0"/>
        <w:spacing w:line="360" w:lineRule="auto"/>
        <w:ind w:firstLineChars="175"/>
        <w:contextualSpacing/>
        <w:rPr>
          <w:rFonts w:hint="eastAsia" w:ascii="宋体" w:hAnsi="宋体"/>
          <w:sz w:val="24"/>
        </w:rPr>
      </w:pPr>
      <w:r>
        <w:rPr>
          <w:rFonts w:ascii="宋体" w:hAnsi="宋体"/>
          <w:sz w:val="24"/>
        </w:rPr>
        <w:t>……</w:t>
      </w:r>
    </w:p>
    <w:p w14:paraId="1D3BDD1F">
      <w:pPr>
        <w:pStyle w:val="7"/>
        <w:overflowPunct w:val="0"/>
        <w:spacing w:line="360" w:lineRule="auto"/>
        <w:ind w:firstLineChars="175"/>
        <w:contextualSpacing/>
        <w:rPr>
          <w:rFonts w:hint="eastAsia" w:ascii="宋体" w:hAnsi="宋体"/>
          <w:sz w:val="24"/>
        </w:rPr>
      </w:pPr>
    </w:p>
    <w:p w14:paraId="4532E0ED">
      <w:pPr>
        <w:pStyle w:val="7"/>
        <w:overflowPunct w:val="0"/>
        <w:spacing w:line="360" w:lineRule="auto"/>
        <w:ind w:firstLineChars="175"/>
        <w:contextualSpacing/>
        <w:jc w:val="right"/>
        <w:rPr>
          <w:rFonts w:hint="eastAsia" w:ascii="宋体" w:hAnsi="宋体"/>
          <w:b/>
          <w:sz w:val="24"/>
        </w:rPr>
      </w:pPr>
      <w:r>
        <w:rPr>
          <w:rFonts w:ascii="宋体" w:hAnsi="宋体"/>
          <w:sz w:val="24"/>
        </w:rPr>
        <w:t xml:space="preserve"> </w:t>
      </w:r>
      <w:r>
        <w:rPr>
          <w:rFonts w:ascii="宋体" w:hAnsi="宋体"/>
          <w:sz w:val="24"/>
        </w:rPr>
        <w:tab/>
      </w:r>
      <w:r>
        <w:rPr>
          <w:rFonts w:hint="eastAsia" w:ascii="宋体" w:hAnsi="宋体"/>
          <w:sz w:val="24"/>
        </w:rPr>
        <w:t>年</w:t>
      </w:r>
      <w:r>
        <w:rPr>
          <w:rFonts w:ascii="宋体" w:hAnsi="宋体"/>
          <w:sz w:val="24"/>
        </w:rPr>
        <w:t xml:space="preserve"> </w:t>
      </w:r>
      <w:r>
        <w:rPr>
          <w:rFonts w:ascii="宋体" w:hAnsi="宋体"/>
          <w:sz w:val="24"/>
        </w:rPr>
        <w:tab/>
      </w:r>
      <w:r>
        <w:rPr>
          <w:rFonts w:hint="eastAsia" w:ascii="宋体" w:hAnsi="宋体"/>
          <w:sz w:val="24"/>
        </w:rPr>
        <w:t>月</w:t>
      </w:r>
      <w:r>
        <w:rPr>
          <w:rFonts w:ascii="宋体" w:hAnsi="宋体"/>
          <w:sz w:val="24"/>
        </w:rPr>
        <w:t xml:space="preserve"> </w:t>
      </w:r>
      <w:r>
        <w:rPr>
          <w:rFonts w:ascii="宋体" w:hAnsi="宋体"/>
          <w:sz w:val="24"/>
        </w:rPr>
        <w:tab/>
      </w:r>
      <w:r>
        <w:rPr>
          <w:rFonts w:hint="eastAsia" w:ascii="宋体" w:hAnsi="宋体"/>
          <w:sz w:val="24"/>
        </w:rPr>
        <w:t>日</w:t>
      </w:r>
    </w:p>
    <w:p w14:paraId="4CBD15D1">
      <w:pPr>
        <w:snapToGrid w:val="0"/>
        <w:spacing w:before="120" w:beforeLines="50" w:after="50"/>
        <w:jc w:val="left"/>
        <w:rPr>
          <w:rFonts w:hint="eastAsia" w:ascii="宋体" w:hAnsi="宋体"/>
          <w:b/>
          <w:sz w:val="24"/>
        </w:rPr>
      </w:pPr>
      <w:r>
        <w:rPr>
          <w:rFonts w:hint="eastAsia" w:ascii="宋体" w:hAnsi="宋体"/>
          <w:b/>
          <w:sz w:val="24"/>
        </w:rPr>
        <w:t xml:space="preserve"> </w:t>
      </w:r>
    </w:p>
    <w:p w14:paraId="403E9A7F">
      <w:pPr>
        <w:snapToGrid w:val="0"/>
        <w:spacing w:before="120" w:beforeLines="50" w:after="50"/>
        <w:jc w:val="left"/>
      </w:pPr>
      <w:r>
        <w:rPr>
          <w:rFonts w:ascii="宋体" w:hAnsi="宋体"/>
          <w:b/>
          <w:sz w:val="24"/>
        </w:rPr>
        <w:br w:type="page"/>
      </w:r>
      <w:r>
        <w:rPr>
          <w:rFonts w:hint="eastAsia" w:ascii="宋体" w:hAnsi="宋体"/>
          <w:b/>
          <w:sz w:val="24"/>
        </w:rPr>
        <w:t>2.中小企业声明函格式</w:t>
      </w:r>
    </w:p>
    <w:p w14:paraId="07456572"/>
    <w:p w14:paraId="62B8B72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中小企业声明函（货物）</w:t>
      </w:r>
    </w:p>
    <w:p w14:paraId="140BC292">
      <w:pPr>
        <w:spacing w:before="2" w:line="500" w:lineRule="exact"/>
        <w:rPr>
          <w:rFonts w:hint="eastAsia" w:ascii="宋体" w:hAnsi="宋体" w:cs="宋体"/>
          <w:b/>
          <w:bCs/>
          <w:sz w:val="27"/>
          <w:szCs w:val="27"/>
        </w:rPr>
      </w:pPr>
    </w:p>
    <w:p w14:paraId="35EC008B">
      <w:pPr>
        <w:pStyle w:val="18"/>
        <w:spacing w:line="360" w:lineRule="auto"/>
        <w:ind w:left="-426" w:leftChars="-203" w:right="142" w:firstLine="480" w:firstLineChars="200"/>
        <w:contextualSpacing/>
        <w:rPr>
          <w:rFonts w:hint="eastAsia" w:ascii="宋体" w:hAnsi="宋体"/>
          <w:kern w:val="24"/>
        </w:rPr>
      </w:pPr>
      <w:r>
        <w:rPr>
          <w:rFonts w:ascii="宋体" w:hAnsi="宋体"/>
          <w:kern w:val="24"/>
        </w:rPr>
        <w:t>本公司（联合体）郑重声明，根据《政府采购促进中小企业发展管理办法》（财库﹝2020﹞46号）的规定，本公司（联合体）参加</w:t>
      </w:r>
      <w:r>
        <w:rPr>
          <w:rFonts w:ascii="宋体" w:hAnsi="宋体"/>
          <w:kern w:val="24"/>
          <w:u w:val="single"/>
        </w:rPr>
        <w:t>（单位名称）</w:t>
      </w:r>
      <w:r>
        <w:rPr>
          <w:rFonts w:ascii="宋体" w:hAnsi="宋体"/>
          <w:kern w:val="24"/>
        </w:rPr>
        <w:t>的</w:t>
      </w:r>
      <w:r>
        <w:rPr>
          <w:rFonts w:ascii="宋体" w:hAnsi="宋体"/>
          <w:kern w:val="24"/>
          <w:u w:val="single"/>
        </w:rPr>
        <w:t>（项目名称）</w:t>
      </w:r>
      <w:r>
        <w:rPr>
          <w:rFonts w:ascii="宋体" w:hAnsi="宋体"/>
          <w:kern w:val="24"/>
        </w:rPr>
        <w:t>采购活动，提供的货物全部由符合政策要求的中小企业制造。相关企业（含联合体中的中小企业、签订分包意向协议的中小企业）的具体情况如下：</w:t>
      </w:r>
    </w:p>
    <w:p w14:paraId="04745861">
      <w:pPr>
        <w:tabs>
          <w:tab w:val="left" w:pos="1384"/>
          <w:tab w:val="left" w:pos="4562"/>
          <w:tab w:val="left" w:pos="6803"/>
        </w:tabs>
        <w:spacing w:line="360" w:lineRule="auto"/>
        <w:ind w:left="-426" w:right="-58" w:firstLine="655"/>
        <w:contextualSpacing/>
        <w:rPr>
          <w:rFonts w:hint="eastAsia" w:ascii="宋体" w:hAnsi="宋体"/>
          <w:kern w:val="24"/>
          <w:sz w:val="24"/>
        </w:rPr>
      </w:pPr>
      <w:r>
        <w:rPr>
          <w:rFonts w:ascii="宋体" w:hAnsi="宋体"/>
          <w:kern w:val="24"/>
          <w:sz w:val="24"/>
        </w:rPr>
        <w:t>1.</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行业；制造商为</w:t>
      </w:r>
      <w:r>
        <w:rPr>
          <w:rFonts w:ascii="宋体" w:hAnsi="宋体"/>
          <w:kern w:val="24"/>
          <w:sz w:val="24"/>
          <w:u w:val="single"/>
        </w:rPr>
        <w:t>（企业名称）</w:t>
      </w:r>
      <w:r>
        <w:rPr>
          <w:rFonts w:ascii="宋体" w:hAnsi="宋体"/>
          <w:kern w:val="24"/>
          <w:sz w:val="24"/>
        </w:rPr>
        <w:t>，从业人员</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53729751">
      <w:pPr>
        <w:tabs>
          <w:tab w:val="left" w:pos="1065"/>
          <w:tab w:val="left" w:pos="6477"/>
        </w:tabs>
        <w:spacing w:line="360" w:lineRule="auto"/>
        <w:ind w:left="-426" w:right="-58" w:firstLine="655"/>
        <w:contextualSpacing/>
        <w:rPr>
          <w:rFonts w:hint="eastAsia" w:ascii="宋体" w:hAnsi="宋体"/>
          <w:kern w:val="24"/>
          <w:sz w:val="24"/>
        </w:rPr>
      </w:pPr>
      <w:r>
        <w:rPr>
          <w:rFonts w:ascii="宋体" w:hAnsi="宋体"/>
          <w:kern w:val="24"/>
          <w:sz w:val="24"/>
        </w:rPr>
        <w:t>2.</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行业；制造商为</w:t>
      </w:r>
      <w:r>
        <w:rPr>
          <w:rFonts w:ascii="宋体" w:hAnsi="宋体"/>
          <w:kern w:val="24"/>
          <w:sz w:val="24"/>
          <w:u w:val="single"/>
        </w:rPr>
        <w:t>（企业名称）</w:t>
      </w:r>
      <w:r>
        <w:rPr>
          <w:rFonts w:ascii="宋体" w:hAnsi="宋体"/>
          <w:kern w:val="24"/>
          <w:sz w:val="24"/>
        </w:rPr>
        <w:t>，从业人员</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7E0D91AF">
      <w:pPr>
        <w:pStyle w:val="18"/>
        <w:spacing w:line="360" w:lineRule="auto"/>
        <w:ind w:left="142" w:right="142"/>
        <w:contextualSpacing/>
        <w:rPr>
          <w:rFonts w:hint="eastAsia" w:ascii="宋体" w:hAnsi="宋体"/>
          <w:kern w:val="24"/>
        </w:rPr>
      </w:pPr>
      <w:r>
        <w:rPr>
          <w:rFonts w:ascii="宋体" w:hAnsi="宋体"/>
          <w:kern w:val="24"/>
        </w:rPr>
        <w:t xml:space="preserve">…… </w:t>
      </w:r>
    </w:p>
    <w:p w14:paraId="770EED7B">
      <w:pPr>
        <w:pStyle w:val="18"/>
        <w:spacing w:line="360" w:lineRule="auto"/>
        <w:ind w:left="-405" w:leftChars="-193" w:right="142" w:firstLine="453" w:firstLineChars="189"/>
        <w:contextualSpacing/>
        <w:rPr>
          <w:rFonts w:hint="eastAsia" w:ascii="宋体" w:hAnsi="宋体"/>
          <w:kern w:val="24"/>
        </w:rPr>
      </w:pPr>
      <w:r>
        <w:rPr>
          <w:rFonts w:ascii="宋体" w:hAnsi="宋体"/>
          <w:kern w:val="24"/>
        </w:rPr>
        <w:t>以上企业，不属于大企业的分支机构，不存在控股股东为大企业的情形，也不存在与大企业的负责人为同一人的情形。</w:t>
      </w:r>
    </w:p>
    <w:p w14:paraId="37A2DCB3">
      <w:pPr>
        <w:pStyle w:val="18"/>
        <w:spacing w:line="360" w:lineRule="auto"/>
        <w:ind w:left="-426" w:right="142" w:firstLine="567"/>
        <w:contextualSpacing/>
        <w:rPr>
          <w:rFonts w:hint="eastAsia" w:ascii="宋体" w:hAnsi="宋体"/>
          <w:kern w:val="24"/>
        </w:rPr>
      </w:pPr>
      <w:r>
        <w:rPr>
          <w:rFonts w:ascii="宋体" w:hAnsi="宋体"/>
          <w:kern w:val="24"/>
        </w:rPr>
        <w:t>本企业对上述声明内容的真实性负责。如有虚假，将依法承担相应责任。</w:t>
      </w:r>
    </w:p>
    <w:p w14:paraId="36C2DDA1">
      <w:pPr>
        <w:pStyle w:val="18"/>
        <w:spacing w:line="360" w:lineRule="auto"/>
        <w:ind w:left="3960" w:right="1808"/>
        <w:contextualSpacing/>
        <w:rPr>
          <w:rFonts w:hint="eastAsia" w:ascii="宋体" w:hAnsi="宋体"/>
          <w:kern w:val="24"/>
        </w:rPr>
      </w:pPr>
    </w:p>
    <w:p w14:paraId="652D40AB">
      <w:pPr>
        <w:pStyle w:val="18"/>
        <w:spacing w:line="360" w:lineRule="auto"/>
        <w:ind w:left="3960" w:right="1808"/>
        <w:contextualSpacing/>
        <w:rPr>
          <w:rFonts w:hint="eastAsia" w:ascii="宋体" w:hAnsi="宋体"/>
          <w:kern w:val="24"/>
        </w:rPr>
      </w:pPr>
      <w:r>
        <w:rPr>
          <w:rFonts w:ascii="宋体" w:hAnsi="宋体"/>
          <w:kern w:val="24"/>
        </w:rPr>
        <w:t>企业名称（</w:t>
      </w:r>
      <w:r>
        <w:rPr>
          <w:rFonts w:hint="eastAsia" w:ascii="宋体" w:hAnsi="宋体"/>
          <w:kern w:val="24"/>
        </w:rPr>
        <w:t>电子签章</w:t>
      </w:r>
      <w:r>
        <w:rPr>
          <w:rFonts w:ascii="宋体" w:hAnsi="宋体"/>
          <w:kern w:val="24"/>
        </w:rPr>
        <w:t xml:space="preserve">）： </w:t>
      </w:r>
    </w:p>
    <w:p w14:paraId="5B9714F7">
      <w:pPr>
        <w:pStyle w:val="18"/>
        <w:spacing w:line="360" w:lineRule="auto"/>
        <w:ind w:left="3960" w:right="1808"/>
        <w:contextualSpacing/>
        <w:rPr>
          <w:rFonts w:hint="eastAsia" w:ascii="宋体" w:hAnsi="宋体"/>
          <w:kern w:val="24"/>
        </w:rPr>
      </w:pPr>
      <w:r>
        <w:rPr>
          <w:rFonts w:ascii="宋体" w:hAnsi="宋体"/>
          <w:kern w:val="24"/>
        </w:rPr>
        <w:t>日</w:t>
      </w:r>
      <w:r>
        <w:rPr>
          <w:rFonts w:hint="eastAsia" w:ascii="宋体" w:hAnsi="宋体"/>
          <w:kern w:val="24"/>
        </w:rPr>
        <w:t xml:space="preserve"> </w:t>
      </w:r>
      <w:r>
        <w:rPr>
          <w:rFonts w:ascii="宋体" w:hAnsi="宋体"/>
          <w:kern w:val="24"/>
        </w:rPr>
        <w:t>期：</w:t>
      </w:r>
    </w:p>
    <w:p w14:paraId="4DBE13FA">
      <w:pPr>
        <w:pStyle w:val="18"/>
        <w:spacing w:line="360" w:lineRule="auto"/>
        <w:ind w:left="3960" w:right="1808"/>
        <w:contextualSpacing/>
        <w:rPr>
          <w:rFonts w:hint="eastAsia" w:ascii="宋体" w:hAnsi="宋体"/>
          <w:kern w:val="24"/>
        </w:rPr>
      </w:pPr>
    </w:p>
    <w:p w14:paraId="6AFD8D18">
      <w:pPr>
        <w:pStyle w:val="18"/>
        <w:spacing w:line="360" w:lineRule="auto"/>
        <w:ind w:left="3960" w:right="1808"/>
        <w:contextualSpacing/>
        <w:rPr>
          <w:rFonts w:hint="eastAsia" w:ascii="宋体" w:hAnsi="宋体"/>
          <w:kern w:val="24"/>
        </w:rPr>
      </w:pPr>
    </w:p>
    <w:p w14:paraId="0175F669">
      <w:pPr>
        <w:pStyle w:val="18"/>
        <w:spacing w:line="360" w:lineRule="auto"/>
        <w:ind w:left="-426" w:right="142" w:firstLine="567"/>
        <w:contextualSpacing/>
        <w:rPr>
          <w:rFonts w:hint="eastAsia" w:ascii="宋体" w:hAnsi="宋体"/>
          <w:kern w:val="24"/>
        </w:rPr>
      </w:pPr>
      <w:r>
        <w:rPr>
          <w:rFonts w:hint="eastAsia" w:ascii="宋体" w:hAnsi="宋体"/>
          <w:kern w:val="24"/>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7904080E">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3.残疾人福利性单位声明函格式</w:t>
      </w:r>
    </w:p>
    <w:p w14:paraId="004952E2">
      <w:pPr>
        <w:spacing w:line="588" w:lineRule="exact"/>
        <w:jc w:val="center"/>
        <w:rPr>
          <w:rFonts w:ascii="仿宋_GB2312" w:eastAsia="仿宋_GB2312"/>
          <w:b/>
          <w:spacing w:val="6"/>
          <w:sz w:val="32"/>
          <w:szCs w:val="32"/>
        </w:rPr>
      </w:pPr>
    </w:p>
    <w:p w14:paraId="07C2F025">
      <w:pPr>
        <w:spacing w:line="588" w:lineRule="exact"/>
        <w:jc w:val="center"/>
        <w:rPr>
          <w:rFonts w:hint="eastAsia"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残疾人福利性单位声明函</w:t>
      </w:r>
    </w:p>
    <w:p w14:paraId="0226DFCA">
      <w:pPr>
        <w:spacing w:line="360" w:lineRule="auto"/>
        <w:contextualSpacing/>
        <w:rPr>
          <w:rFonts w:ascii="仿宋_GB2312" w:eastAsia="仿宋_GB2312"/>
          <w:bCs/>
          <w:spacing w:val="6"/>
          <w:sz w:val="30"/>
          <w:szCs w:val="30"/>
        </w:rPr>
      </w:pPr>
    </w:p>
    <w:p w14:paraId="787A3E28">
      <w:pPr>
        <w:spacing w:line="360" w:lineRule="auto"/>
        <w:ind w:firstLine="504" w:firstLineChars="200"/>
        <w:contextualSpacing/>
        <w:rPr>
          <w:rFonts w:hint="eastAsia"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spacing w:val="-6"/>
          <w:sz w:val="24"/>
        </w:rPr>
        <w:t>疾人福利性单位制造的货物（不包括使用非残疾人福利性单位注册商标的货物）。</w:t>
      </w:r>
    </w:p>
    <w:p w14:paraId="7093D8F7">
      <w:pPr>
        <w:spacing w:line="360" w:lineRule="auto"/>
        <w:ind w:firstLine="504" w:firstLineChars="200"/>
        <w:contextualSpacing/>
        <w:rPr>
          <w:rFonts w:hint="eastAsia" w:ascii="宋体" w:hAnsi="宋体"/>
          <w:spacing w:val="6"/>
          <w:sz w:val="24"/>
        </w:rPr>
      </w:pPr>
      <w:r>
        <w:rPr>
          <w:rFonts w:hint="eastAsia" w:ascii="宋体" w:hAnsi="宋体"/>
          <w:spacing w:val="6"/>
          <w:sz w:val="24"/>
        </w:rPr>
        <w:t>本单位对上述声明的真实性负责。如有虚假，将依法承担相应责任。</w:t>
      </w:r>
    </w:p>
    <w:p w14:paraId="112D9228">
      <w:pPr>
        <w:spacing w:line="360" w:lineRule="auto"/>
        <w:ind w:firstLine="504" w:firstLineChars="200"/>
        <w:contextualSpacing/>
        <w:rPr>
          <w:rFonts w:hint="eastAsia" w:ascii="宋体" w:hAnsi="宋体"/>
          <w:spacing w:val="6"/>
          <w:sz w:val="24"/>
        </w:rPr>
      </w:pPr>
    </w:p>
    <w:p w14:paraId="605B950E">
      <w:pPr>
        <w:spacing w:line="360" w:lineRule="auto"/>
        <w:ind w:firstLine="504" w:firstLineChars="200"/>
        <w:contextualSpacing/>
        <w:rPr>
          <w:rFonts w:hint="eastAsia" w:ascii="宋体" w:hAnsi="宋体"/>
          <w:spacing w:val="6"/>
          <w:sz w:val="24"/>
        </w:rPr>
      </w:pPr>
    </w:p>
    <w:p w14:paraId="36A2E148">
      <w:pPr>
        <w:tabs>
          <w:tab w:val="left" w:pos="4860"/>
        </w:tabs>
        <w:spacing w:line="360" w:lineRule="auto"/>
        <w:ind w:right="1560" w:firstLine="504" w:firstLineChars="200"/>
        <w:contextualSpacing/>
        <w:jc w:val="center"/>
        <w:rPr>
          <w:rFonts w:hint="eastAsia" w:ascii="宋体" w:hAnsi="宋体"/>
          <w:spacing w:val="6"/>
          <w:sz w:val="24"/>
        </w:rPr>
      </w:pPr>
      <w:r>
        <w:rPr>
          <w:rFonts w:hint="eastAsia" w:ascii="宋体" w:hAnsi="宋体"/>
          <w:spacing w:val="6"/>
          <w:sz w:val="24"/>
        </w:rPr>
        <w:t>单位名称（电子签章）：</w:t>
      </w:r>
    </w:p>
    <w:p w14:paraId="09713FDF">
      <w:pPr>
        <w:tabs>
          <w:tab w:val="left" w:pos="4860"/>
        </w:tabs>
        <w:spacing w:line="360" w:lineRule="auto"/>
        <w:ind w:right="1560" w:firstLine="504" w:firstLineChars="200"/>
        <w:contextualSpacing/>
        <w:jc w:val="center"/>
        <w:rPr>
          <w:rFonts w:hint="eastAsia" w:ascii="宋体" w:hAnsi="宋体"/>
          <w:spacing w:val="6"/>
          <w:sz w:val="24"/>
        </w:rPr>
      </w:pPr>
      <w:r>
        <w:rPr>
          <w:rFonts w:hint="eastAsia" w:ascii="宋体" w:hAnsi="宋体"/>
          <w:spacing w:val="6"/>
          <w:sz w:val="24"/>
        </w:rPr>
        <w:t>日  期：</w:t>
      </w:r>
    </w:p>
    <w:p w14:paraId="1A963CF5">
      <w:pPr>
        <w:spacing w:line="360" w:lineRule="auto"/>
        <w:contextualSpacing/>
        <w:rPr>
          <w:rFonts w:hint="eastAsia" w:ascii="宋体" w:hAnsi="宋体"/>
          <w:sz w:val="24"/>
        </w:rPr>
      </w:pPr>
    </w:p>
    <w:p w14:paraId="2BA8E16E">
      <w:pPr>
        <w:spacing w:line="360" w:lineRule="auto"/>
        <w:contextualSpacing/>
        <w:rPr>
          <w:rFonts w:hint="eastAsia" w:ascii="宋体" w:hAnsi="宋体"/>
          <w:sz w:val="24"/>
        </w:rPr>
      </w:pPr>
    </w:p>
    <w:p w14:paraId="34BDDF51">
      <w:pPr>
        <w:spacing w:line="360" w:lineRule="auto"/>
        <w:contextualSpacing/>
        <w:rPr>
          <w:rFonts w:hint="eastAsia" w:ascii="宋体" w:hAnsi="宋体"/>
          <w:sz w:val="24"/>
        </w:rPr>
      </w:pPr>
    </w:p>
    <w:p w14:paraId="1797DC00">
      <w:pPr>
        <w:spacing w:line="360" w:lineRule="auto"/>
        <w:contextualSpacing/>
        <w:rPr>
          <w:rFonts w:hint="eastAsia" w:ascii="宋体" w:hAnsi="宋体"/>
          <w:sz w:val="24"/>
        </w:rPr>
      </w:pPr>
      <w:r>
        <w:rPr>
          <w:rFonts w:hint="eastAsia" w:ascii="宋体" w:hAnsi="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75EC6CFB">
      <w:pPr>
        <w:spacing w:line="360" w:lineRule="auto"/>
        <w:jc w:val="left"/>
        <w:rPr>
          <w:rFonts w:hint="eastAsia" w:ascii="宋体" w:hAnsi="宋体"/>
          <w:sz w:val="24"/>
        </w:rPr>
      </w:pPr>
      <w:r>
        <w:rPr>
          <w:rFonts w:ascii="宋体" w:hAnsi="宋体"/>
          <w:sz w:val="24"/>
        </w:rPr>
        <w:br w:type="page"/>
      </w:r>
      <w:r>
        <w:rPr>
          <w:rFonts w:hint="eastAsia" w:ascii="宋体" w:hAnsi="宋体"/>
          <w:b/>
          <w:sz w:val="24"/>
        </w:rPr>
        <w:t>4.质疑函（格式）</w:t>
      </w:r>
    </w:p>
    <w:p w14:paraId="09451126">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质疑函（格式）</w:t>
      </w:r>
    </w:p>
    <w:p w14:paraId="34A3A57F">
      <w:pPr>
        <w:pStyle w:val="25"/>
        <w:snapToGrid w:val="0"/>
        <w:spacing w:line="360" w:lineRule="auto"/>
        <w:ind w:firstLine="482" w:firstLineChars="200"/>
        <w:rPr>
          <w:rFonts w:hint="eastAsia" w:hAnsi="宋体"/>
          <w:b/>
          <w:bCs/>
          <w:sz w:val="24"/>
          <w:szCs w:val="24"/>
        </w:rPr>
      </w:pPr>
      <w:r>
        <w:rPr>
          <w:rFonts w:hint="eastAsia" w:hAnsi="宋体"/>
          <w:b/>
          <w:bCs/>
          <w:sz w:val="24"/>
          <w:szCs w:val="24"/>
        </w:rPr>
        <w:t>一、质疑供应商基本信息：</w:t>
      </w:r>
    </w:p>
    <w:p w14:paraId="349C1469">
      <w:pPr>
        <w:pStyle w:val="25"/>
        <w:snapToGrid w:val="0"/>
        <w:spacing w:line="360" w:lineRule="auto"/>
        <w:ind w:firstLine="480"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5E932979">
      <w:pPr>
        <w:pStyle w:val="25"/>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6A6A291">
      <w:pPr>
        <w:pStyle w:val="25"/>
        <w:snapToGrid w:val="0"/>
        <w:spacing w:line="360" w:lineRule="auto"/>
        <w:ind w:firstLine="480"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7010DA30">
      <w:pPr>
        <w:pStyle w:val="25"/>
        <w:snapToGrid w:val="0"/>
        <w:spacing w:line="360" w:lineRule="auto"/>
        <w:ind w:firstLine="480"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02CC7B8A">
      <w:pPr>
        <w:pStyle w:val="25"/>
        <w:snapToGrid w:val="0"/>
        <w:spacing w:line="360" w:lineRule="auto"/>
        <w:ind w:firstLine="480"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3EE5D6AE">
      <w:pPr>
        <w:pStyle w:val="25"/>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35E44E4">
      <w:pPr>
        <w:pStyle w:val="25"/>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03D32DB2">
      <w:pPr>
        <w:pStyle w:val="25"/>
        <w:spacing w:line="360" w:lineRule="auto"/>
        <w:ind w:left="25" w:leftChars="12" w:firstLine="472"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186A2ED1">
      <w:pPr>
        <w:pStyle w:val="25"/>
        <w:spacing w:line="360" w:lineRule="auto"/>
        <w:ind w:left="25" w:leftChars="12" w:firstLine="472"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464EA13E">
      <w:pPr>
        <w:pStyle w:val="25"/>
        <w:spacing w:line="360" w:lineRule="auto"/>
        <w:ind w:left="25" w:leftChars="12" w:firstLine="472"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556C4FB4">
      <w:pPr>
        <w:pStyle w:val="25"/>
        <w:spacing w:line="360" w:lineRule="auto"/>
        <w:ind w:left="25" w:leftChars="12" w:firstLine="472" w:firstLineChars="197"/>
        <w:rPr>
          <w:rFonts w:hint="eastAsia" w:hAnsi="宋体"/>
          <w:sz w:val="24"/>
          <w:szCs w:val="24"/>
        </w:rPr>
      </w:pPr>
      <w:r>
        <w:rPr>
          <w:rFonts w:hint="eastAsia" w:hAnsi="宋体"/>
          <w:sz w:val="24"/>
          <w:szCs w:val="24"/>
        </w:rPr>
        <w:t>质疑事项：</w:t>
      </w:r>
    </w:p>
    <w:p w14:paraId="12BE499E">
      <w:pPr>
        <w:pStyle w:val="25"/>
        <w:spacing w:line="360" w:lineRule="auto"/>
        <w:ind w:left="25" w:leftChars="12" w:firstLine="352" w:firstLineChars="147"/>
        <w:rPr>
          <w:rFonts w:hint="eastAsia"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1A5F7A29">
      <w:pPr>
        <w:pStyle w:val="25"/>
        <w:spacing w:line="360" w:lineRule="auto"/>
        <w:ind w:left="25" w:leftChars="12" w:firstLine="352" w:firstLineChars="147"/>
        <w:rPr>
          <w:rFonts w:hint="eastAsia" w:hAnsi="宋体"/>
          <w:sz w:val="24"/>
          <w:szCs w:val="24"/>
        </w:rPr>
      </w:pPr>
      <w:r>
        <w:rPr>
          <w:rFonts w:hint="eastAsia" w:hAnsi="宋体"/>
          <w:sz w:val="24"/>
          <w:szCs w:val="24"/>
        </w:rPr>
        <w:t xml:space="preserve">□招标过程   </w:t>
      </w:r>
    </w:p>
    <w:p w14:paraId="551B8FA0">
      <w:pPr>
        <w:pStyle w:val="25"/>
        <w:spacing w:line="360" w:lineRule="auto"/>
        <w:ind w:left="25" w:leftChars="12" w:firstLine="352" w:firstLineChars="147"/>
        <w:rPr>
          <w:rFonts w:hint="eastAsia" w:hAnsi="宋体"/>
          <w:bCs/>
          <w:sz w:val="24"/>
          <w:szCs w:val="24"/>
          <w:u w:val="single"/>
        </w:rPr>
      </w:pPr>
      <w:r>
        <w:rPr>
          <w:rFonts w:hint="eastAsia" w:hAnsi="宋体"/>
          <w:sz w:val="24"/>
          <w:szCs w:val="24"/>
        </w:rPr>
        <w:t xml:space="preserve">□招标结果   </w:t>
      </w:r>
    </w:p>
    <w:p w14:paraId="44BDA50E">
      <w:pPr>
        <w:pStyle w:val="25"/>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392A64D7">
      <w:pPr>
        <w:pStyle w:val="25"/>
        <w:spacing w:line="360" w:lineRule="auto"/>
        <w:ind w:left="25" w:leftChars="12" w:firstLine="472"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601F20B4">
      <w:pPr>
        <w:pStyle w:val="25"/>
        <w:spacing w:line="360" w:lineRule="auto"/>
        <w:ind w:left="25" w:leftChars="12" w:firstLine="472"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24C60DEE">
      <w:pPr>
        <w:pStyle w:val="25"/>
        <w:spacing w:line="360" w:lineRule="auto"/>
        <w:ind w:left="25" w:leftChars="12" w:firstLine="472"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5DD466D8">
      <w:pPr>
        <w:pStyle w:val="25"/>
        <w:spacing w:line="360" w:lineRule="auto"/>
        <w:ind w:left="25" w:leftChars="12" w:firstLine="472" w:firstLineChars="197"/>
        <w:rPr>
          <w:rFonts w:hint="eastAsia" w:hAnsi="宋体"/>
          <w:sz w:val="24"/>
          <w:szCs w:val="24"/>
        </w:rPr>
      </w:pPr>
      <w:r>
        <w:rPr>
          <w:rFonts w:hint="eastAsia" w:hAnsi="宋体"/>
          <w:sz w:val="24"/>
          <w:szCs w:val="24"/>
        </w:rPr>
        <w:t>质疑事项2</w:t>
      </w:r>
    </w:p>
    <w:p w14:paraId="5DBE8D05">
      <w:pPr>
        <w:pStyle w:val="25"/>
        <w:spacing w:line="360" w:lineRule="auto"/>
        <w:ind w:left="25" w:leftChars="12" w:firstLine="472" w:firstLineChars="197"/>
        <w:rPr>
          <w:rFonts w:hint="eastAsia" w:hAnsi="宋体"/>
          <w:sz w:val="24"/>
          <w:szCs w:val="24"/>
        </w:rPr>
      </w:pPr>
      <w:r>
        <w:rPr>
          <w:rFonts w:hAnsi="宋体"/>
          <w:sz w:val="24"/>
          <w:szCs w:val="24"/>
        </w:rPr>
        <w:t>……</w:t>
      </w:r>
    </w:p>
    <w:p w14:paraId="3B1DB290">
      <w:pPr>
        <w:pStyle w:val="25"/>
        <w:spacing w:line="360" w:lineRule="auto"/>
        <w:ind w:left="25" w:leftChars="12" w:firstLine="472" w:firstLineChars="197"/>
        <w:rPr>
          <w:rFonts w:hint="eastAsia" w:hAnsi="宋体"/>
          <w:sz w:val="24"/>
          <w:szCs w:val="24"/>
        </w:rPr>
      </w:pPr>
      <w:r>
        <w:rPr>
          <w:rFonts w:hint="eastAsia" w:hAnsi="宋体"/>
          <w:sz w:val="24"/>
          <w:szCs w:val="24"/>
        </w:rPr>
        <w:t>四、与质疑事项相关的质疑请求：</w:t>
      </w:r>
    </w:p>
    <w:p w14:paraId="2E339C95">
      <w:pPr>
        <w:pStyle w:val="25"/>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0FE98FEF">
      <w:pPr>
        <w:pStyle w:val="25"/>
        <w:spacing w:line="360" w:lineRule="auto"/>
        <w:ind w:left="25" w:leftChars="12" w:firstLine="352" w:firstLineChars="147"/>
        <w:rPr>
          <w:rFonts w:hint="eastAsia" w:hAnsi="宋体"/>
          <w:sz w:val="24"/>
          <w:szCs w:val="24"/>
        </w:rPr>
      </w:pPr>
    </w:p>
    <w:p w14:paraId="4321F9DB">
      <w:pPr>
        <w:pStyle w:val="25"/>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19F7A625">
      <w:pPr>
        <w:pStyle w:val="25"/>
        <w:spacing w:line="360" w:lineRule="auto"/>
        <w:ind w:left="25" w:leftChars="12" w:firstLine="352" w:firstLineChars="147"/>
        <w:rPr>
          <w:rFonts w:hint="eastAsia" w:hAnsi="宋体"/>
          <w:sz w:val="24"/>
          <w:szCs w:val="24"/>
        </w:rPr>
      </w:pPr>
    </w:p>
    <w:p w14:paraId="6D145473">
      <w:pPr>
        <w:pStyle w:val="25"/>
        <w:spacing w:line="360" w:lineRule="auto"/>
        <w:ind w:left="25" w:leftChars="12" w:firstLine="472" w:firstLineChars="197"/>
        <w:rPr>
          <w:rFonts w:hint="eastAsia" w:hAnsi="宋体"/>
          <w:sz w:val="24"/>
          <w:szCs w:val="24"/>
        </w:rPr>
      </w:pPr>
      <w:r>
        <w:rPr>
          <w:rFonts w:hint="eastAsia" w:hAnsi="宋体"/>
          <w:sz w:val="24"/>
          <w:szCs w:val="24"/>
        </w:rPr>
        <w:t>日期：</w:t>
      </w:r>
    </w:p>
    <w:p w14:paraId="39E453DA">
      <w:pPr>
        <w:pStyle w:val="25"/>
        <w:snapToGrid w:val="0"/>
        <w:spacing w:line="360" w:lineRule="auto"/>
        <w:rPr>
          <w:rFonts w:hint="eastAsia" w:hAnsi="宋体"/>
          <w:b/>
          <w:sz w:val="24"/>
          <w:szCs w:val="24"/>
        </w:rPr>
      </w:pPr>
    </w:p>
    <w:p w14:paraId="211B2964">
      <w:pPr>
        <w:pStyle w:val="25"/>
        <w:snapToGrid w:val="0"/>
        <w:spacing w:line="360" w:lineRule="auto"/>
        <w:rPr>
          <w:rFonts w:hint="eastAsia" w:hAnsi="宋体"/>
          <w:b/>
          <w:sz w:val="24"/>
          <w:szCs w:val="24"/>
        </w:rPr>
      </w:pPr>
      <w:r>
        <w:rPr>
          <w:rFonts w:hint="eastAsia" w:hAnsi="宋体"/>
          <w:b/>
          <w:sz w:val="24"/>
          <w:szCs w:val="24"/>
        </w:rPr>
        <w:t>说明：</w:t>
      </w:r>
    </w:p>
    <w:p w14:paraId="3E348730">
      <w:pPr>
        <w:pStyle w:val="25"/>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28139FF4">
      <w:pPr>
        <w:pStyle w:val="25"/>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E1859A4">
      <w:pPr>
        <w:pStyle w:val="25"/>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1BD9FC5A">
      <w:pPr>
        <w:pStyle w:val="25"/>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483AF63D">
      <w:pPr>
        <w:pStyle w:val="25"/>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582E52A2">
      <w:pPr>
        <w:pStyle w:val="25"/>
        <w:snapToGrid w:val="0"/>
        <w:rPr>
          <w:b/>
          <w:sz w:val="24"/>
          <w:szCs w:val="24"/>
        </w:rPr>
      </w:pPr>
    </w:p>
    <w:p w14:paraId="4539B71B">
      <w:pPr>
        <w:spacing w:line="360" w:lineRule="auto"/>
        <w:jc w:val="left"/>
        <w:rPr>
          <w:rFonts w:hint="eastAsia" w:ascii="宋体" w:hAnsi="宋体"/>
          <w:b/>
          <w:bCs/>
          <w:sz w:val="32"/>
          <w:szCs w:val="32"/>
        </w:rPr>
      </w:pPr>
      <w:r>
        <w:rPr>
          <w:rFonts w:eastAsia="隶书"/>
          <w:sz w:val="44"/>
        </w:rPr>
        <w:br w:type="page"/>
      </w:r>
      <w:r>
        <w:rPr>
          <w:rFonts w:hint="eastAsia" w:ascii="宋体" w:hAnsi="宋体"/>
          <w:b/>
          <w:sz w:val="24"/>
        </w:rPr>
        <w:t>5.投诉书（格式）</w:t>
      </w:r>
    </w:p>
    <w:p w14:paraId="176AA4A6">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投诉书（格式）</w:t>
      </w:r>
    </w:p>
    <w:p w14:paraId="4996F904">
      <w:pPr>
        <w:pStyle w:val="25"/>
        <w:snapToGrid w:val="0"/>
        <w:spacing w:line="360" w:lineRule="auto"/>
        <w:ind w:firstLine="482" w:firstLineChars="200"/>
        <w:rPr>
          <w:rFonts w:hint="eastAsia" w:hAnsi="宋体"/>
          <w:b/>
          <w:bCs/>
          <w:sz w:val="24"/>
          <w:szCs w:val="24"/>
        </w:rPr>
      </w:pPr>
      <w:r>
        <w:rPr>
          <w:rFonts w:hint="eastAsia" w:hAnsi="宋体"/>
          <w:b/>
          <w:bCs/>
          <w:sz w:val="24"/>
          <w:szCs w:val="24"/>
        </w:rPr>
        <w:t>一、投诉相关主体基本情况：</w:t>
      </w:r>
    </w:p>
    <w:p w14:paraId="5EC8BB7B">
      <w:pPr>
        <w:pStyle w:val="25"/>
        <w:snapToGrid w:val="0"/>
        <w:spacing w:line="360" w:lineRule="auto"/>
        <w:ind w:firstLine="480" w:firstLineChars="200"/>
        <w:jc w:val="left"/>
        <w:rPr>
          <w:rFonts w:hint="eastAsia" w:hAnsi="宋体"/>
          <w:bCs/>
          <w:sz w:val="24"/>
          <w:szCs w:val="24"/>
          <w:u w:val="single"/>
        </w:rPr>
      </w:pPr>
      <w:r>
        <w:rPr>
          <w:rFonts w:hint="eastAsia" w:hAnsi="宋体"/>
          <w:bCs/>
          <w:sz w:val="24"/>
          <w:szCs w:val="24"/>
        </w:rPr>
        <w:t>投标人：</w:t>
      </w:r>
      <w:r>
        <w:rPr>
          <w:rFonts w:hint="eastAsia" w:hAnsi="宋体"/>
          <w:bCs/>
          <w:sz w:val="24"/>
          <w:szCs w:val="24"/>
          <w:u w:val="single"/>
        </w:rPr>
        <w:t xml:space="preserve">                                                                        </w:t>
      </w:r>
      <w:r>
        <w:rPr>
          <w:rFonts w:hint="eastAsia" w:hAnsi="宋体"/>
          <w:bCs/>
          <w:sz w:val="24"/>
          <w:szCs w:val="24"/>
        </w:rPr>
        <w:t xml:space="preserve">                 </w:t>
      </w:r>
    </w:p>
    <w:p w14:paraId="3D96F1B6">
      <w:pPr>
        <w:pStyle w:val="25"/>
        <w:snapToGrid w:val="0"/>
        <w:spacing w:line="360" w:lineRule="auto"/>
        <w:ind w:firstLine="480" w:firstLineChars="200"/>
        <w:jc w:val="left"/>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3BEAEEC">
      <w:pPr>
        <w:pStyle w:val="25"/>
        <w:snapToGrid w:val="0"/>
        <w:spacing w:line="360" w:lineRule="auto"/>
        <w:ind w:firstLine="480" w:firstLineChars="200"/>
        <w:jc w:val="left"/>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5C24A8A1">
      <w:pPr>
        <w:pStyle w:val="25"/>
        <w:snapToGrid w:val="0"/>
        <w:spacing w:line="360" w:lineRule="auto"/>
        <w:ind w:firstLine="480" w:firstLineChars="200"/>
        <w:jc w:val="left"/>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67E39812">
      <w:pPr>
        <w:pStyle w:val="25"/>
        <w:snapToGrid w:val="0"/>
        <w:spacing w:line="360" w:lineRule="auto"/>
        <w:ind w:firstLine="480" w:firstLineChars="200"/>
        <w:jc w:val="left"/>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B2E91A1">
      <w:pPr>
        <w:pStyle w:val="25"/>
        <w:snapToGrid w:val="0"/>
        <w:spacing w:line="360" w:lineRule="auto"/>
        <w:ind w:firstLine="480" w:firstLineChars="200"/>
        <w:jc w:val="left"/>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20EE4A06">
      <w:pPr>
        <w:pStyle w:val="25"/>
        <w:snapToGrid w:val="0"/>
        <w:spacing w:line="360" w:lineRule="auto"/>
        <w:ind w:firstLine="480" w:firstLineChars="200"/>
        <w:jc w:val="left"/>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C04076D">
      <w:pPr>
        <w:pStyle w:val="25"/>
        <w:snapToGrid w:val="0"/>
        <w:spacing w:line="360" w:lineRule="auto"/>
        <w:ind w:firstLine="480" w:firstLineChars="200"/>
        <w:jc w:val="left"/>
        <w:rPr>
          <w:rFonts w:hint="eastAsia" w:hAnsi="宋体"/>
          <w:bCs/>
          <w:sz w:val="24"/>
          <w:szCs w:val="24"/>
        </w:rPr>
      </w:pPr>
      <w:r>
        <w:rPr>
          <w:rFonts w:hint="eastAsia" w:hAnsi="宋体"/>
          <w:bCs/>
          <w:sz w:val="24"/>
          <w:szCs w:val="24"/>
        </w:rPr>
        <w:t>被投诉人1：</w:t>
      </w:r>
    </w:p>
    <w:p w14:paraId="45188990">
      <w:pPr>
        <w:pStyle w:val="25"/>
        <w:snapToGrid w:val="0"/>
        <w:spacing w:line="360" w:lineRule="auto"/>
        <w:ind w:firstLine="480" w:firstLineChars="200"/>
        <w:jc w:val="left"/>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18CCE223">
      <w:pPr>
        <w:pStyle w:val="25"/>
        <w:snapToGrid w:val="0"/>
        <w:spacing w:line="360" w:lineRule="auto"/>
        <w:ind w:firstLine="480" w:firstLineChars="200"/>
        <w:jc w:val="left"/>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B903901">
      <w:pPr>
        <w:pStyle w:val="25"/>
        <w:snapToGrid w:val="0"/>
        <w:spacing w:line="360" w:lineRule="auto"/>
        <w:ind w:firstLine="480" w:firstLineChars="200"/>
        <w:jc w:val="left"/>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578CEE1">
      <w:pPr>
        <w:pStyle w:val="25"/>
        <w:snapToGrid w:val="0"/>
        <w:spacing w:line="360" w:lineRule="auto"/>
        <w:ind w:firstLine="480" w:firstLineChars="200"/>
        <w:jc w:val="left"/>
        <w:rPr>
          <w:rFonts w:hint="eastAsia" w:hAnsi="宋体"/>
          <w:bCs/>
          <w:sz w:val="24"/>
          <w:szCs w:val="24"/>
        </w:rPr>
      </w:pPr>
      <w:r>
        <w:rPr>
          <w:rFonts w:hint="eastAsia" w:hAnsi="宋体"/>
          <w:bCs/>
          <w:sz w:val="24"/>
          <w:szCs w:val="24"/>
        </w:rPr>
        <w:t>被投诉人2：</w:t>
      </w:r>
    </w:p>
    <w:p w14:paraId="1F6917F3">
      <w:pPr>
        <w:pStyle w:val="25"/>
        <w:snapToGrid w:val="0"/>
        <w:spacing w:line="360" w:lineRule="auto"/>
        <w:ind w:firstLine="480" w:firstLineChars="200"/>
        <w:jc w:val="left"/>
        <w:rPr>
          <w:rFonts w:hint="eastAsia" w:hAnsi="宋体"/>
          <w:bCs/>
          <w:sz w:val="24"/>
          <w:szCs w:val="24"/>
        </w:rPr>
      </w:pPr>
      <w:r>
        <w:rPr>
          <w:rFonts w:hAnsi="宋体"/>
          <w:bCs/>
          <w:sz w:val="24"/>
          <w:szCs w:val="24"/>
        </w:rPr>
        <w:t>……</w:t>
      </w:r>
    </w:p>
    <w:p w14:paraId="40408FB0">
      <w:pPr>
        <w:pStyle w:val="25"/>
        <w:snapToGrid w:val="0"/>
        <w:spacing w:line="360" w:lineRule="auto"/>
        <w:ind w:firstLine="480" w:firstLineChars="200"/>
        <w:jc w:val="left"/>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4F95EC4C">
      <w:pPr>
        <w:pStyle w:val="25"/>
        <w:snapToGrid w:val="0"/>
        <w:spacing w:line="360" w:lineRule="auto"/>
        <w:ind w:firstLine="480" w:firstLineChars="200"/>
        <w:jc w:val="left"/>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3C65B23C">
      <w:pPr>
        <w:pStyle w:val="25"/>
        <w:snapToGrid w:val="0"/>
        <w:spacing w:line="360" w:lineRule="auto"/>
        <w:ind w:firstLine="480" w:firstLineChars="200"/>
        <w:jc w:val="left"/>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49C61D5F">
      <w:pPr>
        <w:pStyle w:val="25"/>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18AB429D">
      <w:pPr>
        <w:pStyle w:val="25"/>
        <w:spacing w:line="360" w:lineRule="auto"/>
        <w:ind w:left="25" w:leftChars="12" w:firstLine="472" w:firstLineChars="197"/>
        <w:rPr>
          <w:rFonts w:hint="eastAsia" w:hAnsi="宋体"/>
          <w:sz w:val="24"/>
          <w:szCs w:val="24"/>
        </w:rPr>
      </w:pPr>
      <w:r>
        <w:rPr>
          <w:rFonts w:hint="eastAsia" w:hAnsi="宋体"/>
          <w:sz w:val="24"/>
          <w:szCs w:val="24"/>
        </w:rPr>
        <w:t>招标项目的名称：</w:t>
      </w:r>
      <w:r>
        <w:rPr>
          <w:rFonts w:hint="eastAsia" w:hAnsi="宋体"/>
          <w:bCs/>
          <w:sz w:val="24"/>
          <w:szCs w:val="24"/>
          <w:u w:val="single"/>
        </w:rPr>
        <w:t xml:space="preserve">                                                                   </w:t>
      </w:r>
    </w:p>
    <w:p w14:paraId="32DB692D">
      <w:pPr>
        <w:pStyle w:val="25"/>
        <w:spacing w:line="360" w:lineRule="auto"/>
        <w:ind w:left="25" w:leftChars="12" w:firstLine="472" w:firstLineChars="197"/>
        <w:rPr>
          <w:rFonts w:hint="eastAsia" w:hAnsi="宋体"/>
          <w:sz w:val="24"/>
          <w:szCs w:val="24"/>
        </w:rPr>
      </w:pPr>
      <w:r>
        <w:rPr>
          <w:rFonts w:hint="eastAsia" w:hAnsi="宋体"/>
          <w:sz w:val="24"/>
          <w:szCs w:val="24"/>
        </w:rPr>
        <w:t>招标项目的编号：</w:t>
      </w:r>
      <w:r>
        <w:rPr>
          <w:rFonts w:hint="eastAsia" w:hAnsi="宋体"/>
          <w:bCs/>
          <w:sz w:val="24"/>
          <w:szCs w:val="24"/>
          <w:u w:val="single"/>
        </w:rPr>
        <w:t xml:space="preserve">                                          </w:t>
      </w:r>
    </w:p>
    <w:p w14:paraId="7323332D">
      <w:pPr>
        <w:pStyle w:val="25"/>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4FC98A04">
      <w:pPr>
        <w:pStyle w:val="25"/>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50AF63F2">
      <w:pPr>
        <w:pStyle w:val="25"/>
        <w:spacing w:line="360" w:lineRule="auto"/>
        <w:ind w:left="25" w:leftChars="12" w:firstLine="472" w:firstLineChars="197"/>
        <w:rPr>
          <w:rFonts w:hint="eastAsia" w:hAnsi="宋体"/>
          <w:bCs/>
          <w:sz w:val="24"/>
          <w:szCs w:val="24"/>
          <w:u w:val="single"/>
        </w:rPr>
      </w:pPr>
      <w:r>
        <w:rPr>
          <w:rFonts w:hint="eastAsia" w:hAnsi="宋体"/>
          <w:sz w:val="24"/>
          <w:szCs w:val="24"/>
        </w:rPr>
        <w:t>招标</w:t>
      </w:r>
      <w:r>
        <w:rPr>
          <w:rFonts w:hint="eastAsia" w:hAnsi="宋体"/>
          <w:bCs/>
          <w:sz w:val="24"/>
          <w:szCs w:val="24"/>
        </w:rPr>
        <w:t>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C22ABBC">
      <w:pPr>
        <w:pStyle w:val="25"/>
        <w:spacing w:line="360" w:lineRule="auto"/>
        <w:ind w:left="25" w:leftChars="12" w:firstLine="472" w:firstLineChars="197"/>
        <w:rPr>
          <w:rFonts w:hint="eastAsia" w:hAnsi="宋体"/>
          <w:b/>
          <w:sz w:val="24"/>
          <w:szCs w:val="24"/>
        </w:rPr>
      </w:pPr>
      <w:r>
        <w:rPr>
          <w:rFonts w:hint="eastAsia" w:hAnsi="宋体"/>
          <w:sz w:val="24"/>
          <w:szCs w:val="24"/>
        </w:rPr>
        <w:t>招标</w:t>
      </w:r>
      <w:r>
        <w:rPr>
          <w:rFonts w:hint="eastAsia" w:hAnsi="宋体"/>
          <w:bCs/>
          <w:sz w:val="24"/>
          <w:szCs w:val="24"/>
        </w:rPr>
        <w:t>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0BBA00D7">
      <w:pPr>
        <w:pStyle w:val="25"/>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454ABD34">
      <w:pPr>
        <w:pStyle w:val="25"/>
        <w:spacing w:line="360" w:lineRule="auto"/>
        <w:ind w:left="25" w:leftChars="12" w:firstLine="480" w:firstLineChars="200"/>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225F4DDE">
      <w:pPr>
        <w:pStyle w:val="25"/>
        <w:spacing w:line="360" w:lineRule="auto"/>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2691D276">
      <w:pPr>
        <w:pStyle w:val="25"/>
        <w:spacing w:line="360" w:lineRule="auto"/>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7226E448">
      <w:pPr>
        <w:pStyle w:val="25"/>
        <w:spacing w:line="360" w:lineRule="auto"/>
        <w:ind w:firstLine="480" w:firstLineChars="200"/>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2E9F24C1">
      <w:pPr>
        <w:pStyle w:val="25"/>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527B2A87">
      <w:pPr>
        <w:pStyle w:val="25"/>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593BA35A">
      <w:pPr>
        <w:pStyle w:val="25"/>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5F1A1FEB">
      <w:pPr>
        <w:pStyle w:val="25"/>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14:paraId="19AB7669">
      <w:pPr>
        <w:pStyle w:val="25"/>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7D95E3EF">
      <w:pPr>
        <w:pStyle w:val="25"/>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0B35D209">
      <w:pPr>
        <w:pStyle w:val="25"/>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0C78BA6D">
      <w:pPr>
        <w:pStyle w:val="25"/>
        <w:spacing w:line="360" w:lineRule="auto"/>
        <w:ind w:left="25" w:leftChars="12" w:firstLine="472" w:firstLineChars="197"/>
        <w:rPr>
          <w:rFonts w:hint="eastAsia" w:hAnsi="宋体"/>
          <w:bCs/>
          <w:sz w:val="24"/>
          <w:szCs w:val="24"/>
        </w:rPr>
      </w:pPr>
      <w:r>
        <w:rPr>
          <w:rFonts w:hAnsi="宋体"/>
          <w:bCs/>
          <w:sz w:val="24"/>
          <w:szCs w:val="24"/>
        </w:rPr>
        <w:t>……</w:t>
      </w:r>
    </w:p>
    <w:p w14:paraId="27A64AA4">
      <w:pPr>
        <w:pStyle w:val="25"/>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7253A8A5">
      <w:pPr>
        <w:pStyle w:val="25"/>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229B9863">
      <w:pPr>
        <w:pStyle w:val="25"/>
        <w:spacing w:line="360" w:lineRule="auto"/>
        <w:ind w:left="25" w:leftChars="12" w:firstLine="352" w:firstLineChars="147"/>
        <w:rPr>
          <w:rFonts w:hint="eastAsia" w:hAnsi="宋体"/>
          <w:sz w:val="24"/>
          <w:szCs w:val="24"/>
        </w:rPr>
      </w:pPr>
    </w:p>
    <w:p w14:paraId="3D58E537">
      <w:pPr>
        <w:pStyle w:val="25"/>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55921B3C">
      <w:pPr>
        <w:pStyle w:val="25"/>
        <w:spacing w:line="360" w:lineRule="auto"/>
        <w:ind w:left="25" w:leftChars="12" w:firstLine="352" w:firstLineChars="147"/>
        <w:rPr>
          <w:rFonts w:hint="eastAsia" w:hAnsi="宋体"/>
          <w:sz w:val="24"/>
          <w:szCs w:val="24"/>
        </w:rPr>
      </w:pPr>
    </w:p>
    <w:p w14:paraId="59E01C03">
      <w:pPr>
        <w:pStyle w:val="25"/>
        <w:spacing w:line="360" w:lineRule="auto"/>
        <w:ind w:left="25" w:leftChars="12" w:firstLine="472" w:firstLineChars="197"/>
        <w:rPr>
          <w:rFonts w:hint="eastAsia" w:hAnsi="宋体"/>
          <w:sz w:val="24"/>
          <w:szCs w:val="24"/>
        </w:rPr>
      </w:pPr>
      <w:r>
        <w:rPr>
          <w:rFonts w:hint="eastAsia" w:hAnsi="宋体"/>
          <w:sz w:val="24"/>
          <w:szCs w:val="24"/>
        </w:rPr>
        <w:t>日期：</w:t>
      </w:r>
    </w:p>
    <w:p w14:paraId="53F22612">
      <w:pPr>
        <w:pStyle w:val="25"/>
        <w:spacing w:line="360" w:lineRule="auto"/>
        <w:ind w:left="25" w:leftChars="12" w:firstLine="472" w:firstLineChars="197"/>
        <w:rPr>
          <w:rFonts w:hint="eastAsia" w:hAnsi="宋体"/>
          <w:sz w:val="24"/>
          <w:szCs w:val="24"/>
        </w:rPr>
      </w:pPr>
      <w:r>
        <w:rPr>
          <w:rFonts w:hint="eastAsia" w:hAnsi="宋体"/>
          <w:bCs/>
          <w:sz w:val="24"/>
          <w:szCs w:val="24"/>
        </w:rPr>
        <w:t xml:space="preserve">                                                                              </w:t>
      </w:r>
    </w:p>
    <w:p w14:paraId="0936D713">
      <w:pPr>
        <w:pStyle w:val="25"/>
        <w:snapToGrid w:val="0"/>
        <w:spacing w:line="360" w:lineRule="auto"/>
        <w:rPr>
          <w:rFonts w:hint="eastAsia" w:hAnsi="宋体"/>
          <w:b/>
          <w:sz w:val="24"/>
          <w:szCs w:val="24"/>
        </w:rPr>
      </w:pPr>
      <w:r>
        <w:rPr>
          <w:rFonts w:hint="eastAsia" w:hAnsi="宋体"/>
          <w:b/>
          <w:sz w:val="24"/>
          <w:szCs w:val="24"/>
        </w:rPr>
        <w:t>说明：</w:t>
      </w:r>
    </w:p>
    <w:p w14:paraId="1C21F9A4">
      <w:pPr>
        <w:pStyle w:val="25"/>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17ABE987">
      <w:pPr>
        <w:pStyle w:val="25"/>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CB18145">
      <w:pPr>
        <w:pStyle w:val="25"/>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43E8F588">
      <w:pPr>
        <w:pStyle w:val="25"/>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3686865D">
      <w:pPr>
        <w:pStyle w:val="25"/>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7FE0D870">
      <w:pPr>
        <w:pStyle w:val="25"/>
        <w:spacing w:line="360" w:lineRule="auto"/>
        <w:ind w:left="25" w:leftChars="12" w:firstLine="354" w:firstLineChars="147"/>
        <w:rPr>
          <w:rFonts w:hint="eastAsia" w:hAnsi="宋体"/>
          <w:b/>
        </w:rPr>
      </w:pPr>
      <w:r>
        <w:rPr>
          <w:rFonts w:hint="eastAsia" w:hAnsi="宋体"/>
          <w:b/>
          <w:sz w:val="24"/>
          <w:szCs w:val="24"/>
        </w:rPr>
        <w:t>6.投诉人为法人或者其他组织的，投诉书应由法定代表人、主要负责人，或者其授权代表签字或者盖章，并加盖公章。</w:t>
      </w:r>
    </w:p>
    <w:sectPr>
      <w:footerReference r:id="rId11" w:type="first"/>
      <w:headerReference r:id="rId8" w:type="default"/>
      <w:footerReference r:id="rId9" w:type="default"/>
      <w:footerReference r:id="rId10" w:type="even"/>
      <w:pgSz w:w="11906" w:h="16838"/>
      <w:pgMar w:top="1134" w:right="1588" w:bottom="1134"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B68CF16-2CCE-4150-9FD0-24178E82433E}"/>
  </w:font>
  <w:font w:name="黑体">
    <w:panose1 w:val="02010609060101010101"/>
    <w:charset w:val="86"/>
    <w:family w:val="auto"/>
    <w:pitch w:val="default"/>
    <w:sig w:usb0="800002BF" w:usb1="38CF7CFA" w:usb2="00000016" w:usb3="00000000" w:csb0="00040001" w:csb1="00000000"/>
    <w:embedRegular r:id="rId2" w:fontKey="{47E7110D-A170-4678-9499-5EB5D5044608}"/>
  </w:font>
  <w:font w:name="Courier New">
    <w:panose1 w:val="02070309020205020404"/>
    <w:charset w:val="01"/>
    <w:family w:val="modern"/>
    <w:pitch w:val="default"/>
    <w:sig w:usb0="E0002EFF" w:usb1="C0007843" w:usb2="00000009" w:usb3="00000000" w:csb0="400001FF" w:csb1="FFFF0000"/>
    <w:embedRegular r:id="rId3" w:fontKey="{814AC78B-DB5C-4946-8096-3E239FC297B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BC4EAED4-9914-49C0-91DE-42365B7E3F17}"/>
  </w:font>
  <w:font w:name="仿宋_GB2312">
    <w:panose1 w:val="02010609030101010101"/>
    <w:charset w:val="86"/>
    <w:family w:val="modern"/>
    <w:pitch w:val="default"/>
    <w:sig w:usb0="00000001" w:usb1="080E0000" w:usb2="00000000" w:usb3="00000000" w:csb0="00040000" w:csb1="00000000"/>
    <w:embedRegular r:id="rId5" w:fontKey="{14F22DD9-E4B1-4FE7-B2A7-CF5C8A50AB56}"/>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embedRegular r:id="rId6" w:fontKey="{4DEC0C99-123D-41E1-93D8-83F9142B36D9}"/>
  </w:font>
  <w:font w:name="华文楷体">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embedRegular r:id="rId7" w:fontKey="{818AD370-A5FB-4167-A271-53DD953DBC48}"/>
  </w:font>
  <w:font w:name="微软雅黑">
    <w:panose1 w:val="020B0503020204020204"/>
    <w:charset w:val="86"/>
    <w:family w:val="swiss"/>
    <w:pitch w:val="default"/>
    <w:sig w:usb0="80000287" w:usb1="2ACF3C50" w:usb2="00000016" w:usb3="00000000" w:csb0="0004001F" w:csb1="00000000"/>
    <w:embedRegular r:id="rId8" w:fontKey="{98C3894F-FBAA-4964-A5FE-1C29CC8817F7}"/>
  </w:font>
  <w:font w:name="隶书">
    <w:panose1 w:val="02010509060101010101"/>
    <w:charset w:val="86"/>
    <w:family w:val="modern"/>
    <w:pitch w:val="default"/>
    <w:sig w:usb0="00000001" w:usb1="080E0000" w:usb2="00000000" w:usb3="00000000" w:csb0="00040000" w:csb1="00000000"/>
    <w:embedRegular r:id="rId9" w:fontKey="{EE18A898-9191-4F04-B4A0-A2D9BA1A30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74E49">
    <w:pPr>
      <w:pStyle w:val="31"/>
      <w:framePr w:wrap="around" w:vAnchor="text" w:hAnchor="margin" w:xAlign="center" w:y="1"/>
      <w:rPr>
        <w:rStyle w:val="53"/>
      </w:rPr>
    </w:pPr>
    <w:r>
      <w:fldChar w:fldCharType="begin"/>
    </w:r>
    <w:r>
      <w:rPr>
        <w:rStyle w:val="53"/>
      </w:rPr>
      <w:instrText xml:space="preserve">PAGE  </w:instrText>
    </w:r>
    <w:r>
      <w:fldChar w:fldCharType="end"/>
    </w:r>
  </w:p>
  <w:p w14:paraId="793D9103">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B0A74">
    <w:pPr>
      <w:pStyle w:val="31"/>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8D629">
    <w:pPr>
      <w:pStyle w:val="31"/>
      <w:jc w:val="center"/>
    </w:pPr>
    <w:r>
      <w:fldChar w:fldCharType="begin"/>
    </w:r>
    <w:r>
      <w:instrText xml:space="preserve"> PAGE   \* MERGEFORMAT </w:instrText>
    </w:r>
    <w:r>
      <w:fldChar w:fldCharType="separate"/>
    </w:r>
    <w:r>
      <w:rPr>
        <w:lang w:val="zh-CN"/>
      </w:rPr>
      <w:t>102</w:t>
    </w:r>
    <w:r>
      <w:fldChar w:fldCharType="end"/>
    </w:r>
  </w:p>
  <w:p w14:paraId="7C83E276">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FD1EC">
    <w:pPr>
      <w:pStyle w:val="31"/>
      <w:jc w:val="center"/>
    </w:pPr>
    <w:r>
      <w:fldChar w:fldCharType="begin"/>
    </w:r>
    <w:r>
      <w:instrText xml:space="preserve">PAGE   \* MERGEFORMAT</w:instrText>
    </w:r>
    <w:r>
      <w:fldChar w:fldCharType="separate"/>
    </w:r>
    <w:r>
      <w:rPr>
        <w:lang w:val="zh-CN"/>
      </w:rPr>
      <w:t>69</w:t>
    </w:r>
    <w:r>
      <w:fldChar w:fldCharType="end"/>
    </w:r>
  </w:p>
  <w:p w14:paraId="37B1853F">
    <w:pPr>
      <w:pStyle w:val="31"/>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CA574">
    <w:pPr>
      <w:pStyle w:val="31"/>
      <w:jc w:val="center"/>
    </w:pPr>
    <w:r>
      <w:fldChar w:fldCharType="begin"/>
    </w:r>
    <w:r>
      <w:instrText xml:space="preserve"> PAGE   \* MERGEFORMAT </w:instrText>
    </w:r>
    <w:r>
      <w:fldChar w:fldCharType="separate"/>
    </w:r>
    <w:r>
      <w:rPr>
        <w:lang w:val="zh-CN"/>
      </w:rPr>
      <w:t>113</w:t>
    </w:r>
    <w:r>
      <w:fldChar w:fldCharType="end"/>
    </w:r>
  </w:p>
  <w:p w14:paraId="6E1CA941">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D8302">
    <w:pPr>
      <w:pStyle w:val="31"/>
      <w:framePr w:wrap="around" w:vAnchor="text" w:hAnchor="margin" w:xAlign="center" w:y="1"/>
      <w:rPr>
        <w:rStyle w:val="53"/>
      </w:rPr>
    </w:pPr>
    <w:r>
      <w:fldChar w:fldCharType="begin"/>
    </w:r>
    <w:r>
      <w:rPr>
        <w:rStyle w:val="53"/>
      </w:rPr>
      <w:instrText xml:space="preserve">PAGE  </w:instrText>
    </w:r>
    <w:r>
      <w:fldChar w:fldCharType="end"/>
    </w:r>
  </w:p>
  <w:p w14:paraId="4350C924">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AC5A5">
    <w:pPr>
      <w:pStyle w:val="31"/>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D2295">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320A">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1FE6D"/>
    <w:multiLevelType w:val="singleLevel"/>
    <w:tmpl w:val="B9F1FE6D"/>
    <w:lvl w:ilvl="0" w:tentative="0">
      <w:start w:val="1"/>
      <w:numFmt w:val="decimal"/>
      <w:suff w:val="space"/>
      <w:lvlText w:val="%1."/>
      <w:lvlJc w:val="left"/>
    </w:lvl>
  </w:abstractNum>
  <w:abstractNum w:abstractNumId="1">
    <w:nsid w:val="C1DF402F"/>
    <w:multiLevelType w:val="singleLevel"/>
    <w:tmpl w:val="C1DF402F"/>
    <w:lvl w:ilvl="0" w:tentative="0">
      <w:start w:val="1"/>
      <w:numFmt w:val="decimal"/>
      <w:lvlText w:val="%1."/>
      <w:lvlJc w:val="left"/>
      <w:pPr>
        <w:tabs>
          <w:tab w:val="left" w:pos="312"/>
        </w:tabs>
      </w:pPr>
    </w:lvl>
  </w:abstractNum>
  <w:abstractNum w:abstractNumId="2">
    <w:nsid w:val="C654478D"/>
    <w:multiLevelType w:val="singleLevel"/>
    <w:tmpl w:val="C654478D"/>
    <w:lvl w:ilvl="0" w:tentative="0">
      <w:start w:val="1"/>
      <w:numFmt w:val="decimal"/>
      <w:lvlText w:val="%1."/>
      <w:lvlJc w:val="left"/>
      <w:pPr>
        <w:tabs>
          <w:tab w:val="left" w:pos="312"/>
        </w:tabs>
      </w:pPr>
    </w:lvl>
  </w:abstractNum>
  <w:abstractNum w:abstractNumId="3">
    <w:nsid w:val="D3004331"/>
    <w:multiLevelType w:val="singleLevel"/>
    <w:tmpl w:val="D3004331"/>
    <w:lvl w:ilvl="0" w:tentative="0">
      <w:start w:val="1"/>
      <w:numFmt w:val="decimal"/>
      <w:suff w:val="space"/>
      <w:lvlText w:val="%1."/>
      <w:lvlJc w:val="left"/>
    </w:lvl>
  </w:abstractNum>
  <w:abstractNum w:abstractNumId="4">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5">
    <w:nsid w:val="2ACEB9AB"/>
    <w:multiLevelType w:val="singleLevel"/>
    <w:tmpl w:val="2ACEB9AB"/>
    <w:lvl w:ilvl="0" w:tentative="0">
      <w:start w:val="1"/>
      <w:numFmt w:val="decimal"/>
      <w:lvlText w:val="%1."/>
      <w:lvlJc w:val="left"/>
      <w:pPr>
        <w:tabs>
          <w:tab w:val="left" w:pos="312"/>
        </w:tabs>
      </w:pPr>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7">
    <w:nsid w:val="4C601917"/>
    <w:multiLevelType w:val="singleLevel"/>
    <w:tmpl w:val="4C601917"/>
    <w:lvl w:ilvl="0" w:tentative="0">
      <w:start w:val="1"/>
      <w:numFmt w:val="decimal"/>
      <w:suff w:val="nothing"/>
      <w:lvlText w:val="（%1）"/>
      <w:lvlJc w:val="left"/>
      <w:pPr>
        <w:ind w:left="-2"/>
      </w:pPr>
    </w:lvl>
  </w:abstractNum>
  <w:abstractNum w:abstractNumId="8">
    <w:nsid w:val="5FABD14B"/>
    <w:multiLevelType w:val="singleLevel"/>
    <w:tmpl w:val="5FABD14B"/>
    <w:lvl w:ilvl="0" w:tentative="0">
      <w:start w:val="1"/>
      <w:numFmt w:val="decimal"/>
      <w:suff w:val="nothing"/>
      <w:lvlText w:val="（%1）"/>
      <w:lvlJc w:val="left"/>
    </w:lvl>
  </w:abstractNum>
  <w:num w:numId="1">
    <w:abstractNumId w:val="6"/>
  </w:num>
  <w:num w:numId="2">
    <w:abstractNumId w:val="4"/>
  </w:num>
  <w:num w:numId="3">
    <w:abstractNumId w:val="1"/>
  </w:num>
  <w:num w:numId="4">
    <w:abstractNumId w:val="5"/>
  </w:num>
  <w:num w:numId="5">
    <w:abstractNumId w:val="2"/>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4E8"/>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36E"/>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0488"/>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3D1B"/>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747"/>
    <w:rsid w:val="000969D9"/>
    <w:rsid w:val="000969ED"/>
    <w:rsid w:val="00096F37"/>
    <w:rsid w:val="00097FE5"/>
    <w:rsid w:val="000A0354"/>
    <w:rsid w:val="000A091F"/>
    <w:rsid w:val="000A0958"/>
    <w:rsid w:val="000A0FCC"/>
    <w:rsid w:val="000A1033"/>
    <w:rsid w:val="000A2712"/>
    <w:rsid w:val="000A27BC"/>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654"/>
    <w:rsid w:val="000D6979"/>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6A7"/>
    <w:rsid w:val="000F38BC"/>
    <w:rsid w:val="000F3E2A"/>
    <w:rsid w:val="000F4D26"/>
    <w:rsid w:val="000F5639"/>
    <w:rsid w:val="000F57D1"/>
    <w:rsid w:val="000F58A4"/>
    <w:rsid w:val="000F5F99"/>
    <w:rsid w:val="000F6833"/>
    <w:rsid w:val="000F6A24"/>
    <w:rsid w:val="000F7616"/>
    <w:rsid w:val="000F7DE9"/>
    <w:rsid w:val="000F7E1F"/>
    <w:rsid w:val="000F7F7A"/>
    <w:rsid w:val="001002F4"/>
    <w:rsid w:val="00100F45"/>
    <w:rsid w:val="001011FC"/>
    <w:rsid w:val="001014BD"/>
    <w:rsid w:val="0010165F"/>
    <w:rsid w:val="00101E7C"/>
    <w:rsid w:val="001023DC"/>
    <w:rsid w:val="00102572"/>
    <w:rsid w:val="00102946"/>
    <w:rsid w:val="001029D2"/>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1E1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1178"/>
    <w:rsid w:val="0018119E"/>
    <w:rsid w:val="0018152C"/>
    <w:rsid w:val="00181A74"/>
    <w:rsid w:val="00181DBA"/>
    <w:rsid w:val="00181EEF"/>
    <w:rsid w:val="00181F37"/>
    <w:rsid w:val="00181F3E"/>
    <w:rsid w:val="00182FE0"/>
    <w:rsid w:val="00183766"/>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6B7"/>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6DAC"/>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134"/>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0CF5"/>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853"/>
    <w:rsid w:val="00274CAB"/>
    <w:rsid w:val="00274E8A"/>
    <w:rsid w:val="00275A53"/>
    <w:rsid w:val="00275C75"/>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AB"/>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1F3"/>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3676"/>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B3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0F26"/>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534C"/>
    <w:rsid w:val="003465A5"/>
    <w:rsid w:val="00346817"/>
    <w:rsid w:val="00347440"/>
    <w:rsid w:val="00347516"/>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7424"/>
    <w:rsid w:val="00357BE9"/>
    <w:rsid w:val="003601A2"/>
    <w:rsid w:val="003605DB"/>
    <w:rsid w:val="00361327"/>
    <w:rsid w:val="00361789"/>
    <w:rsid w:val="0036196D"/>
    <w:rsid w:val="00361A59"/>
    <w:rsid w:val="00361D8E"/>
    <w:rsid w:val="00362136"/>
    <w:rsid w:val="003621D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0CD6"/>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28B"/>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108"/>
    <w:rsid w:val="00411237"/>
    <w:rsid w:val="004113A1"/>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214"/>
    <w:rsid w:val="00426B30"/>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4145"/>
    <w:rsid w:val="00454660"/>
    <w:rsid w:val="004546A7"/>
    <w:rsid w:val="00454831"/>
    <w:rsid w:val="004548DF"/>
    <w:rsid w:val="0045663C"/>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542"/>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1D8"/>
    <w:rsid w:val="004A3225"/>
    <w:rsid w:val="004A3484"/>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A7FB8"/>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5C09"/>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26F"/>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4953"/>
    <w:rsid w:val="005455FB"/>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298"/>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7796E"/>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7D2"/>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A99"/>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7053"/>
    <w:rsid w:val="006973A1"/>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1FBE"/>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4EFC"/>
    <w:rsid w:val="006C53EB"/>
    <w:rsid w:val="006C5434"/>
    <w:rsid w:val="006C5D29"/>
    <w:rsid w:val="006C624B"/>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4C5C"/>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6CD2"/>
    <w:rsid w:val="00797D8F"/>
    <w:rsid w:val="007A0C00"/>
    <w:rsid w:val="007A0E15"/>
    <w:rsid w:val="007A176E"/>
    <w:rsid w:val="007A19BF"/>
    <w:rsid w:val="007A2A69"/>
    <w:rsid w:val="007A2CF1"/>
    <w:rsid w:val="007A3579"/>
    <w:rsid w:val="007A384E"/>
    <w:rsid w:val="007A3EDF"/>
    <w:rsid w:val="007A41B5"/>
    <w:rsid w:val="007A4486"/>
    <w:rsid w:val="007A4682"/>
    <w:rsid w:val="007A4FE5"/>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5D"/>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1E9F"/>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368E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745B"/>
    <w:rsid w:val="008576B1"/>
    <w:rsid w:val="00857AF7"/>
    <w:rsid w:val="00857BE5"/>
    <w:rsid w:val="00860109"/>
    <w:rsid w:val="008601BD"/>
    <w:rsid w:val="00860359"/>
    <w:rsid w:val="00860E43"/>
    <w:rsid w:val="00861252"/>
    <w:rsid w:val="0086171A"/>
    <w:rsid w:val="0086226C"/>
    <w:rsid w:val="008625E8"/>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945"/>
    <w:rsid w:val="00896C56"/>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67B"/>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6D6"/>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503"/>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11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93"/>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785"/>
    <w:rsid w:val="00973B96"/>
    <w:rsid w:val="00973E3C"/>
    <w:rsid w:val="00974763"/>
    <w:rsid w:val="009757CA"/>
    <w:rsid w:val="0097617E"/>
    <w:rsid w:val="00976E76"/>
    <w:rsid w:val="00977A14"/>
    <w:rsid w:val="00977DB2"/>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C9"/>
    <w:rsid w:val="00994CDC"/>
    <w:rsid w:val="00995AC3"/>
    <w:rsid w:val="009969CD"/>
    <w:rsid w:val="0099770A"/>
    <w:rsid w:val="00997769"/>
    <w:rsid w:val="00997A2E"/>
    <w:rsid w:val="009A048E"/>
    <w:rsid w:val="009A119F"/>
    <w:rsid w:val="009A1609"/>
    <w:rsid w:val="009A16A3"/>
    <w:rsid w:val="009A1702"/>
    <w:rsid w:val="009A1A7E"/>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47B"/>
    <w:rsid w:val="009E4664"/>
    <w:rsid w:val="009E4D8E"/>
    <w:rsid w:val="009E4E90"/>
    <w:rsid w:val="009E4EB7"/>
    <w:rsid w:val="009E57C1"/>
    <w:rsid w:val="009E624A"/>
    <w:rsid w:val="009E6B32"/>
    <w:rsid w:val="009E6DF6"/>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2DB3"/>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8B7"/>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E38"/>
    <w:rsid w:val="00A53F7B"/>
    <w:rsid w:val="00A54090"/>
    <w:rsid w:val="00A54282"/>
    <w:rsid w:val="00A546F1"/>
    <w:rsid w:val="00A5474C"/>
    <w:rsid w:val="00A549D3"/>
    <w:rsid w:val="00A54DF0"/>
    <w:rsid w:val="00A57E98"/>
    <w:rsid w:val="00A60017"/>
    <w:rsid w:val="00A60849"/>
    <w:rsid w:val="00A6105B"/>
    <w:rsid w:val="00A61355"/>
    <w:rsid w:val="00A6135A"/>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776B0"/>
    <w:rsid w:val="00A8008F"/>
    <w:rsid w:val="00A804C7"/>
    <w:rsid w:val="00A80625"/>
    <w:rsid w:val="00A80857"/>
    <w:rsid w:val="00A80A39"/>
    <w:rsid w:val="00A80D41"/>
    <w:rsid w:val="00A80DF0"/>
    <w:rsid w:val="00A80E64"/>
    <w:rsid w:val="00A81A16"/>
    <w:rsid w:val="00A823A7"/>
    <w:rsid w:val="00A824D4"/>
    <w:rsid w:val="00A825C8"/>
    <w:rsid w:val="00A82742"/>
    <w:rsid w:val="00A828A4"/>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897"/>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299"/>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AFB"/>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77A"/>
    <w:rsid w:val="00B97D02"/>
    <w:rsid w:val="00BA0304"/>
    <w:rsid w:val="00BA0557"/>
    <w:rsid w:val="00BA060E"/>
    <w:rsid w:val="00BA19C4"/>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1D35"/>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5F2"/>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3C8E"/>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F97"/>
    <w:rsid w:val="00C65585"/>
    <w:rsid w:val="00C656EB"/>
    <w:rsid w:val="00C65DF4"/>
    <w:rsid w:val="00C661C6"/>
    <w:rsid w:val="00C67880"/>
    <w:rsid w:val="00C67B49"/>
    <w:rsid w:val="00C711F5"/>
    <w:rsid w:val="00C71326"/>
    <w:rsid w:val="00C713A1"/>
    <w:rsid w:val="00C71828"/>
    <w:rsid w:val="00C72105"/>
    <w:rsid w:val="00C73D7D"/>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B8B"/>
    <w:rsid w:val="00CA1C0D"/>
    <w:rsid w:val="00CA1DAE"/>
    <w:rsid w:val="00CA1E62"/>
    <w:rsid w:val="00CA2267"/>
    <w:rsid w:val="00CA38AD"/>
    <w:rsid w:val="00CA3EEE"/>
    <w:rsid w:val="00CA43EA"/>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0FE"/>
    <w:rsid w:val="00CD5249"/>
    <w:rsid w:val="00CD589F"/>
    <w:rsid w:val="00CD5BE2"/>
    <w:rsid w:val="00CD60C9"/>
    <w:rsid w:val="00CD6345"/>
    <w:rsid w:val="00CD6BBB"/>
    <w:rsid w:val="00CD6EC2"/>
    <w:rsid w:val="00CD7319"/>
    <w:rsid w:val="00CD744E"/>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4E3"/>
    <w:rsid w:val="00CF1833"/>
    <w:rsid w:val="00CF1AEA"/>
    <w:rsid w:val="00CF2091"/>
    <w:rsid w:val="00CF21F6"/>
    <w:rsid w:val="00CF2278"/>
    <w:rsid w:val="00CF2C62"/>
    <w:rsid w:val="00CF2F66"/>
    <w:rsid w:val="00CF337B"/>
    <w:rsid w:val="00CF3FE7"/>
    <w:rsid w:val="00CF4416"/>
    <w:rsid w:val="00CF5607"/>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6CD"/>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B9F"/>
    <w:rsid w:val="00D33565"/>
    <w:rsid w:val="00D33761"/>
    <w:rsid w:val="00D33762"/>
    <w:rsid w:val="00D33A91"/>
    <w:rsid w:val="00D341C7"/>
    <w:rsid w:val="00D344B7"/>
    <w:rsid w:val="00D34A5B"/>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B98"/>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442"/>
    <w:rsid w:val="00D547E0"/>
    <w:rsid w:val="00D54992"/>
    <w:rsid w:val="00D55291"/>
    <w:rsid w:val="00D55C48"/>
    <w:rsid w:val="00D55E47"/>
    <w:rsid w:val="00D56392"/>
    <w:rsid w:val="00D56997"/>
    <w:rsid w:val="00D570E6"/>
    <w:rsid w:val="00D5730F"/>
    <w:rsid w:val="00D5774F"/>
    <w:rsid w:val="00D57E82"/>
    <w:rsid w:val="00D6001F"/>
    <w:rsid w:val="00D60809"/>
    <w:rsid w:val="00D60D7F"/>
    <w:rsid w:val="00D61C9C"/>
    <w:rsid w:val="00D62111"/>
    <w:rsid w:val="00D62229"/>
    <w:rsid w:val="00D625B8"/>
    <w:rsid w:val="00D626F8"/>
    <w:rsid w:val="00D62A03"/>
    <w:rsid w:val="00D6365C"/>
    <w:rsid w:val="00D636DC"/>
    <w:rsid w:val="00D63F14"/>
    <w:rsid w:val="00D63F4C"/>
    <w:rsid w:val="00D64613"/>
    <w:rsid w:val="00D64702"/>
    <w:rsid w:val="00D649A9"/>
    <w:rsid w:val="00D659FA"/>
    <w:rsid w:val="00D66924"/>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15B"/>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621"/>
    <w:rsid w:val="00DA5D5D"/>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3D16"/>
    <w:rsid w:val="00E142FF"/>
    <w:rsid w:val="00E14EFA"/>
    <w:rsid w:val="00E151B9"/>
    <w:rsid w:val="00E158C4"/>
    <w:rsid w:val="00E161E6"/>
    <w:rsid w:val="00E167C9"/>
    <w:rsid w:val="00E1698C"/>
    <w:rsid w:val="00E16BDB"/>
    <w:rsid w:val="00E16EDB"/>
    <w:rsid w:val="00E172BE"/>
    <w:rsid w:val="00E17991"/>
    <w:rsid w:val="00E17CF7"/>
    <w:rsid w:val="00E205D6"/>
    <w:rsid w:val="00E209AB"/>
    <w:rsid w:val="00E216EC"/>
    <w:rsid w:val="00E2189A"/>
    <w:rsid w:val="00E21A60"/>
    <w:rsid w:val="00E22B5A"/>
    <w:rsid w:val="00E22B68"/>
    <w:rsid w:val="00E231C9"/>
    <w:rsid w:val="00E23EBF"/>
    <w:rsid w:val="00E23FD5"/>
    <w:rsid w:val="00E24669"/>
    <w:rsid w:val="00E24836"/>
    <w:rsid w:val="00E24C48"/>
    <w:rsid w:val="00E24EE4"/>
    <w:rsid w:val="00E25981"/>
    <w:rsid w:val="00E26141"/>
    <w:rsid w:val="00E266F5"/>
    <w:rsid w:val="00E26C97"/>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010"/>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593"/>
    <w:rsid w:val="00E50B6F"/>
    <w:rsid w:val="00E50EBE"/>
    <w:rsid w:val="00E50F69"/>
    <w:rsid w:val="00E50FC6"/>
    <w:rsid w:val="00E5227B"/>
    <w:rsid w:val="00E52372"/>
    <w:rsid w:val="00E5265A"/>
    <w:rsid w:val="00E52786"/>
    <w:rsid w:val="00E52F05"/>
    <w:rsid w:val="00E53579"/>
    <w:rsid w:val="00E540CA"/>
    <w:rsid w:val="00E543D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684"/>
    <w:rsid w:val="00EF0808"/>
    <w:rsid w:val="00EF1002"/>
    <w:rsid w:val="00EF143F"/>
    <w:rsid w:val="00EF1D3B"/>
    <w:rsid w:val="00EF236B"/>
    <w:rsid w:val="00EF23D8"/>
    <w:rsid w:val="00EF2678"/>
    <w:rsid w:val="00EF2A5A"/>
    <w:rsid w:val="00EF2A87"/>
    <w:rsid w:val="00EF3A74"/>
    <w:rsid w:val="00EF3AE9"/>
    <w:rsid w:val="00EF3EA5"/>
    <w:rsid w:val="00EF49FB"/>
    <w:rsid w:val="00EF5072"/>
    <w:rsid w:val="00EF55D6"/>
    <w:rsid w:val="00EF644D"/>
    <w:rsid w:val="00EF6BAD"/>
    <w:rsid w:val="00EF6D29"/>
    <w:rsid w:val="00EF7138"/>
    <w:rsid w:val="00EF7E0B"/>
    <w:rsid w:val="00F00725"/>
    <w:rsid w:val="00F00881"/>
    <w:rsid w:val="00F00917"/>
    <w:rsid w:val="00F0096B"/>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3DC"/>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9C0"/>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63"/>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398"/>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00C"/>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2EF"/>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17D"/>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2FAD"/>
    <w:rsid w:val="00FE3640"/>
    <w:rsid w:val="00FE3780"/>
    <w:rsid w:val="00FE3954"/>
    <w:rsid w:val="00FE3CF7"/>
    <w:rsid w:val="00FE3E50"/>
    <w:rsid w:val="00FE4071"/>
    <w:rsid w:val="00FE42E3"/>
    <w:rsid w:val="00FE4DF8"/>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6D5B1F"/>
    <w:rsid w:val="017E3F71"/>
    <w:rsid w:val="01AA2C10"/>
    <w:rsid w:val="01AD4030"/>
    <w:rsid w:val="02232CDA"/>
    <w:rsid w:val="024048CC"/>
    <w:rsid w:val="030B0231"/>
    <w:rsid w:val="03243B44"/>
    <w:rsid w:val="03445BAF"/>
    <w:rsid w:val="037738D8"/>
    <w:rsid w:val="0379766E"/>
    <w:rsid w:val="03B3705A"/>
    <w:rsid w:val="03C148C6"/>
    <w:rsid w:val="03CA2A2C"/>
    <w:rsid w:val="03D305D4"/>
    <w:rsid w:val="04003C23"/>
    <w:rsid w:val="046E4522"/>
    <w:rsid w:val="04866F05"/>
    <w:rsid w:val="048830E3"/>
    <w:rsid w:val="055A2489"/>
    <w:rsid w:val="059C2ACE"/>
    <w:rsid w:val="06065E03"/>
    <w:rsid w:val="065A3567"/>
    <w:rsid w:val="066466EB"/>
    <w:rsid w:val="068955F4"/>
    <w:rsid w:val="07563AFA"/>
    <w:rsid w:val="075F0692"/>
    <w:rsid w:val="07DB054A"/>
    <w:rsid w:val="083D2AF4"/>
    <w:rsid w:val="089F1C5C"/>
    <w:rsid w:val="08B12D0F"/>
    <w:rsid w:val="08F53B23"/>
    <w:rsid w:val="0A053C89"/>
    <w:rsid w:val="0A070656"/>
    <w:rsid w:val="0A161A75"/>
    <w:rsid w:val="0A913ED8"/>
    <w:rsid w:val="0B24171E"/>
    <w:rsid w:val="0B5C3243"/>
    <w:rsid w:val="0BAD59A4"/>
    <w:rsid w:val="0BFC043E"/>
    <w:rsid w:val="0C466B45"/>
    <w:rsid w:val="0CB6730A"/>
    <w:rsid w:val="0D2546FA"/>
    <w:rsid w:val="0D584403"/>
    <w:rsid w:val="0DEE7765"/>
    <w:rsid w:val="0E374CB2"/>
    <w:rsid w:val="0EF80318"/>
    <w:rsid w:val="0F2B5D1F"/>
    <w:rsid w:val="0F41637F"/>
    <w:rsid w:val="101C0A97"/>
    <w:rsid w:val="106A2B50"/>
    <w:rsid w:val="109127D2"/>
    <w:rsid w:val="10F42580"/>
    <w:rsid w:val="10F67974"/>
    <w:rsid w:val="112B38DF"/>
    <w:rsid w:val="11643A43"/>
    <w:rsid w:val="118A2BD9"/>
    <w:rsid w:val="12685FCD"/>
    <w:rsid w:val="128C3AEF"/>
    <w:rsid w:val="12C968B9"/>
    <w:rsid w:val="12CF0D70"/>
    <w:rsid w:val="13675AE2"/>
    <w:rsid w:val="14092C00"/>
    <w:rsid w:val="141A7AD1"/>
    <w:rsid w:val="14325FE5"/>
    <w:rsid w:val="146F2C7A"/>
    <w:rsid w:val="149E4992"/>
    <w:rsid w:val="14B24AC5"/>
    <w:rsid w:val="14E629C1"/>
    <w:rsid w:val="155E73B6"/>
    <w:rsid w:val="15A50F01"/>
    <w:rsid w:val="15ED343A"/>
    <w:rsid w:val="16D44AE5"/>
    <w:rsid w:val="16FF7D6A"/>
    <w:rsid w:val="170E5D26"/>
    <w:rsid w:val="179F2D15"/>
    <w:rsid w:val="17BE59A2"/>
    <w:rsid w:val="18077515"/>
    <w:rsid w:val="18185849"/>
    <w:rsid w:val="182A624F"/>
    <w:rsid w:val="18CA5D94"/>
    <w:rsid w:val="18D5050E"/>
    <w:rsid w:val="19220DD8"/>
    <w:rsid w:val="19A92943"/>
    <w:rsid w:val="19AF1F1B"/>
    <w:rsid w:val="19FE1EDB"/>
    <w:rsid w:val="1A442DE9"/>
    <w:rsid w:val="1A492881"/>
    <w:rsid w:val="1BB752C4"/>
    <w:rsid w:val="1BC305D3"/>
    <w:rsid w:val="1BE135E3"/>
    <w:rsid w:val="1C6E28D1"/>
    <w:rsid w:val="1CD55680"/>
    <w:rsid w:val="1D2923BB"/>
    <w:rsid w:val="1D321E13"/>
    <w:rsid w:val="1D863A66"/>
    <w:rsid w:val="1DBC044E"/>
    <w:rsid w:val="1DF2140B"/>
    <w:rsid w:val="1E0871A5"/>
    <w:rsid w:val="1E7F3055"/>
    <w:rsid w:val="1F15637C"/>
    <w:rsid w:val="1F1E0681"/>
    <w:rsid w:val="1F4849CA"/>
    <w:rsid w:val="1F873477"/>
    <w:rsid w:val="1FEE3B6D"/>
    <w:rsid w:val="20DB25F5"/>
    <w:rsid w:val="2109713F"/>
    <w:rsid w:val="211B5E6C"/>
    <w:rsid w:val="21455F84"/>
    <w:rsid w:val="21604377"/>
    <w:rsid w:val="21C46D8D"/>
    <w:rsid w:val="22257DDF"/>
    <w:rsid w:val="22BE4F7D"/>
    <w:rsid w:val="240C524F"/>
    <w:rsid w:val="24977600"/>
    <w:rsid w:val="24B831E2"/>
    <w:rsid w:val="24D740D4"/>
    <w:rsid w:val="250B120F"/>
    <w:rsid w:val="252A5FEE"/>
    <w:rsid w:val="252C7220"/>
    <w:rsid w:val="25F20A0B"/>
    <w:rsid w:val="26071ED5"/>
    <w:rsid w:val="26226B65"/>
    <w:rsid w:val="268115AD"/>
    <w:rsid w:val="26A50560"/>
    <w:rsid w:val="26A849D7"/>
    <w:rsid w:val="270F55EE"/>
    <w:rsid w:val="272C1AA4"/>
    <w:rsid w:val="272F1A96"/>
    <w:rsid w:val="277342E4"/>
    <w:rsid w:val="27F52753"/>
    <w:rsid w:val="283D28D2"/>
    <w:rsid w:val="28730E0A"/>
    <w:rsid w:val="297B0CF7"/>
    <w:rsid w:val="29EA1C5D"/>
    <w:rsid w:val="2B610862"/>
    <w:rsid w:val="2B822DA1"/>
    <w:rsid w:val="2B84499D"/>
    <w:rsid w:val="2BB519C2"/>
    <w:rsid w:val="2C541884"/>
    <w:rsid w:val="2E6C1F52"/>
    <w:rsid w:val="2E86514D"/>
    <w:rsid w:val="2EA133AF"/>
    <w:rsid w:val="2EDD2DD9"/>
    <w:rsid w:val="2F723467"/>
    <w:rsid w:val="2F8D1312"/>
    <w:rsid w:val="2FC735BF"/>
    <w:rsid w:val="2FE95BCF"/>
    <w:rsid w:val="300E1349"/>
    <w:rsid w:val="306835D0"/>
    <w:rsid w:val="30B91060"/>
    <w:rsid w:val="30E72F29"/>
    <w:rsid w:val="30FE3555"/>
    <w:rsid w:val="315638BF"/>
    <w:rsid w:val="32A0292F"/>
    <w:rsid w:val="32A02B99"/>
    <w:rsid w:val="32A96F82"/>
    <w:rsid w:val="337D5F7B"/>
    <w:rsid w:val="33BB606C"/>
    <w:rsid w:val="33D414D0"/>
    <w:rsid w:val="33EF7744"/>
    <w:rsid w:val="341B2B8A"/>
    <w:rsid w:val="3439368F"/>
    <w:rsid w:val="34603E67"/>
    <w:rsid w:val="34D80DC2"/>
    <w:rsid w:val="3502693D"/>
    <w:rsid w:val="355670BD"/>
    <w:rsid w:val="35AD6EB7"/>
    <w:rsid w:val="35CD358A"/>
    <w:rsid w:val="35CF1523"/>
    <w:rsid w:val="36232DB0"/>
    <w:rsid w:val="36344677"/>
    <w:rsid w:val="364C0A0B"/>
    <w:rsid w:val="36941E25"/>
    <w:rsid w:val="37133A2A"/>
    <w:rsid w:val="37B13A6E"/>
    <w:rsid w:val="383F3729"/>
    <w:rsid w:val="385F359C"/>
    <w:rsid w:val="38F632D5"/>
    <w:rsid w:val="38F8623C"/>
    <w:rsid w:val="397228F1"/>
    <w:rsid w:val="39897D58"/>
    <w:rsid w:val="39952401"/>
    <w:rsid w:val="3A292104"/>
    <w:rsid w:val="3A514476"/>
    <w:rsid w:val="3A7A619C"/>
    <w:rsid w:val="3B942BFC"/>
    <w:rsid w:val="3BA80B19"/>
    <w:rsid w:val="3BB24C42"/>
    <w:rsid w:val="3C2C0986"/>
    <w:rsid w:val="3C4240EC"/>
    <w:rsid w:val="3C436239"/>
    <w:rsid w:val="3C9B0CDC"/>
    <w:rsid w:val="3CEC7A89"/>
    <w:rsid w:val="3D711B40"/>
    <w:rsid w:val="3D9C2824"/>
    <w:rsid w:val="3E79027E"/>
    <w:rsid w:val="3E800AA6"/>
    <w:rsid w:val="3E9E3378"/>
    <w:rsid w:val="3EA06158"/>
    <w:rsid w:val="3F3A1FEB"/>
    <w:rsid w:val="3F6E2720"/>
    <w:rsid w:val="40A67243"/>
    <w:rsid w:val="40C918B7"/>
    <w:rsid w:val="410E79CF"/>
    <w:rsid w:val="41D94106"/>
    <w:rsid w:val="42127380"/>
    <w:rsid w:val="421F7112"/>
    <w:rsid w:val="42253D73"/>
    <w:rsid w:val="4306458F"/>
    <w:rsid w:val="433464D9"/>
    <w:rsid w:val="43471661"/>
    <w:rsid w:val="43DC09B4"/>
    <w:rsid w:val="440207A2"/>
    <w:rsid w:val="44052354"/>
    <w:rsid w:val="44592171"/>
    <w:rsid w:val="447F3239"/>
    <w:rsid w:val="44E4602A"/>
    <w:rsid w:val="44EE4DF6"/>
    <w:rsid w:val="45B80788"/>
    <w:rsid w:val="46131A33"/>
    <w:rsid w:val="46B26E64"/>
    <w:rsid w:val="46C84F30"/>
    <w:rsid w:val="46CD4339"/>
    <w:rsid w:val="470D3FDC"/>
    <w:rsid w:val="47402D62"/>
    <w:rsid w:val="47846F53"/>
    <w:rsid w:val="47E9061B"/>
    <w:rsid w:val="484245C7"/>
    <w:rsid w:val="486A2528"/>
    <w:rsid w:val="488D7CFE"/>
    <w:rsid w:val="48AA5D0E"/>
    <w:rsid w:val="48CC3E16"/>
    <w:rsid w:val="48DC2738"/>
    <w:rsid w:val="49323FD7"/>
    <w:rsid w:val="494A0F18"/>
    <w:rsid w:val="49776805"/>
    <w:rsid w:val="498A1DD5"/>
    <w:rsid w:val="4A607D44"/>
    <w:rsid w:val="4A9744EB"/>
    <w:rsid w:val="4B5E4F76"/>
    <w:rsid w:val="4BE95365"/>
    <w:rsid w:val="4C12409B"/>
    <w:rsid w:val="4C3E6663"/>
    <w:rsid w:val="4C9A0766"/>
    <w:rsid w:val="4CE900BA"/>
    <w:rsid w:val="4D9B7742"/>
    <w:rsid w:val="4E4E0551"/>
    <w:rsid w:val="4E9B14FE"/>
    <w:rsid w:val="4EAC5711"/>
    <w:rsid w:val="4EB7395D"/>
    <w:rsid w:val="4EDD1592"/>
    <w:rsid w:val="4F807777"/>
    <w:rsid w:val="4F954A11"/>
    <w:rsid w:val="4FA801C2"/>
    <w:rsid w:val="50056E75"/>
    <w:rsid w:val="50905620"/>
    <w:rsid w:val="5096171A"/>
    <w:rsid w:val="50AE44EC"/>
    <w:rsid w:val="50FB6807"/>
    <w:rsid w:val="51B2004B"/>
    <w:rsid w:val="51C44034"/>
    <w:rsid w:val="52784A39"/>
    <w:rsid w:val="52904232"/>
    <w:rsid w:val="52AE6C76"/>
    <w:rsid w:val="530D0299"/>
    <w:rsid w:val="54556AEA"/>
    <w:rsid w:val="54AF6350"/>
    <w:rsid w:val="55131A57"/>
    <w:rsid w:val="55622629"/>
    <w:rsid w:val="559B3EDF"/>
    <w:rsid w:val="5600598B"/>
    <w:rsid w:val="577D71D5"/>
    <w:rsid w:val="5875340D"/>
    <w:rsid w:val="589B369A"/>
    <w:rsid w:val="59013423"/>
    <w:rsid w:val="59A91B82"/>
    <w:rsid w:val="59D9433B"/>
    <w:rsid w:val="5A3A2DDD"/>
    <w:rsid w:val="5A3B58F7"/>
    <w:rsid w:val="5A6B18C8"/>
    <w:rsid w:val="5A9A2195"/>
    <w:rsid w:val="5AD95FD9"/>
    <w:rsid w:val="5B2B06FA"/>
    <w:rsid w:val="5B45224A"/>
    <w:rsid w:val="5BB156CE"/>
    <w:rsid w:val="5BF449CD"/>
    <w:rsid w:val="5BF918A2"/>
    <w:rsid w:val="5C6914DA"/>
    <w:rsid w:val="5C9C6C3E"/>
    <w:rsid w:val="5D064F7B"/>
    <w:rsid w:val="5D7A1789"/>
    <w:rsid w:val="5E58442C"/>
    <w:rsid w:val="5F476C8C"/>
    <w:rsid w:val="5F8A1E93"/>
    <w:rsid w:val="5FB23511"/>
    <w:rsid w:val="602821CF"/>
    <w:rsid w:val="602B337F"/>
    <w:rsid w:val="60423B49"/>
    <w:rsid w:val="613B6D54"/>
    <w:rsid w:val="61BF7DEE"/>
    <w:rsid w:val="62093465"/>
    <w:rsid w:val="629136A4"/>
    <w:rsid w:val="62A501F8"/>
    <w:rsid w:val="62B8336A"/>
    <w:rsid w:val="635F5CFB"/>
    <w:rsid w:val="63E340FD"/>
    <w:rsid w:val="64337579"/>
    <w:rsid w:val="64441196"/>
    <w:rsid w:val="648B53C8"/>
    <w:rsid w:val="65091B75"/>
    <w:rsid w:val="65581018"/>
    <w:rsid w:val="6568774A"/>
    <w:rsid w:val="65880203"/>
    <w:rsid w:val="65BC6440"/>
    <w:rsid w:val="65C36E7F"/>
    <w:rsid w:val="65D21A26"/>
    <w:rsid w:val="663A7A43"/>
    <w:rsid w:val="663B7430"/>
    <w:rsid w:val="671E1CA4"/>
    <w:rsid w:val="672A0BC3"/>
    <w:rsid w:val="687775B2"/>
    <w:rsid w:val="69272934"/>
    <w:rsid w:val="6A125484"/>
    <w:rsid w:val="6A1B14A7"/>
    <w:rsid w:val="6A97243B"/>
    <w:rsid w:val="6AA20903"/>
    <w:rsid w:val="6AB3434B"/>
    <w:rsid w:val="6B241A17"/>
    <w:rsid w:val="6B5D4AE2"/>
    <w:rsid w:val="6CF842FA"/>
    <w:rsid w:val="6D8B7151"/>
    <w:rsid w:val="6E1148C4"/>
    <w:rsid w:val="6E8F6D71"/>
    <w:rsid w:val="6E914282"/>
    <w:rsid w:val="6E9C0F6F"/>
    <w:rsid w:val="6EC63EBA"/>
    <w:rsid w:val="6F0E4EC3"/>
    <w:rsid w:val="6F101C89"/>
    <w:rsid w:val="6F167263"/>
    <w:rsid w:val="6F3E7E5E"/>
    <w:rsid w:val="6F911A9C"/>
    <w:rsid w:val="6FAD2D0B"/>
    <w:rsid w:val="70557737"/>
    <w:rsid w:val="706D27E8"/>
    <w:rsid w:val="71AD7318"/>
    <w:rsid w:val="71F24792"/>
    <w:rsid w:val="720C748B"/>
    <w:rsid w:val="724D7C42"/>
    <w:rsid w:val="726D70E7"/>
    <w:rsid w:val="72A63D8F"/>
    <w:rsid w:val="72AA4217"/>
    <w:rsid w:val="72C91590"/>
    <w:rsid w:val="72F53D50"/>
    <w:rsid w:val="72FD2BE5"/>
    <w:rsid w:val="733F5A99"/>
    <w:rsid w:val="734A161C"/>
    <w:rsid w:val="73CB5F4F"/>
    <w:rsid w:val="73EE527B"/>
    <w:rsid w:val="747D74F0"/>
    <w:rsid w:val="749B3E5E"/>
    <w:rsid w:val="74A32447"/>
    <w:rsid w:val="74C31ECB"/>
    <w:rsid w:val="75942919"/>
    <w:rsid w:val="75D86E52"/>
    <w:rsid w:val="760F6F23"/>
    <w:rsid w:val="76180FA2"/>
    <w:rsid w:val="779E3134"/>
    <w:rsid w:val="78374ED5"/>
    <w:rsid w:val="784167FA"/>
    <w:rsid w:val="7987746E"/>
    <w:rsid w:val="79D82DC2"/>
    <w:rsid w:val="7A4D3D91"/>
    <w:rsid w:val="7A655239"/>
    <w:rsid w:val="7A840B6D"/>
    <w:rsid w:val="7A8E5E0D"/>
    <w:rsid w:val="7A9F2208"/>
    <w:rsid w:val="7AAA36FF"/>
    <w:rsid w:val="7AB63632"/>
    <w:rsid w:val="7ACA4603"/>
    <w:rsid w:val="7B711637"/>
    <w:rsid w:val="7C9C4E59"/>
    <w:rsid w:val="7D4273F0"/>
    <w:rsid w:val="7D926B31"/>
    <w:rsid w:val="7E092C14"/>
    <w:rsid w:val="7E2C7452"/>
    <w:rsid w:val="7E2F1D63"/>
    <w:rsid w:val="7E6846B6"/>
    <w:rsid w:val="7ED70165"/>
    <w:rsid w:val="7F482401"/>
    <w:rsid w:val="7F863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0"/>
    <w:qFormat/>
    <w:uiPriority w:val="0"/>
    <w:pPr>
      <w:keepNext/>
      <w:keepLines/>
      <w:spacing w:before="260" w:after="260" w:line="416" w:lineRule="auto"/>
      <w:outlineLvl w:val="2"/>
    </w:pPr>
    <w:rPr>
      <w:b/>
      <w:bCs/>
      <w:kern w:val="0"/>
      <w:sz w:val="32"/>
      <w:szCs w:val="32"/>
    </w:rPr>
  </w:style>
  <w:style w:type="paragraph" w:styleId="6">
    <w:name w:val="heading 5"/>
    <w:basedOn w:val="1"/>
    <w:next w:val="7"/>
    <w:link w:val="6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3"/>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6"/>
    <w:unhideWhenUsed/>
    <w:qFormat/>
    <w:uiPriority w:val="0"/>
    <w:pPr>
      <w:shd w:val="clear" w:color="auto" w:fill="000080"/>
    </w:pPr>
    <w:rPr>
      <w:rFonts w:hint="eastAsia" w:ascii="宋体" w:hAnsi="宋体"/>
      <w:kern w:val="0"/>
      <w:sz w:val="20"/>
      <w:szCs w:val="20"/>
    </w:rPr>
  </w:style>
  <w:style w:type="paragraph" w:styleId="16">
    <w:name w:val="annotation text"/>
    <w:basedOn w:val="1"/>
    <w:link w:val="67"/>
    <w:unhideWhenUsed/>
    <w:qFormat/>
    <w:uiPriority w:val="0"/>
    <w:pPr>
      <w:jc w:val="left"/>
    </w:pPr>
  </w:style>
  <w:style w:type="paragraph" w:styleId="17">
    <w:name w:val="Body Text 3"/>
    <w:basedOn w:val="1"/>
    <w:link w:val="68"/>
    <w:qFormat/>
    <w:uiPriority w:val="0"/>
    <w:pPr>
      <w:spacing w:line="500" w:lineRule="exact"/>
    </w:pPr>
    <w:rPr>
      <w:b/>
      <w:bCs/>
      <w:kern w:val="0"/>
      <w:sz w:val="24"/>
    </w:rPr>
  </w:style>
  <w:style w:type="paragraph" w:styleId="18">
    <w:name w:val="Body Text"/>
    <w:basedOn w:val="1"/>
    <w:link w:val="69"/>
    <w:qFormat/>
    <w:uiPriority w:val="99"/>
    <w:pPr>
      <w:spacing w:line="380" w:lineRule="exact"/>
    </w:pPr>
    <w:rPr>
      <w:kern w:val="0"/>
      <w:sz w:val="24"/>
    </w:rPr>
  </w:style>
  <w:style w:type="paragraph" w:styleId="19">
    <w:name w:val="Body Text Indent"/>
    <w:basedOn w:val="1"/>
    <w:next w:val="20"/>
    <w:link w:val="70"/>
    <w:qFormat/>
    <w:uiPriority w:val="0"/>
    <w:pPr>
      <w:ind w:firstLine="830" w:firstLineChars="352"/>
    </w:pPr>
    <w:rPr>
      <w:rFonts w:ascii="仿宋_GB2312" w:eastAsia="仿宋_GB2312"/>
      <w:kern w:val="0"/>
      <w:sz w:val="32"/>
      <w:szCs w:val="20"/>
    </w:rPr>
  </w:style>
  <w:style w:type="paragraph" w:styleId="20">
    <w:name w:val="envelope return"/>
    <w:basedOn w:val="1"/>
    <w:qFormat/>
    <w:uiPriority w:val="0"/>
    <w:pPr>
      <w:tabs>
        <w:tab w:val="left" w:pos="1160"/>
      </w:tabs>
      <w:snapToGrid w:val="0"/>
    </w:pPr>
    <w:rPr>
      <w:rFonts w:ascii="Arial" w:hAnsi="Arial"/>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link w:val="71"/>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72"/>
    <w:qFormat/>
    <w:uiPriority w:val="0"/>
    <w:pPr>
      <w:ind w:left="100" w:leftChars="2500"/>
    </w:pPr>
    <w:rPr>
      <w:rFonts w:ascii="宋体" w:hAnsi="Courier New"/>
      <w:kern w:val="0"/>
      <w:sz w:val="20"/>
      <w:szCs w:val="21"/>
    </w:rPr>
  </w:style>
  <w:style w:type="paragraph" w:styleId="28">
    <w:name w:val="Body Text Indent 2"/>
    <w:basedOn w:val="1"/>
    <w:link w:val="73"/>
    <w:qFormat/>
    <w:uiPriority w:val="0"/>
    <w:pPr>
      <w:ind w:firstLine="630"/>
    </w:pPr>
    <w:rPr>
      <w:kern w:val="0"/>
      <w:sz w:val="32"/>
      <w:szCs w:val="20"/>
    </w:rPr>
  </w:style>
  <w:style w:type="paragraph" w:styleId="29">
    <w:name w:val="endnote text"/>
    <w:basedOn w:val="1"/>
    <w:link w:val="74"/>
    <w:unhideWhenUsed/>
    <w:qFormat/>
    <w:uiPriority w:val="99"/>
    <w:pPr>
      <w:snapToGrid w:val="0"/>
      <w:jc w:val="left"/>
    </w:pPr>
  </w:style>
  <w:style w:type="paragraph" w:styleId="30">
    <w:name w:val="Balloon Text"/>
    <w:basedOn w:val="1"/>
    <w:link w:val="75"/>
    <w:semiHidden/>
    <w:qFormat/>
    <w:uiPriority w:val="0"/>
    <w:rPr>
      <w:kern w:val="0"/>
      <w:sz w:val="18"/>
      <w:szCs w:val="18"/>
    </w:rPr>
  </w:style>
  <w:style w:type="paragraph" w:styleId="31">
    <w:name w:val="footer"/>
    <w:basedOn w:val="1"/>
    <w:link w:val="76"/>
    <w:unhideWhenUsed/>
    <w:qFormat/>
    <w:uiPriority w:val="99"/>
    <w:pPr>
      <w:tabs>
        <w:tab w:val="center" w:pos="4153"/>
        <w:tab w:val="right" w:pos="8306"/>
      </w:tabs>
      <w:snapToGrid w:val="0"/>
      <w:jc w:val="left"/>
    </w:pPr>
    <w:rPr>
      <w:kern w:val="0"/>
      <w:sz w:val="18"/>
      <w:szCs w:val="18"/>
    </w:rPr>
  </w:style>
  <w:style w:type="paragraph" w:styleId="32">
    <w:name w:val="header"/>
    <w:basedOn w:val="1"/>
    <w:link w:val="77"/>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78"/>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79"/>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80"/>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1"/>
    <w:qFormat/>
    <w:uiPriority w:val="10"/>
    <w:pPr>
      <w:spacing w:before="240" w:after="60"/>
      <w:jc w:val="center"/>
      <w:outlineLvl w:val="0"/>
    </w:pPr>
    <w:rPr>
      <w:rFonts w:ascii="Cambria" w:hAnsi="Cambria"/>
      <w:b/>
      <w:bCs/>
      <w:sz w:val="32"/>
      <w:szCs w:val="32"/>
    </w:rPr>
  </w:style>
  <w:style w:type="paragraph" w:styleId="45">
    <w:name w:val="annotation subject"/>
    <w:basedOn w:val="16"/>
    <w:next w:val="16"/>
    <w:link w:val="82"/>
    <w:unhideWhenUsed/>
    <w:qFormat/>
    <w:uiPriority w:val="99"/>
    <w:rPr>
      <w:b/>
      <w:bCs/>
    </w:rPr>
  </w:style>
  <w:style w:type="paragraph" w:styleId="46">
    <w:name w:val="Body Text First Indent"/>
    <w:basedOn w:val="18"/>
    <w:qFormat/>
    <w:uiPriority w:val="99"/>
    <w:pPr>
      <w:ind w:left="138" w:firstLine="420" w:firstLineChars="100"/>
    </w:pPr>
    <w:rPr>
      <w:rFonts w:ascii="宋体" w:hAnsi="宋体"/>
      <w:sz w:val="28"/>
    </w:rPr>
  </w:style>
  <w:style w:type="paragraph" w:styleId="47">
    <w:name w:val="Body Text First Indent 2"/>
    <w:basedOn w:val="19"/>
    <w:qFormat/>
    <w:uiPriority w:val="0"/>
    <w:pPr>
      <w:tabs>
        <w:tab w:val="left" w:pos="1160"/>
      </w:tabs>
      <w:spacing w:after="120"/>
      <w:ind w:left="420" w:leftChars="200" w:firstLine="420" w:firstLineChars="200"/>
    </w:pPr>
    <w:rPr>
      <w:rFonts w:ascii="Times New Roman" w:eastAsia="宋体"/>
      <w:sz w:val="21"/>
      <w:szCs w:val="24"/>
    </w:rPr>
  </w:style>
  <w:style w:type="table" w:styleId="49">
    <w:name w:val="Table Grid"/>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character" w:customStyle="1" w:styleId="58">
    <w:name w:val="标题 1 字符1"/>
    <w:link w:val="3"/>
    <w:qFormat/>
    <w:uiPriority w:val="0"/>
    <w:rPr>
      <w:rFonts w:ascii="Times New Roman" w:hAnsi="Times New Roman" w:eastAsia="宋体" w:cs="Times New Roman"/>
      <w:b/>
      <w:bCs/>
      <w:kern w:val="44"/>
      <w:sz w:val="44"/>
      <w:szCs w:val="44"/>
    </w:rPr>
  </w:style>
  <w:style w:type="character" w:customStyle="1" w:styleId="59">
    <w:name w:val="标题 2 字符"/>
    <w:link w:val="4"/>
    <w:qFormat/>
    <w:uiPriority w:val="0"/>
    <w:rPr>
      <w:rFonts w:ascii="Arial" w:hAnsi="Arial" w:eastAsia="黑体" w:cs="Times New Roman"/>
      <w:b/>
      <w:bCs/>
      <w:sz w:val="32"/>
      <w:szCs w:val="32"/>
    </w:rPr>
  </w:style>
  <w:style w:type="character" w:customStyle="1" w:styleId="60">
    <w:name w:val="标题 3 字符"/>
    <w:link w:val="5"/>
    <w:qFormat/>
    <w:uiPriority w:val="0"/>
    <w:rPr>
      <w:rFonts w:ascii="Times New Roman" w:hAnsi="Times New Roman" w:eastAsia="宋体" w:cs="Times New Roman"/>
      <w:b/>
      <w:bCs/>
      <w:sz w:val="32"/>
      <w:szCs w:val="32"/>
    </w:rPr>
  </w:style>
  <w:style w:type="character" w:customStyle="1" w:styleId="61">
    <w:name w:val="标题 5 字符"/>
    <w:link w:val="6"/>
    <w:qFormat/>
    <w:uiPriority w:val="0"/>
    <w:rPr>
      <w:b/>
      <w:kern w:val="2"/>
      <w:sz w:val="28"/>
      <w:szCs w:val="24"/>
    </w:rPr>
  </w:style>
  <w:style w:type="character" w:customStyle="1" w:styleId="62">
    <w:name w:val="标题 6 字符"/>
    <w:link w:val="8"/>
    <w:qFormat/>
    <w:uiPriority w:val="0"/>
    <w:rPr>
      <w:rFonts w:ascii="Arial" w:hAnsi="Arial" w:eastAsia="黑体"/>
      <w:b/>
      <w:kern w:val="2"/>
      <w:sz w:val="24"/>
      <w:szCs w:val="24"/>
    </w:rPr>
  </w:style>
  <w:style w:type="character" w:customStyle="1" w:styleId="63">
    <w:name w:val="标题 7 字符"/>
    <w:link w:val="9"/>
    <w:qFormat/>
    <w:uiPriority w:val="0"/>
    <w:rPr>
      <w:rFonts w:ascii="Times New Roman" w:hAnsi="Times New Roman"/>
      <w:b/>
      <w:kern w:val="2"/>
      <w:sz w:val="24"/>
      <w:szCs w:val="24"/>
    </w:rPr>
  </w:style>
  <w:style w:type="character" w:customStyle="1" w:styleId="64">
    <w:name w:val="标题 8 字符"/>
    <w:link w:val="10"/>
    <w:qFormat/>
    <w:uiPriority w:val="0"/>
    <w:rPr>
      <w:rFonts w:ascii="Arial" w:hAnsi="Arial" w:eastAsia="黑体"/>
      <w:kern w:val="2"/>
      <w:sz w:val="24"/>
      <w:szCs w:val="24"/>
    </w:rPr>
  </w:style>
  <w:style w:type="character" w:customStyle="1" w:styleId="65">
    <w:name w:val="标题 9 字符"/>
    <w:link w:val="11"/>
    <w:qFormat/>
    <w:uiPriority w:val="0"/>
    <w:rPr>
      <w:rFonts w:ascii="Arial" w:hAnsi="Arial" w:eastAsia="黑体"/>
      <w:kern w:val="2"/>
      <w:sz w:val="21"/>
      <w:szCs w:val="24"/>
    </w:rPr>
  </w:style>
  <w:style w:type="character" w:customStyle="1" w:styleId="66">
    <w:name w:val="文档结构图 字符"/>
    <w:link w:val="15"/>
    <w:qFormat/>
    <w:uiPriority w:val="0"/>
    <w:rPr>
      <w:rFonts w:hint="eastAsia" w:ascii="宋体" w:hAnsi="宋体" w:eastAsia="宋体" w:cs="宋体"/>
    </w:rPr>
  </w:style>
  <w:style w:type="character" w:customStyle="1" w:styleId="67">
    <w:name w:val="批注文字 字符2"/>
    <w:link w:val="16"/>
    <w:qFormat/>
    <w:uiPriority w:val="0"/>
    <w:rPr>
      <w:rFonts w:ascii="Times New Roman" w:hAnsi="Times New Roman"/>
      <w:kern w:val="2"/>
      <w:sz w:val="21"/>
      <w:szCs w:val="24"/>
    </w:rPr>
  </w:style>
  <w:style w:type="character" w:customStyle="1" w:styleId="68">
    <w:name w:val="正文文本 3 字符"/>
    <w:link w:val="17"/>
    <w:qFormat/>
    <w:uiPriority w:val="0"/>
    <w:rPr>
      <w:rFonts w:ascii="Times New Roman" w:hAnsi="Times New Roman" w:eastAsia="宋体" w:cs="Times New Roman"/>
      <w:b/>
      <w:bCs/>
      <w:sz w:val="24"/>
      <w:szCs w:val="24"/>
    </w:rPr>
  </w:style>
  <w:style w:type="character" w:customStyle="1" w:styleId="69">
    <w:name w:val="正文文本 字符"/>
    <w:link w:val="18"/>
    <w:qFormat/>
    <w:uiPriority w:val="99"/>
    <w:rPr>
      <w:rFonts w:ascii="Times New Roman" w:hAnsi="Times New Roman" w:eastAsia="宋体" w:cs="Times New Roman"/>
      <w:sz w:val="24"/>
      <w:szCs w:val="24"/>
    </w:rPr>
  </w:style>
  <w:style w:type="character" w:customStyle="1" w:styleId="70">
    <w:name w:val="正文文本缩进 字符1"/>
    <w:link w:val="19"/>
    <w:qFormat/>
    <w:uiPriority w:val="0"/>
    <w:rPr>
      <w:rFonts w:ascii="仿宋_GB2312" w:hAnsi="Times New Roman" w:eastAsia="仿宋_GB2312" w:cs="Times New Roman"/>
      <w:sz w:val="32"/>
      <w:szCs w:val="20"/>
    </w:rPr>
  </w:style>
  <w:style w:type="character" w:customStyle="1" w:styleId="71">
    <w:name w:val="纯文本 字符2"/>
    <w:link w:val="25"/>
    <w:qFormat/>
    <w:uiPriority w:val="0"/>
    <w:rPr>
      <w:rFonts w:ascii="宋体" w:hAnsi="Courier New" w:eastAsia="宋体" w:cs="Courier New"/>
      <w:szCs w:val="21"/>
    </w:rPr>
  </w:style>
  <w:style w:type="character" w:customStyle="1" w:styleId="72">
    <w:name w:val="日期 字符"/>
    <w:link w:val="27"/>
    <w:qFormat/>
    <w:uiPriority w:val="0"/>
    <w:rPr>
      <w:rFonts w:ascii="宋体" w:hAnsi="Courier New" w:eastAsia="宋体" w:cs="Courier New"/>
      <w:szCs w:val="21"/>
    </w:rPr>
  </w:style>
  <w:style w:type="character" w:customStyle="1" w:styleId="73">
    <w:name w:val="正文文本缩进 2 字符"/>
    <w:link w:val="28"/>
    <w:qFormat/>
    <w:uiPriority w:val="0"/>
    <w:rPr>
      <w:rFonts w:ascii="Times New Roman" w:hAnsi="Times New Roman" w:eastAsia="宋体" w:cs="Times New Roman"/>
      <w:sz w:val="32"/>
      <w:szCs w:val="20"/>
    </w:rPr>
  </w:style>
  <w:style w:type="character" w:customStyle="1" w:styleId="74">
    <w:name w:val="尾注文本 字符"/>
    <w:link w:val="29"/>
    <w:semiHidden/>
    <w:qFormat/>
    <w:uiPriority w:val="99"/>
    <w:rPr>
      <w:rFonts w:ascii="Times New Roman" w:hAnsi="Times New Roman"/>
      <w:kern w:val="2"/>
      <w:sz w:val="21"/>
      <w:szCs w:val="24"/>
    </w:rPr>
  </w:style>
  <w:style w:type="character" w:customStyle="1" w:styleId="75">
    <w:name w:val="批注框文本 字符"/>
    <w:link w:val="30"/>
    <w:semiHidden/>
    <w:qFormat/>
    <w:uiPriority w:val="0"/>
    <w:rPr>
      <w:rFonts w:ascii="Times New Roman" w:hAnsi="Times New Roman" w:eastAsia="宋体" w:cs="Times New Roman"/>
      <w:sz w:val="18"/>
      <w:szCs w:val="18"/>
    </w:rPr>
  </w:style>
  <w:style w:type="character" w:customStyle="1" w:styleId="76">
    <w:name w:val="页脚 字符1"/>
    <w:link w:val="31"/>
    <w:qFormat/>
    <w:uiPriority w:val="99"/>
    <w:rPr>
      <w:sz w:val="18"/>
      <w:szCs w:val="18"/>
    </w:rPr>
  </w:style>
  <w:style w:type="character" w:customStyle="1" w:styleId="77">
    <w:name w:val="页眉 字符"/>
    <w:link w:val="32"/>
    <w:qFormat/>
    <w:uiPriority w:val="99"/>
    <w:rPr>
      <w:rFonts w:ascii="Times New Roman" w:hAnsi="Times New Roman"/>
      <w:kern w:val="2"/>
      <w:sz w:val="18"/>
      <w:szCs w:val="18"/>
    </w:rPr>
  </w:style>
  <w:style w:type="character" w:customStyle="1" w:styleId="78">
    <w:name w:val="脚注文本 字符"/>
    <w:link w:val="36"/>
    <w:semiHidden/>
    <w:qFormat/>
    <w:uiPriority w:val="99"/>
    <w:rPr>
      <w:rFonts w:ascii="Times New Roman" w:hAnsi="Times New Roman"/>
      <w:kern w:val="2"/>
      <w:sz w:val="18"/>
      <w:szCs w:val="18"/>
    </w:rPr>
  </w:style>
  <w:style w:type="character" w:customStyle="1" w:styleId="79">
    <w:name w:val="正文文本缩进 3 字符"/>
    <w:link w:val="38"/>
    <w:qFormat/>
    <w:uiPriority w:val="0"/>
    <w:rPr>
      <w:rFonts w:ascii="Times New Roman" w:hAnsi="Times New Roman" w:eastAsia="宋体" w:cs="Times New Roman"/>
      <w:sz w:val="16"/>
      <w:szCs w:val="16"/>
    </w:rPr>
  </w:style>
  <w:style w:type="character" w:customStyle="1" w:styleId="80">
    <w:name w:val="正文文本 2 字符"/>
    <w:link w:val="41"/>
    <w:qFormat/>
    <w:uiPriority w:val="0"/>
    <w:rPr>
      <w:rFonts w:ascii="Times New Roman" w:hAnsi="Times New Roman" w:eastAsia="宋体" w:cs="Times New Roman"/>
      <w:szCs w:val="24"/>
    </w:rPr>
  </w:style>
  <w:style w:type="character" w:customStyle="1" w:styleId="81">
    <w:name w:val="标题 字符"/>
    <w:link w:val="44"/>
    <w:qFormat/>
    <w:uiPriority w:val="10"/>
    <w:rPr>
      <w:rFonts w:ascii="Cambria" w:hAnsi="Cambria" w:cs="Times New Roman"/>
      <w:b/>
      <w:bCs/>
      <w:kern w:val="2"/>
      <w:sz w:val="32"/>
      <w:szCs w:val="32"/>
    </w:rPr>
  </w:style>
  <w:style w:type="character" w:customStyle="1" w:styleId="82">
    <w:name w:val="批注主题 字符"/>
    <w:link w:val="45"/>
    <w:semiHidden/>
    <w:qFormat/>
    <w:uiPriority w:val="99"/>
    <w:rPr>
      <w:rFonts w:ascii="Times New Roman" w:hAnsi="Times New Roman"/>
      <w:b/>
      <w:bCs/>
      <w:kern w:val="2"/>
      <w:sz w:val="21"/>
      <w:szCs w:val="24"/>
    </w:rPr>
  </w:style>
  <w:style w:type="character" w:customStyle="1" w:styleId="83">
    <w:name w:val="批注文字 Char1"/>
    <w:semiHidden/>
    <w:qFormat/>
    <w:locked/>
    <w:uiPriority w:val="0"/>
    <w:rPr>
      <w:rFonts w:ascii="Times New Roman" w:hAnsi="Times New Roman"/>
      <w:kern w:val="2"/>
      <w:sz w:val="21"/>
      <w:szCs w:val="24"/>
    </w:rPr>
  </w:style>
  <w:style w:type="character" w:customStyle="1" w:styleId="84">
    <w:name w:val="case31"/>
    <w:qFormat/>
    <w:uiPriority w:val="0"/>
    <w:rPr>
      <w:rFonts w:hint="default" w:ascii="_x000B__x000C_" w:hAnsi="_x000B__x000C_"/>
      <w:sz w:val="21"/>
      <w:szCs w:val="21"/>
    </w:rPr>
  </w:style>
  <w:style w:type="character" w:customStyle="1" w:styleId="85">
    <w:name w:val="批注文字 Char"/>
    <w:qFormat/>
    <w:uiPriority w:val="99"/>
    <w:rPr>
      <w:rFonts w:ascii="Times New Roman" w:hAnsi="Times New Roman"/>
      <w:kern w:val="2"/>
      <w:sz w:val="21"/>
      <w:szCs w:val="24"/>
    </w:rPr>
  </w:style>
  <w:style w:type="character" w:customStyle="1" w:styleId="86">
    <w:name w:val="纯文本 Char"/>
    <w:qFormat/>
    <w:uiPriority w:val="0"/>
    <w:rPr>
      <w:rFonts w:ascii="宋体" w:hAnsi="Courier New" w:eastAsia="宋体"/>
      <w:kern w:val="2"/>
      <w:sz w:val="21"/>
      <w:lang w:val="en-US" w:eastAsia="zh-CN" w:bidi="ar-SA"/>
    </w:rPr>
  </w:style>
  <w:style w:type="character" w:customStyle="1" w:styleId="87">
    <w:name w:val="纯文本 字符1"/>
    <w:qFormat/>
    <w:uiPriority w:val="0"/>
    <w:rPr>
      <w:rFonts w:ascii="宋体" w:hAnsi="Courier New"/>
    </w:rPr>
  </w:style>
  <w:style w:type="character" w:customStyle="1" w:styleId="88">
    <w:name w:val="批注文字 字符1"/>
    <w:qFormat/>
    <w:uiPriority w:val="0"/>
    <w:rPr>
      <w:rFonts w:ascii="Times New Roman" w:hAnsi="Times New Roman"/>
      <w:kern w:val="2"/>
      <w:sz w:val="21"/>
      <w:szCs w:val="24"/>
    </w:rPr>
  </w:style>
  <w:style w:type="character" w:customStyle="1" w:styleId="89">
    <w:name w:val="正文文本 Char1"/>
    <w:semiHidden/>
    <w:qFormat/>
    <w:locked/>
    <w:uiPriority w:val="99"/>
    <w:rPr>
      <w:sz w:val="24"/>
      <w:szCs w:val="24"/>
    </w:rPr>
  </w:style>
  <w:style w:type="character" w:customStyle="1" w:styleId="90">
    <w:name w:val="apple-style-span"/>
    <w:qFormat/>
    <w:uiPriority w:val="0"/>
  </w:style>
  <w:style w:type="character" w:customStyle="1" w:styleId="91">
    <w:name w:val="textcontents"/>
    <w:qFormat/>
    <w:uiPriority w:val="0"/>
  </w:style>
  <w:style w:type="character" w:customStyle="1" w:styleId="92">
    <w:name w:val="普通文字 Char Char2"/>
    <w:qFormat/>
    <w:uiPriority w:val="0"/>
    <w:rPr>
      <w:rFonts w:ascii="宋体" w:hAnsi="Courier New" w:eastAsia="宋体"/>
      <w:kern w:val="2"/>
      <w:sz w:val="21"/>
      <w:lang w:val="en-US" w:eastAsia="zh-CN" w:bidi="ar-SA"/>
    </w:rPr>
  </w:style>
  <w:style w:type="character" w:customStyle="1" w:styleId="93">
    <w:name w:val="标题 5 Char"/>
    <w:qFormat/>
    <w:uiPriority w:val="0"/>
    <w:rPr>
      <w:b/>
      <w:kern w:val="2"/>
      <w:sz w:val="28"/>
      <w:szCs w:val="24"/>
    </w:rPr>
  </w:style>
  <w:style w:type="character" w:customStyle="1" w:styleId="94">
    <w:name w:val="批注文字 字符"/>
    <w:qFormat/>
    <w:uiPriority w:val="0"/>
    <w:rPr>
      <w:rFonts w:ascii="Times New Roman" w:hAnsi="Times New Roman"/>
      <w:kern w:val="2"/>
      <w:sz w:val="21"/>
      <w:szCs w:val="24"/>
    </w:rPr>
  </w:style>
  <w:style w:type="character" w:customStyle="1" w:styleId="95">
    <w:name w:val="标题 1 字符"/>
    <w:qFormat/>
    <w:uiPriority w:val="9"/>
    <w:rPr>
      <w:rFonts w:ascii="Times New Roman" w:hAnsi="Times New Roman" w:eastAsia="宋体" w:cs="Times New Roman"/>
      <w:b/>
      <w:bCs/>
      <w:kern w:val="44"/>
      <w:sz w:val="44"/>
      <w:szCs w:val="44"/>
    </w:rPr>
  </w:style>
  <w:style w:type="character" w:customStyle="1" w:styleId="96">
    <w:name w:val="纯文本 字符"/>
    <w:qFormat/>
    <w:uiPriority w:val="0"/>
    <w:rPr>
      <w:rFonts w:ascii="宋体" w:hAnsi="Courier New" w:eastAsia="宋体" w:cs="Courier New"/>
      <w:szCs w:val="21"/>
    </w:rPr>
  </w:style>
  <w:style w:type="character" w:customStyle="1" w:styleId="97">
    <w:name w:val="headline-content4"/>
    <w:qFormat/>
    <w:uiPriority w:val="0"/>
  </w:style>
  <w:style w:type="character" w:customStyle="1" w:styleId="9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9">
    <w:name w:val="正文文本缩进 字符"/>
    <w:qFormat/>
    <w:uiPriority w:val="0"/>
    <w:rPr>
      <w:rFonts w:ascii="仿宋_GB2312" w:hAnsi="Times New Roman" w:eastAsia="仿宋_GB2312" w:cs="Times New Roman"/>
      <w:sz w:val="32"/>
      <w:szCs w:val="20"/>
    </w:rPr>
  </w:style>
  <w:style w:type="paragraph" w:customStyle="1" w:styleId="100">
    <w:name w:val="Char1"/>
    <w:basedOn w:val="1"/>
    <w:qFormat/>
    <w:uiPriority w:val="0"/>
    <w:rPr>
      <w:szCs w:val="21"/>
    </w:rPr>
  </w:style>
  <w:style w:type="paragraph" w:styleId="101">
    <w:name w:val="List Paragraph"/>
    <w:basedOn w:val="1"/>
    <w:qFormat/>
    <w:uiPriority w:val="34"/>
    <w:pPr>
      <w:ind w:firstLine="420" w:firstLineChars="200"/>
    </w:pPr>
  </w:style>
  <w:style w:type="paragraph" w:customStyle="1" w:styleId="10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03">
    <w:name w:val="默认段落字体 Para Char Char Char Char Char Char Char Char Char1 Char Char Char Char"/>
    <w:basedOn w:val="1"/>
    <w:qFormat/>
    <w:uiPriority w:val="0"/>
    <w:rPr>
      <w:rFonts w:ascii="Tahoma" w:hAnsi="Tahoma"/>
      <w:sz w:val="24"/>
      <w:szCs w:val="20"/>
    </w:rPr>
  </w:style>
  <w:style w:type="paragraph" w:customStyle="1" w:styleId="104">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5">
    <w:name w:val="纯文本1"/>
    <w:basedOn w:val="1"/>
    <w:qFormat/>
    <w:uiPriority w:val="0"/>
    <w:rPr>
      <w:rFonts w:ascii="宋体" w:hAnsi="Courier New" w:cs="Century"/>
      <w:szCs w:val="21"/>
    </w:rPr>
  </w:style>
  <w:style w:type="paragraph" w:customStyle="1" w:styleId="106">
    <w:name w:val="Table Paragraph"/>
    <w:basedOn w:val="1"/>
    <w:qFormat/>
    <w:uiPriority w:val="1"/>
    <w:pPr>
      <w:jc w:val="left"/>
    </w:pPr>
    <w:rPr>
      <w:rFonts w:ascii="Calibri" w:hAnsi="Calibri"/>
      <w:kern w:val="0"/>
      <w:sz w:val="22"/>
      <w:szCs w:val="22"/>
      <w:lang w:eastAsia="en-US"/>
    </w:rPr>
  </w:style>
  <w:style w:type="paragraph" w:customStyle="1" w:styleId="10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8">
    <w:name w:val="表格"/>
    <w:basedOn w:val="1"/>
    <w:qFormat/>
    <w:uiPriority w:val="0"/>
    <w:pPr>
      <w:spacing w:line="400" w:lineRule="exact"/>
    </w:pPr>
    <w:rPr>
      <w:sz w:val="24"/>
    </w:rPr>
  </w:style>
  <w:style w:type="paragraph" w:customStyle="1" w:styleId="109">
    <w:name w:val="样式 首行缩进:  2 字符"/>
    <w:basedOn w:val="1"/>
    <w:qFormat/>
    <w:uiPriority w:val="0"/>
    <w:pPr>
      <w:spacing w:line="400" w:lineRule="exact"/>
      <w:ind w:firstLine="200" w:firstLineChars="200"/>
    </w:pPr>
    <w:rPr>
      <w:rFonts w:cs="宋体"/>
      <w:sz w:val="24"/>
    </w:rPr>
  </w:style>
  <w:style w:type="paragraph" w:customStyle="1" w:styleId="11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2">
    <w:name w:val="正文首行缩进两字符"/>
    <w:basedOn w:val="1"/>
    <w:qFormat/>
    <w:uiPriority w:val="0"/>
    <w:pPr>
      <w:spacing w:line="360" w:lineRule="auto"/>
      <w:ind w:firstLine="200" w:firstLineChars="200"/>
    </w:pPr>
  </w:style>
  <w:style w:type="paragraph" w:customStyle="1" w:styleId="113">
    <w:name w:val="正文段"/>
    <w:basedOn w:val="1"/>
    <w:qFormat/>
    <w:uiPriority w:val="0"/>
    <w:pPr>
      <w:widowControl/>
      <w:snapToGrid w:val="0"/>
      <w:spacing w:after="50" w:afterLines="50"/>
      <w:ind w:firstLine="200" w:firstLineChars="200"/>
    </w:pPr>
    <w:rPr>
      <w:kern w:val="0"/>
      <w:sz w:val="24"/>
      <w:szCs w:val="20"/>
    </w:rPr>
  </w:style>
  <w:style w:type="table" w:customStyle="1" w:styleId="114">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5">
    <w:name w:val="页脚 字符"/>
    <w:qFormat/>
    <w:uiPriority w:val="99"/>
  </w:style>
  <w:style w:type="character" w:customStyle="1" w:styleId="116">
    <w:name w:val="正文2 Char Char"/>
    <w:link w:val="117"/>
    <w:qFormat/>
    <w:uiPriority w:val="0"/>
    <w:rPr>
      <w:kern w:val="2"/>
      <w:sz w:val="24"/>
    </w:rPr>
  </w:style>
  <w:style w:type="paragraph" w:customStyle="1" w:styleId="117">
    <w:name w:val="正文2"/>
    <w:basedOn w:val="1"/>
    <w:link w:val="116"/>
    <w:qFormat/>
    <w:uiPriority w:val="0"/>
    <w:pPr>
      <w:adjustRightInd w:val="0"/>
      <w:spacing w:before="156" w:line="360" w:lineRule="auto"/>
      <w:ind w:firstLine="510" w:firstLineChars="200"/>
    </w:pPr>
    <w:rPr>
      <w:sz w:val="24"/>
      <w:szCs w:val="20"/>
    </w:rPr>
  </w:style>
  <w:style w:type="paragraph" w:customStyle="1" w:styleId="118">
    <w:name w:val="_Style 117"/>
    <w:unhideWhenUsed/>
    <w:qFormat/>
    <w:uiPriority w:val="99"/>
    <w:rPr>
      <w:rFonts w:ascii="Times New Roman" w:hAnsi="Times New Roman" w:eastAsia="宋体" w:cs="Times New Roman"/>
      <w:kern w:val="2"/>
      <w:sz w:val="21"/>
      <w:szCs w:val="24"/>
      <w:lang w:val="en-US" w:eastAsia="zh-CN" w:bidi="ar-SA"/>
    </w:rPr>
  </w:style>
  <w:style w:type="character" w:customStyle="1" w:styleId="119">
    <w:name w:val="表格文字 Char1"/>
    <w:link w:val="120"/>
    <w:qFormat/>
    <w:locked/>
    <w:uiPriority w:val="0"/>
    <w:rPr>
      <w:bCs/>
      <w:spacing w:val="10"/>
      <w:sz w:val="24"/>
    </w:rPr>
  </w:style>
  <w:style w:type="paragraph" w:customStyle="1" w:styleId="120">
    <w:name w:val="表格文字"/>
    <w:basedOn w:val="1"/>
    <w:next w:val="18"/>
    <w:link w:val="119"/>
    <w:qFormat/>
    <w:uiPriority w:val="0"/>
    <w:pPr>
      <w:spacing w:before="25" w:after="25"/>
      <w:jc w:val="left"/>
    </w:pPr>
    <w:rPr>
      <w:bCs/>
      <w:spacing w:val="10"/>
      <w:kern w:val="0"/>
      <w:sz w:val="24"/>
      <w:szCs w:val="20"/>
    </w:rPr>
  </w:style>
  <w:style w:type="paragraph" w:customStyle="1" w:styleId="1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2">
    <w:name w:val="列出段落1"/>
    <w:basedOn w:val="1"/>
    <w:qFormat/>
    <w:uiPriority w:val="0"/>
    <w:pPr>
      <w:ind w:firstLine="420" w:firstLineChars="200"/>
    </w:pPr>
    <w:rPr>
      <w:szCs w:val="21"/>
    </w:rPr>
  </w:style>
  <w:style w:type="character" w:customStyle="1" w:styleId="123">
    <w:name w:val="font01"/>
    <w:basedOn w:val="50"/>
    <w:qFormat/>
    <w:uiPriority w:val="0"/>
    <w:rPr>
      <w:rFonts w:hint="eastAsia" w:ascii="宋体" w:hAnsi="宋体" w:eastAsia="宋体" w:cs="宋体"/>
      <w:color w:val="000000"/>
      <w:sz w:val="24"/>
      <w:szCs w:val="24"/>
      <w:u w:val="none"/>
    </w:rPr>
  </w:style>
  <w:style w:type="character" w:customStyle="1" w:styleId="124">
    <w:name w:val="font51"/>
    <w:basedOn w:val="50"/>
    <w:qFormat/>
    <w:uiPriority w:val="0"/>
    <w:rPr>
      <w:rFonts w:hint="eastAsia" w:ascii="宋体" w:hAnsi="宋体" w:eastAsia="宋体" w:cs="宋体"/>
      <w:color w:val="000000"/>
      <w:sz w:val="20"/>
      <w:szCs w:val="20"/>
      <w:u w:val="none"/>
    </w:rPr>
  </w:style>
  <w:style w:type="character" w:customStyle="1" w:styleId="125">
    <w:name w:val="font81"/>
    <w:basedOn w:val="50"/>
    <w:qFormat/>
    <w:uiPriority w:val="0"/>
    <w:rPr>
      <w:rFonts w:hint="eastAsia" w:ascii="宋体" w:hAnsi="宋体" w:eastAsia="宋体" w:cs="宋体"/>
      <w:color w:val="000000"/>
      <w:sz w:val="20"/>
      <w:szCs w:val="20"/>
      <w:u w:val="none"/>
    </w:rPr>
  </w:style>
  <w:style w:type="character" w:customStyle="1" w:styleId="126">
    <w:name w:val="font131"/>
    <w:basedOn w:val="50"/>
    <w:qFormat/>
    <w:uiPriority w:val="0"/>
    <w:rPr>
      <w:rFonts w:hint="eastAsia" w:ascii="宋体" w:hAnsi="宋体" w:eastAsia="宋体" w:cs="宋体"/>
      <w:color w:val="000000"/>
      <w:sz w:val="22"/>
      <w:szCs w:val="22"/>
      <w:u w:val="none"/>
    </w:rPr>
  </w:style>
  <w:style w:type="character" w:customStyle="1" w:styleId="127">
    <w:name w:val="font251"/>
    <w:basedOn w:val="50"/>
    <w:qFormat/>
    <w:uiPriority w:val="0"/>
    <w:rPr>
      <w:rFonts w:ascii="Calibri" w:hAnsi="Calibri" w:cs="Calibri"/>
      <w:color w:val="000000"/>
      <w:sz w:val="22"/>
      <w:szCs w:val="22"/>
      <w:u w:val="none"/>
    </w:rPr>
  </w:style>
  <w:style w:type="character" w:customStyle="1" w:styleId="128">
    <w:name w:val="font261"/>
    <w:basedOn w:val="50"/>
    <w:qFormat/>
    <w:uiPriority w:val="0"/>
    <w:rPr>
      <w:rFonts w:hint="eastAsia" w:ascii="宋体" w:hAnsi="宋体" w:eastAsia="宋体" w:cs="宋体"/>
      <w:color w:val="FF0000"/>
      <w:sz w:val="22"/>
      <w:szCs w:val="22"/>
      <w:u w:val="none"/>
    </w:rPr>
  </w:style>
  <w:style w:type="paragraph" w:customStyle="1" w:styleId="129">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3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149</Pages>
  <Words>8759</Words>
  <Characters>10227</Characters>
  <Lines>4149</Lines>
  <Paragraphs>3910</Paragraphs>
  <TotalTime>440</TotalTime>
  <ScaleCrop>false</ScaleCrop>
  <LinksUpToDate>false</LinksUpToDate>
  <CharactersWithSpaces>10521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2025-09-02T01:08:00Z</dcterms:created>
  <dc:creator>番茄花园</dc:creator>
  <cp:lastModifiedBy>songqingping</cp:lastModifiedBy>
  <cp:lastPrinted>2025-09-22T00:38:00Z</cp:lastPrinted>
  <dcterms:modified xsi:type="dcterms:W3CDTF">2025-09-22T07:20:14Z</dcterms:modified>
  <dc:title>公开招标采购文件范本</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8E996EF7D9D5496485BC7E782CDD4312_13</vt:lpwstr>
  </property>
  <property fmtid="{D5CDD505-2E9C-101B-9397-08002B2CF9AE}" pid="4" name="KSOTemplateDocerSaveRecord">
    <vt:lpwstr>eyJoZGlkIjoiYmEzYWQ0ODFkOThjN2I2MDY4NzFhNzI0YjA5OTRmODQiLCJ1c2VySWQiOiI0NTg3MjgwNjcifQ==</vt:lpwstr>
  </property>
</Properties>
</file>