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76910">
      <w:pPr>
        <w:spacing w:beforeLines="50"/>
        <w:jc w:val="center"/>
        <w:rPr>
          <w:rFonts w:ascii="宋体" w:hAnsi="宋体" w:cs="宋体"/>
          <w:color w:val="auto"/>
          <w:spacing w:val="-20"/>
          <w:sz w:val="72"/>
          <w:szCs w:val="72"/>
          <w:highlight w:val="none"/>
        </w:rPr>
      </w:pPr>
    </w:p>
    <w:p w14:paraId="00343645">
      <w:pPr>
        <w:spacing w:beforeLines="50"/>
        <w:jc w:val="center"/>
        <w:rPr>
          <w:rFonts w:ascii="宋体" w:hAnsi="宋体" w:cs="宋体"/>
          <w:color w:val="auto"/>
          <w:spacing w:val="-20"/>
          <w:sz w:val="18"/>
          <w:szCs w:val="18"/>
          <w:highlight w:val="none"/>
        </w:rPr>
      </w:pPr>
      <w:r>
        <w:rPr>
          <w:rFonts w:ascii="宋体" w:hAnsi="宋体" w:cs="宋体"/>
          <w:color w:val="auto"/>
          <w:spacing w:val="-20"/>
          <w:sz w:val="72"/>
          <w:szCs w:val="72"/>
          <w:highlight w:val="none"/>
        </w:rPr>
        <w:pict>
          <v:shape id="_x0000_i1025" o:spt="144" type="#_x0000_t144" style="height:45.75pt;width:435.75pt;" fillcolor="#000000" filled="t" coordsize="21600,21600">
            <v:path/>
            <v:fill on="t" focussize="0,0"/>
            <v:stroke/>
            <v:imagedata o:title=""/>
            <o:lock v:ext="edit"/>
            <v:textpath on="t" fitshape="t" fitpath="t" trim="t" xscale="f" string="广西泽丰工程咨询有限公司" style="font-family:黑体;font-size:36pt;font-weight:bold;v-text-align:center;"/>
            <w10:wrap type="none"/>
            <w10:anchorlock/>
          </v:shape>
        </w:pict>
      </w:r>
    </w:p>
    <w:p w14:paraId="0A94F5CF">
      <w:pPr>
        <w:spacing w:beforeLines="50" w:line="700" w:lineRule="exact"/>
        <w:jc w:val="center"/>
        <w:rPr>
          <w:rFonts w:ascii="宋体" w:hAnsi="宋体" w:cs="宋体"/>
          <w:color w:val="auto"/>
          <w:spacing w:val="-20"/>
          <w:sz w:val="52"/>
          <w:szCs w:val="52"/>
          <w:highlight w:val="none"/>
        </w:rPr>
      </w:pPr>
    </w:p>
    <w:p w14:paraId="7DD1C5D8">
      <w:pPr>
        <w:pStyle w:val="15"/>
        <w:spacing w:line="2000" w:lineRule="exact"/>
        <w:jc w:val="center"/>
        <w:rPr>
          <w:rFonts w:hAnsi="宋体" w:cs="宋体"/>
          <w:color w:val="auto"/>
          <w:spacing w:val="32"/>
          <w:sz w:val="72"/>
          <w:szCs w:val="72"/>
          <w:highlight w:val="none"/>
        </w:rPr>
      </w:pPr>
      <w:r>
        <w:rPr>
          <w:rFonts w:hint="eastAsia" w:hAnsi="宋体" w:cs="宋体"/>
          <w:color w:val="auto"/>
          <w:spacing w:val="-20"/>
          <w:sz w:val="52"/>
          <w:szCs w:val="52"/>
          <w:highlight w:val="none"/>
        </w:rPr>
        <w:drawing>
          <wp:inline distT="0" distB="0" distL="114300" distR="114300">
            <wp:extent cx="741045" cy="723900"/>
            <wp:effectExtent l="0" t="0" r="1905" b="0"/>
            <wp:docPr id="2" name="图片 3" descr="logo（泽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logo（泽丰）"/>
                    <pic:cNvPicPr>
                      <a:picLocks noChangeAspect="1"/>
                    </pic:cNvPicPr>
                  </pic:nvPicPr>
                  <pic:blipFill>
                    <a:blip r:embed="rId6" cstate="print"/>
                    <a:stretch>
                      <a:fillRect/>
                    </a:stretch>
                  </pic:blipFill>
                  <pic:spPr>
                    <a:xfrm>
                      <a:off x="0" y="0"/>
                      <a:ext cx="741045" cy="723900"/>
                    </a:xfrm>
                    <a:prstGeom prst="rect">
                      <a:avLst/>
                    </a:prstGeom>
                    <a:noFill/>
                    <a:ln w="9525">
                      <a:noFill/>
                    </a:ln>
                  </pic:spPr>
                </pic:pic>
              </a:graphicData>
            </a:graphic>
          </wp:inline>
        </w:drawing>
      </w:r>
    </w:p>
    <w:p w14:paraId="305B126B">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cs="仿宋_GB2312" w:asciiTheme="minorEastAsia" w:hAnsiTheme="minorEastAsia" w:eastAsiaTheme="minorEastAsia"/>
          <w:b/>
          <w:bCs/>
          <w:color w:val="auto"/>
          <w:w w:val="95"/>
          <w:sz w:val="52"/>
          <w:szCs w:val="52"/>
          <w:highlight w:val="none"/>
          <w:lang w:val="en-US" w:eastAsia="zh-CN"/>
        </w:rPr>
      </w:pPr>
      <w:r>
        <w:rPr>
          <w:rFonts w:hint="eastAsia" w:cs="仿宋_GB2312" w:asciiTheme="minorEastAsia" w:hAnsiTheme="minorEastAsia" w:eastAsiaTheme="minorEastAsia"/>
          <w:b/>
          <w:bCs/>
          <w:color w:val="auto"/>
          <w:w w:val="95"/>
          <w:sz w:val="52"/>
          <w:szCs w:val="52"/>
          <w:highlight w:val="none"/>
          <w:lang w:val="en-US" w:eastAsia="zh-CN"/>
        </w:rPr>
        <w:t>北海市就业驿站运行管理服务</w:t>
      </w:r>
    </w:p>
    <w:p w14:paraId="51E77E17">
      <w:pPr>
        <w:keepNext w:val="0"/>
        <w:keepLines w:val="0"/>
        <w:pageBreakBefore w:val="0"/>
        <w:widowControl w:val="0"/>
        <w:kinsoku/>
        <w:wordWrap/>
        <w:overflowPunct/>
        <w:topLinePunct w:val="0"/>
        <w:autoSpaceDE/>
        <w:autoSpaceDN/>
        <w:bidi w:val="0"/>
        <w:adjustRightInd/>
        <w:snapToGrid/>
        <w:spacing w:line="1600" w:lineRule="exact"/>
        <w:jc w:val="center"/>
        <w:textAlignment w:val="auto"/>
        <w:rPr>
          <w:rFonts w:cs="仿宋_GB2312" w:asciiTheme="minorEastAsia" w:hAnsiTheme="minorEastAsia" w:eastAsiaTheme="minorEastAsia"/>
          <w:b/>
          <w:bCs/>
          <w:color w:val="auto"/>
          <w:sz w:val="72"/>
          <w:szCs w:val="72"/>
          <w:highlight w:val="none"/>
        </w:rPr>
      </w:pPr>
      <w:r>
        <w:rPr>
          <w:rFonts w:hint="eastAsia" w:cs="仿宋_GB2312" w:asciiTheme="minorEastAsia" w:hAnsiTheme="minorEastAsia" w:eastAsiaTheme="minorEastAsia"/>
          <w:b/>
          <w:bCs/>
          <w:color w:val="auto"/>
          <w:w w:val="95"/>
          <w:sz w:val="84"/>
          <w:szCs w:val="84"/>
          <w:highlight w:val="none"/>
          <w:lang w:val="zh-CN"/>
        </w:rPr>
        <w:t>竞争性磋商</w:t>
      </w:r>
      <w:r>
        <w:rPr>
          <w:rFonts w:hint="eastAsia" w:cs="仿宋_GB2312" w:asciiTheme="minorEastAsia" w:hAnsiTheme="minorEastAsia" w:eastAsiaTheme="minorEastAsia"/>
          <w:b/>
          <w:bCs/>
          <w:color w:val="auto"/>
          <w:sz w:val="84"/>
          <w:szCs w:val="84"/>
          <w:highlight w:val="none"/>
        </w:rPr>
        <w:t>文件</w:t>
      </w:r>
    </w:p>
    <w:p w14:paraId="5BA438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32"/>
          <w:szCs w:val="32"/>
          <w:highlight w:val="none"/>
        </w:rPr>
        <w:t>（电子交易）</w:t>
      </w:r>
    </w:p>
    <w:p w14:paraId="0A92020B">
      <w:pPr>
        <w:snapToGrid w:val="0"/>
        <w:spacing w:line="360" w:lineRule="auto"/>
        <w:jc w:val="center"/>
        <w:rPr>
          <w:rFonts w:cs="仿宋_GB2312" w:asciiTheme="minorEastAsia" w:hAnsiTheme="minorEastAsia" w:eastAsiaTheme="minorEastAsia"/>
          <w:color w:val="auto"/>
          <w:sz w:val="30"/>
          <w:szCs w:val="30"/>
          <w:highlight w:val="none"/>
        </w:rPr>
      </w:pPr>
    </w:p>
    <w:p w14:paraId="1A9CDDEF">
      <w:pPr>
        <w:snapToGrid w:val="0"/>
        <w:spacing w:line="360" w:lineRule="auto"/>
        <w:ind w:firstLine="2400" w:firstLineChars="800"/>
        <w:jc w:val="both"/>
        <w:rPr>
          <w:rFonts w:hint="eastAsia" w:cs="仿宋_GB2312" w:asciiTheme="minorEastAsia" w:hAnsiTheme="minorEastAsia" w:eastAsiaTheme="minorEastAsia"/>
          <w:color w:val="auto"/>
          <w:kern w:val="2"/>
          <w:sz w:val="30"/>
          <w:szCs w:val="30"/>
          <w:highlight w:val="none"/>
          <w:u w:val="single"/>
          <w:lang w:val="en-US"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u w:val="single"/>
          <w:lang w:val="en-US" w:eastAsia="zh-CN"/>
        </w:rPr>
        <w:t xml:space="preserve"> BHZC2025-C3-990306-GXZF</w:t>
      </w:r>
    </w:p>
    <w:p w14:paraId="0BEFE157">
      <w:pPr>
        <w:spacing w:line="360" w:lineRule="auto"/>
        <w:rPr>
          <w:rFonts w:cs="仿宋_GB2312" w:asciiTheme="minorEastAsia" w:hAnsiTheme="minorEastAsia" w:eastAsiaTheme="minorEastAsia"/>
          <w:color w:val="auto"/>
          <w:sz w:val="32"/>
          <w:szCs w:val="32"/>
          <w:highlight w:val="none"/>
        </w:rPr>
      </w:pPr>
      <w:r>
        <w:rPr>
          <w:rFonts w:hint="eastAsia" w:cs="仿宋_GB2312" w:asciiTheme="minorEastAsia" w:hAnsiTheme="minorEastAsia" w:eastAsiaTheme="minorEastAsia"/>
          <w:color w:val="auto"/>
          <w:sz w:val="24"/>
          <w:highlight w:val="none"/>
        </w:rPr>
        <w:t xml:space="preserve">                                 </w:t>
      </w:r>
    </w:p>
    <w:p w14:paraId="0BCB5015">
      <w:pPr>
        <w:keepNext w:val="0"/>
        <w:keepLines w:val="0"/>
        <w:pageBreakBefore w:val="0"/>
        <w:widowControl w:val="0"/>
        <w:kinsoku/>
        <w:wordWrap/>
        <w:overflowPunct/>
        <w:topLinePunct w:val="0"/>
        <w:autoSpaceDE/>
        <w:autoSpaceDN/>
        <w:bidi w:val="0"/>
        <w:adjustRightInd w:val="0"/>
        <w:snapToGrid w:val="0"/>
        <w:spacing w:line="480" w:lineRule="auto"/>
        <w:ind w:firstLine="640" w:firstLineChars="200"/>
        <w:jc w:val="both"/>
        <w:textAlignment w:val="auto"/>
        <w:rPr>
          <w:rFonts w:hint="eastAsia" w:ascii="宋体" w:hAnsi="宋体" w:cs="宋体"/>
          <w:color w:val="auto"/>
          <w:sz w:val="32"/>
          <w:szCs w:val="32"/>
          <w:highlight w:val="none"/>
        </w:rPr>
      </w:pPr>
    </w:p>
    <w:p w14:paraId="04474D2F">
      <w:pPr>
        <w:pStyle w:val="6"/>
        <w:numPr>
          <w:ilvl w:val="0"/>
          <w:numId w:val="0"/>
        </w:numPr>
        <w:ind w:leftChars="0"/>
        <w:rPr>
          <w:rFonts w:hint="eastAsia"/>
          <w:color w:val="auto"/>
          <w:highlight w:val="none"/>
        </w:rPr>
      </w:pPr>
    </w:p>
    <w:p w14:paraId="158C783B">
      <w:pPr>
        <w:keepNext w:val="0"/>
        <w:keepLines w:val="0"/>
        <w:pageBreakBefore w:val="0"/>
        <w:widowControl w:val="0"/>
        <w:kinsoku/>
        <w:wordWrap/>
        <w:overflowPunct/>
        <w:topLinePunct w:val="0"/>
        <w:autoSpaceDE/>
        <w:autoSpaceDN/>
        <w:bidi w:val="0"/>
        <w:adjustRightInd w:val="0"/>
        <w:snapToGrid w:val="0"/>
        <w:spacing w:line="480" w:lineRule="auto"/>
        <w:ind w:firstLine="1600" w:firstLineChars="500"/>
        <w:jc w:val="both"/>
        <w:textAlignment w:val="auto"/>
        <w:rPr>
          <w:rFonts w:hint="eastAsia" w:eastAsia="宋体" w:cs="仿宋_GB2312" w:asciiTheme="minorEastAsia" w:hAnsiTheme="minorEastAsia"/>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 xml:space="preserve">:北海市公共就业和人才服务中心 </w:t>
      </w:r>
    </w:p>
    <w:p w14:paraId="4166A39F">
      <w:pPr>
        <w:keepNext w:val="0"/>
        <w:keepLines w:val="0"/>
        <w:pageBreakBefore w:val="0"/>
        <w:widowControl w:val="0"/>
        <w:kinsoku/>
        <w:wordWrap/>
        <w:overflowPunct/>
        <w:topLinePunct w:val="0"/>
        <w:autoSpaceDE/>
        <w:autoSpaceDN/>
        <w:bidi w:val="0"/>
        <w:adjustRightInd w:val="0"/>
        <w:spacing w:line="480" w:lineRule="auto"/>
        <w:ind w:firstLine="1600" w:firstLineChars="500"/>
        <w:jc w:val="both"/>
        <w:textAlignment w:val="auto"/>
        <w:rPr>
          <w:rFonts w:hint="eastAsia" w:eastAsia="宋体" w:cs="仿宋_GB2312" w:asciiTheme="minorEastAsia" w:hAnsiTheme="minorEastAsia"/>
          <w:bCs/>
          <w:color w:val="auto"/>
          <w:sz w:val="32"/>
          <w:szCs w:val="32"/>
          <w:highlight w:val="none"/>
          <w:lang w:val="en-US"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:广西泽丰工程咨询有限公司</w:t>
      </w:r>
    </w:p>
    <w:p w14:paraId="6DEF03F5">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cs="仿宋_GB2312" w:asciiTheme="minorEastAsia" w:hAnsiTheme="minorEastAsia" w:eastAsiaTheme="minorEastAsia"/>
          <w:bCs/>
          <w:color w:val="auto"/>
          <w:sz w:val="32"/>
          <w:szCs w:val="32"/>
          <w:highlight w:val="none"/>
        </w:rPr>
      </w:pPr>
    </w:p>
    <w:p w14:paraId="1958F77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五年十一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十七</w:t>
      </w:r>
      <w:r>
        <w:rPr>
          <w:rFonts w:hint="eastAsia" w:cs="仿宋_GB2312" w:asciiTheme="minorEastAsia" w:hAnsiTheme="minorEastAsia" w:eastAsiaTheme="minorEastAsia"/>
          <w:bCs/>
          <w:color w:val="auto"/>
          <w:sz w:val="32"/>
          <w:szCs w:val="32"/>
          <w:highlight w:val="none"/>
        </w:rPr>
        <w:t>日</w:t>
      </w:r>
    </w:p>
    <w:p w14:paraId="4280B83B">
      <w:pPr>
        <w:spacing w:line="600" w:lineRule="exact"/>
        <w:jc w:val="center"/>
        <w:rPr>
          <w:rFonts w:hint="eastAsia" w:ascii="宋体" w:hAnsi="宋体" w:cs="宋体"/>
          <w:color w:val="auto"/>
          <w:sz w:val="36"/>
          <w:szCs w:val="36"/>
          <w:highlight w:val="none"/>
        </w:rPr>
      </w:pPr>
    </w:p>
    <w:p w14:paraId="64F48CAD">
      <w:pPr>
        <w:spacing w:line="600" w:lineRule="exact"/>
        <w:jc w:val="center"/>
        <w:rPr>
          <w:rFonts w:ascii="宋体" w:hAnsi="宋体" w:cs="宋体"/>
          <w:color w:val="auto"/>
          <w:sz w:val="36"/>
          <w:szCs w:val="36"/>
          <w:highlight w:val="none"/>
        </w:rPr>
      </w:pPr>
      <w:r>
        <w:rPr>
          <w:rFonts w:hint="eastAsia" w:ascii="宋体" w:hAnsi="宋体" w:cs="宋体"/>
          <w:color w:val="auto"/>
          <w:sz w:val="36"/>
          <w:szCs w:val="36"/>
          <w:highlight w:val="none"/>
        </w:rPr>
        <w:t>目    录</w:t>
      </w:r>
    </w:p>
    <w:p w14:paraId="3A5E3DF0">
      <w:pPr>
        <w:spacing w:line="600" w:lineRule="exact"/>
        <w:rPr>
          <w:rFonts w:ascii="宋体" w:hAnsi="宋体" w:cs="宋体"/>
          <w:color w:val="auto"/>
          <w:sz w:val="36"/>
          <w:szCs w:val="36"/>
          <w:highlight w:val="none"/>
        </w:rPr>
      </w:pPr>
    </w:p>
    <w:p w14:paraId="730243A3">
      <w:pPr>
        <w:pStyle w:val="20"/>
        <w:tabs>
          <w:tab w:val="right" w:leader="dot" w:pos="9060"/>
        </w:tabs>
        <w:spacing w:line="360" w:lineRule="auto"/>
        <w:rPr>
          <w:rFonts w:hint="default" w:ascii="Calibri" w:hAnsi="Calibri" w:cs="Calibri" w:eastAsiaTheme="minorEastAsia"/>
          <w:color w:val="auto"/>
          <w:sz w:val="24"/>
          <w:szCs w:val="24"/>
          <w:highlight w:val="none"/>
        </w:rPr>
      </w:pPr>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"_Toc181203094"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第一部分  邀请供应商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begin"/>
      </w:r>
      <w:r>
        <w:rPr>
          <w:rFonts w:hint="default" w:ascii="Calibri" w:hAnsi="Calibri" w:cs="Calibri" w:eastAsiaTheme="minorEastAsia"/>
          <w:color w:val="auto"/>
          <w:sz w:val="24"/>
          <w:szCs w:val="24"/>
          <w:highlight w:val="none"/>
        </w:rPr>
        <w:instrText xml:space="preserve"> PAGEREF _Toc181203094 \h </w:instrText>
      </w:r>
      <w:r>
        <w:rPr>
          <w:rFonts w:hint="default" w:ascii="Calibri" w:hAnsi="Calibri" w:cs="Calibri" w:eastAsiaTheme="minorEastAsia"/>
          <w:color w:val="auto"/>
          <w:sz w:val="24"/>
          <w:szCs w:val="24"/>
          <w:highlight w:val="none"/>
        </w:rPr>
        <w:fldChar w:fldCharType="separate"/>
      </w:r>
      <w:r>
        <w:rPr>
          <w:rFonts w:hint="default" w:ascii="Calibri" w:hAnsi="Calibri" w:cs="Calibri" w:eastAsiaTheme="minorEastAsia"/>
          <w:color w:val="auto"/>
          <w:sz w:val="24"/>
          <w:szCs w:val="24"/>
          <w:highlight w:val="none"/>
        </w:rPr>
        <w:t>3</w:t>
      </w:r>
      <w:r>
        <w:rPr>
          <w:rFonts w:hint="default" w:ascii="Calibri" w:hAnsi="Calibri" w:cs="Calibri" w:eastAsiaTheme="minorEastAsia"/>
          <w:color w:val="auto"/>
          <w:sz w:val="24"/>
          <w:szCs w:val="24"/>
          <w:highlight w:val="none"/>
        </w:rPr>
        <w:fldChar w:fldCharType="end"/>
      </w:r>
      <w:r>
        <w:rPr>
          <w:rFonts w:hint="default" w:ascii="Calibri" w:hAnsi="Calibri" w:cs="Calibri" w:eastAsiaTheme="minorEastAsia"/>
          <w:color w:val="auto"/>
          <w:sz w:val="24"/>
          <w:szCs w:val="24"/>
          <w:highlight w:val="none"/>
        </w:rPr>
        <w:fldChar w:fldCharType="end"/>
      </w:r>
    </w:p>
    <w:p w14:paraId="29E7660D">
      <w:pPr>
        <w:pStyle w:val="20"/>
        <w:tabs>
          <w:tab w:val="right" w:leader="dot" w:pos="9060"/>
        </w:tabs>
        <w:spacing w:line="360" w:lineRule="auto"/>
        <w:rPr>
          <w:rFonts w:hint="default" w:ascii="Calibri" w:hAnsi="Calibri" w:cs="Calibri" w:eastAsiaTheme="minorEastAsia"/>
          <w:color w:val="auto"/>
          <w:sz w:val="24"/>
          <w:szCs w:val="24"/>
          <w:highlight w:val="none"/>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"_Toc181203095"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第二部分  竞争性磋商流程</w:t>
      </w:r>
      <w:r>
        <w:rPr>
          <w:rFonts w:hint="default" w:ascii="Calibri" w:hAnsi="Calibri" w:cs="Calibri" w:eastAsiaTheme="minorEastAsia"/>
          <w:color w:val="auto"/>
          <w:sz w:val="24"/>
          <w:szCs w:val="24"/>
          <w:highlight w:val="none"/>
        </w:rPr>
        <w:tab/>
      </w:r>
      <w:r>
        <w:rPr>
          <w:rFonts w:hint="eastAsia" w:ascii="Calibri" w:hAnsi="Calibri" w:cs="Calibri" w:eastAsiaTheme="minorEastAsia"/>
          <w:color w:val="auto"/>
          <w:sz w:val="24"/>
          <w:szCs w:val="24"/>
          <w:highlight w:val="none"/>
          <w:lang w:val="en-US" w:eastAsia="zh-CN"/>
        </w:rPr>
        <w:t>6</w:t>
      </w:r>
      <w:r>
        <w:rPr>
          <w:rFonts w:hint="default" w:ascii="Calibri" w:hAnsi="Calibri" w:cs="Calibri" w:eastAsiaTheme="minorEastAsia"/>
          <w:color w:val="auto"/>
          <w:sz w:val="24"/>
          <w:szCs w:val="24"/>
          <w:highlight w:val="none"/>
        </w:rPr>
        <w:fldChar w:fldCharType="end"/>
      </w:r>
    </w:p>
    <w:p w14:paraId="4CD315F5">
      <w:pPr>
        <w:pStyle w:val="20"/>
        <w:tabs>
          <w:tab w:val="right" w:leader="dot" w:pos="9060"/>
        </w:tabs>
        <w:spacing w:line="360" w:lineRule="auto"/>
        <w:rPr>
          <w:rFonts w:hint="eastAsia"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"_Toc181203096"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第三部分  供应商须知</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8</w:t>
      </w:r>
    </w:p>
    <w:p w14:paraId="7A4AAA3A">
      <w:pPr>
        <w:pStyle w:val="2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"_Toc181203097"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第四部分  采购需求</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20</w:t>
      </w:r>
    </w:p>
    <w:p w14:paraId="4ACDF000">
      <w:pPr>
        <w:pStyle w:val="2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"_Toc181203098"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第五部分  评审方法及评审标准</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24</w:t>
      </w:r>
    </w:p>
    <w:p w14:paraId="0617B453">
      <w:pPr>
        <w:pStyle w:val="20"/>
        <w:tabs>
          <w:tab w:val="right" w:leader="dot" w:pos="9060"/>
        </w:tabs>
        <w:spacing w:line="360" w:lineRule="auto"/>
        <w:rPr>
          <w:rFonts w:hint="default" w:ascii="Calibri" w:hAnsi="Calibri" w:cs="Calibri" w:eastAsiaTheme="minorEastAsia"/>
          <w:color w:val="auto"/>
          <w:sz w:val="24"/>
          <w:szCs w:val="24"/>
          <w:highlight w:val="none"/>
          <w:lang w:val="en-US" w:eastAsia="zh-CN"/>
        </w:rPr>
      </w:pPr>
      <w:r>
        <w:rPr>
          <w:rFonts w:hint="default" w:ascii="Calibri" w:hAnsi="Calibri" w:cs="Calibri"/>
          <w:color w:val="auto"/>
          <w:sz w:val="24"/>
          <w:szCs w:val="24"/>
          <w:highlight w:val="none"/>
        </w:rPr>
        <w:fldChar w:fldCharType="begin"/>
      </w:r>
      <w:r>
        <w:rPr>
          <w:rFonts w:hint="default" w:ascii="Calibri" w:hAnsi="Calibri" w:cs="Calibri"/>
          <w:color w:val="auto"/>
          <w:sz w:val="24"/>
          <w:szCs w:val="24"/>
          <w:highlight w:val="none"/>
        </w:rPr>
        <w:instrText xml:space="preserve"> HYPERLINK \l "_Toc181203099" </w:instrText>
      </w:r>
      <w:r>
        <w:rPr>
          <w:rFonts w:hint="default" w:ascii="Calibri" w:hAnsi="Calibri" w:cs="Calibri"/>
          <w:color w:val="auto"/>
          <w:sz w:val="24"/>
          <w:szCs w:val="24"/>
          <w:highlight w:val="none"/>
        </w:rPr>
        <w:fldChar w:fldCharType="separate"/>
      </w:r>
      <w:r>
        <w:rPr>
          <w:rStyle w:val="32"/>
          <w:rFonts w:hint="default" w:ascii="Calibri" w:hAnsi="Calibri" w:cs="Calibri" w:eastAsiaTheme="minorEastAsia"/>
          <w:color w:val="auto"/>
          <w:sz w:val="24"/>
          <w:szCs w:val="24"/>
          <w:highlight w:val="none"/>
        </w:rPr>
        <w:t>第六部分  拟签订的合同文本</w:t>
      </w:r>
      <w:r>
        <w:rPr>
          <w:rFonts w:hint="default" w:ascii="Calibri" w:hAnsi="Calibri" w:cs="Calibri" w:eastAsiaTheme="minorEastAsia"/>
          <w:color w:val="auto"/>
          <w:sz w:val="24"/>
          <w:szCs w:val="24"/>
          <w:highlight w:val="none"/>
        </w:rPr>
        <w:tab/>
      </w:r>
      <w:r>
        <w:rPr>
          <w:rFonts w:hint="default" w:ascii="Calibri" w:hAnsi="Calibri" w:cs="Calibri" w:eastAsiaTheme="minorEastAsia"/>
          <w:color w:val="auto"/>
          <w:sz w:val="24"/>
          <w:szCs w:val="24"/>
          <w:highlight w:val="none"/>
        </w:rPr>
        <w:fldChar w:fldCharType="end"/>
      </w:r>
      <w:r>
        <w:rPr>
          <w:rFonts w:hint="eastAsia" w:ascii="Calibri" w:hAnsi="Calibri" w:cs="Calibri" w:eastAsiaTheme="minorEastAsia"/>
          <w:color w:val="auto"/>
          <w:sz w:val="24"/>
          <w:szCs w:val="24"/>
          <w:highlight w:val="none"/>
          <w:lang w:val="en-US" w:eastAsia="zh-CN"/>
        </w:rPr>
        <w:t>30</w:t>
      </w:r>
    </w:p>
    <w:p w14:paraId="2648495E">
      <w:pPr>
        <w:pStyle w:val="20"/>
        <w:tabs>
          <w:tab w:val="right" w:leader="dot" w:pos="9060"/>
        </w:tabs>
        <w:spacing w:line="360" w:lineRule="auto"/>
        <w:rPr>
          <w:rStyle w:val="32"/>
          <w:rFonts w:hint="default" w:ascii="Calibri" w:hAnsi="Calibri" w:cs="Calibri" w:eastAsiaTheme="minorEastAsia"/>
          <w:color w:val="auto"/>
          <w:sz w:val="24"/>
          <w:szCs w:val="24"/>
          <w:highlight w:val="none"/>
          <w:lang w:val="en-US" w:eastAsia="zh-CN"/>
        </w:rPr>
      </w:pPr>
      <w:r>
        <w:rPr>
          <w:rStyle w:val="32"/>
          <w:rFonts w:hint="eastAsia" w:ascii="Calibri" w:hAnsi="Calibri" w:cs="Calibri" w:eastAsiaTheme="minorEastAsia"/>
          <w:color w:val="auto"/>
          <w:sz w:val="24"/>
          <w:szCs w:val="24"/>
          <w:highlight w:val="none"/>
          <w:lang w:val="en-US" w:eastAsia="zh-CN"/>
        </w:rPr>
        <w:t xml:space="preserve">第七部分  应提交的有关格式范例 </w:t>
      </w:r>
      <w:r>
        <w:rPr>
          <w:rFonts w:hint="default" w:ascii="Calibri" w:hAnsi="Calibri" w:cs="Calibri" w:eastAsiaTheme="minorEastAsia"/>
          <w:color w:val="auto"/>
          <w:sz w:val="24"/>
          <w:szCs w:val="24"/>
          <w:highlight w:val="none"/>
        </w:rPr>
        <w:tab/>
      </w:r>
      <w:r>
        <w:rPr>
          <w:rStyle w:val="32"/>
          <w:rFonts w:hint="eastAsia" w:ascii="Calibri" w:hAnsi="Calibri" w:cs="Calibri" w:eastAsiaTheme="minorEastAsia"/>
          <w:color w:val="auto"/>
          <w:sz w:val="24"/>
          <w:szCs w:val="24"/>
          <w:highlight w:val="none"/>
          <w:lang w:val="en-US" w:eastAsia="zh-CN"/>
        </w:rPr>
        <w:t>34</w:t>
      </w:r>
    </w:p>
    <w:p w14:paraId="63D06BDF">
      <w:pPr>
        <w:pStyle w:val="20"/>
        <w:tabs>
          <w:tab w:val="right" w:leader="dot" w:pos="9060"/>
        </w:tabs>
        <w:spacing w:line="360" w:lineRule="auto"/>
        <w:rPr>
          <w:rStyle w:val="32"/>
          <w:rFonts w:hint="default" w:ascii="Calibri" w:hAnsi="Calibri" w:cs="Calibri" w:eastAsiaTheme="minorEastAsia"/>
          <w:color w:val="auto"/>
          <w:sz w:val="24"/>
          <w:szCs w:val="24"/>
          <w:highlight w:val="none"/>
          <w:lang w:val="en-US" w:eastAsia="zh-CN"/>
        </w:rPr>
      </w:pPr>
      <w:r>
        <w:rPr>
          <w:rStyle w:val="32"/>
          <w:rFonts w:hint="default" w:ascii="Calibri" w:hAnsi="Calibri" w:cs="Calibri" w:eastAsiaTheme="minorEastAsia"/>
          <w:color w:val="auto"/>
          <w:sz w:val="24"/>
          <w:szCs w:val="24"/>
          <w:highlight w:val="none"/>
        </w:rPr>
        <w:fldChar w:fldCharType="begin"/>
      </w:r>
      <w:r>
        <w:rPr>
          <w:rStyle w:val="32"/>
          <w:rFonts w:hint="default" w:ascii="Calibri" w:hAnsi="Calibri" w:cs="Calibri" w:eastAsiaTheme="minorEastAsia"/>
          <w:color w:val="auto"/>
          <w:sz w:val="24"/>
          <w:szCs w:val="24"/>
          <w:highlight w:val="none"/>
        </w:rPr>
        <w:instrText xml:space="preserve"> HYPERLINK \l "_Toc181203101" </w:instrText>
      </w:r>
      <w:r>
        <w:rPr>
          <w:rStyle w:val="32"/>
          <w:rFonts w:hint="default" w:ascii="Calibri" w:hAnsi="Calibri" w:cs="Calibri" w:eastAsiaTheme="minorEastAsia"/>
          <w:color w:val="auto"/>
          <w:sz w:val="24"/>
          <w:szCs w:val="24"/>
          <w:highlight w:val="none"/>
        </w:rPr>
        <w:fldChar w:fldCharType="separate"/>
      </w:r>
      <w:r>
        <w:rPr>
          <w:rStyle w:val="32"/>
          <w:rFonts w:hint="default" w:ascii="Calibri" w:hAnsi="Calibri" w:cs="Calibri" w:eastAsiaTheme="minorEastAsia"/>
          <w:color w:val="auto"/>
          <w:sz w:val="24"/>
          <w:szCs w:val="24"/>
          <w:highlight w:val="none"/>
        </w:rPr>
        <w:t xml:space="preserve">第八部分  </w:t>
      </w:r>
      <w:r>
        <w:rPr>
          <w:rStyle w:val="32"/>
          <w:rFonts w:hint="eastAsia" w:ascii="Calibri" w:hAnsi="Calibri" w:cs="Calibri" w:eastAsiaTheme="minorEastAsia"/>
          <w:color w:val="auto"/>
          <w:sz w:val="24"/>
          <w:szCs w:val="24"/>
          <w:highlight w:val="none"/>
          <w:lang w:eastAsia="zh-CN"/>
        </w:rPr>
        <w:t>附件</w:t>
      </w:r>
      <w:r>
        <w:rPr>
          <w:rStyle w:val="32"/>
          <w:rFonts w:hint="default" w:ascii="Calibri" w:hAnsi="Calibri" w:cs="Calibri" w:eastAsiaTheme="minorEastAsia"/>
          <w:color w:val="auto"/>
          <w:sz w:val="24"/>
          <w:szCs w:val="24"/>
          <w:highlight w:val="none"/>
        </w:rPr>
        <w:tab/>
      </w:r>
      <w:r>
        <w:rPr>
          <w:rStyle w:val="32"/>
          <w:rFonts w:hint="default" w:ascii="Calibri" w:hAnsi="Calibri" w:cs="Calibri" w:eastAsiaTheme="minorEastAsia"/>
          <w:color w:val="auto"/>
          <w:sz w:val="24"/>
          <w:szCs w:val="24"/>
          <w:highlight w:val="none"/>
        </w:rPr>
        <w:fldChar w:fldCharType="end"/>
      </w:r>
      <w:r>
        <w:rPr>
          <w:rStyle w:val="32"/>
          <w:rFonts w:hint="eastAsia" w:ascii="Calibri" w:hAnsi="Calibri" w:cs="Calibri" w:eastAsiaTheme="minorEastAsia"/>
          <w:color w:val="auto"/>
          <w:sz w:val="24"/>
          <w:szCs w:val="24"/>
          <w:highlight w:val="none"/>
          <w:lang w:val="en-US" w:eastAsia="zh-CN"/>
        </w:rPr>
        <w:t>47</w:t>
      </w:r>
    </w:p>
    <w:p w14:paraId="01C6AC55">
      <w:pPr>
        <w:keepNext/>
        <w:spacing w:line="400" w:lineRule="exact"/>
        <w:rPr>
          <w:rFonts w:ascii="宋体" w:hAnsi="宋体" w:cs="宋体"/>
          <w:bCs/>
          <w:color w:val="auto"/>
          <w:szCs w:val="21"/>
          <w:highlight w:val="none"/>
        </w:rPr>
      </w:pPr>
      <w:r>
        <w:rPr>
          <w:rFonts w:cs="仿宋_GB2312" w:asciiTheme="minorEastAsia" w:hAnsiTheme="minorEastAsia" w:eastAsiaTheme="minorEastAsia"/>
          <w:color w:val="auto"/>
          <w:sz w:val="32"/>
          <w:szCs w:val="32"/>
          <w:highlight w:val="none"/>
        </w:rPr>
        <w:fldChar w:fldCharType="end"/>
      </w:r>
    </w:p>
    <w:p w14:paraId="04AE6E32">
      <w:pPr>
        <w:spacing w:line="400" w:lineRule="exact"/>
        <w:rPr>
          <w:rFonts w:ascii="宋体" w:hAnsi="宋体" w:cs="宋体"/>
          <w:color w:val="auto"/>
          <w:szCs w:val="21"/>
          <w:highlight w:val="none"/>
        </w:rPr>
      </w:pPr>
    </w:p>
    <w:p w14:paraId="5655D7A7">
      <w:pPr>
        <w:keepNext/>
        <w:spacing w:line="400" w:lineRule="exact"/>
        <w:rPr>
          <w:rFonts w:ascii="宋体" w:hAnsi="宋体" w:cs="宋体"/>
          <w:bCs/>
          <w:color w:val="auto"/>
          <w:sz w:val="18"/>
          <w:szCs w:val="18"/>
          <w:highlight w:val="none"/>
        </w:rPr>
      </w:pPr>
    </w:p>
    <w:p w14:paraId="2B8E9710">
      <w:pPr>
        <w:spacing w:line="600" w:lineRule="exact"/>
        <w:rPr>
          <w:rFonts w:ascii="宋体" w:hAnsi="宋体" w:cs="宋体"/>
          <w:color w:val="auto"/>
          <w:sz w:val="32"/>
          <w:highlight w:val="none"/>
        </w:rPr>
      </w:pPr>
    </w:p>
    <w:p w14:paraId="23270418">
      <w:pPr>
        <w:spacing w:line="600" w:lineRule="exact"/>
        <w:rPr>
          <w:rFonts w:ascii="宋体" w:hAnsi="宋体" w:cs="宋体"/>
          <w:color w:val="auto"/>
          <w:sz w:val="32"/>
          <w:highlight w:val="none"/>
        </w:rPr>
      </w:pPr>
    </w:p>
    <w:p w14:paraId="26233A95">
      <w:pPr>
        <w:spacing w:line="600" w:lineRule="exact"/>
        <w:rPr>
          <w:rFonts w:ascii="宋体" w:hAnsi="宋体" w:cs="宋体"/>
          <w:color w:val="auto"/>
          <w:sz w:val="32"/>
          <w:highlight w:val="none"/>
        </w:rPr>
      </w:pPr>
    </w:p>
    <w:p w14:paraId="213D6F86">
      <w:pPr>
        <w:spacing w:line="600" w:lineRule="exact"/>
        <w:rPr>
          <w:rFonts w:ascii="宋体" w:hAnsi="宋体" w:cs="宋体"/>
          <w:color w:val="auto"/>
          <w:sz w:val="32"/>
          <w:highlight w:val="none"/>
        </w:rPr>
      </w:pPr>
    </w:p>
    <w:p w14:paraId="5E7E91F1">
      <w:pPr>
        <w:spacing w:line="600" w:lineRule="exact"/>
        <w:rPr>
          <w:rFonts w:ascii="宋体" w:hAnsi="宋体" w:cs="宋体"/>
          <w:color w:val="auto"/>
          <w:sz w:val="32"/>
          <w:highlight w:val="none"/>
        </w:rPr>
      </w:pPr>
    </w:p>
    <w:p w14:paraId="6EF47888">
      <w:pPr>
        <w:spacing w:line="600" w:lineRule="exact"/>
        <w:rPr>
          <w:rFonts w:ascii="宋体" w:hAnsi="宋体" w:cs="宋体"/>
          <w:color w:val="auto"/>
          <w:sz w:val="32"/>
          <w:highlight w:val="none"/>
        </w:rPr>
      </w:pPr>
    </w:p>
    <w:p w14:paraId="0DFB511B">
      <w:pPr>
        <w:spacing w:line="600" w:lineRule="exact"/>
        <w:rPr>
          <w:rFonts w:ascii="宋体" w:hAnsi="宋体" w:cs="宋体"/>
          <w:color w:val="auto"/>
          <w:sz w:val="32"/>
          <w:highlight w:val="none"/>
        </w:rPr>
      </w:pPr>
    </w:p>
    <w:p w14:paraId="7913386C">
      <w:pPr>
        <w:spacing w:line="600" w:lineRule="exact"/>
        <w:rPr>
          <w:rFonts w:ascii="宋体" w:hAnsi="宋体" w:cs="宋体"/>
          <w:color w:val="auto"/>
          <w:sz w:val="32"/>
          <w:highlight w:val="none"/>
        </w:rPr>
      </w:pPr>
    </w:p>
    <w:p w14:paraId="68F740F2">
      <w:pPr>
        <w:spacing w:line="600" w:lineRule="exact"/>
        <w:rPr>
          <w:rFonts w:ascii="宋体" w:hAnsi="宋体" w:cs="宋体"/>
          <w:color w:val="auto"/>
          <w:sz w:val="32"/>
          <w:highlight w:val="none"/>
        </w:rPr>
      </w:pPr>
    </w:p>
    <w:p w14:paraId="20E2F23B">
      <w:pPr>
        <w:spacing w:line="600" w:lineRule="exact"/>
        <w:rPr>
          <w:rFonts w:ascii="宋体" w:hAnsi="宋体" w:cs="宋体"/>
          <w:color w:val="auto"/>
          <w:sz w:val="32"/>
          <w:highlight w:val="none"/>
        </w:rPr>
      </w:pPr>
      <w:bookmarkStart w:id="89" w:name="_GoBack"/>
      <w:bookmarkEnd w:id="89"/>
    </w:p>
    <w:p w14:paraId="656D6977">
      <w:pPr>
        <w:spacing w:line="600" w:lineRule="exact"/>
        <w:rPr>
          <w:rFonts w:ascii="宋体" w:hAnsi="宋体" w:cs="宋体"/>
          <w:color w:val="auto"/>
          <w:sz w:val="32"/>
          <w:highlight w:val="none"/>
        </w:rPr>
      </w:pPr>
    </w:p>
    <w:p w14:paraId="44303926">
      <w:pPr>
        <w:spacing w:line="600" w:lineRule="exact"/>
        <w:rPr>
          <w:rFonts w:ascii="宋体" w:hAnsi="宋体" w:cs="宋体"/>
          <w:color w:val="auto"/>
          <w:sz w:val="32"/>
          <w:highlight w:val="none"/>
        </w:rPr>
      </w:pPr>
    </w:p>
    <w:p w14:paraId="31D64ED9">
      <w:pPr>
        <w:pStyle w:val="18"/>
        <w:rPr>
          <w:rFonts w:ascii="宋体" w:hAnsi="宋体" w:cs="宋体"/>
          <w:color w:val="auto"/>
          <w:sz w:val="32"/>
          <w:highlight w:val="none"/>
        </w:rPr>
      </w:pPr>
    </w:p>
    <w:p w14:paraId="4919BE63">
      <w:pPr>
        <w:pStyle w:val="18"/>
        <w:rPr>
          <w:rFonts w:ascii="宋体" w:hAnsi="宋体" w:cs="宋体"/>
          <w:color w:val="auto"/>
          <w:sz w:val="32"/>
          <w:highlight w:val="none"/>
        </w:rPr>
      </w:pPr>
    </w:p>
    <w:p w14:paraId="7E3C983E">
      <w:pPr>
        <w:keepNext w:val="0"/>
        <w:keepLines w:val="0"/>
        <w:pageBreakBefore w:val="0"/>
        <w:widowControl w:val="0"/>
        <w:kinsoku/>
        <w:wordWrap/>
        <w:overflowPunct/>
        <w:topLinePunct w:val="0"/>
        <w:autoSpaceDE/>
        <w:autoSpaceDN/>
        <w:bidi w:val="0"/>
        <w:adjustRightInd/>
        <w:snapToGrid/>
        <w:spacing w:line="380" w:lineRule="exact"/>
        <w:jc w:val="center"/>
        <w:textAlignment w:val="auto"/>
        <w:outlineLvl w:val="0"/>
        <w:rPr>
          <w:rFonts w:cs="仿宋_GB2312" w:asciiTheme="minorEastAsia" w:hAnsiTheme="minorEastAsia" w:eastAsiaTheme="minorEastAsia"/>
          <w:b/>
          <w:color w:val="auto"/>
          <w:sz w:val="36"/>
          <w:szCs w:val="20"/>
          <w:highlight w:val="none"/>
        </w:rPr>
      </w:pPr>
      <w:r>
        <w:rPr>
          <w:rFonts w:hint="eastAsia" w:ascii="宋体" w:hAnsi="宋体" w:cs="宋体"/>
          <w:b/>
          <w:bCs/>
          <w:color w:val="auto"/>
          <w:sz w:val="36"/>
          <w:szCs w:val="36"/>
          <w:highlight w:val="none"/>
        </w:rPr>
        <w:t>第一</w:t>
      </w:r>
      <w:r>
        <w:rPr>
          <w:rFonts w:hint="eastAsia" w:ascii="宋体" w:hAnsi="宋体" w:cs="宋体"/>
          <w:b/>
          <w:bCs/>
          <w:color w:val="auto"/>
          <w:sz w:val="36"/>
          <w:szCs w:val="36"/>
          <w:highlight w:val="none"/>
          <w:lang w:eastAsia="zh-CN"/>
        </w:rPr>
        <w:t>部分</w:t>
      </w:r>
      <w:r>
        <w:rPr>
          <w:rFonts w:hint="eastAsia" w:ascii="宋体" w:hAnsi="宋体" w:cs="宋体"/>
          <w:b/>
          <w:bCs/>
          <w:color w:val="auto"/>
          <w:sz w:val="36"/>
          <w:szCs w:val="36"/>
          <w:highlight w:val="none"/>
        </w:rPr>
        <w:t xml:space="preserve">  </w:t>
      </w:r>
      <w:r>
        <w:rPr>
          <w:rFonts w:hint="eastAsia" w:cs="仿宋_GB2312" w:asciiTheme="minorEastAsia" w:hAnsiTheme="minorEastAsia" w:eastAsiaTheme="minorEastAsia"/>
          <w:b/>
          <w:color w:val="auto"/>
          <w:sz w:val="32"/>
          <w:szCs w:val="32"/>
          <w:highlight w:val="none"/>
        </w:rPr>
        <w:t>邀请供应商</w:t>
      </w:r>
    </w:p>
    <w:p w14:paraId="79C947E4">
      <w:pPr>
        <w:pStyle w:val="5"/>
        <w:tabs>
          <w:tab w:val="left" w:pos="0"/>
        </w:tabs>
        <w:autoSpaceDE w:val="0"/>
        <w:autoSpaceDN w:val="0"/>
        <w:adjustRightInd w:val="0"/>
        <w:spacing w:before="0" w:after="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北海市就业驿站运行管理服务（</w:t>
      </w:r>
      <w:r>
        <w:rPr>
          <w:rFonts w:hint="eastAsia" w:ascii="宋体" w:hAnsi="宋体" w:cs="宋体"/>
          <w:color w:val="auto"/>
          <w:sz w:val="32"/>
          <w:szCs w:val="32"/>
          <w:highlight w:val="none"/>
          <w:lang w:val="en-US" w:eastAsia="zh-CN"/>
        </w:rPr>
        <w:t>BHZC2025-C3-990306-GXZF</w:t>
      </w:r>
      <w:r>
        <w:rPr>
          <w:rFonts w:hint="eastAsia" w:ascii="宋体" w:hAnsi="宋体" w:cs="宋体"/>
          <w:color w:val="auto"/>
          <w:sz w:val="32"/>
          <w:szCs w:val="32"/>
          <w:highlight w:val="none"/>
        </w:rPr>
        <w:t>）</w:t>
      </w:r>
    </w:p>
    <w:p w14:paraId="0F155DDA">
      <w:pPr>
        <w:pStyle w:val="5"/>
        <w:tabs>
          <w:tab w:val="left" w:pos="0"/>
        </w:tabs>
        <w:autoSpaceDE w:val="0"/>
        <w:autoSpaceDN w:val="0"/>
        <w:adjustRightInd w:val="0"/>
        <w:spacing w:before="0" w:after="0" w:line="44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竞争性磋商公告（远程异地评标）</w:t>
      </w:r>
    </w:p>
    <w:p w14:paraId="3AA4DC01">
      <w:pPr>
        <w:pBdr>
          <w:top w:val="single" w:color="auto" w:sz="4" w:space="1"/>
          <w:left w:val="single" w:color="auto" w:sz="4" w:space="4"/>
          <w:bottom w:val="single" w:color="auto" w:sz="4" w:space="1"/>
          <w:right w:val="single" w:color="auto" w:sz="4" w:space="4"/>
        </w:pBd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项目概况</w:t>
      </w:r>
    </w:p>
    <w:p w14:paraId="0C34DE77">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u w:val="single"/>
        </w:rPr>
        <w:t>北海市就业驿站运行管理服务</w:t>
      </w:r>
      <w:r>
        <w:rPr>
          <w:rFonts w:hint="eastAsia" w:ascii="宋体" w:hAnsi="宋体" w:cs="宋体"/>
          <w:color w:val="auto"/>
          <w:szCs w:val="21"/>
          <w:highlight w:val="none"/>
        </w:rPr>
        <w:t>的潜在投标人应在</w:t>
      </w:r>
      <w:r>
        <w:rPr>
          <w:rFonts w:hint="eastAsia" w:ascii="宋体" w:hAnsi="宋体" w:cs="宋体"/>
          <w:color w:val="auto"/>
          <w:szCs w:val="21"/>
          <w:highlight w:val="none"/>
          <w:u w:val="single"/>
        </w:rPr>
        <w:t>广西政府采购云平台</w:t>
      </w:r>
      <w:r>
        <w:rPr>
          <w:rFonts w:hint="eastAsia" w:ascii="宋体" w:hAnsi="宋体" w:cs="宋体"/>
          <w:color w:val="auto"/>
          <w:sz w:val="21"/>
          <w:szCs w:val="21"/>
          <w:highlight w:val="none"/>
          <w:u w:val="single"/>
        </w:rPr>
        <w:t>（https://www.gcy.zfcg.gxzf.gov.cn/）</w:t>
      </w:r>
      <w:r>
        <w:rPr>
          <w:rFonts w:hint="eastAsia" w:asciiTheme="minorEastAsia" w:hAnsiTheme="minorEastAsia" w:eastAsiaTheme="minorEastAsia"/>
          <w:color w:val="auto"/>
          <w:sz w:val="21"/>
          <w:szCs w:val="21"/>
          <w:highlight w:val="none"/>
        </w:rPr>
        <w:t>获取</w:t>
      </w:r>
      <w:r>
        <w:rPr>
          <w:rFonts w:hint="eastAsia" w:asciiTheme="minorEastAsia" w:hAnsiTheme="minorEastAsia" w:eastAsiaTheme="minorEastAsia"/>
          <w:color w:val="auto"/>
          <w:sz w:val="21"/>
          <w:szCs w:val="21"/>
          <w:highlight w:val="none"/>
          <w:lang w:eastAsia="zh-CN"/>
        </w:rPr>
        <w:t>磋商文件</w:t>
      </w:r>
      <w:r>
        <w:rPr>
          <w:rFonts w:hint="eastAsia" w:asciiTheme="minorEastAsia" w:hAnsiTheme="minorEastAsia" w:eastAsiaTheme="minorEastAsia"/>
          <w:color w:val="auto"/>
          <w:sz w:val="21"/>
          <w:szCs w:val="21"/>
          <w:highlight w:val="none"/>
        </w:rPr>
        <w:t>，并于</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11</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28</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09</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00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（北京时间）前提交响应文件</w:t>
      </w:r>
      <w:r>
        <w:rPr>
          <w:rFonts w:hint="eastAsia" w:asciiTheme="minorEastAsia" w:hAnsiTheme="minorEastAsia" w:eastAsiaTheme="minorEastAsia"/>
          <w:color w:val="auto"/>
          <w:sz w:val="21"/>
          <w:szCs w:val="21"/>
          <w:highlight w:val="none"/>
        </w:rPr>
        <w:t>。</w:t>
      </w:r>
    </w:p>
    <w:p w14:paraId="7B16087C">
      <w:pPr>
        <w:pStyle w:val="6"/>
        <w:spacing w:before="0" w:after="0" w:line="400" w:lineRule="exact"/>
        <w:rPr>
          <w:rFonts w:ascii="宋体" w:hAnsi="宋体" w:eastAsia="宋体" w:cs="宋体"/>
          <w:bCs w:val="0"/>
          <w:color w:val="auto"/>
          <w:szCs w:val="21"/>
          <w:highlight w:val="none"/>
        </w:rPr>
      </w:pPr>
      <w:bookmarkStart w:id="0" w:name="_Toc35393798"/>
      <w:bookmarkStart w:id="1" w:name="_Toc28359012"/>
      <w:bookmarkStart w:id="2" w:name="_Toc28359089"/>
      <w:bookmarkStart w:id="3" w:name="_Toc35393629"/>
      <w:r>
        <w:rPr>
          <w:rFonts w:hint="eastAsia" w:ascii="宋体" w:hAnsi="宋体" w:eastAsia="宋体" w:cs="宋体"/>
          <w:bCs w:val="0"/>
          <w:color w:val="auto"/>
          <w:szCs w:val="21"/>
          <w:highlight w:val="none"/>
        </w:rPr>
        <w:t>一、项目基本情况</w:t>
      </w:r>
      <w:bookmarkEnd w:id="0"/>
      <w:bookmarkEnd w:id="1"/>
      <w:bookmarkEnd w:id="2"/>
      <w:bookmarkEnd w:id="3"/>
    </w:p>
    <w:p w14:paraId="6D0887E1">
      <w:pPr>
        <w:spacing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BHZC2025-C3-990306-GXZF</w:t>
      </w:r>
    </w:p>
    <w:p w14:paraId="0FB96B9C">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2.项目名称：北海市就业驿站运行管理服务</w:t>
      </w:r>
    </w:p>
    <w:p w14:paraId="566FED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3.采购方式：竞争性磋商 </w:t>
      </w:r>
    </w:p>
    <w:p w14:paraId="4DC925E5">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预算金额：</w:t>
      </w:r>
      <w:r>
        <w:rPr>
          <w:rFonts w:hint="eastAsia" w:ascii="宋体" w:hAnsi="宋体" w:cs="宋体"/>
          <w:color w:val="auto"/>
          <w:szCs w:val="21"/>
          <w:highlight w:val="none"/>
          <w:lang w:eastAsia="zh-CN"/>
        </w:rPr>
        <w:t>预算总金额为</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壹佰捌拾陆万</w:t>
      </w:r>
      <w:r>
        <w:rPr>
          <w:rFonts w:hint="eastAsia" w:ascii="宋体" w:hAnsi="宋体" w:cs="宋体"/>
          <w:color w:val="auto"/>
          <w:szCs w:val="21"/>
          <w:highlight w:val="none"/>
        </w:rPr>
        <w:t>元整（¥</w:t>
      </w:r>
      <w:r>
        <w:rPr>
          <w:rFonts w:hint="eastAsia" w:ascii="宋体" w:hAnsi="宋体" w:cs="宋体"/>
          <w:color w:val="auto"/>
          <w:szCs w:val="21"/>
          <w:highlight w:val="none"/>
          <w:lang w:val="en-US" w:eastAsia="zh-CN"/>
        </w:rPr>
        <w:t>186</w:t>
      </w:r>
      <w:r>
        <w:rPr>
          <w:rFonts w:hint="eastAsia" w:ascii="宋体" w:hAnsi="宋体" w:cs="宋体"/>
          <w:color w:val="auto"/>
          <w:szCs w:val="21"/>
          <w:highlight w:val="none"/>
        </w:rPr>
        <w:t>0000.00）</w:t>
      </w:r>
      <w:r>
        <w:rPr>
          <w:rFonts w:hint="eastAsia" w:ascii="宋体" w:hAnsi="宋体" w:cs="宋体"/>
          <w:color w:val="auto"/>
          <w:szCs w:val="21"/>
          <w:highlight w:val="none"/>
          <w:lang w:eastAsia="zh-CN"/>
        </w:rPr>
        <w:t>，服务期</w:t>
      </w:r>
      <w:r>
        <w:rPr>
          <w:rFonts w:hint="eastAsia" w:ascii="宋体" w:hAnsi="宋体" w:cs="宋体"/>
          <w:color w:val="auto"/>
          <w:szCs w:val="21"/>
          <w:highlight w:val="none"/>
          <w:lang w:val="en-US" w:eastAsia="zh-CN"/>
        </w:rPr>
        <w:t>2年，每年预算金额为</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930000.00。</w:t>
      </w:r>
    </w:p>
    <w:p w14:paraId="57948DAE">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default"/>
          <w:color w:val="auto"/>
          <w:highlight w:val="none"/>
          <w:lang w:val="en-US" w:eastAsia="zh-CN"/>
        </w:rPr>
      </w:pPr>
      <w:r>
        <w:rPr>
          <w:rFonts w:hint="eastAsia" w:asciiTheme="minorEastAsia" w:hAnsiTheme="minorEastAsia" w:eastAsiaTheme="minorEastAsia"/>
          <w:color w:val="auto"/>
          <w:sz w:val="21"/>
          <w:szCs w:val="21"/>
          <w:highlight w:val="none"/>
        </w:rPr>
        <w:t>最高限价（元）：</w:t>
      </w: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为</w:t>
      </w:r>
      <w:r>
        <w:rPr>
          <w:rFonts w:hint="eastAsia" w:ascii="宋体" w:hAnsi="宋体" w:cs="宋体"/>
          <w:color w:val="auto"/>
          <w:szCs w:val="21"/>
          <w:highlight w:val="none"/>
          <w:lang w:eastAsia="zh-CN"/>
        </w:rPr>
        <w:t>解决政府采购异常低价问题试点项目，项目</w:t>
      </w:r>
      <w:r>
        <w:rPr>
          <w:rFonts w:hint="eastAsia" w:ascii="宋体" w:hAnsi="宋体" w:eastAsia="宋体"/>
          <w:b w:val="0"/>
          <w:bCs w:val="0"/>
          <w:color w:val="auto"/>
          <w:sz w:val="21"/>
          <w:szCs w:val="21"/>
          <w:highlight w:val="none"/>
        </w:rPr>
        <w:t>最高限价</w:t>
      </w:r>
      <w:r>
        <w:rPr>
          <w:rFonts w:hint="eastAsia" w:ascii="宋体" w:hAnsi="宋体" w:eastAsia="宋体"/>
          <w:b w:val="0"/>
          <w:bCs w:val="0"/>
          <w:color w:val="auto"/>
          <w:sz w:val="21"/>
          <w:szCs w:val="21"/>
          <w:highlight w:val="none"/>
          <w:lang w:eastAsia="zh-CN"/>
        </w:rPr>
        <w:t>为</w:t>
      </w:r>
      <w:r>
        <w:rPr>
          <w:rFonts w:hint="eastAsia" w:ascii="宋体" w:hAnsi="宋体" w:cs="宋体"/>
          <w:color w:val="auto"/>
          <w:szCs w:val="21"/>
          <w:highlight w:val="none"/>
        </w:rPr>
        <w:t>人民币</w:t>
      </w:r>
      <w:r>
        <w:rPr>
          <w:rFonts w:hint="eastAsia" w:ascii="宋体" w:hAnsi="宋体" w:cs="宋体"/>
          <w:color w:val="auto"/>
          <w:szCs w:val="21"/>
          <w:highlight w:val="none"/>
          <w:lang w:eastAsia="zh-CN"/>
        </w:rPr>
        <w:t>壹佰捌拾陆万</w:t>
      </w:r>
      <w:r>
        <w:rPr>
          <w:rFonts w:hint="eastAsia" w:ascii="宋体" w:hAnsi="宋体" w:cs="宋体"/>
          <w:color w:val="auto"/>
          <w:szCs w:val="21"/>
          <w:highlight w:val="none"/>
        </w:rPr>
        <w:t>元整（¥</w:t>
      </w:r>
      <w:r>
        <w:rPr>
          <w:rFonts w:hint="eastAsia" w:ascii="宋体" w:hAnsi="宋体" w:cs="宋体"/>
          <w:color w:val="auto"/>
          <w:szCs w:val="21"/>
          <w:highlight w:val="none"/>
          <w:lang w:val="en-US" w:eastAsia="zh-CN"/>
        </w:rPr>
        <w:t>186</w:t>
      </w:r>
      <w:r>
        <w:rPr>
          <w:rFonts w:hint="eastAsia" w:ascii="宋体" w:hAnsi="宋体" w:cs="宋体"/>
          <w:color w:val="auto"/>
          <w:szCs w:val="21"/>
          <w:highlight w:val="none"/>
        </w:rPr>
        <w:t>0000.00）</w:t>
      </w:r>
      <w:r>
        <w:rPr>
          <w:rFonts w:hint="eastAsia" w:ascii="宋体" w:hAnsi="宋体" w:cs="宋体"/>
          <w:color w:val="auto"/>
          <w:szCs w:val="21"/>
          <w:highlight w:val="none"/>
          <w:lang w:eastAsia="zh-CN"/>
        </w:rPr>
        <w:t>，每年为</w:t>
      </w:r>
      <w:r>
        <w:rPr>
          <w:rFonts w:hint="eastAsia" w:ascii="宋体" w:hAnsi="宋体" w:cs="宋体"/>
          <w:color w:val="auto"/>
          <w:szCs w:val="21"/>
          <w:highlight w:val="none"/>
          <w:lang w:val="en-US" w:eastAsia="zh-CN"/>
        </w:rPr>
        <w:t>930000.00元/年。</w:t>
      </w:r>
    </w:p>
    <w:p w14:paraId="3F92DE3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5.采购需求：本项目采购主要内容：①提供北海市城区内的13个就业驿站（具体地址以采购人提供的就业驿站选址为准）的运行管理服务； ②就业驿站基本功能至少包括：提供就业咨询服务、招工招聘服务、就业推荐服务、零工帮扶服务、</w:t>
      </w:r>
      <w:r>
        <w:rPr>
          <w:rFonts w:hint="eastAsia" w:ascii="宋体" w:hAnsi="宋体" w:cs="宋体"/>
          <w:color w:val="auto"/>
          <w:szCs w:val="21"/>
          <w:highlight w:val="none"/>
          <w:lang w:eastAsia="zh-CN"/>
        </w:rPr>
        <w:t>重点区域就业帮扶、</w:t>
      </w:r>
      <w:r>
        <w:rPr>
          <w:rFonts w:hint="eastAsia" w:ascii="宋体" w:hAnsi="宋体" w:cs="宋体"/>
          <w:color w:val="auto"/>
          <w:szCs w:val="21"/>
          <w:highlight w:val="none"/>
        </w:rPr>
        <w:t>劳动维权服务、职业规划服务、</w:t>
      </w:r>
      <w:r>
        <w:rPr>
          <w:rFonts w:hint="eastAsia" w:ascii="宋体" w:hAnsi="宋体" w:cs="宋体"/>
          <w:color w:val="auto"/>
          <w:szCs w:val="21"/>
          <w:highlight w:val="none"/>
          <w:lang w:eastAsia="zh-CN"/>
        </w:rPr>
        <w:t>劳务协作服务、</w:t>
      </w:r>
      <w:r>
        <w:rPr>
          <w:rFonts w:hint="eastAsia" w:ascii="宋体" w:hAnsi="宋体" w:cs="宋体"/>
          <w:color w:val="auto"/>
          <w:szCs w:val="21"/>
          <w:highlight w:val="none"/>
        </w:rPr>
        <w:t>用工调查服务、根据实际需要开展劳务品牌及法律援助等服务等；③运行管理部门至少配备6名(含)以上专职人员，负责日常管理、供需匹配对接、信息发布、业务培训、项目执行、活动策划、技术维护、宣传、客服等事务； 每个就业驿站至少配备1名(含)以上工作人员，确保就业驿站正常运转、办理求职招聘登记、提供各项就业服务。如需进一步了解详细内容，详见本项目公告附件及本项目竞争性磋商文件。</w:t>
      </w:r>
    </w:p>
    <w:p w14:paraId="1D5F5373">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w:t>
      </w:r>
      <w:r>
        <w:rPr>
          <w:rFonts w:hint="eastAsia" w:ascii="宋体" w:hAnsi="宋体" w:cs="宋体"/>
          <w:color w:val="auto"/>
          <w:szCs w:val="21"/>
          <w:highlight w:val="none"/>
          <w:lang w:eastAsia="zh-CN"/>
        </w:rPr>
        <w:t>本项目</w:t>
      </w:r>
      <w:r>
        <w:rPr>
          <w:rFonts w:hint="eastAsia" w:ascii="宋体" w:hAnsi="宋体" w:cs="宋体"/>
          <w:bCs/>
          <w:color w:val="auto"/>
          <w:sz w:val="21"/>
          <w:szCs w:val="21"/>
          <w:highlight w:val="none"/>
        </w:rPr>
        <w:t>服务期限</w:t>
      </w:r>
      <w:r>
        <w:rPr>
          <w:rFonts w:hint="eastAsia" w:ascii="宋体" w:hAnsi="宋体" w:cs="宋体"/>
          <w:bCs/>
          <w:color w:val="auto"/>
          <w:sz w:val="21"/>
          <w:szCs w:val="21"/>
          <w:highlight w:val="none"/>
          <w:lang w:eastAsia="zh-CN"/>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18E0C06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color w:val="auto"/>
          <w:sz w:val="21"/>
          <w:szCs w:val="21"/>
          <w:highlight w:val="none"/>
        </w:rPr>
      </w:pPr>
      <w:r>
        <w:rPr>
          <w:rFonts w:hint="eastAsia" w:ascii="宋体" w:hAnsi="宋体" w:cs="宋体"/>
          <w:color w:val="auto"/>
          <w:szCs w:val="21"/>
          <w:highlight w:val="none"/>
        </w:rPr>
        <w:t>7.</w:t>
      </w:r>
      <w:r>
        <w:rPr>
          <w:rFonts w:hint="eastAsia" w:asciiTheme="minorEastAsia" w:hAnsiTheme="minorEastAsia" w:eastAsiaTheme="minorEastAsia"/>
          <w:color w:val="auto"/>
          <w:sz w:val="21"/>
          <w:szCs w:val="21"/>
          <w:highlight w:val="none"/>
        </w:rPr>
        <w:t>本项目是否接受联合体磋商：</w:t>
      </w:r>
      <w:sdt>
        <w:sdtPr>
          <w:rPr>
            <w:rFonts w:hint="eastAsia" w:asciiTheme="minorEastAsia" w:hAnsiTheme="minorEastAsia" w:eastAsiaTheme="minorEastAsia"/>
            <w:color w:val="auto"/>
            <w:sz w:val="21"/>
            <w:szCs w:val="21"/>
            <w:highlight w:val="none"/>
          </w:rPr>
          <w:id w:val="2035453831"/>
          <w14:checkbox>
            <w14:checked w14:val="0"/>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MS Gothic" w:hAnsi="MS Gothic" w:eastAsia="MS Gothic"/>
              <w:color w:val="auto"/>
              <w:sz w:val="21"/>
              <w:szCs w:val="21"/>
              <w:highlight w:val="none"/>
            </w:rPr>
            <w:t>☐</w:t>
          </w:r>
        </w:sdtContent>
      </w:sdt>
      <w:r>
        <w:rPr>
          <w:rFonts w:hint="eastAsia" w:asciiTheme="minorEastAsia" w:hAnsiTheme="minorEastAsia" w:eastAsiaTheme="minorEastAsia"/>
          <w:color w:val="auto"/>
          <w:sz w:val="21"/>
          <w:szCs w:val="21"/>
          <w:highlight w:val="none"/>
        </w:rPr>
        <w:t>是，</w:t>
      </w:r>
      <w:sdt>
        <w:sdtPr>
          <w:rPr>
            <w:rFonts w:hint="eastAsia" w:asciiTheme="minorEastAsia" w:hAnsiTheme="minorEastAsia" w:eastAsiaTheme="minorEastAsia"/>
            <w:color w:val="auto"/>
            <w:sz w:val="21"/>
            <w:szCs w:val="21"/>
            <w:highlight w:val="none"/>
          </w:rPr>
          <w:id w:val="-1765526721"/>
          <w14:checkbox>
            <w14:checked w14:val="1"/>
            <w14:checkedState w14:val="00FE" w14:font="Wingdings"/>
            <w14:uncheckedState w14:val="2610" w14:font="MS Gothic"/>
          </w14:checkbox>
        </w:sdtPr>
        <w:sdtEndPr>
          <w:rPr>
            <w:rFonts w:hint="eastAsia" w:asciiTheme="minorEastAsia" w:hAnsiTheme="minorEastAsia" w:eastAsiaTheme="minorEastAsia"/>
            <w:color w:val="auto"/>
            <w:sz w:val="21"/>
            <w:szCs w:val="21"/>
            <w:highlight w:val="none"/>
          </w:rPr>
        </w:sdtEndPr>
        <w:sdtContent>
          <w:r>
            <w:rPr>
              <w:rFonts w:hint="eastAsia" w:ascii="Wingdings" w:hAnsi="Wingdings" w:eastAsia="MS Mincho" w:cs="MS Mincho"/>
              <w:color w:val="auto"/>
              <w:kern w:val="2"/>
              <w:sz w:val="21"/>
              <w:szCs w:val="21"/>
              <w:highlight w:val="none"/>
              <w:lang w:val="en-US" w:eastAsia="zh-CN" w:bidi="ar-SA"/>
            </w:rPr>
            <w:t>þ</w:t>
          </w:r>
        </w:sdtContent>
      </w:sdt>
      <w:r>
        <w:rPr>
          <w:rFonts w:hint="eastAsia" w:asciiTheme="minorEastAsia" w:hAnsiTheme="minorEastAsia" w:eastAsiaTheme="minorEastAsia"/>
          <w:color w:val="auto"/>
          <w:sz w:val="21"/>
          <w:szCs w:val="21"/>
          <w:highlight w:val="none"/>
        </w:rPr>
        <w:t>否。</w:t>
      </w:r>
    </w:p>
    <w:p w14:paraId="2B48A5BA">
      <w:pPr>
        <w:pStyle w:val="6"/>
        <w:keepNext w:val="0"/>
        <w:keepLines w:val="0"/>
        <w:spacing w:before="0" w:after="0" w:line="400" w:lineRule="exact"/>
        <w:rPr>
          <w:rFonts w:ascii="宋体" w:hAnsi="宋体" w:eastAsia="宋体" w:cs="宋体"/>
          <w:b w:val="0"/>
          <w:color w:val="auto"/>
          <w:szCs w:val="21"/>
          <w:highlight w:val="none"/>
        </w:rPr>
      </w:pPr>
      <w:bookmarkStart w:id="4" w:name="_Toc28359013"/>
      <w:bookmarkStart w:id="5" w:name="_Toc35393799"/>
      <w:bookmarkStart w:id="6" w:name="_Toc35393630"/>
      <w:bookmarkStart w:id="7" w:name="_Toc28359090"/>
      <w:r>
        <w:rPr>
          <w:rFonts w:hint="eastAsia" w:ascii="宋体" w:hAnsi="宋体" w:eastAsia="宋体" w:cs="宋体"/>
          <w:bCs w:val="0"/>
          <w:color w:val="auto"/>
          <w:szCs w:val="21"/>
          <w:highlight w:val="none"/>
        </w:rPr>
        <w:t>二、申请人的资格要求：</w:t>
      </w:r>
      <w:bookmarkEnd w:id="4"/>
      <w:bookmarkEnd w:id="5"/>
      <w:bookmarkEnd w:id="6"/>
      <w:bookmarkEnd w:id="7"/>
    </w:p>
    <w:p w14:paraId="28DD0F91">
      <w:pPr>
        <w:keepNext w:val="0"/>
        <w:keepLines w:val="0"/>
        <w:pageBreakBefore w:val="0"/>
        <w:widowControl w:val="0"/>
        <w:kinsoku/>
        <w:wordWrap/>
        <w:overflowPunct/>
        <w:topLinePunct w:val="0"/>
        <w:autoSpaceDE/>
        <w:autoSpaceDN/>
        <w:bidi w:val="0"/>
        <w:adjustRightInd w:val="0"/>
        <w:spacing w:line="400" w:lineRule="exact"/>
        <w:ind w:firstLine="480"/>
        <w:textAlignment w:val="auto"/>
        <w:rPr>
          <w:rFonts w:cs="宋体" w:asciiTheme="minorEastAsia" w:hAnsiTheme="minorEastAsia" w:eastAsiaTheme="minorEastAsia"/>
          <w:snapToGrid w:val="0"/>
          <w:color w:val="auto"/>
          <w:kern w:val="28"/>
          <w:sz w:val="21"/>
          <w:szCs w:val="21"/>
          <w:highlight w:val="none"/>
        </w:rPr>
      </w:pPr>
      <w:bookmarkStart w:id="8" w:name="_Toc35393805"/>
      <w:bookmarkStart w:id="9" w:name="_Toc28359095"/>
      <w:bookmarkStart w:id="10" w:name="_Toc35393636"/>
      <w:bookmarkStart w:id="11" w:name="_Toc28359018"/>
      <w:r>
        <w:rPr>
          <w:rFonts w:hint="eastAsia" w:cs="宋体" w:asciiTheme="minorEastAsia" w:hAnsiTheme="minorEastAsia" w:eastAsiaTheme="minorEastAsia"/>
          <w:snapToGrid w:val="0"/>
          <w:color w:val="auto"/>
          <w:kern w:val="28"/>
          <w:sz w:val="21"/>
          <w:szCs w:val="21"/>
          <w:highlight w:val="none"/>
        </w:rPr>
        <w:t>1. 满足《中华人民共和国政府采购法》第二十二条规定；</w:t>
      </w:r>
    </w:p>
    <w:p w14:paraId="4E6CADF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cs="宋体" w:asciiTheme="minorEastAsia" w:hAnsiTheme="minorEastAsia" w:eastAsiaTheme="minorEastAsia"/>
          <w:snapToGrid w:val="0"/>
          <w:color w:val="auto"/>
          <w:kern w:val="28"/>
          <w:sz w:val="21"/>
          <w:szCs w:val="21"/>
          <w:highlight w:val="none"/>
        </w:rPr>
      </w:pPr>
      <w:r>
        <w:rPr>
          <w:rFonts w:hint="eastAsia" w:cs="宋体" w:asciiTheme="minorEastAsia" w:hAnsiTheme="minorEastAsia" w:eastAsiaTheme="minorEastAsia"/>
          <w:snapToGrid w:val="0"/>
          <w:color w:val="auto"/>
          <w:kern w:val="28"/>
          <w:sz w:val="21"/>
          <w:szCs w:val="21"/>
          <w:highlight w:val="none"/>
        </w:rPr>
        <w:t xml:space="preserve"> </w:t>
      </w:r>
      <w:r>
        <w:rPr>
          <w:rFonts w:cs="宋体" w:asciiTheme="minorEastAsia" w:hAnsiTheme="minorEastAsia" w:eastAsiaTheme="minorEastAsia"/>
          <w:snapToGrid w:val="0"/>
          <w:color w:val="auto"/>
          <w:kern w:val="28"/>
          <w:sz w:val="21"/>
          <w:szCs w:val="21"/>
          <w:highlight w:val="none"/>
        </w:rPr>
        <w:t>2</w:t>
      </w:r>
      <w:r>
        <w:rPr>
          <w:rFonts w:hint="eastAsia" w:cs="宋体" w:asciiTheme="minorEastAsia" w:hAnsiTheme="minorEastAsia" w:eastAsiaTheme="minorEastAsia"/>
          <w:snapToGrid w:val="0"/>
          <w:color w:val="auto"/>
          <w:kern w:val="28"/>
          <w:sz w:val="21"/>
          <w:szCs w:val="21"/>
          <w:highlight w:val="none"/>
        </w:rPr>
        <w:t>.落实政府采购政策需满足的资格要求：</w:t>
      </w:r>
    </w:p>
    <w:p w14:paraId="7E043DE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z w:val="21"/>
          <w:szCs w:val="21"/>
          <w:highlight w:val="none"/>
        </w:rPr>
      </w:pPr>
      <w:sdt>
        <w:sdtPr>
          <w:rPr>
            <w:rFonts w:hint="eastAsia" w:cs="宋体" w:asciiTheme="minorEastAsia" w:hAnsiTheme="minorEastAsia" w:eastAsiaTheme="minorEastAsia"/>
            <w:color w:val="auto"/>
            <w:kern w:val="0"/>
            <w:sz w:val="21"/>
            <w:szCs w:val="21"/>
            <w:highlight w:val="none"/>
          </w:rPr>
          <w:id w:val="14746847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1"/>
            <w:szCs w:val="21"/>
            <w:highlight w:val="none"/>
          </w:rPr>
        </w:sdtEndPr>
        <w:sdtContent>
          <w:r>
            <w:rPr>
              <w:rFonts w:hint="eastAsia" w:ascii="MS Gothic" w:hAnsi="MS Gothic" w:eastAsia="MS Mincho" w:cs="MS Mincho"/>
              <w:color w:val="auto"/>
              <w:kern w:val="0"/>
              <w:sz w:val="21"/>
              <w:szCs w:val="21"/>
              <w:highlight w:val="none"/>
              <w:lang w:val="en-US" w:eastAsia="zh-CN" w:bidi="ar-SA"/>
            </w:rPr>
            <w:t>☐</w:t>
          </w:r>
        </w:sdtContent>
      </w:sdt>
      <w:r>
        <w:rPr>
          <w:rFonts w:hint="eastAsia" w:cs="宋体" w:asciiTheme="minorEastAsia" w:hAnsiTheme="minorEastAsia" w:eastAsiaTheme="minorEastAsia"/>
          <w:color w:val="auto"/>
          <w:sz w:val="21"/>
          <w:szCs w:val="21"/>
          <w:highlight w:val="none"/>
        </w:rPr>
        <w:t>无</w:t>
      </w:r>
      <w:r>
        <w:rPr>
          <w:rFonts w:hint="eastAsia" w:ascii="宋体" w:hAnsi="宋体" w:cs="宋体"/>
          <w:snapToGrid w:val="0"/>
          <w:color w:val="auto"/>
          <w:kern w:val="28"/>
          <w:sz w:val="21"/>
          <w:szCs w:val="21"/>
          <w:highlight w:val="none"/>
        </w:rPr>
        <w:t>（注：不得限制大中型企业与小微企业组成联合体参与响应）</w:t>
      </w:r>
      <w:r>
        <w:rPr>
          <w:rFonts w:hint="eastAsia" w:cs="宋体" w:asciiTheme="minorEastAsia" w:hAnsiTheme="minorEastAsia" w:eastAsiaTheme="minorEastAsia"/>
          <w:color w:val="auto"/>
          <w:sz w:val="21"/>
          <w:szCs w:val="21"/>
          <w:highlight w:val="none"/>
        </w:rPr>
        <w:t>；</w:t>
      </w:r>
    </w:p>
    <w:p w14:paraId="0992E949">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strike/>
          <w:dstrike w:val="0"/>
          <w:color w:val="auto"/>
          <w:spacing w:val="0"/>
          <w:sz w:val="21"/>
          <w:szCs w:val="21"/>
          <w:highlight w:val="none"/>
        </w:rPr>
      </w:pPr>
      <w:sdt>
        <w:sdtPr>
          <w:rPr>
            <w:rFonts w:hint="eastAsia" w:cs="宋体" w:asciiTheme="minorEastAsia" w:hAnsiTheme="minorEastAsia" w:eastAsiaTheme="minorEastAsia"/>
            <w:color w:val="auto"/>
            <w:kern w:val="0"/>
            <w:sz w:val="21"/>
            <w:szCs w:val="21"/>
            <w:highlight w:val="none"/>
          </w:rPr>
          <w:id w:val="147481830"/>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1"/>
            <w:szCs w:val="21"/>
            <w:highlight w:val="none"/>
          </w:rPr>
        </w:sdtEndPr>
        <w:sdtContent>
          <w:r>
            <w:rPr>
              <w:rFonts w:hint="eastAsia" w:ascii="Wingdings" w:hAnsi="Wingdings" w:eastAsia="MS Gothic" w:cs="宋体"/>
              <w:color w:val="auto"/>
              <w:kern w:val="0"/>
              <w:sz w:val="21"/>
              <w:szCs w:val="21"/>
              <w:highlight w:val="none"/>
              <w:lang w:val="en-US" w:eastAsia="zh-CN" w:bidi="ar-SA"/>
            </w:rPr>
            <w:t>þ</w:t>
          </w:r>
        </w:sdtContent>
      </w:sdt>
      <w:r>
        <w:rPr>
          <w:rFonts w:hint="eastAsia" w:cs="宋体" w:asciiTheme="minorEastAsia" w:hAnsiTheme="minorEastAsia" w:eastAsiaTheme="minorEastAsia"/>
          <w:color w:val="auto"/>
          <w:kern w:val="0"/>
          <w:sz w:val="21"/>
          <w:szCs w:val="21"/>
          <w:highlight w:val="none"/>
        </w:rPr>
        <w:t>专</w:t>
      </w:r>
      <w:r>
        <w:rPr>
          <w:rFonts w:hint="eastAsia" w:cs="宋体" w:asciiTheme="minorEastAsia" w:hAnsiTheme="minorEastAsia" w:eastAsiaTheme="minorEastAsia"/>
          <w:color w:val="auto"/>
          <w:sz w:val="21"/>
          <w:szCs w:val="21"/>
          <w:highlight w:val="none"/>
        </w:rPr>
        <w:t>门面向中小企业</w:t>
      </w:r>
      <w:r>
        <w:rPr>
          <w:rFonts w:hint="eastAsia" w:cs="宋体" w:asciiTheme="minorEastAsia" w:hAnsiTheme="minorEastAsia" w:eastAsiaTheme="minorEastAsia"/>
          <w:color w:val="auto"/>
          <w:sz w:val="21"/>
          <w:szCs w:val="21"/>
          <w:highlight w:val="none"/>
          <w:lang w:eastAsia="zh-CN"/>
        </w:rPr>
        <w:t>：要求</w:t>
      </w:r>
      <w:r>
        <w:rPr>
          <w:rFonts w:hint="eastAsia" w:cs="宋体" w:asciiTheme="minorEastAsia" w:hAnsiTheme="minorEastAsia" w:eastAsiaTheme="minorEastAsia"/>
          <w:color w:val="auto"/>
          <w:sz w:val="21"/>
          <w:szCs w:val="21"/>
          <w:highlight w:val="none"/>
        </w:rPr>
        <w:t>服务全部由符合政策要求的中小企业承接，</w:t>
      </w:r>
      <w:r>
        <w:rPr>
          <w:rFonts w:hint="eastAsia" w:cs="宋体" w:asciiTheme="minorEastAsia" w:hAnsiTheme="minorEastAsia" w:eastAsiaTheme="minorEastAsia"/>
          <w:color w:val="auto"/>
          <w:sz w:val="21"/>
          <w:szCs w:val="21"/>
          <w:highlight w:val="none"/>
          <w:lang w:eastAsia="zh-CN"/>
        </w:rPr>
        <w:t>须</w:t>
      </w:r>
      <w:r>
        <w:rPr>
          <w:rFonts w:hint="eastAsia" w:cs="宋体" w:asciiTheme="minorEastAsia" w:hAnsiTheme="minorEastAsia" w:eastAsiaTheme="minorEastAsia"/>
          <w:color w:val="auto"/>
          <w:sz w:val="21"/>
          <w:szCs w:val="21"/>
          <w:highlight w:val="none"/>
        </w:rPr>
        <w:t>提供中小企业声明函；</w:t>
      </w:r>
    </w:p>
    <w:p w14:paraId="5FDDB559">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spacing w:val="0"/>
          <w:sz w:val="21"/>
          <w:szCs w:val="21"/>
          <w:highlight w:val="none"/>
        </w:rPr>
      </w:pPr>
      <w:r>
        <w:rPr>
          <w:rFonts w:hint="eastAsia" w:cs="宋体" w:asciiTheme="minorEastAsia" w:hAnsiTheme="minorEastAsia" w:eastAsiaTheme="minorEastAsia"/>
          <w:color w:val="auto"/>
          <w:spacing w:val="0"/>
          <w:sz w:val="21"/>
          <w:szCs w:val="21"/>
          <w:highlight w:val="none"/>
          <w:lang w:val="en-US" w:eastAsia="zh-CN"/>
        </w:rPr>
        <w:t>3</w:t>
      </w:r>
      <w:r>
        <w:rPr>
          <w:rFonts w:hint="eastAsia" w:cs="宋体" w:asciiTheme="minorEastAsia" w:hAnsiTheme="minorEastAsia" w:eastAsiaTheme="minorEastAsia"/>
          <w:color w:val="auto"/>
          <w:spacing w:val="0"/>
          <w:sz w:val="21"/>
          <w:szCs w:val="21"/>
          <w:highlight w:val="none"/>
        </w:rPr>
        <w:t>.本项目的特定资格要求：</w:t>
      </w:r>
      <w:r>
        <w:rPr>
          <w:rFonts w:hint="eastAsia" w:cs="宋体" w:asciiTheme="minorEastAsia" w:hAnsiTheme="minorEastAsia" w:eastAsiaTheme="minorEastAsia"/>
          <w:color w:val="auto"/>
          <w:spacing w:val="0"/>
          <w:sz w:val="21"/>
          <w:szCs w:val="21"/>
          <w:highlight w:val="none"/>
          <w:u w:val="single"/>
          <w:lang w:val="en-US" w:eastAsia="zh-CN"/>
        </w:rPr>
        <w:t xml:space="preserve"> 供应商具有有效的《人力资源服务许可证》</w:t>
      </w:r>
      <w:r>
        <w:rPr>
          <w:rFonts w:hint="eastAsia" w:cs="宋体" w:asciiTheme="minorEastAsia" w:hAnsiTheme="minorEastAsia" w:eastAsiaTheme="minorEastAsia"/>
          <w:color w:val="auto"/>
          <w:spacing w:val="0"/>
          <w:sz w:val="21"/>
          <w:szCs w:val="21"/>
          <w:highlight w:val="none"/>
        </w:rPr>
        <w:t>；</w:t>
      </w:r>
    </w:p>
    <w:p w14:paraId="2AC2533C">
      <w:pPr>
        <w:pStyle w:val="6"/>
        <w:keepNext w:val="0"/>
        <w:keepLines w:val="0"/>
        <w:spacing w:before="0" w:after="0"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三、</w:t>
      </w:r>
      <w:r>
        <w:rPr>
          <w:rFonts w:hint="eastAsia"/>
          <w:b/>
          <w:color w:val="auto"/>
          <w:sz w:val="21"/>
          <w:szCs w:val="21"/>
          <w:highlight w:val="none"/>
        </w:rPr>
        <w:t>获取（下载）</w:t>
      </w:r>
      <w:r>
        <w:rPr>
          <w:rFonts w:hint="eastAsia"/>
          <w:b/>
          <w:color w:val="auto"/>
          <w:sz w:val="21"/>
          <w:szCs w:val="21"/>
          <w:highlight w:val="none"/>
          <w:lang w:eastAsia="zh-CN"/>
        </w:rPr>
        <w:t>磋商文件</w:t>
      </w:r>
    </w:p>
    <w:bookmarkEnd w:id="8"/>
    <w:bookmarkEnd w:id="9"/>
    <w:bookmarkEnd w:id="10"/>
    <w:bookmarkEnd w:id="11"/>
    <w:p w14:paraId="2C9172E6">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时间：202</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11</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18</w:t>
      </w:r>
      <w:r>
        <w:rPr>
          <w:rFonts w:hint="eastAsia" w:cs="宋体" w:asciiTheme="minorEastAsia" w:hAnsiTheme="minorEastAsia" w:eastAsiaTheme="minorEastAsia"/>
          <w:color w:val="auto"/>
          <w:sz w:val="21"/>
          <w:szCs w:val="21"/>
          <w:highlight w:val="none"/>
        </w:rPr>
        <w:t>日至202</w:t>
      </w:r>
      <w:r>
        <w:rPr>
          <w:rFonts w:hint="eastAsia" w:cs="宋体" w:asciiTheme="minorEastAsia" w:hAnsiTheme="minorEastAsia" w:eastAsiaTheme="minorEastAsia"/>
          <w:color w:val="auto"/>
          <w:sz w:val="21"/>
          <w:szCs w:val="21"/>
          <w:highlight w:val="none"/>
          <w:lang w:val="en-US" w:eastAsia="zh-CN"/>
        </w:rPr>
        <w:t>5</w:t>
      </w:r>
      <w:r>
        <w:rPr>
          <w:rFonts w:hint="eastAsia" w:cs="宋体" w:asciiTheme="minorEastAsia" w:hAnsiTheme="minorEastAsia" w:eastAsiaTheme="minorEastAsia"/>
          <w:color w:val="auto"/>
          <w:sz w:val="21"/>
          <w:szCs w:val="21"/>
          <w:highlight w:val="none"/>
        </w:rPr>
        <w:t>年</w:t>
      </w:r>
      <w:r>
        <w:rPr>
          <w:rFonts w:hint="eastAsia" w:cs="宋体" w:asciiTheme="minorEastAsia" w:hAnsiTheme="minorEastAsia" w:eastAsiaTheme="minorEastAsia"/>
          <w:color w:val="auto"/>
          <w:sz w:val="21"/>
          <w:szCs w:val="21"/>
          <w:highlight w:val="none"/>
          <w:lang w:val="en-US" w:eastAsia="zh-CN"/>
        </w:rPr>
        <w:t>11</w:t>
      </w:r>
      <w:r>
        <w:rPr>
          <w:rFonts w:hint="eastAsia" w:cs="宋体" w:asciiTheme="minorEastAsia" w:hAnsiTheme="minorEastAsia" w:eastAsiaTheme="minorEastAsia"/>
          <w:color w:val="auto"/>
          <w:sz w:val="21"/>
          <w:szCs w:val="21"/>
          <w:highlight w:val="none"/>
        </w:rPr>
        <w:t>月</w:t>
      </w:r>
      <w:r>
        <w:rPr>
          <w:rFonts w:hint="eastAsia" w:cs="宋体" w:asciiTheme="minorEastAsia" w:hAnsiTheme="minorEastAsia" w:eastAsiaTheme="minorEastAsia"/>
          <w:color w:val="auto"/>
          <w:sz w:val="21"/>
          <w:szCs w:val="21"/>
          <w:highlight w:val="none"/>
          <w:lang w:val="en-US" w:eastAsia="zh-CN"/>
        </w:rPr>
        <w:t>24</w:t>
      </w:r>
      <w:r>
        <w:rPr>
          <w:rFonts w:hint="eastAsia" w:cs="宋体" w:asciiTheme="minorEastAsia" w:hAnsiTheme="minorEastAsia" w:eastAsiaTheme="minorEastAsia"/>
          <w:color w:val="auto"/>
          <w:sz w:val="21"/>
          <w:szCs w:val="21"/>
          <w:highlight w:val="none"/>
        </w:rPr>
        <w:t>日，每天上午</w:t>
      </w:r>
      <w:r>
        <w:rPr>
          <w:rFonts w:hint="eastAsia" w:asciiTheme="minorEastAsia" w:hAnsiTheme="minorEastAsia" w:eastAsiaTheme="minorEastAsia"/>
          <w:color w:val="auto"/>
          <w:sz w:val="21"/>
          <w:szCs w:val="21"/>
          <w:highlight w:val="none"/>
        </w:rPr>
        <w:t>00:00至12:00 ，下午12:00至23:59</w:t>
      </w:r>
      <w:r>
        <w:rPr>
          <w:rFonts w:hint="eastAsia" w:cs="宋体" w:asciiTheme="minorEastAsia" w:hAnsiTheme="minorEastAsia" w:eastAsiaTheme="minorEastAsia"/>
          <w:color w:val="auto"/>
          <w:sz w:val="21"/>
          <w:szCs w:val="21"/>
          <w:highlight w:val="none"/>
        </w:rPr>
        <w:t>（北京时间，法定节假日除外）；</w:t>
      </w:r>
    </w:p>
    <w:p w14:paraId="35C05CEB">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地点（网址）：</w:t>
      </w:r>
      <w:r>
        <w:rPr>
          <w:rFonts w:hint="eastAsia" w:ascii="宋体" w:hAnsi="宋体" w:cs="宋体"/>
          <w:color w:val="auto"/>
          <w:sz w:val="21"/>
          <w:szCs w:val="21"/>
          <w:highlight w:val="none"/>
        </w:rPr>
        <w:t>广西政府采购云平台（https://www.gcy.zfcg.gxzf.gov.cn/）</w:t>
      </w:r>
    </w:p>
    <w:p w14:paraId="1E715139">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u w:val="single"/>
        </w:rPr>
      </w:pPr>
      <w:r>
        <w:rPr>
          <w:rFonts w:hint="eastAsia" w:cs="宋体" w:asciiTheme="minorEastAsia" w:hAnsiTheme="minorEastAsia" w:eastAsiaTheme="minorEastAsia"/>
          <w:color w:val="auto"/>
          <w:sz w:val="21"/>
          <w:szCs w:val="21"/>
          <w:highlight w:val="none"/>
        </w:rPr>
        <w:t>方式：供应商登录</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在线申请获取</w:t>
      </w:r>
      <w:r>
        <w:rPr>
          <w:rFonts w:hint="eastAsia" w:cs="宋体" w:asciiTheme="minorEastAsia" w:hAnsiTheme="minorEastAsia" w:eastAsiaTheme="minorEastAsia"/>
          <w:color w:val="auto"/>
          <w:sz w:val="21"/>
          <w:szCs w:val="21"/>
          <w:highlight w:val="none"/>
          <w:lang w:eastAsia="zh-CN"/>
        </w:rPr>
        <w:t>磋商文件</w:t>
      </w:r>
      <w:r>
        <w:rPr>
          <w:rFonts w:hint="eastAsia" w:cs="宋体" w:asciiTheme="minorEastAsia" w:hAnsiTheme="minorEastAsia" w:eastAsiaTheme="minorEastAsia"/>
          <w:color w:val="auto"/>
          <w:sz w:val="21"/>
          <w:szCs w:val="21"/>
          <w:highlight w:val="none"/>
        </w:rPr>
        <w:t>（进入“项目采购”应用，在获取采购文件菜单中选择项目，申请获取</w:t>
      </w:r>
      <w:r>
        <w:rPr>
          <w:rFonts w:hint="eastAsia" w:cs="宋体" w:asciiTheme="minorEastAsia" w:hAnsiTheme="minorEastAsia" w:eastAsiaTheme="minorEastAsia"/>
          <w:color w:val="auto"/>
          <w:sz w:val="21"/>
          <w:szCs w:val="21"/>
          <w:highlight w:val="none"/>
          <w:lang w:eastAsia="zh-CN"/>
        </w:rPr>
        <w:t>磋商文件</w:t>
      </w:r>
      <w:r>
        <w:rPr>
          <w:rFonts w:hint="eastAsia" w:cs="宋体" w:asciiTheme="minorEastAsia" w:hAnsiTheme="minorEastAsia" w:eastAsiaTheme="minorEastAsia"/>
          <w:color w:val="auto"/>
          <w:sz w:val="21"/>
          <w:szCs w:val="21"/>
          <w:highlight w:val="none"/>
        </w:rPr>
        <w:t>）。</w:t>
      </w:r>
    </w:p>
    <w:p w14:paraId="48E2E876">
      <w:pPr>
        <w:keepNext w:val="0"/>
        <w:keepLines w:val="0"/>
        <w:pageBreakBefore w:val="0"/>
        <w:widowControl w:val="0"/>
        <w:kinsoku/>
        <w:wordWrap/>
        <w:overflowPunct/>
        <w:topLinePunct w:val="0"/>
        <w:autoSpaceDE/>
        <w:autoSpaceDN/>
        <w:bidi w:val="0"/>
        <w:adjustRightInd w:val="0"/>
        <w:spacing w:line="400" w:lineRule="exact"/>
        <w:ind w:firstLine="54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color w:val="auto"/>
          <w:sz w:val="21"/>
          <w:szCs w:val="21"/>
          <w:highlight w:val="none"/>
        </w:rPr>
        <w:t>售价：</w:t>
      </w:r>
      <w:r>
        <w:rPr>
          <w:rFonts w:hint="eastAsia" w:cs="仿宋_GB2312" w:asciiTheme="minorEastAsia" w:hAnsiTheme="minorEastAsia" w:eastAsiaTheme="minorEastAsia"/>
          <w:color w:val="auto"/>
          <w:sz w:val="21"/>
          <w:szCs w:val="21"/>
          <w:highlight w:val="none"/>
        </w:rPr>
        <w:t>0。</w:t>
      </w:r>
    </w:p>
    <w:p w14:paraId="447EEF64">
      <w:pPr>
        <w:pStyle w:val="57"/>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2" w:name="_Toc28359015"/>
      <w:bookmarkStart w:id="13" w:name="_Toc35393632"/>
      <w:bookmarkStart w:id="14" w:name="_Toc28359092"/>
      <w:bookmarkStart w:id="15" w:name="_Toc35393801"/>
      <w:r>
        <w:rPr>
          <w:rFonts w:hint="eastAsia"/>
          <w:b/>
          <w:color w:val="auto"/>
          <w:sz w:val="21"/>
          <w:szCs w:val="21"/>
          <w:highlight w:val="none"/>
        </w:rPr>
        <w:t>四、响应文件提交</w:t>
      </w:r>
      <w:bookmarkEnd w:id="12"/>
      <w:bookmarkEnd w:id="13"/>
      <w:bookmarkEnd w:id="14"/>
      <w:bookmarkEnd w:id="15"/>
    </w:p>
    <w:p w14:paraId="55A98FB0">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截止时间：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11</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28</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09</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00</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1126839B">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仿宋_GB2312" w:asciiTheme="minorEastAsia" w:hAnsiTheme="minorEastAsia" w:eastAsiaTheme="minorEastAsia"/>
          <w:b/>
          <w:color w:val="auto"/>
          <w:sz w:val="21"/>
          <w:szCs w:val="21"/>
          <w:highlight w:val="none"/>
        </w:rPr>
        <w:t>。</w:t>
      </w:r>
    </w:p>
    <w:p w14:paraId="2162DEC8">
      <w:pPr>
        <w:pStyle w:val="57"/>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16" w:name="_Toc35393633"/>
      <w:bookmarkStart w:id="17" w:name="_Toc28359016"/>
      <w:bookmarkStart w:id="18" w:name="_Toc28359093"/>
      <w:bookmarkStart w:id="19" w:name="_Toc35393802"/>
      <w:r>
        <w:rPr>
          <w:rFonts w:hint="eastAsia"/>
          <w:b/>
          <w:color w:val="auto"/>
          <w:sz w:val="21"/>
          <w:szCs w:val="21"/>
          <w:highlight w:val="none"/>
        </w:rPr>
        <w:t>五、响应文件开启</w:t>
      </w:r>
      <w:bookmarkEnd w:id="16"/>
      <w:bookmarkEnd w:id="17"/>
      <w:bookmarkEnd w:id="18"/>
      <w:bookmarkEnd w:id="19"/>
    </w:p>
    <w:p w14:paraId="11FEBD3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时间：</w:t>
      </w:r>
      <w:r>
        <w:rPr>
          <w:rFonts w:hint="eastAsia" w:asciiTheme="minorEastAsia" w:hAnsiTheme="minorEastAsia" w:eastAsiaTheme="minorEastAsia"/>
          <w:color w:val="auto"/>
          <w:sz w:val="21"/>
          <w:szCs w:val="21"/>
          <w:highlight w:val="none"/>
          <w:u w:val="single"/>
        </w:rPr>
        <w:t>202</w:t>
      </w:r>
      <w:r>
        <w:rPr>
          <w:rFonts w:hint="eastAsia" w:asciiTheme="minorEastAsia" w:hAnsiTheme="minorEastAsia" w:eastAsiaTheme="minorEastAsia"/>
          <w:color w:val="auto"/>
          <w:sz w:val="21"/>
          <w:szCs w:val="21"/>
          <w:highlight w:val="none"/>
          <w:u w:val="single"/>
          <w:lang w:val="en-US" w:eastAsia="zh-CN"/>
        </w:rPr>
        <w:t>5</w:t>
      </w:r>
      <w:r>
        <w:rPr>
          <w:rFonts w:hint="eastAsia" w:asciiTheme="minorEastAsia" w:hAnsiTheme="minorEastAsia" w:eastAsiaTheme="minorEastAsia"/>
          <w:bCs/>
          <w:color w:val="auto"/>
          <w:sz w:val="21"/>
          <w:szCs w:val="21"/>
          <w:highlight w:val="none"/>
          <w:u w:val="single"/>
        </w:rPr>
        <w:t>年</w:t>
      </w:r>
      <w:r>
        <w:rPr>
          <w:rFonts w:hint="eastAsia" w:asciiTheme="minorEastAsia" w:hAnsiTheme="minorEastAsia" w:eastAsiaTheme="minorEastAsia"/>
          <w:bCs/>
          <w:color w:val="auto"/>
          <w:sz w:val="21"/>
          <w:szCs w:val="21"/>
          <w:highlight w:val="none"/>
          <w:u w:val="single"/>
          <w:lang w:val="en-US" w:eastAsia="zh-CN"/>
        </w:rPr>
        <w:t>11</w:t>
      </w:r>
      <w:r>
        <w:rPr>
          <w:rFonts w:hint="eastAsia" w:asciiTheme="minorEastAsia" w:hAnsiTheme="minorEastAsia" w:eastAsiaTheme="minorEastAsia"/>
          <w:bCs/>
          <w:color w:val="auto"/>
          <w:sz w:val="21"/>
          <w:szCs w:val="21"/>
          <w:highlight w:val="none"/>
          <w:u w:val="single"/>
        </w:rPr>
        <w:t>月</w:t>
      </w:r>
      <w:r>
        <w:rPr>
          <w:rFonts w:hint="eastAsia" w:asciiTheme="minorEastAsia" w:hAnsiTheme="minorEastAsia" w:eastAsiaTheme="minorEastAsia"/>
          <w:bCs/>
          <w:color w:val="auto"/>
          <w:sz w:val="21"/>
          <w:szCs w:val="21"/>
          <w:highlight w:val="none"/>
          <w:u w:val="single"/>
          <w:lang w:val="en-US" w:eastAsia="zh-CN"/>
        </w:rPr>
        <w:t>28</w:t>
      </w:r>
      <w:r>
        <w:rPr>
          <w:rFonts w:hint="eastAsia" w:asciiTheme="minorEastAsia" w:hAnsiTheme="minorEastAsia" w:eastAsiaTheme="minorEastAsia"/>
          <w:bCs/>
          <w:color w:val="auto"/>
          <w:sz w:val="21"/>
          <w:szCs w:val="21"/>
          <w:highlight w:val="none"/>
          <w:u w:val="single"/>
        </w:rPr>
        <w:t>日</w:t>
      </w:r>
      <w:r>
        <w:rPr>
          <w:rFonts w:hint="eastAsia" w:asciiTheme="minorEastAsia" w:hAnsiTheme="minorEastAsia" w:eastAsiaTheme="minorEastAsia"/>
          <w:bCs/>
          <w:color w:val="auto"/>
          <w:sz w:val="21"/>
          <w:szCs w:val="21"/>
          <w:highlight w:val="none"/>
          <w:u w:val="single"/>
          <w:lang w:val="en-US" w:eastAsia="zh-CN"/>
        </w:rPr>
        <w:t>09</w:t>
      </w:r>
      <w:r>
        <w:rPr>
          <w:rFonts w:hint="eastAsia" w:asciiTheme="minorEastAsia" w:hAnsiTheme="minorEastAsia" w:eastAsiaTheme="minorEastAsia"/>
          <w:bCs/>
          <w:color w:val="auto"/>
          <w:sz w:val="21"/>
          <w:szCs w:val="21"/>
          <w:highlight w:val="none"/>
          <w:u w:val="single"/>
        </w:rPr>
        <w:t>点</w:t>
      </w:r>
      <w:r>
        <w:rPr>
          <w:rFonts w:hint="eastAsia" w:asciiTheme="minorEastAsia" w:hAnsiTheme="minorEastAsia" w:eastAsiaTheme="minorEastAsia"/>
          <w:bCs/>
          <w:color w:val="auto"/>
          <w:sz w:val="21"/>
          <w:szCs w:val="21"/>
          <w:highlight w:val="none"/>
          <w:u w:val="single"/>
          <w:lang w:val="en-US" w:eastAsia="zh-CN"/>
        </w:rPr>
        <w:t xml:space="preserve">00 </w:t>
      </w:r>
      <w:r>
        <w:rPr>
          <w:rFonts w:hint="eastAsia" w:asciiTheme="minorEastAsia" w:hAnsiTheme="minorEastAsia" w:eastAsiaTheme="minorEastAsia"/>
          <w:bCs/>
          <w:color w:val="auto"/>
          <w:sz w:val="21"/>
          <w:szCs w:val="21"/>
          <w:highlight w:val="none"/>
          <w:u w:val="single"/>
        </w:rPr>
        <w:t>分00秒</w:t>
      </w:r>
      <w:r>
        <w:rPr>
          <w:rFonts w:hint="eastAsia" w:asciiTheme="minorEastAsia" w:hAnsiTheme="minorEastAsia" w:eastAsiaTheme="minorEastAsia"/>
          <w:bCs/>
          <w:color w:val="auto"/>
          <w:sz w:val="21"/>
          <w:szCs w:val="21"/>
          <w:highlight w:val="none"/>
        </w:rPr>
        <w:t>（北京时间）</w:t>
      </w:r>
    </w:p>
    <w:p w14:paraId="6EBE69C3">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Theme="minorEastAsia" w:hAnsiTheme="minorEastAsia" w:eastAsiaTheme="minorEastAsia"/>
          <w:bCs/>
          <w:color w:val="auto"/>
          <w:sz w:val="21"/>
          <w:szCs w:val="21"/>
          <w:highlight w:val="none"/>
          <w:u w:val="single"/>
        </w:rPr>
      </w:pPr>
      <w:r>
        <w:rPr>
          <w:rFonts w:hint="eastAsia" w:asciiTheme="minorEastAsia" w:hAnsiTheme="minorEastAsia" w:eastAsiaTheme="minorEastAsia"/>
          <w:color w:val="auto"/>
          <w:sz w:val="21"/>
          <w:szCs w:val="21"/>
          <w:highlight w:val="none"/>
        </w:rPr>
        <w:t>地点：</w:t>
      </w:r>
      <w:r>
        <w:rPr>
          <w:rFonts w:hint="eastAsia" w:ascii="宋体" w:hAnsi="宋体" w:cs="宋体"/>
          <w:color w:val="auto"/>
          <w:sz w:val="21"/>
          <w:szCs w:val="21"/>
          <w:highlight w:val="none"/>
        </w:rPr>
        <w:t>广西政府采购云平台（https://www.gcy.zfcg.gxzf.gov.cn/）</w:t>
      </w:r>
      <w:r>
        <w:rPr>
          <w:rFonts w:hint="eastAsia" w:cs="宋体" w:asciiTheme="minorEastAsia" w:hAnsiTheme="minorEastAsia" w:eastAsiaTheme="minorEastAsia"/>
          <w:color w:val="auto"/>
          <w:sz w:val="21"/>
          <w:szCs w:val="21"/>
          <w:highlight w:val="none"/>
        </w:rPr>
        <w:t>。</w:t>
      </w:r>
    </w:p>
    <w:p w14:paraId="352ECE91">
      <w:pPr>
        <w:pStyle w:val="57"/>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0" w:name="_Toc35393803"/>
      <w:bookmarkStart w:id="21" w:name="_Toc35393634"/>
      <w:bookmarkStart w:id="22" w:name="_Toc28359017"/>
      <w:bookmarkStart w:id="23" w:name="_Toc28359094"/>
      <w:r>
        <w:rPr>
          <w:rFonts w:hint="eastAsia"/>
          <w:b/>
          <w:color w:val="auto"/>
          <w:sz w:val="21"/>
          <w:szCs w:val="21"/>
          <w:highlight w:val="none"/>
        </w:rPr>
        <w:t>六、公告期限</w:t>
      </w:r>
      <w:bookmarkEnd w:id="20"/>
      <w:bookmarkEnd w:id="21"/>
      <w:bookmarkEnd w:id="22"/>
      <w:bookmarkEnd w:id="23"/>
    </w:p>
    <w:p w14:paraId="4D7AE0B8">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cs="宋体" w:asciiTheme="minorEastAsia" w:hAnsiTheme="minorEastAsia" w:eastAsiaTheme="minorEastAsia"/>
          <w:color w:val="auto"/>
          <w:kern w:val="0"/>
          <w:sz w:val="21"/>
          <w:szCs w:val="21"/>
          <w:highlight w:val="none"/>
        </w:rPr>
      </w:pPr>
      <w:r>
        <w:rPr>
          <w:rFonts w:hint="eastAsia" w:cs="宋体" w:asciiTheme="minorEastAsia" w:hAnsiTheme="minorEastAsia" w:eastAsiaTheme="minorEastAsia"/>
          <w:color w:val="auto"/>
          <w:kern w:val="0"/>
          <w:sz w:val="21"/>
          <w:szCs w:val="21"/>
          <w:highlight w:val="none"/>
        </w:rPr>
        <w:t>自本公告发布之日起3个工作日。</w:t>
      </w:r>
    </w:p>
    <w:p w14:paraId="50CE09CA">
      <w:pPr>
        <w:pStyle w:val="57"/>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bookmarkStart w:id="24" w:name="_Toc35393635"/>
      <w:bookmarkStart w:id="25" w:name="_Toc35393804"/>
      <w:r>
        <w:rPr>
          <w:rFonts w:hint="eastAsia"/>
          <w:b/>
          <w:color w:val="auto"/>
          <w:sz w:val="21"/>
          <w:szCs w:val="21"/>
          <w:highlight w:val="none"/>
        </w:rPr>
        <w:t>七、其他补充事宜</w:t>
      </w:r>
      <w:bookmarkEnd w:id="24"/>
      <w:bookmarkEnd w:id="25"/>
    </w:p>
    <w:p w14:paraId="32A9068A">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rPr>
        <w:t>1.磋商保证金：</w:t>
      </w:r>
      <w:r>
        <w:rPr>
          <w:rFonts w:hint="eastAsia" w:ascii="宋体" w:hAnsi="宋体" w:cs="宋体"/>
          <w:color w:val="auto"/>
          <w:sz w:val="21"/>
          <w:szCs w:val="21"/>
          <w:highlight w:val="none"/>
          <w:lang w:eastAsia="zh-CN"/>
        </w:rPr>
        <w:t>不收取。</w:t>
      </w:r>
    </w:p>
    <w:p w14:paraId="50067D8E">
      <w:pPr>
        <w:pStyle w:val="57"/>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62AFAA9A">
      <w:pPr>
        <w:pStyle w:val="57"/>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1AEB7598">
      <w:pPr>
        <w:pStyle w:val="57"/>
        <w:keepNext w:val="0"/>
        <w:keepLines w:val="0"/>
        <w:pageBreakBefore w:val="0"/>
        <w:widowControl w:val="0"/>
        <w:kinsoku/>
        <w:wordWrap w:val="0"/>
        <w:overflowPunct/>
        <w:topLinePunct w:val="0"/>
        <w:autoSpaceDE/>
        <w:autoSpaceDN w:val="0"/>
        <w:bidi w:val="0"/>
        <w:adjustRightInd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4.网上公告媒体查询：中国政府采购网(www.ccgp.gov.cn)、广西政府采购网</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http://zfcg.gxzf.gov.cn/</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广西泽丰工程咨询有限公司网（http://www.guangxizf.cn/）。</w:t>
      </w:r>
    </w:p>
    <w:p w14:paraId="7ABD9471">
      <w:pPr>
        <w:pStyle w:val="57"/>
        <w:keepNext w:val="0"/>
        <w:keepLines w:val="0"/>
        <w:pageBreakBefore w:val="0"/>
        <w:widowControl w:val="0"/>
        <w:kinsoku/>
        <w:wordWrap w:val="0"/>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4ED4A084">
      <w:pPr>
        <w:pStyle w:val="57"/>
        <w:keepNext w:val="0"/>
        <w:keepLines w:val="0"/>
        <w:pageBreakBefore w:val="0"/>
        <w:widowControl w:val="0"/>
        <w:kinsoku/>
        <w:wordWrap w:val="0"/>
        <w:overflowPunct/>
        <w:topLinePunct w:val="0"/>
        <w:autoSpaceDE/>
        <w:autoSpaceDN/>
        <w:bidi w:val="0"/>
        <w:adjustRightInd w:val="0"/>
        <w:snapToGrid w:val="0"/>
        <w:spacing w:line="400" w:lineRule="exact"/>
        <w:ind w:firstLine="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0472342">
      <w:pPr>
        <w:pStyle w:val="57"/>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7.本项目采用远程异地评标。</w:t>
      </w:r>
    </w:p>
    <w:p w14:paraId="637D39CE">
      <w:pPr>
        <w:pStyle w:val="57"/>
        <w:keepNext w:val="0"/>
        <w:keepLines w:val="0"/>
        <w:pageBreakBefore w:val="0"/>
        <w:widowControl w:val="0"/>
        <w:kinsoku/>
        <w:wordWrap/>
        <w:overflowPunct/>
        <w:topLinePunct w:val="0"/>
        <w:autoSpaceDE/>
        <w:autoSpaceDN/>
        <w:bidi w:val="0"/>
        <w:adjustRightInd w:val="0"/>
        <w:spacing w:line="400" w:lineRule="exact"/>
        <w:ind w:firstLine="0"/>
        <w:textAlignment w:val="auto"/>
        <w:rPr>
          <w:b/>
          <w:color w:val="auto"/>
          <w:sz w:val="21"/>
          <w:szCs w:val="21"/>
          <w:highlight w:val="none"/>
        </w:rPr>
      </w:pPr>
      <w:r>
        <w:rPr>
          <w:rFonts w:hint="eastAsia"/>
          <w:b/>
          <w:color w:val="auto"/>
          <w:sz w:val="21"/>
          <w:szCs w:val="21"/>
          <w:highlight w:val="none"/>
        </w:rPr>
        <w:t>八、凡对本次采购提出询问、质疑、投诉，请按以下方式联系</w:t>
      </w:r>
    </w:p>
    <w:p w14:paraId="0948D3E1">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1.采购人信息</w:t>
      </w:r>
    </w:p>
    <w:p w14:paraId="00630F91">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u w:val="single"/>
          <w:lang w:eastAsia="zh-CN"/>
        </w:rPr>
        <w:t xml:space="preserve">北海市公共就业和人才服务中心 </w:t>
      </w:r>
    </w:p>
    <w:p w14:paraId="223B6A16">
      <w:pPr>
        <w:keepNext w:val="0"/>
        <w:keepLines w:val="0"/>
        <w:pageBreakBefore w:val="0"/>
        <w:widowControl w:val="0"/>
        <w:kinsoku/>
        <w:wordWrap/>
        <w:overflowPunct/>
        <w:topLinePunct w:val="0"/>
        <w:autoSpaceDE/>
        <w:autoSpaceDN/>
        <w:bidi w:val="0"/>
        <w:adjustRightInd/>
        <w:snapToGrid/>
        <w:spacing w:line="400" w:lineRule="exact"/>
        <w:ind w:firstLine="630" w:firstLineChars="3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北海市西南大道509号人才大厦</w:t>
      </w:r>
    </w:p>
    <w:p w14:paraId="2A8C7217">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hint="eastAsia" w:ascii="宋体" w:hAnsi="宋体" w:cs="宋体"/>
          <w:color w:val="auto"/>
          <w:sz w:val="21"/>
          <w:szCs w:val="21"/>
          <w:highlight w:val="none"/>
          <w:u w:val="single"/>
          <w:lang w:eastAsia="zh-CN"/>
        </w:rPr>
      </w:pPr>
      <w:r>
        <w:rPr>
          <w:rFonts w:hint="eastAsia" w:ascii="宋体" w:hAnsi="宋体" w:cs="宋体"/>
          <w:color w:val="auto"/>
          <w:sz w:val="21"/>
          <w:szCs w:val="21"/>
          <w:highlight w:val="none"/>
        </w:rPr>
        <w:t>项目联系人：</w:t>
      </w:r>
      <w:r>
        <w:rPr>
          <w:rFonts w:hint="eastAsia" w:ascii="宋体" w:hAnsi="宋体" w:cs="宋体"/>
          <w:color w:val="auto"/>
          <w:sz w:val="21"/>
          <w:szCs w:val="21"/>
          <w:highlight w:val="none"/>
          <w:u w:val="single"/>
          <w:lang w:eastAsia="zh-CN"/>
        </w:rPr>
        <w:t>李兆祥</w:t>
      </w:r>
    </w:p>
    <w:p w14:paraId="6D797072">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hint="default"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rPr>
        <w:t>项目联系方式：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0779-3237272</w:t>
      </w:r>
    </w:p>
    <w:p w14:paraId="2D9E94A6">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2.采购代理机构信息            </w:t>
      </w:r>
    </w:p>
    <w:p w14:paraId="6A7D20A0">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名    称：</w:t>
      </w:r>
      <w:r>
        <w:rPr>
          <w:rFonts w:hint="eastAsia" w:ascii="宋体" w:hAnsi="宋体" w:cs="宋体"/>
          <w:color w:val="auto"/>
          <w:szCs w:val="21"/>
          <w:highlight w:val="none"/>
          <w:u w:val="single"/>
        </w:rPr>
        <w:t>广西泽丰工程咨询有限公司</w:t>
      </w:r>
    </w:p>
    <w:p w14:paraId="21824D79">
      <w:pPr>
        <w:keepNext w:val="0"/>
        <w:keepLines w:val="0"/>
        <w:pageBreakBefore w:val="0"/>
        <w:widowControl w:val="0"/>
        <w:kinsoku/>
        <w:wordWrap/>
        <w:overflowPunct/>
        <w:topLinePunct w:val="0"/>
        <w:autoSpaceDE/>
        <w:autoSpaceDN/>
        <w:bidi w:val="0"/>
        <w:adjustRightInd w:val="0"/>
        <w:spacing w:line="400" w:lineRule="exact"/>
        <w:ind w:firstLine="630" w:firstLineChars="300"/>
        <w:textAlignment w:val="auto"/>
        <w:rPr>
          <w:rFonts w:ascii="宋体" w:hAnsi="宋体" w:cs="宋体"/>
          <w:color w:val="auto"/>
          <w:sz w:val="21"/>
          <w:szCs w:val="21"/>
          <w:highlight w:val="none"/>
        </w:rPr>
      </w:pPr>
      <w:r>
        <w:rPr>
          <w:rFonts w:hint="eastAsia" w:ascii="宋体" w:hAnsi="宋体" w:cs="宋体"/>
          <w:color w:val="auto"/>
          <w:sz w:val="21"/>
          <w:szCs w:val="21"/>
          <w:highlight w:val="none"/>
        </w:rPr>
        <w:t>地    址：</w:t>
      </w:r>
      <w:r>
        <w:rPr>
          <w:rFonts w:hint="eastAsia" w:ascii="宋体" w:hAnsi="宋体" w:eastAsia="宋体" w:cs="宋体"/>
          <w:color w:val="auto"/>
          <w:szCs w:val="21"/>
          <w:highlight w:val="none"/>
          <w:u w:val="single"/>
        </w:rPr>
        <w:t>广西北海市北海大道158号北园</w:t>
      </w:r>
      <w:r>
        <w:rPr>
          <w:rFonts w:hint="eastAsia" w:ascii="宋体" w:hAnsi="宋体" w:cs="宋体"/>
          <w:color w:val="auto"/>
          <w:szCs w:val="21"/>
          <w:highlight w:val="none"/>
          <w:u w:val="single"/>
          <w:lang w:eastAsia="zh-CN"/>
        </w:rPr>
        <w:t>星座</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星</w:t>
      </w:r>
      <w:r>
        <w:rPr>
          <w:rFonts w:hint="eastAsia" w:ascii="宋体" w:hAnsi="宋体" w:eastAsia="宋体" w:cs="宋体"/>
          <w:color w:val="auto"/>
          <w:szCs w:val="21"/>
          <w:highlight w:val="none"/>
          <w:u w:val="single"/>
          <w:lang w:eastAsia="zh-CN"/>
        </w:rPr>
        <w:t>晨</w:t>
      </w:r>
      <w:r>
        <w:rPr>
          <w:rFonts w:hint="eastAsia" w:ascii="宋体" w:hAnsi="宋体" w:eastAsia="宋体" w:cs="宋体"/>
          <w:color w:val="auto"/>
          <w:szCs w:val="21"/>
          <w:highlight w:val="none"/>
          <w:u w:val="single"/>
        </w:rPr>
        <w:t>座7楼A室</w:t>
      </w:r>
    </w:p>
    <w:p w14:paraId="77CA31AF">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项目联系人： </w:t>
      </w:r>
      <w:r>
        <w:rPr>
          <w:rFonts w:hint="eastAsia" w:ascii="宋体" w:hAnsi="宋体" w:cs="宋体"/>
          <w:color w:val="auto"/>
          <w:szCs w:val="21"/>
          <w:highlight w:val="none"/>
          <w:u w:val="single"/>
        </w:rPr>
        <w:t>钟剑萍</w:t>
      </w:r>
    </w:p>
    <w:p w14:paraId="661FDCC9">
      <w:pPr>
        <w:keepNext w:val="0"/>
        <w:keepLines w:val="0"/>
        <w:pageBreakBefore w:val="0"/>
        <w:widowControl w:val="0"/>
        <w:kinsoku/>
        <w:wordWrap/>
        <w:overflowPunct/>
        <w:topLinePunct w:val="0"/>
        <w:autoSpaceDE/>
        <w:autoSpaceDN/>
        <w:bidi w:val="0"/>
        <w:adjustRightInd w:val="0"/>
        <w:spacing w:line="400" w:lineRule="exact"/>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项目联系方式：</w:t>
      </w:r>
      <w:r>
        <w:rPr>
          <w:rFonts w:hint="eastAsia" w:ascii="宋体" w:hAnsi="宋体" w:cs="宋体"/>
          <w:color w:val="auto"/>
          <w:szCs w:val="21"/>
          <w:highlight w:val="none"/>
          <w:u w:val="single"/>
        </w:rPr>
        <w:t>0779-3969099</w:t>
      </w:r>
    </w:p>
    <w:p w14:paraId="36D39DCD">
      <w:pPr>
        <w:keepNext w:val="0"/>
        <w:keepLines w:val="0"/>
        <w:pageBreakBefore w:val="0"/>
        <w:widowControl w:val="0"/>
        <w:kinsoku/>
        <w:wordWrap/>
        <w:overflowPunct/>
        <w:topLinePunct w:val="0"/>
        <w:autoSpaceDE/>
        <w:autoSpaceDN/>
        <w:bidi w:val="0"/>
        <w:adjustRightInd w:val="0"/>
        <w:spacing w:line="400" w:lineRule="exact"/>
        <w:ind w:firstLine="420" w:firstLineChars="200"/>
        <w:textAlignment w:val="auto"/>
        <w:rPr>
          <w:rFonts w:ascii="宋体" w:hAnsi="宋体" w:cs="宋体"/>
          <w:color w:val="auto"/>
          <w:sz w:val="21"/>
          <w:szCs w:val="21"/>
          <w:highlight w:val="none"/>
        </w:rPr>
      </w:pPr>
    </w:p>
    <w:p w14:paraId="4F2789B9">
      <w:pPr>
        <w:pStyle w:val="15"/>
        <w:keepNext w:val="0"/>
        <w:keepLines w:val="0"/>
        <w:pageBreakBefore w:val="0"/>
        <w:widowControl w:val="0"/>
        <w:kinsoku/>
        <w:wordWrap/>
        <w:overflowPunct/>
        <w:topLinePunct w:val="0"/>
        <w:autoSpaceDE/>
        <w:autoSpaceDN/>
        <w:bidi w:val="0"/>
        <w:adjustRightInd w:val="0"/>
        <w:spacing w:line="400" w:lineRule="exact"/>
        <w:textAlignment w:val="auto"/>
        <w:rPr>
          <w:rFonts w:cs="仿宋_GB2312" w:asciiTheme="minorEastAsia" w:hAnsiTheme="minorEastAsia" w:eastAsiaTheme="minorEastAsia"/>
          <w:color w:val="auto"/>
          <w:sz w:val="21"/>
          <w:szCs w:val="21"/>
          <w:highlight w:val="none"/>
        </w:rPr>
      </w:pPr>
    </w:p>
    <w:p w14:paraId="75CC17B6">
      <w:pPr>
        <w:keepNext w:val="0"/>
        <w:keepLines w:val="0"/>
        <w:pageBreakBefore w:val="0"/>
        <w:widowControl w:val="0"/>
        <w:kinsoku/>
        <w:wordWrap/>
        <w:overflowPunct/>
        <w:topLinePunct w:val="0"/>
        <w:autoSpaceDE/>
        <w:autoSpaceDN/>
        <w:bidi w:val="0"/>
        <w:adjustRightInd/>
        <w:snapToGrid/>
        <w:spacing w:line="400" w:lineRule="exact"/>
        <w:ind w:firstLine="5460" w:firstLineChars="2600"/>
        <w:textAlignment w:val="auto"/>
        <w:rPr>
          <w:rFonts w:ascii="宋体" w:hAnsi="宋体"/>
          <w:color w:val="auto"/>
          <w:kern w:val="0"/>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olor w:val="auto"/>
          <w:kern w:val="0"/>
          <w:szCs w:val="21"/>
          <w:highlight w:val="none"/>
          <w:u w:val="none"/>
        </w:rPr>
        <w:t>广</w:t>
      </w:r>
      <w:r>
        <w:rPr>
          <w:rFonts w:hint="eastAsia" w:ascii="宋体" w:hAnsi="宋体"/>
          <w:color w:val="auto"/>
          <w:kern w:val="0"/>
          <w:szCs w:val="21"/>
          <w:highlight w:val="none"/>
        </w:rPr>
        <w:t xml:space="preserve">西泽丰工程咨询有限公司      </w:t>
      </w:r>
    </w:p>
    <w:p w14:paraId="42BE3E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lang w:val="en-US" w:eastAsia="zh-CN"/>
        </w:rPr>
        <w:t xml:space="preserve">                                             </w:t>
      </w:r>
      <w:r>
        <w:rPr>
          <w:rFonts w:hint="eastAsia" w:ascii="宋体" w:hAnsi="宋体"/>
          <w:color w:val="auto"/>
          <w:kern w:val="0"/>
          <w:szCs w:val="21"/>
          <w:highlight w:val="none"/>
        </w:rPr>
        <w:t>202</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年</w:t>
      </w:r>
      <w:r>
        <w:rPr>
          <w:rFonts w:hint="eastAsia" w:ascii="宋体" w:hAnsi="宋体"/>
          <w:color w:val="auto"/>
          <w:kern w:val="0"/>
          <w:szCs w:val="21"/>
          <w:highlight w:val="none"/>
          <w:lang w:val="en-US" w:eastAsia="zh-CN"/>
        </w:rPr>
        <w:t>11</w:t>
      </w:r>
      <w:r>
        <w:rPr>
          <w:rFonts w:hint="eastAsia" w:ascii="宋体" w:hAnsi="宋体"/>
          <w:color w:val="auto"/>
          <w:kern w:val="0"/>
          <w:szCs w:val="21"/>
          <w:highlight w:val="none"/>
        </w:rPr>
        <w:t>月</w:t>
      </w:r>
      <w:r>
        <w:rPr>
          <w:rFonts w:hint="eastAsia" w:ascii="宋体" w:hAnsi="宋体"/>
          <w:color w:val="auto"/>
          <w:kern w:val="0"/>
          <w:szCs w:val="21"/>
          <w:highlight w:val="none"/>
          <w:lang w:val="en-US" w:eastAsia="zh-CN"/>
        </w:rPr>
        <w:t>17</w:t>
      </w:r>
      <w:r>
        <w:rPr>
          <w:rFonts w:hint="eastAsia" w:ascii="宋体" w:hAnsi="宋体"/>
          <w:color w:val="auto"/>
          <w:kern w:val="0"/>
          <w:szCs w:val="21"/>
          <w:highlight w:val="none"/>
        </w:rPr>
        <w:t>日</w:t>
      </w:r>
    </w:p>
    <w:p w14:paraId="04BC30FF">
      <w:pPr>
        <w:pStyle w:val="57"/>
        <w:keepNext w:val="0"/>
        <w:keepLines w:val="0"/>
        <w:pageBreakBefore w:val="0"/>
        <w:widowControl w:val="0"/>
        <w:kinsoku/>
        <w:wordWrap/>
        <w:overflowPunct/>
        <w:topLinePunct w:val="0"/>
        <w:autoSpaceDE/>
        <w:autoSpaceDN/>
        <w:bidi w:val="0"/>
        <w:adjustRightInd w:val="0"/>
        <w:spacing w:line="400" w:lineRule="exact"/>
        <w:textAlignment w:val="auto"/>
        <w:rPr>
          <w:color w:val="auto"/>
          <w:sz w:val="21"/>
          <w:szCs w:val="21"/>
          <w:highlight w:val="none"/>
        </w:rPr>
      </w:pPr>
    </w:p>
    <w:p w14:paraId="034D8F03">
      <w:pPr>
        <w:keepNext w:val="0"/>
        <w:keepLines w:val="0"/>
        <w:pageBreakBefore w:val="0"/>
        <w:widowControl w:val="0"/>
        <w:kinsoku/>
        <w:overflowPunct/>
        <w:autoSpaceDE/>
        <w:autoSpaceDN/>
        <w:bidi w:val="0"/>
        <w:adjustRightInd/>
        <w:spacing w:line="400" w:lineRule="exact"/>
        <w:ind w:firstLine="420" w:firstLineChars="200"/>
        <w:jc w:val="both"/>
        <w:textAlignment w:val="auto"/>
        <w:rPr>
          <w:rFonts w:cs="仿宋_GB2312" w:asciiTheme="minorEastAsia" w:hAnsiTheme="minorEastAsia" w:eastAsiaTheme="minorEastAsia"/>
          <w:b/>
          <w:color w:val="auto"/>
          <w:sz w:val="36"/>
          <w:szCs w:val="20"/>
          <w:highlight w:val="none"/>
        </w:rPr>
      </w:pPr>
      <w:r>
        <w:rPr>
          <w:rFonts w:hint="eastAsia" w:ascii="宋体" w:hAnsi="宋体" w:cs="宋体"/>
          <w:color w:val="auto"/>
          <w:sz w:val="21"/>
          <w:szCs w:val="21"/>
          <w:highlight w:val="none"/>
        </w:rPr>
        <w:t>若对项目采购电子交易系统操作有疑问，可登录广西政府采购云平台（https://www.zcygov.cn/），点击右侧咨询小采，获取采小蜜智能服务管家帮助，或拨打广西政府采购云平台服务热线95763获取热线服务帮助。</w:t>
      </w:r>
      <w:r>
        <w:rPr>
          <w:rFonts w:hint="eastAsia" w:cs="仿宋_GB2312" w:asciiTheme="minorEastAsia" w:hAnsiTheme="minorEastAsia" w:eastAsiaTheme="minorEastAsia"/>
          <w:b/>
          <w:color w:val="auto"/>
          <w:sz w:val="36"/>
          <w:szCs w:val="20"/>
          <w:highlight w:val="none"/>
        </w:rPr>
        <w:br w:type="page"/>
      </w:r>
    </w:p>
    <w:p w14:paraId="07006AFF">
      <w:pPr>
        <w:adjustRightInd/>
        <w:spacing w:line="360" w:lineRule="auto"/>
        <w:jc w:val="center"/>
        <w:outlineLvl w:val="0"/>
        <w:rPr>
          <w:rFonts w:cs="仿宋_GB2312" w:asciiTheme="minorEastAsia" w:hAnsiTheme="minorEastAsia" w:eastAsiaTheme="minorEastAsia"/>
          <w:b/>
          <w:color w:val="auto"/>
          <w:sz w:val="32"/>
          <w:szCs w:val="32"/>
          <w:highlight w:val="none"/>
        </w:rPr>
      </w:pPr>
      <w:bookmarkStart w:id="26" w:name="_Toc181203095"/>
      <w:r>
        <w:rPr>
          <w:rFonts w:hint="eastAsia" w:cs="仿宋_GB2312" w:asciiTheme="minorEastAsia" w:hAnsiTheme="minorEastAsia" w:eastAsiaTheme="minorEastAsia"/>
          <w:b/>
          <w:color w:val="auto"/>
          <w:sz w:val="32"/>
          <w:szCs w:val="32"/>
          <w:highlight w:val="none"/>
        </w:rPr>
        <w:t>第二部分  竞争性磋商流程</w:t>
      </w:r>
      <w:bookmarkEnd w:id="26"/>
    </w:p>
    <w:p w14:paraId="6B5AB809">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1.征集供应商</w:t>
      </w:r>
    </w:p>
    <w:p w14:paraId="13C8A51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1.1邀请供应商。</w:t>
      </w:r>
    </w:p>
    <w:p w14:paraId="04E38B76">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sym w:font="Wingdings" w:char="F0FE"/>
      </w:r>
      <w:r>
        <w:rPr>
          <w:rFonts w:hint="eastAsia" w:ascii="宋体" w:hAnsi="宋体" w:eastAsia="宋体" w:cs="宋体"/>
          <w:b/>
          <w:color w:val="auto"/>
          <w:sz w:val="21"/>
          <w:szCs w:val="21"/>
          <w:highlight w:val="none"/>
        </w:rPr>
        <w:t>采用公告方式邀请供应商的，</w:t>
      </w:r>
      <w:r>
        <w:rPr>
          <w:rFonts w:hint="eastAsia" w:ascii="宋体" w:hAnsi="宋体" w:eastAsia="宋体" w:cs="宋体"/>
          <w:color w:val="auto"/>
          <w:sz w:val="21"/>
          <w:szCs w:val="21"/>
          <w:highlight w:val="none"/>
        </w:rPr>
        <w:t>由采购人、采购代理机构在省级以上人民政府财政部门指定的政府采购信息发布媒体上发布磋商公告，邀请符合相应资格条件的供应商参与竞争性磋商采购活动。</w:t>
      </w:r>
    </w:p>
    <w:p w14:paraId="0FB5E91E">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采用随机抽取方式邀请供应商的，</w:t>
      </w:r>
      <w:r>
        <w:rPr>
          <w:rFonts w:hint="eastAsia" w:ascii="宋体" w:hAnsi="宋体" w:eastAsia="宋体" w:cs="宋体"/>
          <w:color w:val="auto"/>
          <w:sz w:val="21"/>
          <w:szCs w:val="21"/>
          <w:highlight w:val="none"/>
        </w:rPr>
        <w:t>由采购人、采购代理机构从省级以上财政部门建立的供应商库中随机抽取不少于3家符合相应资格条件的供应商参与竞争性磋商采购活动。</w:t>
      </w:r>
    </w:p>
    <w:p w14:paraId="5C390C4D">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采用书面推荐方式邀请供应商的，</w:t>
      </w:r>
      <w:r>
        <w:rPr>
          <w:rFonts w:hint="eastAsia" w:ascii="宋体" w:hAnsi="宋体" w:eastAsia="宋体" w:cs="宋体"/>
          <w:color w:val="auto"/>
          <w:sz w:val="21"/>
          <w:szCs w:val="21"/>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04C84011">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1.2供应商获取磋商文件。</w:t>
      </w:r>
    </w:p>
    <w:p w14:paraId="22FE5AA4">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1.3组织现场考察或召开答疑会（如果有）。</w:t>
      </w:r>
    </w:p>
    <w:p w14:paraId="6E587187">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1.4发布更正（延期）公告，澄清或修改磋商文件（如果有）。</w:t>
      </w:r>
    </w:p>
    <w:p w14:paraId="04FA0E15">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1.5供应商按磋商文件要求编制响应文件。</w:t>
      </w:r>
    </w:p>
    <w:p w14:paraId="763117DA">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2.响应文件开启与信用信息查询</w:t>
      </w:r>
    </w:p>
    <w:p w14:paraId="14093EB9">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2.1供应商依据“提交响应文件的截止时间与地点”通过广西政府采购云平台在线提交响应文件。供应商在提交响应文件的截止时间前，可以补充、修改或撤回响应文件。</w:t>
      </w:r>
    </w:p>
    <w:p w14:paraId="0C7608C1">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r>
        <w:rPr>
          <w:rFonts w:hint="eastAsia" w:ascii="宋体" w:hAnsi="宋体" w:eastAsia="宋体" w:cs="宋体"/>
          <w:color w:val="auto"/>
          <w:kern w:val="0"/>
          <w:sz w:val="21"/>
          <w:szCs w:val="21"/>
          <w:highlight w:val="none"/>
        </w:rPr>
        <w:t>采购人或者采购代理机构将通过“信用中国”网站(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32"/>
          <w:rFonts w:hint="eastAsia" w:ascii="宋体" w:hAnsi="宋体" w:eastAsia="宋体" w:cs="宋体"/>
          <w:snapToGrid/>
          <w:color w:val="auto"/>
          <w:sz w:val="21"/>
          <w:szCs w:val="21"/>
          <w:highlight w:val="none"/>
        </w:rPr>
        <w:t>www.creditchina.gov.cn</w:t>
      </w:r>
      <w:r>
        <w:rPr>
          <w:rStyle w:val="32"/>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)和中国政府采购网(www.ccgp.gov.cn)渠道查询供应商响应截止时间当日的信用记录。</w:t>
      </w:r>
    </w:p>
    <w:p w14:paraId="73680C91">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3.磋商与评审</w:t>
      </w:r>
    </w:p>
    <w:p w14:paraId="7687ED59">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3.1磋商小组签到。</w:t>
      </w:r>
    </w:p>
    <w:p w14:paraId="4607B0A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3.2采购代理机构宣布有关纪律以及磋商、评审工作程序。</w:t>
      </w:r>
    </w:p>
    <w:p w14:paraId="4F8823BC">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3.3磋商小组审查确认磋商文件。磋商文件内容违反国家有关强制性规定的，磋商小组应当停止评审并向采购代理机构说明情况。</w:t>
      </w:r>
    </w:p>
    <w:p w14:paraId="370D4576">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3.4磋商小组对供应商的资格进行审查。</w:t>
      </w:r>
    </w:p>
    <w:p w14:paraId="3CBA64B4">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3.5磋商小组审查响应文件。</w:t>
      </w:r>
    </w:p>
    <w:p w14:paraId="75E36A8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3.6对于未实质性响应磋商文件的响应文件由磋商小组认定响应无效，并告知该供应商。</w:t>
      </w:r>
    </w:p>
    <w:p w14:paraId="692E0EC4">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03B7C313">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133DEF1C">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3.9经磋商确定磋商文件的变动情况。对磋商文件作出的实质性变动是磋商文件的有效组成部分，磋商小组应当及时以书面形式同时通知所有参加磋商的供应商。</w:t>
      </w:r>
    </w:p>
    <w:p w14:paraId="2EDE71E9">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54CD3752">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3.11磋商小组按照下列方式确定提交最后报价的供应商，有特殊规定的从其规定：</w:t>
      </w:r>
    </w:p>
    <w:p w14:paraId="1A7385CE">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595B16B0">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4E22F991">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3.12确定进入最后报价的供应商在规定时间内提交最后报价。</w:t>
      </w:r>
    </w:p>
    <w:p w14:paraId="38F2CE08">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707358A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3.14磋商小组应当根据综合评分情况，按照评审得分由高到低顺序推荐3名以上成交候选供应商，并编写评审报告。</w:t>
      </w:r>
    </w:p>
    <w:p w14:paraId="25F412F4">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 成交</w:t>
      </w:r>
    </w:p>
    <w:p w14:paraId="126E6B0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4.1政府采购项目实行全流程电子化。采购代理机构应当依法及时将评审报告送交采购人确认。采购人应当在收到评审报告后</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个工作日内，从评审报告提出的成交候选供应商中，按照排序由高到低的原则确定成交供应商，采购人也可以书面授权磋商小组直接确定成交供应商。</w:t>
      </w:r>
    </w:p>
    <w:p w14:paraId="4F0BBD0C">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4.2采购代理机构在收到采购人对评审报告的确认意见和对成交供应商的确定结果后，应当在2个工作日内，在中国政府采购网、广西政府采购网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广西泽丰工程咨询有限公司网上公告成交结果，同时向成交供应商发出成交通知书，并将磋商文件随成交结果同时公告。</w:t>
      </w:r>
    </w:p>
    <w:p w14:paraId="56765BBE">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5.合同及履约验收</w:t>
      </w:r>
    </w:p>
    <w:p w14:paraId="534D91B9">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5.1采购人与成交供应商应当自成交通知书发出之日起</w:t>
      </w:r>
      <w:r>
        <w:rPr>
          <w:rFonts w:hint="eastAsia" w:ascii="宋体" w:hAnsi="宋体" w:cs="宋体"/>
          <w:color w:val="auto"/>
          <w:sz w:val="21"/>
          <w:szCs w:val="21"/>
          <w:highlight w:val="none"/>
          <w:lang w:val="en-US" w:eastAsia="zh-CN"/>
        </w:rPr>
        <w:t>25</w:t>
      </w:r>
      <w:r>
        <w:rPr>
          <w:rFonts w:hint="eastAsia" w:ascii="宋体" w:hAnsi="宋体" w:cs="宋体"/>
          <w:color w:val="auto"/>
          <w:sz w:val="21"/>
          <w:szCs w:val="21"/>
          <w:highlight w:val="none"/>
          <w:lang w:eastAsia="zh-CN"/>
        </w:rPr>
        <w:t>个工作日</w:t>
      </w:r>
      <w:r>
        <w:rPr>
          <w:rFonts w:hint="eastAsia" w:ascii="宋体" w:hAnsi="宋体" w:eastAsia="宋体" w:cs="宋体"/>
          <w:color w:val="auto"/>
          <w:sz w:val="21"/>
          <w:szCs w:val="21"/>
          <w:highlight w:val="none"/>
        </w:rPr>
        <w:t>内，按照磋商文件确定的事项签订政府采购合同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采购人因不可抗力原因延迟签订合同的，应当自不可抗力事由消除之日起5个工作日内完成合同签订事宜。鼓励采购人通过完善内部流程进一步缩短电子合同签订期限。</w:t>
      </w:r>
    </w:p>
    <w:p w14:paraId="6D764F70">
      <w:pPr>
        <w:keepNext w:val="0"/>
        <w:keepLines w:val="0"/>
        <w:pageBreakBefore w:val="0"/>
        <w:widowControl w:val="0"/>
        <w:tabs>
          <w:tab w:val="left" w:pos="0"/>
        </w:tabs>
        <w:kinsoku/>
        <w:wordWrap/>
        <w:overflowPunct/>
        <w:topLinePunct w:val="0"/>
        <w:autoSpaceDE/>
        <w:autoSpaceDN/>
        <w:bidi w:val="0"/>
        <w:adjustRightInd w:val="0"/>
        <w:snapToGrid/>
        <w:spacing w:line="360" w:lineRule="exact"/>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5.2成交供应商按照政策要求及合同约定缴纳履约保证金（如有）。</w:t>
      </w:r>
    </w:p>
    <w:p w14:paraId="54D73B4B">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5.3合同履约。</w:t>
      </w:r>
    </w:p>
    <w:p w14:paraId="1AE1B034">
      <w:pPr>
        <w:pStyle w:val="58"/>
        <w:keepNext w:val="0"/>
        <w:keepLines w:val="0"/>
        <w:pageBreakBefore w:val="0"/>
        <w:widowControl w:val="0"/>
        <w:kinsoku/>
        <w:wordWrap/>
        <w:overflowPunct/>
        <w:topLinePunct w:val="0"/>
        <w:autoSpaceDE/>
        <w:autoSpaceDN/>
        <w:bidi w:val="0"/>
        <w:adjustRightInd w:val="0"/>
        <w:snapToGrid/>
        <w:spacing w:before="0"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5.4采购人组织验收。</w:t>
      </w:r>
    </w:p>
    <w:p w14:paraId="1637ADE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FB96BE4">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27" w:name="_Toc181203096"/>
      <w:r>
        <w:rPr>
          <w:rFonts w:hint="eastAsia" w:cs="仿宋_GB2312" w:asciiTheme="minorEastAsia" w:hAnsiTheme="minorEastAsia" w:eastAsiaTheme="minorEastAsia"/>
          <w:b/>
          <w:color w:val="auto"/>
          <w:sz w:val="32"/>
          <w:szCs w:val="32"/>
          <w:highlight w:val="none"/>
        </w:rPr>
        <w:t>第三部分  供应商须知</w:t>
      </w:r>
      <w:bookmarkEnd w:id="27"/>
    </w:p>
    <w:p w14:paraId="5632FAA6">
      <w:pPr>
        <w:adjustRightInd/>
        <w:spacing w:line="360" w:lineRule="auto"/>
        <w:jc w:val="center"/>
        <w:outlineLvl w:val="1"/>
        <w:rPr>
          <w:rFonts w:cs="仿宋_GB2312" w:asciiTheme="minorEastAsia" w:hAnsiTheme="minorEastAsia" w:eastAsiaTheme="minorEastAsia"/>
          <w:b/>
          <w:color w:val="auto"/>
          <w:sz w:val="28"/>
          <w:szCs w:val="28"/>
          <w:highlight w:val="none"/>
        </w:rPr>
      </w:pPr>
      <w:r>
        <w:rPr>
          <w:rFonts w:hint="eastAsia" w:cs="仿宋_GB2312" w:asciiTheme="minorEastAsia" w:hAnsiTheme="minorEastAsia" w:eastAsiaTheme="minorEastAsia"/>
          <w:b/>
          <w:color w:val="auto"/>
          <w:sz w:val="24"/>
          <w:szCs w:val="24"/>
          <w:highlight w:val="none"/>
        </w:rPr>
        <w:t>一、前附表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640"/>
      </w:tblGrid>
      <w:tr w14:paraId="121168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ADEB2F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4C2A09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事项</w:t>
            </w:r>
          </w:p>
        </w:tc>
        <w:tc>
          <w:tcPr>
            <w:tcW w:w="6640" w:type="dxa"/>
            <w:tcBorders>
              <w:top w:val="single" w:color="000000" w:sz="8" w:space="0"/>
              <w:left w:val="single" w:color="000000" w:sz="2" w:space="0"/>
              <w:bottom w:val="single" w:color="000000" w:sz="8" w:space="0"/>
              <w:right w:val="single" w:color="000000" w:sz="8" w:space="0"/>
            </w:tcBorders>
            <w:vAlign w:val="center"/>
          </w:tcPr>
          <w:p w14:paraId="3D005D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本项目的特别规定</w:t>
            </w:r>
          </w:p>
        </w:tc>
      </w:tr>
      <w:tr w14:paraId="721079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AB3AD4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6B9C4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p>
        </w:tc>
        <w:tc>
          <w:tcPr>
            <w:tcW w:w="6640" w:type="dxa"/>
            <w:tcBorders>
              <w:top w:val="single" w:color="000000" w:sz="8" w:space="0"/>
              <w:left w:val="single" w:color="000000" w:sz="2" w:space="0"/>
              <w:bottom w:val="single" w:color="000000" w:sz="8" w:space="0"/>
              <w:right w:val="single" w:color="000000" w:sz="8" w:space="0"/>
            </w:tcBorders>
            <w:vAlign w:val="center"/>
          </w:tcPr>
          <w:p w14:paraId="09B57D8A">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r>
      <w:tr w14:paraId="7C9CEA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860C5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3D743E8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采购标的及其对应的中小企业划分标准所属行业</w:t>
            </w:r>
          </w:p>
        </w:tc>
        <w:tc>
          <w:tcPr>
            <w:tcW w:w="6640" w:type="dxa"/>
            <w:tcBorders>
              <w:top w:val="single" w:color="000000" w:sz="8" w:space="0"/>
              <w:left w:val="single" w:color="000000" w:sz="2" w:space="0"/>
              <w:bottom w:val="single" w:color="000000" w:sz="8" w:space="0"/>
              <w:right w:val="single" w:color="000000" w:sz="8" w:space="0"/>
            </w:tcBorders>
            <w:vAlign w:val="center"/>
          </w:tcPr>
          <w:p w14:paraId="43730B90">
            <w:pPr>
              <w:keepNext w:val="0"/>
              <w:keepLines w:val="0"/>
              <w:pageBreakBefore w:val="0"/>
              <w:widowControl w:val="0"/>
              <w:kinsoku w:val="0"/>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Cs w:val="21"/>
                <w:highlight w:val="none"/>
                <w:lang w:val="en-US"/>
              </w:rPr>
            </w:pPr>
            <w:r>
              <w:rPr>
                <w:rFonts w:hint="eastAsia" w:ascii="宋体" w:hAnsi="宋体" w:eastAsia="宋体" w:cs="宋体"/>
                <w:color w:val="auto"/>
                <w:szCs w:val="21"/>
                <w:highlight w:val="none"/>
              </w:rPr>
              <w:t>标的：</w:t>
            </w:r>
            <w:r>
              <w:rPr>
                <w:rFonts w:hint="eastAsia" w:ascii="宋体" w:hAnsi="宋体" w:eastAsia="宋体" w:cs="宋体"/>
                <w:color w:val="auto"/>
                <w:szCs w:val="21"/>
                <w:highlight w:val="none"/>
                <w:lang w:val="en-US" w:eastAsia="zh-CN"/>
              </w:rPr>
              <w:t>北海市</w:t>
            </w:r>
            <w:r>
              <w:rPr>
                <w:rFonts w:hint="eastAsia" w:ascii="宋体" w:hAnsi="宋体" w:eastAsia="宋体" w:cs="宋体"/>
                <w:color w:val="auto"/>
                <w:szCs w:val="21"/>
                <w:highlight w:val="none"/>
              </w:rPr>
              <w:t>就业驿站运行管理服务，属于</w:t>
            </w:r>
            <w:r>
              <w:rPr>
                <w:rFonts w:hint="eastAsia" w:ascii="宋体" w:hAnsi="宋体" w:eastAsia="宋体" w:cs="宋体"/>
                <w:color w:val="auto"/>
                <w:szCs w:val="21"/>
                <w:highlight w:val="none"/>
                <w:u w:val="single"/>
              </w:rPr>
              <w:t>其他未列明行业</w:t>
            </w:r>
            <w:r>
              <w:rPr>
                <w:rFonts w:hint="eastAsia" w:ascii="宋体" w:hAnsi="宋体" w:eastAsia="宋体" w:cs="宋体"/>
                <w:color w:val="auto"/>
                <w:szCs w:val="21"/>
                <w:highlight w:val="none"/>
              </w:rPr>
              <w:t>（包括科学研究和技术服务业，水利、环境和公共设施管理业，居民服务、修理和其他服务业，社会工作，文化、体育和娱乐业等）。</w:t>
            </w:r>
          </w:p>
        </w:tc>
      </w:tr>
      <w:tr w14:paraId="70E0E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DD84C8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2B71F0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是否允许采购进口产品</w:t>
            </w:r>
          </w:p>
        </w:tc>
        <w:tc>
          <w:tcPr>
            <w:tcW w:w="6640" w:type="dxa"/>
            <w:tcBorders>
              <w:top w:val="single" w:color="000000" w:sz="8" w:space="0"/>
              <w:left w:val="single" w:color="000000" w:sz="2" w:space="0"/>
              <w:bottom w:val="single" w:color="000000" w:sz="8" w:space="0"/>
              <w:right w:val="single" w:color="000000" w:sz="8" w:space="0"/>
            </w:tcBorders>
            <w:vAlign w:val="center"/>
          </w:tcPr>
          <w:p w14:paraId="1F33D99F">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本项目不允许采购进口产品。</w:t>
            </w:r>
          </w:p>
          <w:p w14:paraId="58BCDCC6">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eastAsia="宋体" w:cs="宋体"/>
                <w:color w:val="auto"/>
                <w:kern w:val="0"/>
                <w:sz w:val="21"/>
                <w:szCs w:val="21"/>
                <w:highlight w:val="none"/>
              </w:rPr>
              <w:t>可以就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采购进口产品。</w:t>
            </w:r>
          </w:p>
        </w:tc>
      </w:tr>
      <w:tr w14:paraId="7ED2F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4D48D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2FEFB1C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分包</w:t>
            </w:r>
          </w:p>
        </w:tc>
        <w:tc>
          <w:tcPr>
            <w:tcW w:w="6640" w:type="dxa"/>
            <w:tcBorders>
              <w:top w:val="single" w:color="000000" w:sz="8" w:space="0"/>
              <w:left w:val="single" w:color="000000" w:sz="2" w:space="0"/>
              <w:bottom w:val="single" w:color="000000" w:sz="8" w:space="0"/>
              <w:right w:val="single" w:color="000000" w:sz="8" w:space="0"/>
            </w:tcBorders>
            <w:vAlign w:val="center"/>
          </w:tcPr>
          <w:p w14:paraId="1AFA8412">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477286927"/>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同意将非主体、非关键性的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工作分包。</w:t>
            </w:r>
            <w:r>
              <w:rPr>
                <w:rFonts w:hint="eastAsia" w:ascii="宋体" w:hAnsi="宋体" w:cs="宋体"/>
                <w:color w:val="auto"/>
                <w:sz w:val="21"/>
                <w:szCs w:val="21"/>
                <w:highlight w:val="none"/>
                <w:lang w:val="en-US" w:eastAsia="zh-CN"/>
              </w:rPr>
              <w:t xml:space="preserve">          </w:t>
            </w:r>
            <w:sdt>
              <w:sdtPr>
                <w:rPr>
                  <w:rFonts w:hint="eastAsia" w:ascii="宋体" w:hAnsi="宋体" w:eastAsia="宋体" w:cs="宋体"/>
                  <w:color w:val="auto"/>
                  <w:kern w:val="0"/>
                  <w:sz w:val="21"/>
                  <w:szCs w:val="21"/>
                  <w:highlight w:val="none"/>
                </w:rPr>
                <w:id w:val="-1276331357"/>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eastAsia="宋体" w:cs="宋体"/>
                <w:color w:val="auto"/>
                <w:kern w:val="0"/>
                <w:sz w:val="21"/>
                <w:szCs w:val="21"/>
                <w:highlight w:val="none"/>
              </w:rPr>
              <w:t xml:space="preserve"> B</w:t>
            </w:r>
            <w:r>
              <w:rPr>
                <w:rFonts w:hint="eastAsia" w:ascii="宋体" w:hAnsi="宋体" w:eastAsia="宋体" w:cs="宋体"/>
                <w:color w:val="auto"/>
                <w:sz w:val="21"/>
                <w:szCs w:val="21"/>
                <w:highlight w:val="none"/>
              </w:rPr>
              <w:t>不同意分包。</w:t>
            </w:r>
          </w:p>
          <w:p w14:paraId="63A6D3B0">
            <w:pPr>
              <w:keepNext w:val="0"/>
              <w:keepLines w:val="0"/>
              <w:pageBreakBefore w:val="0"/>
              <w:widowControl w:val="0"/>
              <w:kinsoku/>
              <w:wordWrap/>
              <w:overflowPunct/>
              <w:topLinePunct w:val="0"/>
              <w:autoSpaceDE/>
              <w:autoSpaceDN/>
              <w:bidi w:val="0"/>
              <w:adjustRightInd w:val="0"/>
              <w:spacing w:line="3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注：不得限制大中型企业向小微企业合理分包。</w:t>
            </w:r>
          </w:p>
        </w:tc>
      </w:tr>
      <w:tr w14:paraId="63D3D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2330A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64DDD3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开标前答疑会或现场考察</w:t>
            </w:r>
          </w:p>
        </w:tc>
        <w:tc>
          <w:tcPr>
            <w:tcW w:w="6640" w:type="dxa"/>
            <w:tcBorders>
              <w:top w:val="single" w:color="000000" w:sz="8" w:space="0"/>
              <w:left w:val="single" w:color="000000" w:sz="2" w:space="0"/>
              <w:bottom w:val="single" w:color="000000" w:sz="8" w:space="0"/>
              <w:right w:val="single" w:color="000000" w:sz="8" w:space="0"/>
            </w:tcBorders>
            <w:vAlign w:val="center"/>
          </w:tcPr>
          <w:p w14:paraId="537AA959">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65A30A29">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B组织，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77B2A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5"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143DB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49A6A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样品提供</w:t>
            </w:r>
          </w:p>
        </w:tc>
        <w:tc>
          <w:tcPr>
            <w:tcW w:w="6640" w:type="dxa"/>
            <w:tcBorders>
              <w:top w:val="single" w:color="000000" w:sz="8" w:space="0"/>
              <w:left w:val="single" w:color="000000" w:sz="2" w:space="0"/>
              <w:bottom w:val="single" w:color="000000" w:sz="8" w:space="0"/>
              <w:right w:val="single" w:color="000000" w:sz="8" w:space="0"/>
            </w:tcBorders>
            <w:vAlign w:val="center"/>
          </w:tcPr>
          <w:p w14:paraId="3E88051B">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不要求提供。</w:t>
            </w:r>
          </w:p>
          <w:p w14:paraId="16CAD343">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sz w:val="21"/>
                <w:szCs w:val="21"/>
                <w:highlight w:val="none"/>
              </w:rPr>
            </w:pPr>
            <w:sdt>
              <w:sdtPr>
                <w:rPr>
                  <w:rFonts w:hint="eastAsia" w:ascii="宋体" w:hAnsi="宋体" w:eastAsia="宋体" w:cs="宋体"/>
                  <w:color w:val="auto"/>
                  <w:kern w:val="0"/>
                  <w:sz w:val="21"/>
                  <w:szCs w:val="21"/>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B要求提供，</w:t>
            </w:r>
          </w:p>
        </w:tc>
      </w:tr>
      <w:tr w14:paraId="1B51D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0020D29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84B15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方案讲解演示</w:t>
            </w:r>
          </w:p>
        </w:tc>
        <w:tc>
          <w:tcPr>
            <w:tcW w:w="6640" w:type="dxa"/>
            <w:tcBorders>
              <w:top w:val="single" w:color="000000" w:sz="8" w:space="0"/>
              <w:left w:val="single" w:color="000000" w:sz="2" w:space="0"/>
              <w:bottom w:val="single" w:color="000000" w:sz="8" w:space="0"/>
              <w:right w:val="single" w:color="000000" w:sz="8" w:space="0"/>
            </w:tcBorders>
            <w:vAlign w:val="center"/>
          </w:tcPr>
          <w:p w14:paraId="34894C76">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不组织。</w:t>
            </w:r>
          </w:p>
          <w:p w14:paraId="001B9BE7">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b/>
                <w:color w:val="auto"/>
                <w:kern w:val="0"/>
                <w:sz w:val="21"/>
                <w:szCs w:val="21"/>
                <w:highlight w:val="none"/>
                <w:lang w:val="zh-CN"/>
              </w:rPr>
            </w:pPr>
            <w:sdt>
              <w:sdtPr>
                <w:rPr>
                  <w:rFonts w:hint="eastAsia" w:ascii="宋体" w:hAnsi="宋体" w:eastAsia="宋体" w:cs="宋体"/>
                  <w:color w:val="auto"/>
                  <w:kern w:val="0"/>
                  <w:sz w:val="21"/>
                  <w:szCs w:val="21"/>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B</w:t>
            </w:r>
            <w:r>
              <w:rPr>
                <w:rFonts w:hint="eastAsia" w:ascii="宋体" w:hAnsi="宋体" w:eastAsia="宋体" w:cs="宋体"/>
                <w:color w:val="auto"/>
                <w:kern w:val="0"/>
                <w:sz w:val="21"/>
                <w:szCs w:val="21"/>
                <w:highlight w:val="none"/>
              </w:rPr>
              <w:t>组织。</w:t>
            </w:r>
          </w:p>
        </w:tc>
      </w:tr>
      <w:tr w14:paraId="5E6E02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90" w:hRule="atLeast"/>
          <w:tblHeader/>
          <w:jc w:val="center"/>
        </w:trPr>
        <w:tc>
          <w:tcPr>
            <w:tcW w:w="629" w:type="dxa"/>
            <w:tcBorders>
              <w:top w:val="single" w:color="auto" w:sz="4" w:space="0"/>
              <w:left w:val="single" w:color="auto" w:sz="4" w:space="0"/>
              <w:right w:val="single" w:color="auto" w:sz="4" w:space="0"/>
            </w:tcBorders>
            <w:vAlign w:val="center"/>
          </w:tcPr>
          <w:p w14:paraId="2A43641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43" w:type="dxa"/>
            <w:tcBorders>
              <w:top w:val="single" w:color="000000" w:sz="8" w:space="0"/>
              <w:left w:val="single" w:color="auto" w:sz="4" w:space="0"/>
              <w:right w:val="single" w:color="000000" w:sz="8" w:space="0"/>
            </w:tcBorders>
            <w:vAlign w:val="center"/>
          </w:tcPr>
          <w:p w14:paraId="784708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供应商应当提供的资格、资信证明文件</w:t>
            </w:r>
          </w:p>
        </w:tc>
        <w:tc>
          <w:tcPr>
            <w:tcW w:w="6640" w:type="dxa"/>
            <w:tcBorders>
              <w:top w:val="single" w:color="000000" w:sz="8" w:space="0"/>
              <w:left w:val="single" w:color="000000" w:sz="2" w:space="0"/>
              <w:bottom w:val="single" w:color="000000" w:sz="8" w:space="0"/>
              <w:right w:val="single" w:color="000000" w:sz="8" w:space="0"/>
            </w:tcBorders>
            <w:vAlign w:val="center"/>
          </w:tcPr>
          <w:p w14:paraId="67D04FC4">
            <w:pPr>
              <w:keepNext w:val="0"/>
              <w:keepLines w:val="0"/>
              <w:pageBreakBefore w:val="0"/>
              <w:widowControl w:val="0"/>
              <w:numPr>
                <w:ilvl w:val="0"/>
                <w:numId w:val="2"/>
              </w:numPr>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资格证明文件：见磋商文件第</w:t>
            </w:r>
            <w:r>
              <w:rPr>
                <w:rFonts w:hint="eastAsia" w:ascii="宋体" w:hAnsi="宋体" w:cs="宋体"/>
                <w:color w:val="auto"/>
                <w:sz w:val="21"/>
                <w:szCs w:val="21"/>
                <w:highlight w:val="none"/>
                <w:lang w:eastAsia="zh-CN"/>
              </w:rPr>
              <w:t>三</w:t>
            </w:r>
            <w:r>
              <w:rPr>
                <w:rFonts w:hint="eastAsia" w:ascii="宋体" w:hAnsi="宋体" w:eastAsia="宋体" w:cs="宋体"/>
                <w:color w:val="auto"/>
                <w:sz w:val="21"/>
                <w:szCs w:val="21"/>
                <w:highlight w:val="none"/>
              </w:rPr>
              <w:t>部分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lang w:eastAsia="zh-CN"/>
              </w:rPr>
              <w:t>响应文件的编制</w:t>
            </w:r>
            <w:r>
              <w:rPr>
                <w:rFonts w:hint="eastAsia" w:ascii="宋体" w:hAnsi="宋体" w:eastAsia="宋体" w:cs="宋体"/>
                <w:color w:val="auto"/>
                <w:sz w:val="21"/>
                <w:szCs w:val="21"/>
                <w:highlight w:val="none"/>
              </w:rPr>
              <w:t>。</w:t>
            </w:r>
          </w:p>
          <w:p w14:paraId="04870C61">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供应商未提供有效的资格证明文件的，视为供应商不具备磋商文件中规定的资格要求，响应无效。</w:t>
            </w:r>
          </w:p>
          <w:p w14:paraId="7FCD8C22">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（2）资信证明文件：</w:t>
            </w:r>
            <w:bookmarkStart w:id="28" w:name="OLE_LINK3"/>
            <w:r>
              <w:rPr>
                <w:rFonts w:hint="eastAsia" w:ascii="宋体" w:hAnsi="宋体" w:eastAsia="宋体" w:cs="宋体"/>
                <w:color w:val="auto"/>
                <w:sz w:val="21"/>
                <w:szCs w:val="21"/>
                <w:highlight w:val="none"/>
              </w:rPr>
              <w:t>根据磋商文件采购需求及评审标准的要求提供。</w:t>
            </w:r>
            <w:bookmarkEnd w:id="28"/>
          </w:p>
        </w:tc>
      </w:tr>
      <w:tr w14:paraId="37504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FA304A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E2C06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节能产品、环境标志产品</w:t>
            </w:r>
          </w:p>
        </w:tc>
        <w:tc>
          <w:tcPr>
            <w:tcW w:w="6640" w:type="dxa"/>
            <w:tcBorders>
              <w:top w:val="single" w:color="000000" w:sz="8" w:space="0"/>
              <w:left w:val="single" w:color="000000" w:sz="2" w:space="0"/>
              <w:bottom w:val="single" w:color="000000" w:sz="8" w:space="0"/>
              <w:right w:val="single" w:color="000000" w:sz="8" w:space="0"/>
            </w:tcBorders>
            <w:vAlign w:val="center"/>
          </w:tcPr>
          <w:p w14:paraId="43A8B868">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31F76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5F3ABF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124248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报价要求</w:t>
            </w:r>
          </w:p>
        </w:tc>
        <w:tc>
          <w:tcPr>
            <w:tcW w:w="6640" w:type="dxa"/>
            <w:tcBorders>
              <w:top w:val="single" w:color="000000" w:sz="8" w:space="0"/>
              <w:left w:val="single" w:color="000000" w:sz="2" w:space="0"/>
              <w:bottom w:val="single" w:color="000000" w:sz="8" w:space="0"/>
              <w:right w:val="single" w:color="000000" w:sz="8" w:space="0"/>
            </w:tcBorders>
            <w:vAlign w:val="center"/>
          </w:tcPr>
          <w:p w14:paraId="21BAEDA1">
            <w:pPr>
              <w:keepNext w:val="0"/>
              <w:keepLines w:val="0"/>
              <w:pageBreakBefore w:val="0"/>
              <w:widowControl w:val="0"/>
              <w:kinsoku/>
              <w:wordWrap/>
              <w:overflowPunct/>
              <w:topLinePunct w:val="0"/>
              <w:autoSpaceDE/>
              <w:autoSpaceDN/>
              <w:bidi w:val="0"/>
              <w:adjustRightInd w:val="0"/>
              <w:snapToGrid w:val="0"/>
              <w:spacing w:line="300" w:lineRule="exact"/>
              <w:ind w:firstLine="420" w:firstLineChars="200"/>
              <w:jc w:val="left"/>
              <w:textAlignment w:val="auto"/>
              <w:rPr>
                <w:rFonts w:hint="eastAsia" w:ascii="宋体" w:hAnsi="宋体" w:eastAsia="宋体" w:cs="宋体"/>
                <w:b/>
                <w:bCs w:val="0"/>
                <w:color w:val="auto"/>
                <w:kern w:val="0"/>
                <w:sz w:val="21"/>
                <w:szCs w:val="21"/>
                <w:highlight w:val="none"/>
                <w:lang w:val="zh-CN"/>
              </w:rPr>
            </w:pPr>
            <w:r>
              <w:rPr>
                <w:rFonts w:hint="eastAsia" w:ascii="宋体" w:hAnsi="宋体" w:eastAsia="宋体" w:cs="宋体"/>
                <w:b w:val="0"/>
                <w:bCs/>
                <w:color w:val="auto"/>
                <w:kern w:val="0"/>
                <w:sz w:val="21"/>
                <w:szCs w:val="21"/>
                <w:highlight w:val="none"/>
                <w:lang w:val="zh-CN"/>
              </w:rPr>
              <w:t>有关本项目实施所需的所有费用（含税费）均计入最后报价。《最后报价一览表（报价表）》是最后报价的唯一载体。磋商文件中价格全部采用人民币报价。磋商文件未列明，而供应商认为必需的费用也需列入报价。</w:t>
            </w:r>
            <w:r>
              <w:rPr>
                <w:rFonts w:hint="eastAsia" w:ascii="宋体" w:hAnsi="宋体" w:eastAsia="宋体" w:cs="宋体"/>
                <w:b/>
                <w:bCs w:val="0"/>
                <w:color w:val="auto"/>
                <w:kern w:val="0"/>
                <w:sz w:val="21"/>
                <w:szCs w:val="21"/>
                <w:highlight w:val="none"/>
                <w:lang w:val="zh-CN"/>
              </w:rPr>
              <w:t>提醒：验收时检测费用由采购人承担，不包含在最后报价中。</w:t>
            </w:r>
          </w:p>
          <w:p w14:paraId="05144F9A">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最后报价出现下列情形的，响应无效：</w:t>
            </w:r>
          </w:p>
          <w:p w14:paraId="3102CBBD">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响应文件出现不是唯一的、有选择性的最后报价的；</w:t>
            </w:r>
          </w:p>
          <w:p w14:paraId="11B2578C">
            <w:pPr>
              <w:keepNext w:val="0"/>
              <w:keepLines w:val="0"/>
              <w:pageBreakBefore w:val="0"/>
              <w:widowControl w:val="0"/>
              <w:kinsoku/>
              <w:wordWrap/>
              <w:overflowPunct/>
              <w:topLinePunct w:val="0"/>
              <w:autoSpaceDE/>
              <w:autoSpaceDN/>
              <w:bidi w:val="0"/>
              <w:adjustRightInd w:val="0"/>
              <w:snapToGrid w:val="0"/>
              <w:spacing w:line="300" w:lineRule="exact"/>
              <w:ind w:firstLine="211" w:firstLineChars="1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b/>
                <w:color w:val="auto"/>
                <w:kern w:val="0"/>
                <w:sz w:val="21"/>
                <w:szCs w:val="21"/>
                <w:highlight w:val="none"/>
                <w:lang w:val="zh-CN"/>
              </w:rPr>
              <w:t>最后报价超过磋商文件中规定的预算金额或者最高限价的;</w:t>
            </w:r>
          </w:p>
          <w:p w14:paraId="48F5ACF3">
            <w:pPr>
              <w:keepNext w:val="0"/>
              <w:keepLines w:val="0"/>
              <w:pageBreakBefore w:val="0"/>
              <w:widowControl w:val="0"/>
              <w:kinsoku/>
              <w:wordWrap/>
              <w:overflowPunct/>
              <w:topLinePunct w:val="0"/>
              <w:autoSpaceDE/>
              <w:autoSpaceDN/>
              <w:bidi w:val="0"/>
              <w:adjustRightInd w:val="0"/>
              <w:spacing w:line="300" w:lineRule="exact"/>
              <w:ind w:firstLine="211" w:firstLineChars="1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rPr>
              <w:t>供应商对根据修正原则修正后的报价不确认的</w:t>
            </w:r>
            <w:r>
              <w:rPr>
                <w:rFonts w:hint="eastAsia" w:ascii="宋体" w:hAnsi="宋体" w:eastAsia="宋体" w:cs="宋体"/>
                <w:b/>
                <w:color w:val="auto"/>
                <w:sz w:val="21"/>
                <w:szCs w:val="21"/>
                <w:highlight w:val="none"/>
              </w:rPr>
              <w:t>。</w:t>
            </w:r>
          </w:p>
        </w:tc>
      </w:tr>
      <w:tr w14:paraId="2B998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right w:val="single" w:color="000000" w:sz="2" w:space="0"/>
            </w:tcBorders>
            <w:vAlign w:val="center"/>
          </w:tcPr>
          <w:p w14:paraId="5F2EF1D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843" w:type="dxa"/>
            <w:tcBorders>
              <w:top w:val="single" w:color="000000" w:sz="8" w:space="0"/>
              <w:left w:val="single" w:color="000000" w:sz="2" w:space="0"/>
              <w:right w:val="single" w:color="000000" w:sz="8" w:space="0"/>
            </w:tcBorders>
            <w:vAlign w:val="center"/>
          </w:tcPr>
          <w:p w14:paraId="7120B3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中小企业信用融资</w:t>
            </w:r>
          </w:p>
        </w:tc>
        <w:tc>
          <w:tcPr>
            <w:tcW w:w="6640" w:type="dxa"/>
            <w:tcBorders>
              <w:top w:val="single" w:color="000000" w:sz="8" w:space="0"/>
              <w:left w:val="single" w:color="000000" w:sz="2" w:space="0"/>
              <w:right w:val="single" w:color="000000" w:sz="8" w:space="0"/>
            </w:tcBorders>
            <w:vAlign w:val="center"/>
          </w:tcPr>
          <w:p w14:paraId="69541264">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snapToGrid w:val="0"/>
                <w:color w:val="auto"/>
                <w:kern w:val="28"/>
                <w:sz w:val="21"/>
                <w:szCs w:val="21"/>
                <w:highlight w:val="none"/>
              </w:rPr>
            </w:pPr>
            <w:r>
              <w:rPr>
                <w:rFonts w:hint="eastAsia" w:ascii="宋体" w:hAnsi="宋体" w:eastAsia="宋体" w:cs="宋体"/>
                <w:snapToGrid w:val="0"/>
                <w:color w:val="auto"/>
                <w:kern w:val="28"/>
                <w:sz w:val="21"/>
                <w:szCs w:val="21"/>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2E5BB687">
            <w:pPr>
              <w:keepNext w:val="0"/>
              <w:keepLines w:val="0"/>
              <w:pageBreakBefore w:val="0"/>
              <w:widowControl w:val="0"/>
              <w:kinsoku/>
              <w:wordWrap/>
              <w:overflowPunct/>
              <w:topLinePunct w:val="0"/>
              <w:autoSpaceDE/>
              <w:autoSpaceDN/>
              <w:bidi w:val="0"/>
              <w:adjustRightInd w:val="0"/>
              <w:spacing w:line="3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kern w:val="28"/>
                <w:sz w:val="21"/>
                <w:szCs w:val="21"/>
                <w:highlight w:val="none"/>
              </w:rPr>
              <w:t>供应商成交后也可在“广西政府采购云”平台申请政采贷：操作路径：登录广西政府采购云平台-金融服务中心-【融资服务】，可在热门申请中选择产品直接申请。</w:t>
            </w:r>
          </w:p>
        </w:tc>
      </w:tr>
      <w:tr w14:paraId="4B377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506628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5ABA2EE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备份响应文件送达地点和签收人员 </w:t>
            </w:r>
          </w:p>
        </w:tc>
        <w:tc>
          <w:tcPr>
            <w:tcW w:w="6640" w:type="dxa"/>
            <w:tcBorders>
              <w:top w:val="single" w:color="000000" w:sz="8" w:space="0"/>
              <w:left w:val="single" w:color="000000" w:sz="2" w:space="0"/>
              <w:bottom w:val="single" w:color="000000" w:sz="8" w:space="0"/>
              <w:right w:val="single" w:color="000000" w:sz="8" w:space="0"/>
            </w:tcBorders>
            <w:vAlign w:val="center"/>
          </w:tcPr>
          <w:p w14:paraId="73F374FB">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sz w:val="21"/>
                <w:szCs w:val="21"/>
                <w:highlight w:val="none"/>
              </w:rPr>
            </w:pPr>
            <w:sdt>
              <w:sdtPr>
                <w:rPr>
                  <w:rFonts w:hint="eastAsia" w:ascii="宋体" w:hAnsi="宋体" w:eastAsia="宋体" w:cs="宋体"/>
                  <w:color w:val="auto"/>
                  <w:kern w:val="0"/>
                  <w:sz w:val="21"/>
                  <w:szCs w:val="21"/>
                  <w:highlight w:val="none"/>
                </w:rPr>
                <w:id w:val="129772492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A</w:t>
            </w:r>
            <w:r>
              <w:rPr>
                <w:rFonts w:hint="eastAsia" w:ascii="宋体" w:hAnsi="宋体" w:eastAsia="宋体" w:cs="宋体"/>
                <w:color w:val="auto"/>
                <w:sz w:val="21"/>
                <w:szCs w:val="21"/>
                <w:highlight w:val="none"/>
              </w:rPr>
              <w:t>不接受。</w:t>
            </w:r>
          </w:p>
          <w:p w14:paraId="10AA3D8C">
            <w:pPr>
              <w:pStyle w:val="15"/>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28"/>
                <w:sz w:val="21"/>
                <w:szCs w:val="21"/>
                <w:highlight w:val="none"/>
              </w:rPr>
            </w:pPr>
            <w:sdt>
              <w:sdtPr>
                <w:rPr>
                  <w:rFonts w:hint="eastAsia" w:ascii="宋体" w:hAnsi="宋体" w:eastAsia="宋体" w:cs="宋体"/>
                  <w:color w:val="auto"/>
                  <w:kern w:val="0"/>
                  <w:sz w:val="21"/>
                  <w:szCs w:val="21"/>
                  <w:highlight w:val="none"/>
                </w:rPr>
                <w:id w:val="1206604863"/>
                <w14:checkbox>
                  <w14:checked w14:val="1"/>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Wingdings" w:hAnsi="Wingdings" w:eastAsia="宋体" w:cs="宋体"/>
                    <w:color w:val="auto"/>
                    <w:kern w:val="0"/>
                    <w:sz w:val="21"/>
                    <w:szCs w:val="21"/>
                    <w:highlight w:val="none"/>
                    <w:lang w:val="en-US" w:eastAsia="zh-CN" w:bidi="ar-SA"/>
                  </w:rPr>
                  <w:t>þ</w:t>
                </w:r>
              </w:sdtContent>
            </w:sdt>
            <w:r>
              <w:rPr>
                <w:rFonts w:hint="eastAsia"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B</w:t>
            </w:r>
            <w:r>
              <w:rPr>
                <w:rFonts w:hint="eastAsia" w:ascii="宋体" w:hAnsi="宋体" w:eastAsia="宋体" w:cs="宋体"/>
                <w:color w:val="auto"/>
                <w:sz w:val="21"/>
                <w:szCs w:val="21"/>
                <w:highlight w:val="none"/>
              </w:rPr>
              <w:t>接受</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28"/>
                <w:sz w:val="21"/>
                <w:szCs w:val="21"/>
                <w:highlight w:val="none"/>
              </w:rPr>
              <w:t>备份响应文件送达地点：</w:t>
            </w:r>
            <w:r>
              <w:rPr>
                <w:rFonts w:hint="eastAsia" w:ascii="宋体" w:hAnsi="宋体" w:eastAsia="宋体" w:cs="宋体"/>
                <w:color w:val="auto"/>
                <w:highlight w:val="none"/>
                <w:u w:val="single"/>
              </w:rPr>
              <w:t>现场递交或</w:t>
            </w:r>
            <w:r>
              <w:rPr>
                <w:rFonts w:hint="eastAsia" w:ascii="宋体" w:hAnsi="宋体" w:eastAsia="宋体" w:cs="宋体"/>
                <w:color w:val="auto"/>
                <w:sz w:val="21"/>
                <w:szCs w:val="21"/>
                <w:highlight w:val="none"/>
                <w:u w:val="single"/>
              </w:rPr>
              <w:t>邮寄地址：广西北海市北海大道158号北园</w:t>
            </w:r>
            <w:r>
              <w:rPr>
                <w:rFonts w:hint="eastAsia" w:hAnsi="宋体" w:cs="宋体"/>
                <w:color w:val="auto"/>
                <w:sz w:val="21"/>
                <w:szCs w:val="21"/>
                <w:highlight w:val="none"/>
                <w:u w:val="single"/>
                <w:lang w:eastAsia="zh-CN"/>
              </w:rPr>
              <w:t>星座</w:t>
            </w:r>
            <w:r>
              <w:rPr>
                <w:rFonts w:hint="eastAsia" w:hAnsi="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星</w:t>
            </w:r>
            <w:r>
              <w:rPr>
                <w:rFonts w:hint="eastAsia" w:ascii="宋体" w:hAnsi="宋体" w:eastAsia="宋体" w:cs="宋体"/>
                <w:color w:val="auto"/>
                <w:sz w:val="21"/>
                <w:szCs w:val="21"/>
                <w:highlight w:val="none"/>
                <w:u w:val="single"/>
                <w:lang w:eastAsia="zh-CN"/>
              </w:rPr>
              <w:t>晨</w:t>
            </w:r>
            <w:r>
              <w:rPr>
                <w:rFonts w:hint="eastAsia" w:ascii="宋体" w:hAnsi="宋体" w:eastAsia="宋体" w:cs="宋体"/>
                <w:color w:val="auto"/>
                <w:sz w:val="21"/>
                <w:szCs w:val="21"/>
                <w:highlight w:val="none"/>
                <w:u w:val="single"/>
              </w:rPr>
              <w:t>座7楼A室</w:t>
            </w:r>
            <w:r>
              <w:rPr>
                <w:rFonts w:hint="eastAsia" w:ascii="宋体" w:hAnsi="宋体" w:eastAsia="宋体" w:cs="宋体"/>
                <w:color w:val="auto"/>
                <w:kern w:val="28"/>
                <w:sz w:val="21"/>
                <w:szCs w:val="21"/>
                <w:highlight w:val="none"/>
              </w:rPr>
              <w:t>；备份响应文件签收人员联系电话：</w:t>
            </w:r>
            <w:r>
              <w:rPr>
                <w:rFonts w:hint="eastAsia" w:ascii="宋体" w:hAnsi="宋体" w:eastAsia="宋体" w:cs="宋体"/>
                <w:color w:val="auto"/>
                <w:sz w:val="21"/>
                <w:szCs w:val="21"/>
                <w:highlight w:val="none"/>
                <w:u w:val="single"/>
                <w:lang w:eastAsia="zh-CN"/>
              </w:rPr>
              <w:t>0779-3969099</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采购人、采购代理机构不强制或变相强制磋商供应商提交备份响应文件。</w:t>
            </w:r>
          </w:p>
        </w:tc>
      </w:tr>
      <w:tr w14:paraId="27B3C6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20" w:hRule="atLeast"/>
          <w:tblHeader/>
          <w:jc w:val="center"/>
        </w:trPr>
        <w:tc>
          <w:tcPr>
            <w:tcW w:w="629" w:type="dxa"/>
            <w:tcBorders>
              <w:top w:val="single" w:color="auto" w:sz="4" w:space="0"/>
              <w:left w:val="single" w:color="000000" w:sz="8" w:space="0"/>
              <w:right w:val="single" w:color="000000" w:sz="2" w:space="0"/>
            </w:tcBorders>
            <w:vAlign w:val="center"/>
          </w:tcPr>
          <w:p w14:paraId="2EF28A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843" w:type="dxa"/>
            <w:tcBorders>
              <w:top w:val="single" w:color="000000" w:sz="8" w:space="0"/>
              <w:left w:val="single" w:color="000000" w:sz="2" w:space="0"/>
              <w:right w:val="single" w:color="000000" w:sz="8" w:space="0"/>
            </w:tcBorders>
            <w:vAlign w:val="center"/>
          </w:tcPr>
          <w:p w14:paraId="251684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tc>
        <w:tc>
          <w:tcPr>
            <w:tcW w:w="6640" w:type="dxa"/>
            <w:tcBorders>
              <w:top w:val="single" w:color="000000" w:sz="8" w:space="0"/>
              <w:left w:val="single" w:color="000000" w:sz="2" w:space="0"/>
              <w:bottom w:val="single" w:color="auto" w:sz="4" w:space="0"/>
              <w:right w:val="single" w:color="000000" w:sz="8" w:space="0"/>
            </w:tcBorders>
            <w:vAlign w:val="center"/>
          </w:tcPr>
          <w:p w14:paraId="29EEFF3F">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sdt>
              <w:sdtPr>
                <w:rPr>
                  <w:rFonts w:hint="eastAsia" w:ascii="宋体" w:hAnsi="宋体" w:eastAsia="宋体" w:cs="宋体"/>
                  <w:color w:val="auto"/>
                  <w:kern w:val="0"/>
                  <w:sz w:val="21"/>
                  <w:szCs w:val="21"/>
                  <w:highlight w:val="none"/>
                </w:rPr>
                <w:id w:val="147474990"/>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联合体响应的，联合体各方分别提供与联合体协议中规定的分工内容相应的业绩证明材料，业绩数量以提供材料较少的一方为准。</w:t>
            </w:r>
          </w:p>
          <w:p w14:paraId="753DD100">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65116"/>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MS Gothic" w:hAnsi="MS Gothic" w:eastAsia="宋体" w:cs="宋体"/>
                    <w:color w:val="auto"/>
                    <w:kern w:val="0"/>
                    <w:sz w:val="21"/>
                    <w:szCs w:val="21"/>
                    <w:highlight w:val="none"/>
                    <w:lang w:val="en-US" w:eastAsia="zh-CN" w:bidi="ar-SA"/>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联合体响应的，联合体各方均需按磋商文件第五部分评审标准要求提供资信证明文件，否则视为不符合相关要求。</w:t>
            </w:r>
          </w:p>
          <w:p w14:paraId="65E96D53">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snapToGrid w:val="0"/>
                <w:color w:val="auto"/>
                <w:kern w:val="28"/>
                <w:sz w:val="21"/>
                <w:szCs w:val="21"/>
                <w:highlight w:val="none"/>
              </w:rPr>
            </w:pPr>
            <w:sdt>
              <w:sdtPr>
                <w:rPr>
                  <w:rFonts w:hint="eastAsia" w:ascii="宋体" w:hAnsi="宋体" w:eastAsia="宋体" w:cs="宋体"/>
                  <w:color w:val="auto"/>
                  <w:kern w:val="0"/>
                  <w:sz w:val="21"/>
                  <w:szCs w:val="21"/>
                  <w:highlight w:val="none"/>
                </w:rPr>
                <w:id w:val="147464284"/>
                <w14:checkbox>
                  <w14:checked w14:val="0"/>
                  <w14:checkedState w14:val="00FE" w14:font="Wingdings"/>
                  <w14:uncheckedState w14:val="2610" w14:font="MS Gothic"/>
                </w14:checkbox>
              </w:sdtPr>
              <w:sdtEndPr>
                <w:rPr>
                  <w:rFonts w:hint="eastAsia" w:ascii="宋体" w:hAnsi="宋体" w:eastAsia="宋体" w:cs="宋体"/>
                  <w:color w:val="auto"/>
                  <w:kern w:val="0"/>
                  <w:sz w:val="21"/>
                  <w:szCs w:val="21"/>
                  <w:highlight w:val="none"/>
                </w:rPr>
              </w:sdtEndPr>
              <w:sdtContent>
                <w:r>
                  <w:rPr>
                    <w:rFonts w:hint="eastAsia" w:ascii="宋体" w:hAnsi="宋体" w:eastAsia="宋体" w:cs="宋体"/>
                    <w:color w:val="auto"/>
                    <w:kern w:val="0"/>
                    <w:sz w:val="21"/>
                    <w:szCs w:val="21"/>
                    <w:highlight w:val="none"/>
                  </w:rPr>
                  <w:t>☐</w:t>
                </w:r>
              </w:sdtContent>
            </w:sdt>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snapToGrid w:val="0"/>
                <w:color w:val="auto"/>
                <w:kern w:val="28"/>
                <w:sz w:val="21"/>
                <w:szCs w:val="21"/>
                <w:highlight w:val="none"/>
              </w:rPr>
              <w:t>联合体响应的，联合体中有一方或者联合体成员根据分工按磋商文件第五部分评审标准要求提供资信证明文件的，视为符合了相关要求。</w:t>
            </w:r>
          </w:p>
        </w:tc>
      </w:tr>
      <w:tr w14:paraId="7DD107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2EA245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14:paraId="132A94B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解释权</w:t>
            </w:r>
          </w:p>
        </w:tc>
        <w:tc>
          <w:tcPr>
            <w:tcW w:w="6640" w:type="dxa"/>
            <w:tcBorders>
              <w:top w:val="single" w:color="auto" w:sz="4" w:space="0"/>
              <w:left w:val="single" w:color="auto" w:sz="4" w:space="0"/>
              <w:bottom w:val="single" w:color="auto" w:sz="4" w:space="0"/>
              <w:right w:val="single" w:color="auto" w:sz="4" w:space="0"/>
            </w:tcBorders>
            <w:vAlign w:val="center"/>
          </w:tcPr>
          <w:p w14:paraId="052BD65C">
            <w:pPr>
              <w:keepNext w:val="0"/>
              <w:keepLines w:val="0"/>
              <w:pageBreakBefore w:val="0"/>
              <w:widowControl w:val="0"/>
              <w:kinsoku/>
              <w:wordWrap/>
              <w:overflowPunct/>
              <w:topLinePunct w:val="0"/>
              <w:autoSpaceDE/>
              <w:autoSpaceDN/>
              <w:bidi w:val="0"/>
              <w:adjustRightInd w:val="0"/>
              <w:spacing w:line="30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本磋商文件解释权属采购人及代理机构。</w:t>
            </w:r>
          </w:p>
        </w:tc>
      </w:tr>
    </w:tbl>
    <w:p w14:paraId="7C65A7ED">
      <w:pPr>
        <w:snapToGrid w:val="0"/>
        <w:jc w:val="center"/>
        <w:rPr>
          <w:rFonts w:cs="仿宋_GB2312" w:asciiTheme="minorEastAsia" w:hAnsiTheme="minorEastAsia" w:eastAsiaTheme="minorEastAsia"/>
          <w:b/>
          <w:color w:val="auto"/>
          <w:sz w:val="32"/>
          <w:szCs w:val="20"/>
          <w:highlight w:val="none"/>
        </w:rPr>
      </w:pPr>
    </w:p>
    <w:p w14:paraId="11FA7F74">
      <w:pPr>
        <w:adjustRightInd/>
        <w:spacing w:line="360" w:lineRule="auto"/>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二、总则</w:t>
      </w:r>
    </w:p>
    <w:p w14:paraId="0FFCF42B">
      <w:pPr>
        <w:pStyle w:val="10"/>
        <w:rPr>
          <w:rFonts w:ascii="宋体" w:hAnsi="宋体" w:cs="宋体"/>
          <w:color w:val="auto"/>
          <w:highlight w:val="none"/>
        </w:rPr>
      </w:pPr>
    </w:p>
    <w:p w14:paraId="390F8AFB">
      <w:pPr>
        <w:keepNext w:val="0"/>
        <w:keepLines w:val="0"/>
        <w:pageBreakBefore w:val="0"/>
        <w:kinsoku/>
        <w:wordWrap/>
        <w:overflowPunct/>
        <w:topLinePunct w:val="0"/>
        <w:bidi w:val="0"/>
        <w:snapToGrid w:val="0"/>
        <w:spacing w:line="36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适用范围</w:t>
      </w:r>
    </w:p>
    <w:p w14:paraId="7AB5DF78">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本磋商文件适用于该项目的邀请、响应、开启响应文件、信用信息查询、资格性审查、评审、成交、合同、验收等行为（法律、法规另有规定的，从其规定）。</w:t>
      </w:r>
    </w:p>
    <w:p w14:paraId="67B09B19">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2.定义</w:t>
      </w:r>
    </w:p>
    <w:p w14:paraId="062F677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“采购人”系指磋商公告中载明的本项目的采购人。</w:t>
      </w:r>
    </w:p>
    <w:p w14:paraId="0B64A20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“采购代理机构”系指磋商邀请公告中载明的本项目的采购代理机构。</w:t>
      </w:r>
    </w:p>
    <w:p w14:paraId="0081538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“供应商”系指响应磋商、参加本次竞争的法人、其他组织或自然人。</w:t>
      </w:r>
    </w:p>
    <w:p w14:paraId="266EC3B7">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“法定代表人（负责人）”系指法人企业的法定负责人，或其他组织为法律、行政法规规定代表单位行使职权的主要负责人，或自然人本人。</w:t>
      </w:r>
    </w:p>
    <w:p w14:paraId="79BD092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 “</w:t>
      </w:r>
      <w:r>
        <w:rPr>
          <w:rFonts w:hint="eastAsia" w:ascii="宋体" w:hAnsi="宋体" w:cs="宋体"/>
          <w:color w:val="auto"/>
          <w:sz w:val="21"/>
          <w:szCs w:val="21"/>
          <w:highlight w:val="none"/>
          <w:lang w:eastAsia="zh-CN"/>
        </w:rPr>
        <w:t>成交供应商</w:t>
      </w:r>
      <w:r>
        <w:rPr>
          <w:rFonts w:hint="eastAsia" w:ascii="宋体" w:hAnsi="宋体" w:eastAsia="宋体" w:cs="宋体"/>
          <w:color w:val="auto"/>
          <w:sz w:val="21"/>
          <w:szCs w:val="21"/>
          <w:highlight w:val="none"/>
        </w:rPr>
        <w:t>”系指经评审确定的成交供应商。</w:t>
      </w:r>
    </w:p>
    <w:p w14:paraId="781AD7C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2.6“响应文件”系指供应商提交的商务技术文件。供应商提交最后报价后，最后报价是供应商响应文件的有效组成部分。</w:t>
      </w:r>
    </w:p>
    <w:p w14:paraId="5D39EBA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2.7“电子交易平台”系指本项目政府采购活动所依托的广西政府采购云平台（https://www.gcy.zfcg.gxzf.gov.cn/）。</w:t>
      </w:r>
    </w:p>
    <w:p w14:paraId="570188A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w:t>
      </w:r>
      <w:r>
        <w:rPr>
          <w:rFonts w:hint="eastAsia" w:ascii="宋体" w:hAnsi="宋体" w:cs="宋体"/>
          <w:color w:val="auto"/>
          <w:sz w:val="21"/>
          <w:szCs w:val="21"/>
          <w:highlight w:val="none"/>
          <w:lang w:eastAsia="zh-CN"/>
        </w:rPr>
        <w:t>详见本磋商文件第八部分</w:t>
      </w:r>
      <w:r>
        <w:rPr>
          <w:rFonts w:hint="eastAsia" w:ascii="宋体" w:hAnsi="宋体" w:eastAsia="宋体" w:cs="宋体"/>
          <w:color w:val="auto"/>
          <w:sz w:val="21"/>
          <w:szCs w:val="21"/>
          <w:highlight w:val="none"/>
        </w:rPr>
        <w:t>）。</w:t>
      </w:r>
    </w:p>
    <w:p w14:paraId="0DAFA2C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D65BF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 “书面形式”包括数据电文形式与纸质形式。数据电文形式与纸质形式的采购活动具有同等法律效力。</w:t>
      </w:r>
    </w:p>
    <w:p w14:paraId="44270B89">
      <w:pPr>
        <w:keepNext w:val="0"/>
        <w:keepLines w:val="0"/>
        <w:pageBreakBefore w:val="0"/>
        <w:kinsoku/>
        <w:wordWrap/>
        <w:overflowPunct/>
        <w:topLinePunct w:val="0"/>
        <w:bidi w:val="0"/>
        <w:snapToGrid w:val="0"/>
        <w:spacing w:line="36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2.10 “▲” 系指实质性要求条款， “※”系指磋商过程中可能实质性变动的内容， </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rPr>
        <w:sym w:font="Wingdings" w:char="F0FE"/>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系指适用本项目的要求，“□”系指不适用本项目的要求。</w:t>
      </w:r>
    </w:p>
    <w:p w14:paraId="711F6C84">
      <w:pPr>
        <w:keepNext w:val="0"/>
        <w:keepLines w:val="0"/>
        <w:pageBreakBefore w:val="0"/>
        <w:kinsoku/>
        <w:wordWrap/>
        <w:overflowPunct/>
        <w:topLinePunct w:val="0"/>
        <w:bidi w:val="0"/>
        <w:adjustRightInd/>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响应有效期</w:t>
      </w:r>
    </w:p>
    <w:p w14:paraId="6DBD47D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
          <w:color w:val="auto"/>
          <w:sz w:val="21"/>
          <w:szCs w:val="21"/>
          <w:highlight w:val="none"/>
        </w:rPr>
        <w:t>响应有效期为从提交响应文件的截止之日起60天。供应商的响应文件中承诺的响应有效期少于磋商文件中载明的磋商有效期的，响应无效。</w:t>
      </w:r>
    </w:p>
    <w:p w14:paraId="17F1452F">
      <w:pPr>
        <w:pStyle w:val="58"/>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3.2响应文件合格提交后，自响应截止日期起，在响应有效期内有效。</w:t>
      </w:r>
    </w:p>
    <w:p w14:paraId="70EB9421">
      <w:pPr>
        <w:pStyle w:val="58"/>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36E455C3">
      <w:pPr>
        <w:keepNext w:val="0"/>
        <w:keepLines w:val="0"/>
        <w:pageBreakBefore w:val="0"/>
        <w:tabs>
          <w:tab w:val="left" w:pos="378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4．响应费用</w:t>
      </w:r>
    </w:p>
    <w:p w14:paraId="51596E78">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供应商需自行承担涉及响应的一切费用</w:t>
      </w:r>
      <w:r>
        <w:rPr>
          <w:rFonts w:hint="eastAsia" w:ascii="宋体" w:hAnsi="宋体" w:eastAsia="宋体" w:cs="宋体"/>
          <w:color w:val="auto"/>
          <w:sz w:val="21"/>
          <w:szCs w:val="21"/>
          <w:highlight w:val="none"/>
          <w:lang w:val="zh-CN"/>
        </w:rPr>
        <w:t>。</w:t>
      </w:r>
    </w:p>
    <w:p w14:paraId="321510E7">
      <w:pPr>
        <w:keepNext w:val="0"/>
        <w:keepLines w:val="0"/>
        <w:pageBreakBefore w:val="0"/>
        <w:kinsoku/>
        <w:wordWrap/>
        <w:overflowPunct/>
        <w:topLinePunct w:val="0"/>
        <w:bidi w:val="0"/>
        <w:spacing w:line="360" w:lineRule="exact"/>
        <w:jc w:val="center"/>
        <w:rPr>
          <w:rFonts w:hint="eastAsia" w:ascii="宋体" w:hAnsi="宋体" w:eastAsia="宋体" w:cs="宋体"/>
          <w:b/>
          <w:color w:val="auto"/>
          <w:sz w:val="21"/>
          <w:szCs w:val="21"/>
          <w:highlight w:val="none"/>
        </w:rPr>
      </w:pPr>
    </w:p>
    <w:p w14:paraId="38989878">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三、需要落实的政府采购政策</w:t>
      </w:r>
    </w:p>
    <w:p w14:paraId="5C369C92">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1.是否允许采购进口产品要求</w:t>
      </w:r>
    </w:p>
    <w:p w14:paraId="79ED88F1">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color w:val="auto"/>
          <w:kern w:val="0"/>
          <w:sz w:val="21"/>
          <w:szCs w:val="21"/>
          <w:highlight w:val="none"/>
        </w:rPr>
        <w:t>优先采购向我国企业转让技术、与我国企业签订消化吸收再创新方案的供应商的进口产品</w:t>
      </w:r>
      <w:r>
        <w:rPr>
          <w:rFonts w:hint="eastAsia" w:ascii="宋体" w:hAnsi="宋体" w:eastAsia="宋体" w:cs="宋体"/>
          <w:color w:val="auto"/>
          <w:sz w:val="21"/>
          <w:szCs w:val="21"/>
          <w:highlight w:val="none"/>
        </w:rPr>
        <w:t>。</w:t>
      </w:r>
    </w:p>
    <w:p w14:paraId="1D8B6CCA">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2.支持绿色发展</w:t>
      </w:r>
    </w:p>
    <w:p w14:paraId="69F14AC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eastAsia="宋体" w:cs="宋体"/>
          <w:b/>
          <w:color w:val="auto"/>
          <w:sz w:val="21"/>
          <w:szCs w:val="21"/>
          <w:highlight w:val="none"/>
        </w:rPr>
        <w:t>▲采购人拟采购的产品属于政府强制采购的节能产品品目清单范围的，供应商相应的响应产品未获得国家确定的认证机构出具的、处于有效期之内的节能产品认证证书的，响应无效。</w:t>
      </w:r>
    </w:p>
    <w:p w14:paraId="3163FCC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2.2纳入政府采购管理的修缮、装修类项目采购建材的，鼓励采购单位将绿色建材性能、指标等作为实质性条件纳入</w:t>
      </w: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和合同，具体性能指标要求参考相关绿色建材政府采购需求标准。</w:t>
      </w:r>
    </w:p>
    <w:p w14:paraId="365A6D5E">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3865701">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鼓励供应商在参加政府采购过程中开展绿色设计、选择绿色材料、打造绿色制造工艺、开展绿色运输、做好废弃产品回收处理，实现产品全周期的绿色环保。鼓励采购单位对其提高预付款比例、免收履约保证金。</w:t>
      </w:r>
    </w:p>
    <w:p w14:paraId="2FF0C86D">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3.支持中小企业发展。</w:t>
      </w:r>
    </w:p>
    <w:p w14:paraId="1620CC3B">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bookmarkStart w:id="29" w:name="OLE_LINK11"/>
      <w:r>
        <w:rPr>
          <w:rFonts w:hint="eastAsia" w:ascii="宋体" w:hAnsi="宋体" w:eastAsia="宋体" w:cs="宋体"/>
          <w:color w:val="auto"/>
          <w:sz w:val="21"/>
          <w:szCs w:val="21"/>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bookmarkEnd w:id="29"/>
    <w:p w14:paraId="4916B88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22EC50C8">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color w:val="auto"/>
          <w:kern w:val="0"/>
          <w:sz w:val="21"/>
          <w:szCs w:val="21"/>
          <w:highlight w:val="none"/>
        </w:rPr>
        <w:t>在政府采购活动中，服务类项目采购，服务由中小企业承接，即提供服务的人员为中小企业依照《中华人民共和国劳动合同法》订立劳动合同的从业人员，享受中小企业扶持政策。</w:t>
      </w:r>
    </w:p>
    <w:p w14:paraId="4505F522">
      <w:pPr>
        <w:keepNext w:val="0"/>
        <w:keepLines w:val="0"/>
        <w:pageBreakBefore w:val="0"/>
        <w:widowControl/>
        <w:kinsoku/>
        <w:wordWrap/>
        <w:overflowPunct/>
        <w:topLinePunct w:val="0"/>
        <w:bidi w:val="0"/>
        <w:spacing w:line="3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以联合体形式参加政府采购活动，联合体各方均为中小企业的，联合体视同中小企业。其中，联合体各方均为小微企业的，联合体视同小微企业。</w:t>
      </w:r>
    </w:p>
    <w:p w14:paraId="66757C0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30</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%以上的，对联合体或者大中型企业的最后报价给予</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6</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%的扣除，用扣除后的价格参加评审。组成联合体或者接受分包的小微企业与联合体内其他企业、分包企业之间存在直接控股、管理关系的，不享受价格扣除优惠政策。</w:t>
      </w:r>
    </w:p>
    <w:p w14:paraId="2041BF7D">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3.4符合《关于促进残疾人就业政府采购政策的通知》（财库〔2017〕141号）规定的条件并提供《残疾人福利性单位声明函》的残疾人福利性单位视同小型、微型企业；</w:t>
      </w:r>
    </w:p>
    <w:p w14:paraId="0DE238A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2FCD27D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48966EED">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3.7中小企业享受扶持政策获得政府采购合同的，小微企业不得将合同分包给大中型企业，中型企业不得将合同分包给大型企业。</w:t>
      </w:r>
    </w:p>
    <w:p w14:paraId="717B03A7">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bCs/>
          <w:color w:val="auto"/>
          <w:sz w:val="21"/>
          <w:szCs w:val="21"/>
          <w:highlight w:val="none"/>
        </w:rPr>
        <w:t>支持创新发展</w:t>
      </w:r>
    </w:p>
    <w:p w14:paraId="2919690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 采购人优先采购被认定为首台套产品和“制造精品”的自主创新产品。</w:t>
      </w:r>
    </w:p>
    <w:p w14:paraId="5DFDAB12">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491E5217">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5.平等对待内外资企业</w:t>
      </w:r>
    </w:p>
    <w:p w14:paraId="4D0A135A">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67768AC3">
      <w:pPr>
        <w:pStyle w:val="57"/>
        <w:keepNext w:val="0"/>
        <w:keepLines w:val="0"/>
        <w:pageBreakBefore w:val="0"/>
        <w:kinsoku/>
        <w:wordWrap/>
        <w:overflowPunct/>
        <w:topLinePunct w:val="0"/>
        <w:bidi w:val="0"/>
        <w:spacing w:line="360" w:lineRule="exact"/>
        <w:ind w:firstLine="0"/>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6.平等对待符合条件的破产重整企业</w:t>
      </w:r>
    </w:p>
    <w:p w14:paraId="0F6354FB">
      <w:pPr>
        <w:pStyle w:val="57"/>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平等对待符合条件的破产重整企业，切实保障企业公平竞争，平等维护企业的合法利益。</w:t>
      </w:r>
    </w:p>
    <w:p w14:paraId="41E6586E">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p>
    <w:p w14:paraId="386CE8C6">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四、询问、质疑与投诉</w:t>
      </w:r>
    </w:p>
    <w:p w14:paraId="35DD01B9">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1.在线询问、质疑、投诉</w:t>
      </w:r>
    </w:p>
    <w:p w14:paraId="4F1A3CE5">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w:t>
      </w:r>
      <w:r>
        <w:rPr>
          <w:rFonts w:hint="eastAsia" w:ascii="宋体" w:hAnsi="宋体" w:cs="宋体"/>
          <w:color w:val="auto"/>
          <w:sz w:val="21"/>
          <w:szCs w:val="21"/>
          <w:highlight w:val="none"/>
          <w:lang w:val="zh-CN"/>
        </w:rPr>
        <w:t>磋商文件</w:t>
      </w:r>
      <w:r>
        <w:rPr>
          <w:rFonts w:hint="eastAsia" w:ascii="宋体" w:hAnsi="宋体" w:eastAsia="宋体" w:cs="宋体"/>
          <w:color w:val="auto"/>
          <w:sz w:val="21"/>
          <w:szCs w:val="21"/>
          <w:highlight w:val="none"/>
          <w:lang w:val="zh-CN"/>
        </w:rPr>
        <w:t>、采购过程、中标或者成交结果使自身权益受到损害的，均可依照相关规定提起质疑和投诉。</w:t>
      </w:r>
    </w:p>
    <w:p w14:paraId="36DF5B11">
      <w:pPr>
        <w:pStyle w:val="57"/>
        <w:keepNext w:val="0"/>
        <w:keepLines w:val="0"/>
        <w:pageBreakBefore w:val="0"/>
        <w:kinsoku/>
        <w:wordWrap/>
        <w:overflowPunct/>
        <w:topLinePunct w:val="0"/>
        <w:bidi w:val="0"/>
        <w:spacing w:line="360" w:lineRule="exact"/>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询问联系部门</w:t>
      </w:r>
      <w:r>
        <w:rPr>
          <w:rFonts w:hint="eastAsia" w:cs="宋体"/>
          <w:color w:val="auto"/>
          <w:sz w:val="21"/>
          <w:szCs w:val="21"/>
          <w:highlight w:val="none"/>
          <w:lang w:eastAsia="zh-CN"/>
        </w:rPr>
        <w:t>及</w:t>
      </w:r>
      <w:r>
        <w:rPr>
          <w:rFonts w:hint="eastAsia" w:ascii="宋体" w:hAnsi="宋体" w:eastAsia="宋体" w:cs="宋体"/>
          <w:color w:val="auto"/>
          <w:sz w:val="21"/>
          <w:szCs w:val="21"/>
          <w:highlight w:val="none"/>
        </w:rPr>
        <w:t>质疑联系部门：广西泽丰工程咨询有限公司</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w:t>
      </w:r>
      <w:r>
        <w:rPr>
          <w:rFonts w:hint="eastAsia" w:cs="宋体"/>
          <w:color w:val="auto"/>
          <w:sz w:val="21"/>
          <w:szCs w:val="21"/>
          <w:highlight w:val="none"/>
          <w:lang w:val="en-US" w:eastAsia="zh-CN"/>
        </w:rPr>
        <w:t>0779-3969099，</w:t>
      </w:r>
    </w:p>
    <w:p w14:paraId="431CE8E0">
      <w:pPr>
        <w:pStyle w:val="57"/>
        <w:keepNext w:val="0"/>
        <w:keepLines w:val="0"/>
        <w:pageBreakBefore w:val="0"/>
        <w:kinsoku/>
        <w:wordWrap/>
        <w:overflowPunct/>
        <w:topLinePunct w:val="0"/>
        <w:bidi w:val="0"/>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联系人：钟剑萍</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 xml:space="preserve">地址：广西北海市北海大道158号北园星座-星晨座7楼A室  </w:t>
      </w:r>
    </w:p>
    <w:p w14:paraId="5686932A">
      <w:pPr>
        <w:pStyle w:val="57"/>
        <w:keepNext w:val="0"/>
        <w:keepLines w:val="0"/>
        <w:pageBreakBefore w:val="0"/>
        <w:kinsoku/>
        <w:wordWrap/>
        <w:overflowPunct/>
        <w:topLinePunct w:val="0"/>
        <w:bidi w:val="0"/>
        <w:spacing w:line="360" w:lineRule="exact"/>
        <w:ind w:left="61" w:leftChars="29" w:firstLine="476" w:firstLineChars="227"/>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投诉联系部门：北海市财政局（政府采购监督管理科）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联系电话：0779-3063975</w:t>
      </w:r>
      <w:r>
        <w:rPr>
          <w:rFonts w:hint="eastAsia" w:cs="宋体"/>
          <w:color w:val="auto"/>
          <w:sz w:val="21"/>
          <w:szCs w:val="21"/>
          <w:highlight w:val="none"/>
          <w:lang w:eastAsia="zh-CN"/>
        </w:rPr>
        <w:t>，</w:t>
      </w:r>
      <w:r>
        <w:rPr>
          <w:rFonts w:hint="eastAsia" w:cs="宋体"/>
          <w:color w:val="auto"/>
          <w:sz w:val="21"/>
          <w:szCs w:val="21"/>
          <w:highlight w:val="none"/>
          <w:lang w:val="en-US" w:eastAsia="zh-CN"/>
        </w:rPr>
        <w:t xml:space="preserve">           </w:t>
      </w:r>
    </w:p>
    <w:p w14:paraId="740A2307">
      <w:pPr>
        <w:pStyle w:val="57"/>
        <w:keepNext w:val="0"/>
        <w:keepLines w:val="0"/>
        <w:pageBreakBefore w:val="0"/>
        <w:kinsoku/>
        <w:wordWrap/>
        <w:overflowPunct/>
        <w:topLinePunct w:val="0"/>
        <w:bidi w:val="0"/>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联系地址：广西北海市</w:t>
      </w:r>
      <w:r>
        <w:rPr>
          <w:rFonts w:hint="eastAsia" w:ascii="宋体" w:hAnsi="宋体" w:eastAsia="宋体" w:cs="宋体"/>
          <w:color w:val="auto"/>
          <w:sz w:val="21"/>
          <w:szCs w:val="21"/>
          <w:highlight w:val="none"/>
          <w:lang w:eastAsia="zh-CN"/>
        </w:rPr>
        <w:t>北部湾西路</w:t>
      </w:r>
      <w:r>
        <w:rPr>
          <w:rFonts w:hint="eastAsia" w:ascii="宋体" w:hAnsi="宋体" w:eastAsia="宋体" w:cs="宋体"/>
          <w:color w:val="auto"/>
          <w:sz w:val="21"/>
          <w:szCs w:val="21"/>
          <w:highlight w:val="none"/>
          <w:lang w:val="en-US" w:eastAsia="zh-CN"/>
        </w:rPr>
        <w:t>19号</w:t>
      </w:r>
    </w:p>
    <w:p w14:paraId="52536288">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供应商询问</w:t>
      </w:r>
    </w:p>
    <w:p w14:paraId="20871236">
      <w:pPr>
        <w:keepNext w:val="0"/>
        <w:keepLines w:val="0"/>
        <w:pageBreakBefore w:val="0"/>
        <w:kinsoku/>
        <w:wordWrap/>
        <w:overflowPunct/>
        <w:topLinePunct w:val="0"/>
        <w:autoSpaceDE w:val="0"/>
        <w:autoSpaceDN w:val="0"/>
        <w:bidi w:val="0"/>
        <w:spacing w:line="360" w:lineRule="exact"/>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001EE07">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供应商质疑</w:t>
      </w:r>
    </w:p>
    <w:p w14:paraId="0822F824">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zh-CN"/>
        </w:rPr>
        <w:t>3</w:t>
      </w:r>
      <w:r>
        <w:rPr>
          <w:rFonts w:hint="eastAsia" w:ascii="宋体" w:hAnsi="宋体" w:eastAsia="宋体" w:cs="宋体"/>
          <w:b/>
          <w:color w:val="auto"/>
          <w:sz w:val="21"/>
          <w:szCs w:val="21"/>
          <w:highlight w:val="none"/>
        </w:rPr>
        <w:t>.1质疑提出时效</w:t>
      </w:r>
    </w:p>
    <w:p w14:paraId="1D57C080">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3.1.1提出质疑的供应商应当是参与所质疑项目采购活动的供应商。潜在供应商已依法获取其可质疑的</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的，可以对该文件提出质疑。</w:t>
      </w:r>
    </w:p>
    <w:p w14:paraId="3C27AA04">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3</w:t>
      </w:r>
      <w:r>
        <w:rPr>
          <w:rFonts w:hint="eastAsia" w:ascii="宋体" w:hAnsi="宋体" w:eastAsia="宋体" w:cs="宋体"/>
          <w:color w:val="auto"/>
          <w:sz w:val="21"/>
          <w:szCs w:val="21"/>
          <w:highlight w:val="none"/>
        </w:rPr>
        <w:t>.1.2供应商认为</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、采购过程和成交结果使自己的权益受到损害的，可以在知道或者应知其权益受到损害之日起七个工作日内，以书面形式向采购人或者采购代理机构提出质疑，否则，采购人或者采购代理机构不予受理：</w:t>
      </w:r>
    </w:p>
    <w:p w14:paraId="5AD6AA0F">
      <w:pPr>
        <w:pStyle w:val="10"/>
        <w:keepNext w:val="0"/>
        <w:keepLines w:val="0"/>
        <w:pageBreakBefore w:val="0"/>
        <w:kinsoku/>
        <w:wordWrap/>
        <w:overflowPunct/>
        <w:topLinePunct w:val="0"/>
        <w:bidi w:val="0"/>
        <w:spacing w:line="360" w:lineRule="exact"/>
        <w:ind w:firstLine="380" w:firstLineChars="181"/>
        <w:rPr>
          <w:rFonts w:hint="eastAsia" w:ascii="宋体" w:hAnsi="宋体" w:eastAsia="宋体" w:cs="宋体"/>
          <w:snapToGrid/>
          <w:color w:val="auto"/>
          <w:kern w:val="2"/>
          <w:sz w:val="21"/>
          <w:szCs w:val="21"/>
          <w:highlight w:val="none"/>
        </w:rPr>
      </w:pPr>
      <w:r>
        <w:rPr>
          <w:rFonts w:hint="eastAsia" w:ascii="宋体" w:hAnsi="宋体" w:eastAsia="宋体" w:cs="宋体"/>
          <w:snapToGrid/>
          <w:color w:val="auto"/>
          <w:kern w:val="2"/>
          <w:sz w:val="21"/>
          <w:szCs w:val="21"/>
          <w:highlight w:val="none"/>
        </w:rPr>
        <w:t>3.1.2.1对</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提出质疑的，质疑期限为供应商获得</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之日或者</w:t>
      </w:r>
      <w:r>
        <w:rPr>
          <w:rFonts w:hint="eastAsia" w:hAnsi="宋体" w:cs="宋体"/>
          <w:snapToGrid/>
          <w:color w:val="auto"/>
          <w:kern w:val="2"/>
          <w:sz w:val="21"/>
          <w:szCs w:val="21"/>
          <w:highlight w:val="none"/>
          <w:lang w:eastAsia="zh-CN"/>
        </w:rPr>
        <w:t>磋商文件</w:t>
      </w:r>
      <w:r>
        <w:rPr>
          <w:rFonts w:hint="eastAsia" w:ascii="宋体" w:hAnsi="宋体" w:eastAsia="宋体" w:cs="宋体"/>
          <w:snapToGrid/>
          <w:color w:val="auto"/>
          <w:kern w:val="2"/>
          <w:sz w:val="21"/>
          <w:szCs w:val="21"/>
          <w:highlight w:val="none"/>
        </w:rPr>
        <w:t>公告期限届满之日起计算。</w:t>
      </w:r>
    </w:p>
    <w:p w14:paraId="4087195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3.1.2.2对采购过程提出质疑的，质疑期限为各采购程序环节结束之日起计算。</w:t>
      </w:r>
    </w:p>
    <w:p w14:paraId="7B5AB698">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3.1.2.3对采购结果提出质疑的，质疑期限自采购结果公告期限届满之日起计算。</w:t>
      </w:r>
    </w:p>
    <w:p w14:paraId="1C58FFED">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3.1.2.4对同一采购程序环节的质疑，供应商须一次性提出。</w:t>
      </w:r>
    </w:p>
    <w:p w14:paraId="0E44822B">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3.2质疑答复</w:t>
      </w:r>
    </w:p>
    <w:p w14:paraId="57228B5F">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3.2.1根据采购人与采购代理机构签订采购委托协议的规定，质疑答复责任主体如下：</w:t>
      </w:r>
    </w:p>
    <w:p w14:paraId="70405E0D">
      <w:pPr>
        <w:keepNext w:val="0"/>
        <w:keepLines w:val="0"/>
        <w:pageBreakBefore w:val="0"/>
        <w:widowControl/>
        <w:kinsoku/>
        <w:wordWrap/>
        <w:overflowPunct/>
        <w:topLinePunct w:val="0"/>
        <w:bidi w:val="0"/>
        <w:adjustRightInd/>
        <w:spacing w:line="36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质疑答复责任主体一览表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4429"/>
        <w:gridCol w:w="2987"/>
      </w:tblGrid>
      <w:tr w14:paraId="765E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DA0B10">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质疑内容</w:t>
            </w:r>
          </w:p>
        </w:tc>
        <w:tc>
          <w:tcPr>
            <w:tcW w:w="3059" w:type="dxa"/>
            <w:vAlign w:val="center"/>
          </w:tcPr>
          <w:p w14:paraId="601B306F">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质疑答复责任主体</w:t>
            </w:r>
          </w:p>
        </w:tc>
      </w:tr>
      <w:tr w14:paraId="027F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4F6145E9">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提出质疑</w:t>
            </w:r>
          </w:p>
        </w:tc>
        <w:tc>
          <w:tcPr>
            <w:tcW w:w="4536" w:type="dxa"/>
            <w:vAlign w:val="center"/>
          </w:tcPr>
          <w:p w14:paraId="1EEDA1DC">
            <w:pPr>
              <w:pStyle w:val="15"/>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中特定资格条件、采购需求、评审办法、评审标准提出的质疑</w:t>
            </w:r>
          </w:p>
        </w:tc>
        <w:tc>
          <w:tcPr>
            <w:tcW w:w="3059" w:type="dxa"/>
            <w:vAlign w:val="center"/>
          </w:tcPr>
          <w:p w14:paraId="27DB3FD5">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6C62C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A5C1C6B">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4536" w:type="dxa"/>
            <w:vAlign w:val="center"/>
          </w:tcPr>
          <w:p w14:paraId="62CC12C5">
            <w:pPr>
              <w:pStyle w:val="15"/>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w:t>
            </w:r>
            <w:r>
              <w:rPr>
                <w:rFonts w:hint="eastAsia" w:hAnsi="宋体" w:cs="宋体"/>
                <w:color w:val="auto"/>
                <w:sz w:val="21"/>
                <w:szCs w:val="21"/>
                <w:highlight w:val="none"/>
                <w:lang w:eastAsia="zh-CN"/>
              </w:rPr>
              <w:t>磋商文件</w:t>
            </w:r>
            <w:r>
              <w:rPr>
                <w:rFonts w:hint="eastAsia" w:ascii="宋体" w:hAnsi="宋体" w:eastAsia="宋体" w:cs="宋体"/>
                <w:color w:val="auto"/>
                <w:sz w:val="21"/>
                <w:szCs w:val="21"/>
                <w:highlight w:val="none"/>
              </w:rPr>
              <w:t>中其他内容提出的质疑</w:t>
            </w:r>
          </w:p>
        </w:tc>
        <w:tc>
          <w:tcPr>
            <w:tcW w:w="3059" w:type="dxa"/>
            <w:vAlign w:val="center"/>
          </w:tcPr>
          <w:p w14:paraId="7FCDBAAC">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20266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7DF44788">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对采购过程提出质疑</w:t>
            </w:r>
          </w:p>
        </w:tc>
        <w:tc>
          <w:tcPr>
            <w:tcW w:w="4536" w:type="dxa"/>
            <w:vAlign w:val="center"/>
          </w:tcPr>
          <w:p w14:paraId="207B1B1D">
            <w:pPr>
              <w:pStyle w:val="15"/>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有关现场考察或开启响应文件前答疑会事项提出的质疑</w:t>
            </w:r>
          </w:p>
        </w:tc>
        <w:tc>
          <w:tcPr>
            <w:tcW w:w="3059" w:type="dxa"/>
            <w:vAlign w:val="center"/>
          </w:tcPr>
          <w:p w14:paraId="29A44CD4">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r>
      <w:tr w14:paraId="16E9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3B88B8A">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p>
        </w:tc>
        <w:tc>
          <w:tcPr>
            <w:tcW w:w="4536" w:type="dxa"/>
            <w:vAlign w:val="center"/>
          </w:tcPr>
          <w:p w14:paraId="6F210CE0">
            <w:pPr>
              <w:pStyle w:val="15"/>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对采购过程中其它事项提出的质疑</w:t>
            </w:r>
          </w:p>
        </w:tc>
        <w:tc>
          <w:tcPr>
            <w:tcW w:w="3059" w:type="dxa"/>
            <w:vAlign w:val="center"/>
          </w:tcPr>
          <w:p w14:paraId="78AE9517">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r w14:paraId="6C83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344528B">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对采购结果提出质疑</w:t>
            </w:r>
          </w:p>
        </w:tc>
        <w:tc>
          <w:tcPr>
            <w:tcW w:w="4536" w:type="dxa"/>
            <w:vAlign w:val="center"/>
          </w:tcPr>
          <w:p w14:paraId="0D5E0BD8">
            <w:pPr>
              <w:pStyle w:val="15"/>
              <w:keepNext w:val="0"/>
              <w:keepLines w:val="0"/>
              <w:pageBreakBefore w:val="0"/>
              <w:kinsoku/>
              <w:wordWrap/>
              <w:overflowPunct/>
              <w:topLinePunct w:val="0"/>
              <w:bidi w:val="0"/>
              <w:spacing w:line="36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对采购结果提出的质疑</w:t>
            </w:r>
          </w:p>
        </w:tc>
        <w:tc>
          <w:tcPr>
            <w:tcW w:w="3059" w:type="dxa"/>
            <w:vAlign w:val="center"/>
          </w:tcPr>
          <w:p w14:paraId="6244D109">
            <w:pPr>
              <w:pStyle w:val="15"/>
              <w:keepNext w:val="0"/>
              <w:keepLines w:val="0"/>
              <w:pageBreakBefore w:val="0"/>
              <w:kinsoku/>
              <w:wordWrap/>
              <w:overflowPunct/>
              <w:topLinePunct w:val="0"/>
              <w:bidi w:val="0"/>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r>
    </w:tbl>
    <w:p w14:paraId="09E1FC25">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注：采购人或代理机构应当协助质疑答复责任主体及时答复供应商的书面质疑。</w:t>
      </w:r>
    </w:p>
    <w:p w14:paraId="48D88677">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09E7455">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2.3询问或者质疑事项可能影响采购结果的，采购人应当暂停签订合同，已经签订合同的，应当中止履行合同。</w:t>
      </w:r>
    </w:p>
    <w:p w14:paraId="2F784226">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zh-CN"/>
        </w:rPr>
        <w:t>3.3质疑函</w:t>
      </w:r>
    </w:p>
    <w:p w14:paraId="17B77A4C">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3.3.1供应商提出质疑应当提交质疑函和必要的证明材料。质疑函应当包括下列内容：</w:t>
      </w:r>
    </w:p>
    <w:p w14:paraId="6FACD9C6">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3.3.1.1供应商的姓名或者名称、地址、邮编、联系人及联系电话；</w:t>
      </w:r>
    </w:p>
    <w:p w14:paraId="1973F7A1">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3.3.1.2质疑项目的名称、编号；</w:t>
      </w:r>
    </w:p>
    <w:p w14:paraId="2FDCCC4B">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3.3.1.3具体、明确的质疑事项和与质疑事项相关的请求；</w:t>
      </w:r>
    </w:p>
    <w:p w14:paraId="7E8AEB2F">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3.3.1.4事实依据；</w:t>
      </w:r>
    </w:p>
    <w:p w14:paraId="7C88BB42">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3.3.1.5必要的法律依据；</w:t>
      </w:r>
    </w:p>
    <w:p w14:paraId="7E3A3CAA">
      <w:pPr>
        <w:pStyle w:val="15"/>
        <w:keepNext w:val="0"/>
        <w:keepLines w:val="0"/>
        <w:pageBreakBefore w:val="0"/>
        <w:tabs>
          <w:tab w:val="left" w:pos="426"/>
          <w:tab w:val="left" w:pos="840"/>
        </w:tabs>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3.3.1.6提出质疑的日期。</w:t>
      </w:r>
    </w:p>
    <w:p w14:paraId="78A642D1">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3.3.1.7供应商提交的质疑函需一式三份。供应商为自然人的，应当由本人签字；供应商为法人或者其他组织的，应当由法定代表人、主要负责人，或者其授权代表签字或者盖章，并加盖公章。</w:t>
      </w:r>
    </w:p>
    <w:p w14:paraId="78729425">
      <w:pPr>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4.供应商投诉</w:t>
      </w:r>
    </w:p>
    <w:p w14:paraId="01C65798">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4.1质疑供应商对采购人、采购代理机构的答复不满意或者采购人、采购代理机构未在规定的时间内作出答复的，可以在答复期满后十五个工作日内向同级政府采购监督管理部门提出投诉。</w:t>
      </w:r>
    </w:p>
    <w:p w14:paraId="395D859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4.2供应商投诉的事项不得超出已质疑事项的范围，基于质疑答复内容提出的投诉事项除外。</w:t>
      </w:r>
    </w:p>
    <w:p w14:paraId="44DCE168">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4.3供应商投诉应当有明确的请求和必要的证明材料。</w:t>
      </w:r>
    </w:p>
    <w:p w14:paraId="0C74234B">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4.4以联合体形式参加政府采购活动的，其投诉应当由组成联合体的所有供应商共同提出。</w:t>
      </w:r>
    </w:p>
    <w:p w14:paraId="6E5A8B04">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p>
    <w:p w14:paraId="1015FBC7">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五、磋商文件构成、修改、解释</w:t>
      </w:r>
    </w:p>
    <w:p w14:paraId="5E6D1621">
      <w:pPr>
        <w:keepNext w:val="0"/>
        <w:keepLines w:val="0"/>
        <w:pageBreakBefore w:val="0"/>
        <w:kinsoku/>
        <w:wordWrap/>
        <w:overflowPunct/>
        <w:topLinePunct w:val="0"/>
        <w:autoSpaceDE w:val="0"/>
        <w:autoSpaceDN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1．磋商文件的构成</w:t>
      </w:r>
    </w:p>
    <w:p w14:paraId="4D6D2B65">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磋商文件包括下列文件及附件</w:t>
      </w:r>
    </w:p>
    <w:p w14:paraId="4EEB51A0">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第一部分  邀请供应商</w:t>
      </w:r>
    </w:p>
    <w:p w14:paraId="33C734AA">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第二部分  竞争性磋商流程</w:t>
      </w:r>
    </w:p>
    <w:p w14:paraId="75BDB7BE">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第三部分  供应商须知</w:t>
      </w:r>
    </w:p>
    <w:p w14:paraId="58124E9D">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第四部分  采购需求</w:t>
      </w:r>
    </w:p>
    <w:p w14:paraId="6FD0621A">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第五部分  评审方法及评审标准</w:t>
      </w:r>
    </w:p>
    <w:p w14:paraId="114354E7">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第六部分  拟签订的合同文本</w:t>
      </w:r>
    </w:p>
    <w:p w14:paraId="6D078C6C">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第七部分  应提交的有关格式范例</w:t>
      </w:r>
    </w:p>
    <w:p w14:paraId="59524ED3">
      <w:pPr>
        <w:pStyle w:val="15"/>
        <w:keepNext w:val="0"/>
        <w:keepLines w:val="0"/>
        <w:pageBreakBefore w:val="0"/>
        <w:tabs>
          <w:tab w:val="left" w:pos="840"/>
        </w:tabs>
        <w:kinsoku/>
        <w:wordWrap/>
        <w:overflowPunct/>
        <w:topLinePunct w:val="0"/>
        <w:bidi w:val="0"/>
        <w:spacing w:line="360" w:lineRule="exact"/>
        <w:ind w:left="131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第八部分  </w:t>
      </w:r>
      <w:r>
        <w:rPr>
          <w:rFonts w:hint="eastAsia" w:hAnsi="宋体" w:cs="宋体"/>
          <w:color w:val="auto"/>
          <w:sz w:val="21"/>
          <w:szCs w:val="21"/>
          <w:highlight w:val="none"/>
          <w:lang w:eastAsia="zh-CN"/>
        </w:rPr>
        <w:t>附件</w:t>
      </w:r>
    </w:p>
    <w:p w14:paraId="6D007A7D">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与本项目有关的</w:t>
      </w:r>
      <w:r>
        <w:rPr>
          <w:rFonts w:hint="eastAsia" w:ascii="宋体" w:hAnsi="宋体" w:eastAsia="宋体" w:cs="宋体"/>
          <w:bCs/>
          <w:color w:val="auto"/>
          <w:sz w:val="21"/>
          <w:szCs w:val="21"/>
          <w:highlight w:val="none"/>
        </w:rPr>
        <w:t>澄清或者修改的内容为磋商文件的组成部分</w:t>
      </w:r>
      <w:r>
        <w:rPr>
          <w:rFonts w:hint="eastAsia" w:ascii="宋体" w:hAnsi="宋体" w:eastAsia="宋体" w:cs="宋体"/>
          <w:color w:val="auto"/>
          <w:sz w:val="21"/>
          <w:szCs w:val="21"/>
          <w:highlight w:val="none"/>
        </w:rPr>
        <w:t>。</w:t>
      </w:r>
    </w:p>
    <w:p w14:paraId="1D692486">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磋商文件的澄清、修改</w:t>
      </w:r>
    </w:p>
    <w:p w14:paraId="75B3128E">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2.1已获取磋商文件的潜在供应商，若有问题需要澄清，应于提交首次响应文件截止时间前，以书面形式向采购代理机构提出。</w:t>
      </w:r>
    </w:p>
    <w:p w14:paraId="12A89D61">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w:t>
      </w:r>
    </w:p>
    <w:p w14:paraId="2FCF4B99">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澄清或者修改的内容可能影响响应文件编制的，采购人、采购代理机构应当在提交首次响应文件截止时间至少5日前，通过电子交易平台通知所有获取磋商文件的供应商；不足5日的，采购人、采购代理机构应当顺延提交首次响应文件截止时间。</w:t>
      </w:r>
    </w:p>
    <w:p w14:paraId="47124C0A">
      <w:pPr>
        <w:pStyle w:val="58"/>
        <w:keepNext w:val="0"/>
        <w:keepLines w:val="0"/>
        <w:pageBreakBefore w:val="0"/>
        <w:kinsoku/>
        <w:wordWrap/>
        <w:overflowPunct/>
        <w:topLinePunct w:val="0"/>
        <w:bidi w:val="0"/>
        <w:snapToGrid w:val="0"/>
        <w:spacing w:before="0" w:line="360" w:lineRule="exact"/>
        <w:ind w:firstLine="48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▲响应文件未按磋商文件的澄清、修改的内容编制，又不符合实质性要求的，响应无效。</w:t>
      </w:r>
    </w:p>
    <w:p w14:paraId="13A55611">
      <w:pPr>
        <w:pStyle w:val="4"/>
        <w:keepNext w:val="0"/>
        <w:keepLines w:val="0"/>
        <w:pageBreakBefore w:val="0"/>
        <w:kinsoku/>
        <w:wordWrap/>
        <w:overflowPunct/>
        <w:topLinePunct w:val="0"/>
        <w:bidi w:val="0"/>
        <w:spacing w:line="360" w:lineRule="exact"/>
        <w:jc w:val="center"/>
        <w:rPr>
          <w:rFonts w:hint="eastAsia" w:cs="仿宋_GB2312" w:asciiTheme="minorEastAsia" w:hAnsiTheme="minorEastAsia" w:eastAsiaTheme="minorEastAsia"/>
          <w:b/>
          <w:color w:val="auto"/>
          <w:sz w:val="24"/>
          <w:szCs w:val="24"/>
          <w:highlight w:val="none"/>
        </w:rPr>
      </w:pPr>
    </w:p>
    <w:p w14:paraId="071F1C34">
      <w:pPr>
        <w:pStyle w:val="4"/>
        <w:keepNext w:val="0"/>
        <w:keepLines w:val="0"/>
        <w:pageBreakBefore w:val="0"/>
        <w:kinsoku/>
        <w:wordWrap/>
        <w:overflowPunct/>
        <w:topLinePunct w:val="0"/>
        <w:bidi w:val="0"/>
        <w:spacing w:line="360" w:lineRule="exact"/>
        <w:jc w:val="center"/>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六、响应文件的编制</w:t>
      </w:r>
    </w:p>
    <w:p w14:paraId="49022143">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响应文件的语言</w:t>
      </w:r>
    </w:p>
    <w:p w14:paraId="05E1735F">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响应文件及供应商与采购有关的来往通知、函件和文件均应使用中文。</w:t>
      </w:r>
    </w:p>
    <w:p w14:paraId="39C7DB6B">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响应文件的组成</w:t>
      </w:r>
    </w:p>
    <w:p w14:paraId="40E9E0B4">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响应文件应当包括以下主要内容：（标注“▲”为实质性要求，供应商必须提供，否则磋商无效。相关格式见磋商文件第七部分）：</w:t>
      </w:r>
    </w:p>
    <w:p w14:paraId="4E5897A1">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资格文件</w:t>
      </w:r>
    </w:p>
    <w:p w14:paraId="2D8651B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授权委托书或法定代表人（单位负责人、自然人本人）身份证明</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7312F06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rPr>
        <w:t>符合参加政府采购活动应当具备的一般条件的承诺函</w:t>
      </w:r>
      <w:r>
        <w:rPr>
          <w:rFonts w:hint="eastAsia" w:ascii="宋体" w:hAnsi="宋体" w:eastAsia="宋体" w:cs="宋体"/>
          <w:color w:val="auto"/>
          <w:sz w:val="21"/>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4FAEE4DD">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b w:val="0"/>
          <w:bCs w:val="0"/>
          <w:color w:val="auto"/>
          <w:szCs w:val="21"/>
          <w:highlight w:val="none"/>
          <w:lang w:eastAsia="zh-CN"/>
        </w:rPr>
        <w:t>（</w:t>
      </w:r>
      <w:r>
        <w:rPr>
          <w:rFonts w:hint="eastAsia" w:hAnsi="宋体" w:cs="宋体"/>
          <w:b w:val="0"/>
          <w:bCs w:val="0"/>
          <w:color w:val="auto"/>
          <w:szCs w:val="21"/>
          <w:highlight w:val="none"/>
          <w:lang w:val="en-US" w:eastAsia="zh-CN"/>
        </w:rPr>
        <w:t>3）</w:t>
      </w:r>
      <w:r>
        <w:rPr>
          <w:rFonts w:hint="eastAsia" w:ascii="宋体" w:hAnsi="宋体" w:eastAsia="宋体" w:cs="宋体"/>
          <w:b/>
          <w:bCs/>
          <w:color w:val="auto"/>
          <w:szCs w:val="21"/>
          <w:highlight w:val="none"/>
        </w:rPr>
        <w:t>中小企业声明函</w:t>
      </w:r>
      <w:r>
        <w:rPr>
          <w:rFonts w:hint="eastAsia" w:hAnsi="宋体" w:cs="宋体"/>
          <w:b/>
          <w:bCs/>
          <w:color w:val="auto"/>
          <w:szCs w:val="21"/>
          <w:highlight w:val="none"/>
          <w:lang w:eastAsia="zh-CN"/>
        </w:rPr>
        <w:t>或</w:t>
      </w:r>
      <w:r>
        <w:rPr>
          <w:rFonts w:hint="eastAsia" w:ascii="宋体" w:hAnsi="宋体" w:eastAsia="宋体" w:cs="宋体"/>
          <w:b/>
          <w:bCs/>
          <w:color w:val="auto"/>
          <w:szCs w:val="21"/>
          <w:highlight w:val="none"/>
        </w:rPr>
        <w:t>残疾人福利性单位声明函</w:t>
      </w:r>
      <w:r>
        <w:rPr>
          <w:rFonts w:hint="eastAsia" w:hAnsi="宋体" w:cs="宋体"/>
          <w:b/>
          <w:bCs/>
          <w:color w:val="auto"/>
          <w:szCs w:val="21"/>
          <w:highlight w:val="none"/>
          <w:lang w:eastAsia="zh-CN"/>
        </w:rPr>
        <w:t>或</w:t>
      </w:r>
      <w:r>
        <w:rPr>
          <w:rFonts w:hint="eastAsia" w:ascii="宋体" w:hAnsi="宋体" w:cs="宋体"/>
          <w:b/>
          <w:bCs/>
          <w:color w:val="auto"/>
          <w:szCs w:val="21"/>
          <w:highlight w:val="none"/>
          <w:lang w:eastAsia="zh-CN"/>
        </w:rPr>
        <w:t>监狱企业的证明文件</w:t>
      </w:r>
      <w:r>
        <w:rPr>
          <w:rFonts w:hint="eastAsia" w:hAnsi="宋体" w:cs="宋体"/>
          <w:b/>
          <w:bCs/>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293AC960">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cs="宋体" w:asciiTheme="minorEastAsia" w:hAnsiTheme="minorEastAsia" w:eastAsiaTheme="minorEastAsia"/>
          <w:b/>
          <w:bCs/>
          <w:color w:val="auto"/>
          <w:spacing w:val="0"/>
          <w:sz w:val="21"/>
          <w:szCs w:val="21"/>
          <w:highlight w:val="none"/>
          <w:u w:val="none"/>
          <w:lang w:val="en-US" w:eastAsia="zh-CN"/>
        </w:rPr>
        <w:t>有效的《人力资源服务许可证》</w:t>
      </w:r>
      <w:r>
        <w:rPr>
          <w:rFonts w:hint="eastAsia" w:ascii="宋体" w:hAnsi="宋体" w:cs="宋体"/>
          <w:b/>
          <w:bCs/>
          <w:strike w:val="0"/>
          <w:dstrike w:val="0"/>
          <w:color w:val="auto"/>
          <w:sz w:val="21"/>
          <w:szCs w:val="21"/>
          <w:highlight w:val="none"/>
          <w:lang w:eastAsia="zh-CN"/>
        </w:rPr>
        <w:t>复印件</w:t>
      </w:r>
      <w:r>
        <w:rPr>
          <w:rFonts w:hint="eastAsia" w:hAnsi="宋体" w:cs="宋体"/>
          <w:b/>
          <w:bCs/>
          <w:strike w:val="0"/>
          <w:color w:val="auto"/>
          <w:sz w:val="21"/>
          <w:szCs w:val="21"/>
          <w:highlight w:val="none"/>
          <w:lang w:val="en-US" w:eastAsia="zh-CN"/>
        </w:rPr>
        <w:t>；</w:t>
      </w:r>
      <w:r>
        <w:rPr>
          <w:rFonts w:hint="eastAsia" w:hAnsi="宋体" w:cs="宋体"/>
          <w:b/>
          <w:bCs/>
          <w:color w:val="auto"/>
          <w:sz w:val="21"/>
          <w:szCs w:val="21"/>
          <w:highlight w:val="none"/>
          <w:lang w:val="en-US" w:eastAsia="zh-CN"/>
        </w:rPr>
        <w:t>（必须提供）</w:t>
      </w:r>
    </w:p>
    <w:p w14:paraId="7E054991">
      <w:pPr>
        <w:pStyle w:val="15"/>
        <w:keepNext w:val="0"/>
        <w:keepLines w:val="0"/>
        <w:pageBreakBefore w:val="0"/>
        <w:kinsoku/>
        <w:wordWrap/>
        <w:overflowPunct/>
        <w:topLinePunct w:val="0"/>
        <w:bidi w:val="0"/>
        <w:spacing w:line="360" w:lineRule="exact"/>
        <w:ind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）所有资信文件</w:t>
      </w:r>
      <w:r>
        <w:rPr>
          <w:rFonts w:hint="eastAsia" w:ascii="宋体" w:hAnsi="宋体" w:eastAsia="宋体" w:cs="宋体"/>
          <w:color w:val="auto"/>
          <w:kern w:val="0"/>
          <w:sz w:val="21"/>
          <w:szCs w:val="21"/>
          <w:highlight w:val="none"/>
        </w:rPr>
        <w:t>（如果有）；</w:t>
      </w:r>
    </w:p>
    <w:p w14:paraId="7C164355">
      <w:pPr>
        <w:pStyle w:val="15"/>
        <w:keepNext w:val="0"/>
        <w:keepLines w:val="0"/>
        <w:pageBreakBefore w:val="0"/>
        <w:kinsoku/>
        <w:wordWrap/>
        <w:overflowPunct/>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认为需要提供的</w:t>
      </w:r>
      <w:r>
        <w:rPr>
          <w:rFonts w:hint="eastAsia" w:ascii="宋体" w:hAnsi="宋体" w:eastAsia="宋体" w:cs="宋体"/>
          <w:color w:val="auto"/>
          <w:sz w:val="21"/>
          <w:szCs w:val="21"/>
          <w:highlight w:val="none"/>
          <w:lang w:eastAsia="zh-CN"/>
        </w:rPr>
        <w:t>其它</w:t>
      </w:r>
      <w:r>
        <w:rPr>
          <w:rFonts w:hint="eastAsia" w:ascii="宋体" w:hAnsi="宋体" w:eastAsia="宋体" w:cs="宋体"/>
          <w:color w:val="auto"/>
          <w:sz w:val="21"/>
          <w:szCs w:val="21"/>
          <w:highlight w:val="none"/>
        </w:rPr>
        <w:t>有关资料。</w:t>
      </w:r>
    </w:p>
    <w:p w14:paraId="1EDB3824">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2.</w:t>
      </w:r>
      <w:r>
        <w:rPr>
          <w:rFonts w:hint="eastAsia"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商务技术</w:t>
      </w:r>
      <w:r>
        <w:rPr>
          <w:rFonts w:hint="eastAsia"/>
          <w:b/>
          <w:bCs/>
          <w:color w:val="auto"/>
          <w:highlight w:val="none"/>
          <w:lang w:eastAsia="zh-CN"/>
        </w:rPr>
        <w:t>文件</w:t>
      </w:r>
    </w:p>
    <w:p w14:paraId="0CD4D20D">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hAnsi="宋体" w:cs="宋体"/>
          <w:color w:val="auto"/>
          <w:kern w:val="0"/>
          <w:sz w:val="21"/>
          <w:szCs w:val="21"/>
          <w:highlight w:val="none"/>
          <w:lang w:val="en-US" w:eastAsia="zh-CN"/>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w:t>
      </w:r>
      <w:r>
        <w:rPr>
          <w:rFonts w:hint="eastAsia" w:ascii="宋体" w:hAnsi="宋体" w:eastAsia="宋体" w:cs="宋体"/>
          <w:b/>
          <w:bCs/>
          <w:color w:val="auto"/>
          <w:sz w:val="21"/>
          <w:szCs w:val="21"/>
          <w:highlight w:val="none"/>
        </w:rPr>
        <w:t>响应函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5736DC6F">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2）</w:t>
      </w:r>
      <w:r>
        <w:rPr>
          <w:rFonts w:hint="eastAsia" w:hAnsi="宋体" w:cs="宋体"/>
          <w:b/>
          <w:bCs/>
          <w:color w:val="auto"/>
          <w:sz w:val="21"/>
          <w:szCs w:val="21"/>
          <w:highlight w:val="none"/>
          <w:lang w:val="en-US" w:eastAsia="zh-CN"/>
        </w:rPr>
        <w:t>承诺函；</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3C770195">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color w:val="auto"/>
          <w:highlight w:val="none"/>
          <w:lang w:val="en-US"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b/>
          <w:bCs/>
          <w:color w:val="auto"/>
          <w:kern w:val="0"/>
          <w:sz w:val="21"/>
          <w:szCs w:val="21"/>
          <w:highlight w:val="none"/>
          <w:lang w:val="zh-CN"/>
        </w:rPr>
        <w:t>政府采购供应商廉洁自律承诺书</w:t>
      </w:r>
      <w:r>
        <w:rPr>
          <w:rFonts w:hint="eastAsia" w:ascii="宋体" w:hAnsi="宋体" w:eastAsia="宋体" w:cs="宋体"/>
          <w:color w:val="auto"/>
          <w:kern w:val="0"/>
          <w:sz w:val="21"/>
          <w:szCs w:val="21"/>
          <w:highlight w:val="none"/>
          <w:lang w:val="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3D385834">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color w:val="auto"/>
          <w:szCs w:val="21"/>
          <w:highlight w:val="none"/>
        </w:rPr>
        <w:t>（</w:t>
      </w:r>
      <w:r>
        <w:rPr>
          <w:rFonts w:hint="eastAsia"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b/>
          <w:bCs/>
          <w:color w:val="auto"/>
          <w:szCs w:val="21"/>
          <w:highlight w:val="none"/>
        </w:rPr>
        <w:t>商务</w:t>
      </w:r>
      <w:r>
        <w:rPr>
          <w:rFonts w:hint="eastAsia" w:hAnsi="宋体" w:cs="宋体"/>
          <w:b/>
          <w:bCs/>
          <w:color w:val="auto"/>
          <w:szCs w:val="21"/>
          <w:highlight w:val="none"/>
          <w:lang w:eastAsia="zh-CN"/>
        </w:rPr>
        <w:t>技术</w:t>
      </w:r>
      <w:r>
        <w:rPr>
          <w:rFonts w:hint="eastAsia" w:ascii="宋体" w:hAnsi="宋体" w:cs="宋体"/>
          <w:b/>
          <w:bCs/>
          <w:color w:val="auto"/>
          <w:szCs w:val="21"/>
          <w:highlight w:val="none"/>
        </w:rPr>
        <w:t>服务响应、偏离情况说明表</w:t>
      </w:r>
      <w:r>
        <w:rPr>
          <w:rFonts w:hint="eastAsia" w:ascii="宋体" w:hAnsi="宋体" w:cs="宋体"/>
          <w:color w:val="auto"/>
          <w:szCs w:val="21"/>
          <w:highlight w:val="none"/>
          <w:lang w:eastAsia="zh-CN"/>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本磋商文件第七部分</w:t>
      </w:r>
      <w:r>
        <w:rPr>
          <w:rFonts w:hint="eastAsia" w:ascii="宋体" w:hAnsi="宋体" w:eastAsia="宋体" w:cs="宋体"/>
          <w:b/>
          <w:bCs/>
          <w:color w:val="auto"/>
          <w:szCs w:val="21"/>
          <w:highlight w:val="none"/>
        </w:rPr>
        <w:t>，必须提供）</w:t>
      </w:r>
    </w:p>
    <w:p w14:paraId="2B60D784">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hAnsi="宋体" w:cs="宋体"/>
          <w:b/>
          <w:bCs/>
          <w:color w:val="auto"/>
          <w:szCs w:val="21"/>
          <w:highlight w:val="none"/>
          <w:lang w:val="ru-RU"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zh-CN" w:eastAsia="zh-CN"/>
        </w:rPr>
        <w:t>（</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w:t>
      </w:r>
      <w:r>
        <w:rPr>
          <w:rFonts w:hint="eastAsia" w:ascii="宋体" w:hAnsi="宋体" w:cs="宋体"/>
          <w:b/>
          <w:bCs/>
          <w:color w:val="auto"/>
          <w:szCs w:val="21"/>
          <w:highlight w:val="none"/>
          <w:lang w:val="ru-RU"/>
        </w:rPr>
        <w:t>就业驿站运行管理服务方案</w:t>
      </w:r>
      <w:r>
        <w:rPr>
          <w:rFonts w:hint="eastAsia" w:hAnsi="宋体" w:cs="宋体"/>
          <w:b/>
          <w:bCs/>
          <w:color w:val="auto"/>
          <w:szCs w:val="21"/>
          <w:highlight w:val="none"/>
          <w:lang w:val="ru-RU" w:eastAsia="zh-CN"/>
        </w:rPr>
        <w:t>；（格式自拟，必须提供）</w:t>
      </w:r>
    </w:p>
    <w:p w14:paraId="0603C1FC">
      <w:pPr>
        <w:pStyle w:val="8"/>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eastAsia="宋体"/>
          <w:b w:val="0"/>
          <w:bCs w:val="0"/>
          <w:highlight w:val="none"/>
          <w:lang w:eastAsia="zh-CN"/>
        </w:rPr>
      </w:pPr>
      <w:r>
        <w:rPr>
          <w:rFonts w:hint="eastAsia" w:ascii="宋体" w:hAnsi="宋体" w:cs="宋体"/>
          <w:color w:val="auto"/>
          <w:szCs w:val="21"/>
          <w:highlight w:val="none"/>
        </w:rPr>
        <w:t>▲</w:t>
      </w:r>
      <w:r>
        <w:rPr>
          <w:rFonts w:hint="eastAsia" w:ascii="宋体" w:hAnsi="宋体" w:cs="宋体"/>
          <w:b w:val="0"/>
          <w:bCs w:val="0"/>
          <w:color w:val="auto"/>
          <w:szCs w:val="21"/>
          <w:highlight w:val="none"/>
        </w:rPr>
        <w:t>（</w:t>
      </w:r>
      <w:r>
        <w:rPr>
          <w:rFonts w:hint="eastAsia" w:hAnsi="宋体" w:cs="宋体"/>
          <w:b w:val="0"/>
          <w:bCs w:val="0"/>
          <w:color w:val="auto"/>
          <w:szCs w:val="21"/>
          <w:highlight w:val="none"/>
          <w:lang w:val="en-US" w:eastAsia="zh-CN"/>
        </w:rPr>
        <w:t>6</w:t>
      </w:r>
      <w:r>
        <w:rPr>
          <w:rFonts w:hint="eastAsia" w:ascii="宋体" w:hAnsi="宋体" w:cs="宋体"/>
          <w:b w:val="0"/>
          <w:bCs w:val="0"/>
          <w:color w:val="auto"/>
          <w:szCs w:val="21"/>
          <w:highlight w:val="none"/>
        </w:rPr>
        <w:t>）</w:t>
      </w:r>
      <w:r>
        <w:rPr>
          <w:rFonts w:hint="eastAsia" w:hAnsi="宋体"/>
          <w:b/>
          <w:bCs/>
          <w:color w:val="auto"/>
          <w:highlight w:val="none"/>
        </w:rPr>
        <w:t>突发事件的</w:t>
      </w:r>
      <w:r>
        <w:rPr>
          <w:rFonts w:hint="eastAsia" w:hAnsi="宋体"/>
          <w:b/>
          <w:color w:val="auto"/>
          <w:highlight w:val="none"/>
        </w:rPr>
        <w:t>应急预案</w:t>
      </w:r>
      <w:r>
        <w:rPr>
          <w:rFonts w:hint="eastAsia" w:hAnsi="宋体"/>
          <w:b/>
          <w:color w:val="auto"/>
          <w:highlight w:val="none"/>
          <w:lang w:eastAsia="zh-CN"/>
        </w:rPr>
        <w:t>；</w:t>
      </w:r>
      <w:r>
        <w:rPr>
          <w:rFonts w:hint="eastAsia" w:hAnsi="宋体" w:cs="宋体"/>
          <w:b/>
          <w:bCs/>
          <w:color w:val="auto"/>
          <w:szCs w:val="21"/>
          <w:highlight w:val="none"/>
          <w:lang w:val="ru-RU" w:eastAsia="zh-CN"/>
        </w:rPr>
        <w:t>（格式自拟，必须提供）</w:t>
      </w:r>
    </w:p>
    <w:p w14:paraId="1D135195">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lang w:val="zh-CN" w:eastAsia="zh-CN"/>
        </w:rPr>
        <w:t>（</w:t>
      </w: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lang w:val="zh-CN" w:eastAsia="zh-CN"/>
        </w:rPr>
        <w:t>）</w:t>
      </w:r>
      <w:r>
        <w:rPr>
          <w:rFonts w:hint="eastAsia" w:ascii="宋体" w:hAnsi="宋体" w:eastAsia="宋体" w:cs="宋体"/>
          <w:b/>
          <w:bCs/>
          <w:color w:val="auto"/>
          <w:sz w:val="21"/>
          <w:szCs w:val="21"/>
          <w:highlight w:val="none"/>
          <w:lang w:eastAsia="zh-CN"/>
        </w:rPr>
        <w:t>质量保证措施</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eastAsia="zh-CN"/>
        </w:rPr>
        <w:t>（格式自拟，必须提供）</w:t>
      </w:r>
    </w:p>
    <w:p w14:paraId="6B0A8DA3">
      <w:pPr>
        <w:pStyle w:val="15"/>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cs="宋体"/>
          <w:color w:val="auto"/>
          <w:szCs w:val="21"/>
          <w:highlight w:val="none"/>
        </w:rPr>
        <w:t>▲（</w:t>
      </w:r>
      <w:r>
        <w:rPr>
          <w:rFonts w:hint="eastAsia"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b/>
          <w:bCs/>
          <w:color w:val="auto"/>
          <w:szCs w:val="21"/>
          <w:highlight w:val="none"/>
        </w:rPr>
        <w:t>拟投入本项目人员情况一览表</w:t>
      </w:r>
      <w:r>
        <w:rPr>
          <w:rFonts w:hint="eastAsia" w:ascii="宋体" w:hAnsi="宋体" w:cs="宋体"/>
          <w:color w:val="auto"/>
          <w:szCs w:val="21"/>
          <w:highlight w:val="none"/>
        </w:rPr>
        <w:t>；</w:t>
      </w:r>
      <w:r>
        <w:rPr>
          <w:rFonts w:hint="eastAsia" w:ascii="宋体" w:hAnsi="宋体" w:cs="宋体"/>
          <w:b/>
          <w:bCs/>
          <w:color w:val="auto"/>
          <w:kern w:val="0"/>
          <w:szCs w:val="21"/>
          <w:highlight w:val="none"/>
        </w:rPr>
        <w:t>（</w:t>
      </w:r>
      <w:r>
        <w:rPr>
          <w:rFonts w:hint="eastAsia" w:ascii="宋体" w:hAnsi="宋体" w:cs="宋体"/>
          <w:b/>
          <w:bCs/>
          <w:color w:val="auto"/>
          <w:szCs w:val="21"/>
          <w:highlight w:val="none"/>
        </w:rPr>
        <w:t>格式见</w:t>
      </w:r>
      <w:r>
        <w:rPr>
          <w:rFonts w:hint="eastAsia" w:hAnsi="宋体" w:cs="宋体"/>
          <w:b/>
          <w:bCs/>
          <w:color w:val="auto"/>
          <w:szCs w:val="21"/>
          <w:highlight w:val="none"/>
          <w:lang w:eastAsia="zh-CN"/>
        </w:rPr>
        <w:t>第七部分</w:t>
      </w:r>
      <w:r>
        <w:rPr>
          <w:rFonts w:hint="eastAsia" w:ascii="宋体" w:hAnsi="宋体" w:cs="宋体"/>
          <w:b/>
          <w:bCs/>
          <w:color w:val="auto"/>
          <w:szCs w:val="21"/>
          <w:highlight w:val="none"/>
        </w:rPr>
        <w:t>，</w:t>
      </w:r>
      <w:r>
        <w:rPr>
          <w:rFonts w:hint="eastAsia" w:ascii="宋体" w:hAnsi="宋体" w:cs="宋体"/>
          <w:b/>
          <w:color w:val="auto"/>
          <w:szCs w:val="21"/>
          <w:highlight w:val="none"/>
        </w:rPr>
        <w:t>必须提供）</w:t>
      </w:r>
    </w:p>
    <w:p w14:paraId="3F6873A2">
      <w:pPr>
        <w:pStyle w:val="15"/>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 w:val="21"/>
          <w:szCs w:val="21"/>
          <w:highlight w:val="none"/>
        </w:rPr>
        <w:t>▲</w:t>
      </w:r>
      <w:r>
        <w:rPr>
          <w:rFonts w:hint="eastAsia" w:ascii="宋体" w:hAnsi="宋体" w:cs="宋体"/>
          <w:bCs/>
          <w:color w:val="auto"/>
          <w:kern w:val="0"/>
          <w:szCs w:val="21"/>
          <w:highlight w:val="none"/>
        </w:rPr>
        <w:t>（</w:t>
      </w:r>
      <w:r>
        <w:rPr>
          <w:rFonts w:hint="eastAsia" w:hAnsi="宋体" w:cs="宋体"/>
          <w:bCs/>
          <w:color w:val="auto"/>
          <w:kern w:val="0"/>
          <w:szCs w:val="21"/>
          <w:highlight w:val="none"/>
          <w:lang w:val="en-US" w:eastAsia="zh-CN"/>
        </w:rPr>
        <w:t>9</w:t>
      </w:r>
      <w:r>
        <w:rPr>
          <w:rFonts w:hint="eastAsia" w:ascii="宋体" w:hAnsi="宋体" w:cs="宋体"/>
          <w:color w:val="auto"/>
          <w:szCs w:val="21"/>
          <w:highlight w:val="none"/>
        </w:rPr>
        <w:t>）</w:t>
      </w:r>
      <w:r>
        <w:rPr>
          <w:rFonts w:hint="eastAsia" w:ascii="宋体" w:hAnsi="宋体" w:cs="宋体"/>
          <w:b/>
          <w:bCs/>
          <w:color w:val="auto"/>
          <w:szCs w:val="21"/>
          <w:highlight w:val="none"/>
        </w:rPr>
        <w:t>保密承诺书</w:t>
      </w:r>
      <w:r>
        <w:rPr>
          <w:rFonts w:hint="eastAsia" w:ascii="宋体" w:hAnsi="宋体" w:cs="宋体"/>
          <w:color w:val="auto"/>
          <w:szCs w:val="21"/>
          <w:highlight w:val="none"/>
        </w:rPr>
        <w:t>；</w:t>
      </w:r>
      <w:r>
        <w:rPr>
          <w:rFonts w:hint="eastAsia" w:ascii="宋体" w:hAnsi="宋体" w:eastAsia="宋体" w:cs="宋体"/>
          <w:b/>
          <w:bCs/>
          <w:color w:val="auto"/>
          <w:szCs w:val="21"/>
          <w:highlight w:val="none"/>
        </w:rPr>
        <w:t>（格式见</w:t>
      </w:r>
      <w:r>
        <w:rPr>
          <w:rFonts w:hint="eastAsia" w:hAnsi="宋体" w:cs="宋体"/>
          <w:b/>
          <w:bCs/>
          <w:color w:val="auto"/>
          <w:szCs w:val="21"/>
          <w:highlight w:val="none"/>
          <w:lang w:eastAsia="zh-CN"/>
        </w:rPr>
        <w:t>本磋商文件</w:t>
      </w:r>
      <w:r>
        <w:rPr>
          <w:rFonts w:hint="eastAsia" w:ascii="宋体" w:hAnsi="宋体" w:eastAsia="宋体" w:cs="宋体"/>
          <w:b/>
          <w:bCs/>
          <w:color w:val="auto"/>
          <w:szCs w:val="21"/>
          <w:highlight w:val="none"/>
        </w:rPr>
        <w:t>第</w:t>
      </w:r>
      <w:r>
        <w:rPr>
          <w:rFonts w:hint="eastAsia" w:ascii="宋体" w:hAnsi="宋体" w:cs="宋体"/>
          <w:b/>
          <w:bCs/>
          <w:color w:val="auto"/>
          <w:szCs w:val="21"/>
          <w:highlight w:val="none"/>
          <w:lang w:eastAsia="zh-CN"/>
        </w:rPr>
        <w:t>七</w:t>
      </w:r>
      <w:r>
        <w:rPr>
          <w:rFonts w:hint="eastAsia" w:hAnsi="宋体" w:cs="宋体"/>
          <w:b/>
          <w:bCs/>
          <w:color w:val="auto"/>
          <w:szCs w:val="21"/>
          <w:highlight w:val="none"/>
          <w:lang w:eastAsia="zh-CN"/>
        </w:rPr>
        <w:t>部分</w:t>
      </w:r>
      <w:r>
        <w:rPr>
          <w:rFonts w:hint="eastAsia" w:ascii="宋体" w:hAnsi="宋体" w:eastAsia="宋体" w:cs="宋体"/>
          <w:b/>
          <w:bCs/>
          <w:color w:val="auto"/>
          <w:szCs w:val="21"/>
          <w:highlight w:val="none"/>
        </w:rPr>
        <w:t>，必须提供）</w:t>
      </w:r>
    </w:p>
    <w:p w14:paraId="4EE20E8A">
      <w:pPr>
        <w:pStyle w:val="15"/>
        <w:keepNext w:val="0"/>
        <w:keepLines w:val="0"/>
        <w:pageBreakBefore w:val="0"/>
        <w:widowControl w:val="0"/>
        <w:kinsoku/>
        <w:wordWrap/>
        <w:overflowPunct/>
        <w:topLinePunct w:val="0"/>
        <w:autoSpaceDE/>
        <w:autoSpaceDN/>
        <w:bidi w:val="0"/>
        <w:adjustRightInd/>
        <w:snapToGrid/>
        <w:spacing w:line="34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b/>
          <w:bCs/>
          <w:color w:val="auto"/>
          <w:sz w:val="21"/>
          <w:szCs w:val="21"/>
          <w:highlight w:val="none"/>
        </w:rPr>
        <w:t>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中要求提供的相关资料</w:t>
      </w:r>
      <w:r>
        <w:rPr>
          <w:rFonts w:hint="eastAsia" w:hAnsi="宋体" w:cs="宋体"/>
          <w:b/>
          <w:bCs/>
          <w:color w:val="auto"/>
          <w:sz w:val="21"/>
          <w:szCs w:val="21"/>
          <w:highlight w:val="none"/>
          <w:lang w:eastAsia="zh-CN"/>
        </w:rPr>
        <w:t>；</w:t>
      </w:r>
      <w:r>
        <w:rPr>
          <w:rFonts w:hint="eastAsia" w:ascii="宋体" w:hAnsi="宋体" w:eastAsia="宋体" w:cs="宋体"/>
          <w:b/>
          <w:bCs/>
          <w:color w:val="auto"/>
          <w:sz w:val="21"/>
          <w:szCs w:val="21"/>
          <w:highlight w:val="none"/>
        </w:rPr>
        <w:t>（如本项目第</w:t>
      </w:r>
      <w:r>
        <w:rPr>
          <w:rFonts w:hint="eastAsia" w:ascii="宋体" w:hAnsi="宋体" w:eastAsia="宋体" w:cs="宋体"/>
          <w:b/>
          <w:bCs/>
          <w:color w:val="auto"/>
          <w:sz w:val="21"/>
          <w:szCs w:val="21"/>
          <w:highlight w:val="none"/>
          <w:lang w:eastAsia="zh-CN"/>
        </w:rPr>
        <w:t>四部分</w:t>
      </w:r>
      <w:r>
        <w:rPr>
          <w:rFonts w:hint="eastAsia" w:ascii="宋体" w:hAnsi="宋体" w:eastAsia="宋体" w:cs="宋体"/>
          <w:b/>
          <w:bCs/>
          <w:color w:val="auto"/>
          <w:sz w:val="21"/>
          <w:szCs w:val="21"/>
          <w:highlight w:val="none"/>
        </w:rPr>
        <w:t>中有要求的,</w:t>
      </w:r>
      <w:r>
        <w:rPr>
          <w:rFonts w:hint="eastAsia" w:ascii="宋体" w:hAnsi="宋体" w:eastAsia="宋体" w:cs="宋体"/>
          <w:b/>
          <w:bCs/>
          <w:color w:val="auto"/>
          <w:sz w:val="21"/>
          <w:szCs w:val="21"/>
          <w:highlight w:val="none"/>
          <w:lang w:val="zh-CN"/>
        </w:rPr>
        <w:t>则提供</w:t>
      </w:r>
      <w:r>
        <w:rPr>
          <w:rFonts w:hint="eastAsia" w:ascii="宋体" w:hAnsi="宋体" w:eastAsia="宋体" w:cs="宋体"/>
          <w:b/>
          <w:bCs/>
          <w:color w:val="auto"/>
          <w:sz w:val="21"/>
          <w:szCs w:val="21"/>
          <w:highlight w:val="none"/>
        </w:rPr>
        <w:t>）</w:t>
      </w:r>
    </w:p>
    <w:p w14:paraId="111CECE1">
      <w:pPr>
        <w:pStyle w:val="15"/>
        <w:keepNext w:val="0"/>
        <w:keepLines w:val="0"/>
        <w:pageBreakBefore w:val="0"/>
        <w:widowControl w:val="0"/>
        <w:kinsoku/>
        <w:wordWrap/>
        <w:overflowPunct/>
        <w:topLinePunct w:val="0"/>
        <w:autoSpaceDE/>
        <w:autoSpaceDN/>
        <w:bidi w:val="0"/>
        <w:adjustRightInd/>
        <w:snapToGrid/>
        <w:spacing w:line="340" w:lineRule="exact"/>
        <w:ind w:firstLine="630" w:firstLineChars="300"/>
        <w:textAlignment w:val="auto"/>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响应截止时间近三年以来供应商的主要业绩证明材料</w:t>
      </w:r>
      <w:r>
        <w:rPr>
          <w:rFonts w:hint="eastAsia" w:ascii="宋体" w:hAnsi="宋体" w:eastAsia="宋体" w:cs="宋体"/>
          <w:color w:val="auto"/>
          <w:kern w:val="0"/>
          <w:sz w:val="21"/>
          <w:szCs w:val="21"/>
          <w:highlight w:val="none"/>
          <w:lang w:val="zh-CN"/>
        </w:rPr>
        <w:t xml:space="preserve">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highlight w:val="none"/>
        </w:rPr>
        <w:t>；</w:t>
      </w:r>
    </w:p>
    <w:p w14:paraId="2BF8EE0E">
      <w:pPr>
        <w:pStyle w:val="15"/>
        <w:keepNext w:val="0"/>
        <w:keepLines w:val="0"/>
        <w:pageBreakBefore w:val="0"/>
        <w:widowControl w:val="0"/>
        <w:kinsoku/>
        <w:wordWrap/>
        <w:overflowPunct/>
        <w:topLinePunct w:val="0"/>
        <w:autoSpaceDE/>
        <w:autoSpaceDN/>
        <w:bidi w:val="0"/>
        <w:adjustRightInd/>
        <w:snapToGrid/>
        <w:spacing w:line="340" w:lineRule="exact"/>
        <w:ind w:firstLine="630" w:firstLineChars="300"/>
        <w:textAlignment w:val="auto"/>
        <w:rPr>
          <w:rFonts w:hint="eastAsia"/>
          <w:color w:val="auto"/>
          <w:highlight w:val="none"/>
        </w:rPr>
      </w:pPr>
      <w:r>
        <w:rPr>
          <w:rFonts w:hint="eastAsia" w:hAnsi="宋体" w:cs="宋体"/>
          <w:color w:val="auto"/>
          <w:kern w:val="0"/>
          <w:sz w:val="21"/>
          <w:szCs w:val="21"/>
          <w:highlight w:val="none"/>
          <w:lang w:eastAsia="zh-CN"/>
        </w:rPr>
        <w:t>（</w:t>
      </w:r>
      <w:r>
        <w:rPr>
          <w:rFonts w:hint="eastAsia" w:hAnsi="宋体" w:cs="宋体"/>
          <w:color w:val="auto"/>
          <w:kern w:val="0"/>
          <w:sz w:val="21"/>
          <w:szCs w:val="21"/>
          <w:highlight w:val="none"/>
          <w:lang w:val="en-US" w:eastAsia="zh-CN"/>
        </w:rPr>
        <w:t>12）</w:t>
      </w:r>
      <w:r>
        <w:rPr>
          <w:rFonts w:hint="eastAsia" w:hAnsi="宋体" w:cs="宋体"/>
          <w:color w:val="auto"/>
          <w:sz w:val="21"/>
          <w:szCs w:val="21"/>
          <w:highlight w:val="none"/>
          <w:lang w:eastAsia="zh-CN"/>
        </w:rPr>
        <w:t>供应商</w:t>
      </w:r>
      <w:r>
        <w:rPr>
          <w:rFonts w:hint="eastAsia" w:ascii="宋体" w:hAnsi="宋体" w:eastAsia="宋体" w:cs="宋体"/>
          <w:color w:val="auto"/>
          <w:kern w:val="0"/>
          <w:sz w:val="21"/>
          <w:szCs w:val="21"/>
          <w:highlight w:val="none"/>
          <w:lang w:val="zh-CN"/>
        </w:rPr>
        <w:t>认为</w:t>
      </w:r>
      <w:r>
        <w:rPr>
          <w:rFonts w:hint="eastAsia" w:hAnsi="宋体" w:cs="宋体"/>
          <w:color w:val="auto"/>
          <w:kern w:val="0"/>
          <w:sz w:val="21"/>
          <w:szCs w:val="21"/>
          <w:highlight w:val="none"/>
          <w:lang w:val="zh-CN" w:eastAsia="zh-CN"/>
        </w:rPr>
        <w:t>需要提供</w:t>
      </w:r>
      <w:r>
        <w:rPr>
          <w:rFonts w:hint="eastAsia" w:ascii="宋体" w:hAnsi="宋体" w:eastAsia="宋体" w:cs="宋体"/>
          <w:color w:val="auto"/>
          <w:kern w:val="0"/>
          <w:sz w:val="21"/>
          <w:szCs w:val="21"/>
          <w:highlight w:val="none"/>
          <w:lang w:val="zh-CN"/>
        </w:rPr>
        <w:t>的其他商务</w:t>
      </w:r>
      <w:r>
        <w:rPr>
          <w:rFonts w:hint="eastAsia" w:hAnsi="宋体" w:cs="宋体"/>
          <w:color w:val="auto"/>
          <w:kern w:val="0"/>
          <w:sz w:val="21"/>
          <w:szCs w:val="21"/>
          <w:highlight w:val="none"/>
          <w:lang w:val="zh-CN"/>
        </w:rPr>
        <w:t>技术</w:t>
      </w:r>
      <w:r>
        <w:rPr>
          <w:rFonts w:hint="eastAsia" w:ascii="宋体" w:hAnsi="宋体" w:eastAsia="宋体" w:cs="宋体"/>
          <w:color w:val="auto"/>
          <w:kern w:val="0"/>
          <w:sz w:val="21"/>
          <w:szCs w:val="21"/>
          <w:highlight w:val="none"/>
          <w:lang w:val="zh-CN"/>
        </w:rPr>
        <w:t>文件或说明 (如果有</w:t>
      </w:r>
      <w:r>
        <w:rPr>
          <w:rFonts w:hint="eastAsia" w:hAnsi="宋体" w:cs="宋体"/>
          <w:color w:val="auto"/>
          <w:kern w:val="0"/>
          <w:sz w:val="21"/>
          <w:szCs w:val="21"/>
          <w:highlight w:val="none"/>
          <w:lang w:val="zh-CN"/>
        </w:rPr>
        <w:t>则提供</w:t>
      </w:r>
      <w:r>
        <w:rPr>
          <w:rFonts w:hint="eastAsia" w:ascii="宋体" w:hAnsi="宋体" w:eastAsia="宋体" w:cs="宋体"/>
          <w:color w:val="auto"/>
          <w:kern w:val="0"/>
          <w:sz w:val="21"/>
          <w:szCs w:val="21"/>
          <w:highlight w:val="none"/>
          <w:lang w:val="zh-CN"/>
        </w:rPr>
        <w:t>) ；</w:t>
      </w:r>
    </w:p>
    <w:p w14:paraId="2F907D37">
      <w:pPr>
        <w:pStyle w:val="15"/>
        <w:keepNext w:val="0"/>
        <w:keepLines w:val="0"/>
        <w:pageBreakBefore w:val="0"/>
        <w:kinsoku/>
        <w:wordWrap/>
        <w:overflowPunct/>
        <w:topLinePunct w:val="0"/>
        <w:bidi w:val="0"/>
        <w:spacing w:line="360" w:lineRule="exact"/>
        <w:ind w:firstLine="422" w:firstLineChars="2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w:t>
      </w:r>
      <w:r>
        <w:rPr>
          <w:rFonts w:hint="eastAsia" w:hAnsi="宋体" w:cs="宋体"/>
          <w:b/>
          <w:bCs/>
          <w:color w:val="auto"/>
          <w:sz w:val="21"/>
          <w:szCs w:val="21"/>
          <w:highlight w:val="none"/>
          <w:lang w:val="en-US" w:eastAsia="zh-CN"/>
        </w:rPr>
        <w:t>3报价文件</w:t>
      </w:r>
    </w:p>
    <w:p w14:paraId="70547064">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hAnsi="宋体" w:cs="宋体"/>
          <w:b/>
          <w:bCs/>
          <w:color w:val="auto"/>
          <w:sz w:val="21"/>
          <w:szCs w:val="21"/>
          <w:highlight w:val="none"/>
          <w:lang w:eastAsia="zh-CN"/>
        </w:rPr>
        <w:t>报价表</w:t>
      </w:r>
      <w:r>
        <w:rPr>
          <w:rFonts w:hint="eastAsia" w:ascii="宋体" w:hAnsi="宋体" w:eastAsia="宋体" w:cs="宋体"/>
          <w:b/>
          <w:bCs/>
          <w:color w:val="auto"/>
          <w:sz w:val="21"/>
          <w:szCs w:val="21"/>
          <w:highlight w:val="none"/>
        </w:rPr>
        <w:t>（格式见</w:t>
      </w:r>
      <w:r>
        <w:rPr>
          <w:rFonts w:hint="eastAsia" w:ascii="宋体" w:hAnsi="宋体" w:eastAsia="宋体" w:cs="宋体"/>
          <w:b/>
          <w:bCs/>
          <w:color w:val="auto"/>
          <w:sz w:val="21"/>
          <w:szCs w:val="21"/>
          <w:highlight w:val="none"/>
          <w:lang w:eastAsia="zh-CN"/>
        </w:rPr>
        <w:t>本</w:t>
      </w:r>
      <w:r>
        <w:rPr>
          <w:rFonts w:hint="eastAsia" w:hAnsi="宋体" w:cs="宋体"/>
          <w:b/>
          <w:bCs/>
          <w:color w:val="auto"/>
          <w:szCs w:val="21"/>
          <w:highlight w:val="none"/>
          <w:lang w:eastAsia="zh-CN"/>
        </w:rPr>
        <w:t>磋商文件第七部分</w:t>
      </w:r>
      <w:r>
        <w:rPr>
          <w:rFonts w:hint="eastAsia" w:ascii="宋体" w:hAnsi="宋体" w:eastAsia="宋体" w:cs="宋体"/>
          <w:b/>
          <w:bCs/>
          <w:color w:val="auto"/>
          <w:szCs w:val="21"/>
          <w:highlight w:val="none"/>
        </w:rPr>
        <w:t>，必须提供</w:t>
      </w:r>
      <w:r>
        <w:rPr>
          <w:rFonts w:hint="eastAsia" w:ascii="宋体" w:hAnsi="宋体" w:eastAsia="宋体" w:cs="宋体"/>
          <w:b/>
          <w:bCs/>
          <w:color w:val="auto"/>
          <w:sz w:val="21"/>
          <w:szCs w:val="21"/>
          <w:highlight w:val="none"/>
        </w:rPr>
        <w:t>）</w:t>
      </w:r>
      <w:r>
        <w:rPr>
          <w:rFonts w:hint="eastAsia" w:hAnsi="宋体" w:cs="宋体"/>
          <w:b/>
          <w:bCs/>
          <w:color w:val="auto"/>
          <w:sz w:val="21"/>
          <w:szCs w:val="21"/>
          <w:highlight w:val="none"/>
          <w:lang w:eastAsia="zh-CN"/>
        </w:rPr>
        <w:t>。</w:t>
      </w:r>
    </w:p>
    <w:p w14:paraId="1061ECCE">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5FC55E4C">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①电子响应文件中所须加盖公章部分均采用CA签章。若本磋商文件中有专门标注的某关联点，并要求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在电子投标系统中作出投标响应的，如</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未对关联点进行响应或者在响应文件其它内容进行描述，造成电子评审不能查询的责任由</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自行承担。</w:t>
      </w:r>
    </w:p>
    <w:p w14:paraId="41CA8AFE">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②本磋商文件要求提供的的各种复印件，须加盖</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CA签章，否则其磋商无效。</w:t>
      </w:r>
    </w:p>
    <w:p w14:paraId="25BC7678">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③本磋商文件要求在响应文件中“必须提供”的证明等材料，</w:t>
      </w:r>
      <w:r>
        <w:rPr>
          <w:rFonts w:hint="eastAsia" w:ascii="宋体" w:hAnsi="宋体" w:eastAsia="宋体" w:cs="宋体"/>
          <w:b/>
          <w:bCs w:val="0"/>
          <w:color w:val="auto"/>
          <w:sz w:val="21"/>
          <w:szCs w:val="21"/>
          <w:highlight w:val="none"/>
          <w:lang w:eastAsia="zh-CN"/>
        </w:rPr>
        <w:t>供应商</w:t>
      </w:r>
      <w:r>
        <w:rPr>
          <w:rFonts w:hint="eastAsia" w:ascii="宋体" w:hAnsi="宋体" w:eastAsia="宋体" w:cs="宋体"/>
          <w:b/>
          <w:bCs w:val="0"/>
          <w:color w:val="auto"/>
          <w:sz w:val="21"/>
          <w:szCs w:val="21"/>
          <w:highlight w:val="none"/>
        </w:rPr>
        <w:t>必须全部提供，缺一不可，否则按磋商无效处理。</w:t>
      </w:r>
    </w:p>
    <w:p w14:paraId="1F175D12">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④本磋商文件要求法定代表人（负责人）或委托代理人签名的，可采用</w:t>
      </w:r>
      <w:r>
        <w:rPr>
          <w:rFonts w:hint="eastAsia" w:ascii="宋体" w:hAnsi="宋体" w:eastAsia="宋体" w:cs="宋体"/>
          <w:b/>
          <w:bCs w:val="0"/>
          <w:color w:val="auto"/>
          <w:sz w:val="21"/>
          <w:szCs w:val="21"/>
          <w:highlight w:val="none"/>
          <w:lang w:eastAsia="zh-CN"/>
        </w:rPr>
        <w:t>采购云平台</w:t>
      </w:r>
      <w:r>
        <w:rPr>
          <w:rFonts w:hint="eastAsia" w:ascii="宋体" w:hAnsi="宋体" w:eastAsia="宋体" w:cs="宋体"/>
          <w:b/>
          <w:bCs w:val="0"/>
          <w:color w:val="auto"/>
          <w:sz w:val="21"/>
          <w:szCs w:val="21"/>
          <w:highlight w:val="none"/>
        </w:rPr>
        <w:t>系统中的CA签章，也可由本人签字后扫描或者拍照做成pdf等格式上传，无签字的视为参加磋商采购无效。</w:t>
      </w:r>
    </w:p>
    <w:p w14:paraId="61191839">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响应文件的编制和签署</w:t>
      </w:r>
    </w:p>
    <w:p w14:paraId="47C78B3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3.1各供应商在编制响应文件时请按照磋商文件第七部分规定的格式进行，混乱的编排导致响应文件被误读或磋商小组查找不到有效文件是供应商的风险。</w:t>
      </w:r>
    </w:p>
    <w:p w14:paraId="32F433F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0EE93B3C">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3.3使用“广西政府采购云平台电子交易客户端”需要提前申领CA数字证书，申领流程请自行前往“</w:t>
      </w:r>
      <w:r>
        <w:rPr>
          <w:rFonts w:hint="eastAsia" w:ascii="宋体" w:hAnsi="宋体" w:eastAsia="宋体" w:cs="宋体"/>
          <w:color w:val="auto"/>
          <w:sz w:val="21"/>
          <w:szCs w:val="21"/>
          <w:highlight w:val="none"/>
        </w:rPr>
        <w:t>广西政府采购网（http://zfcg.gxzf.gov.cn/）—办事服务—下载专区</w:t>
      </w:r>
      <w:r>
        <w:rPr>
          <w:rFonts w:hint="eastAsia" w:ascii="宋体" w:hAnsi="宋体" w:eastAsia="宋体" w:cs="宋体"/>
          <w:color w:val="auto"/>
          <w:kern w:val="0"/>
          <w:sz w:val="21"/>
          <w:szCs w:val="21"/>
          <w:highlight w:val="none"/>
          <w:lang w:val="zh-CN"/>
        </w:rPr>
        <w:t>”进行查阅</w:t>
      </w:r>
    </w:p>
    <w:p w14:paraId="083BAB28">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3.4响应文件按照磋商文件第七部分格式要求进行签署、盖章。</w:t>
      </w:r>
      <w:r>
        <w:rPr>
          <w:rFonts w:hint="eastAsia" w:ascii="宋体" w:hAnsi="宋体" w:eastAsia="宋体" w:cs="宋体"/>
          <w:b/>
          <w:color w:val="auto"/>
          <w:sz w:val="21"/>
          <w:szCs w:val="21"/>
          <w:highlight w:val="none"/>
        </w:rPr>
        <w:t>▲供应商的响应文件未按照磋商文件要求签署、盖章的，其响应无效</w:t>
      </w:r>
      <w:r>
        <w:rPr>
          <w:rFonts w:hint="eastAsia" w:ascii="宋体" w:hAnsi="宋体" w:eastAsia="宋体" w:cs="宋体"/>
          <w:color w:val="auto"/>
          <w:sz w:val="21"/>
          <w:szCs w:val="21"/>
          <w:highlight w:val="none"/>
        </w:rPr>
        <w:t>。</w:t>
      </w:r>
    </w:p>
    <w:p w14:paraId="7D919AF1">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3.5为确保网上操作合法、有效和安全，供应商应当在响应截止时间前完成在“广西政府采购云平台”的身份认证，确保在电子交易过程中能够对相关数据电文进行加密和使用电子签名。</w:t>
      </w:r>
    </w:p>
    <w:p w14:paraId="76A3F8BD">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3.6磋商文件对响应文件签署、盖章的要求适用于电子签名、CA签章以及磋商文件明确允许的其他方式。</w:t>
      </w:r>
    </w:p>
    <w:p w14:paraId="79D340DD">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bookmarkStart w:id="30" w:name="_Toc426553657"/>
      <w:r>
        <w:rPr>
          <w:rFonts w:hint="eastAsia" w:cs="仿宋_GB2312" w:asciiTheme="minorEastAsia" w:hAnsiTheme="minorEastAsia" w:eastAsiaTheme="minorEastAsia"/>
          <w:b/>
          <w:color w:val="auto"/>
          <w:sz w:val="24"/>
          <w:szCs w:val="24"/>
          <w:highlight w:val="none"/>
        </w:rPr>
        <w:t>七、响应文件的提交和备份</w:t>
      </w:r>
    </w:p>
    <w:p w14:paraId="3BC616DC">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p>
    <w:p w14:paraId="3841438A">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1.响应文件的提交、补充、修改、撤回</w:t>
      </w:r>
    </w:p>
    <w:p w14:paraId="5AC90B9E">
      <w:pPr>
        <w:pStyle w:val="58"/>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0DDA99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在响应截止时间以后，不能补充、修改响应文件。</w:t>
      </w:r>
    </w:p>
    <w:p w14:paraId="78DFB774">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在提交“最后报价”后，供应商不能退出磋商。</w:t>
      </w:r>
    </w:p>
    <w:p w14:paraId="097A8051">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电子交易平台收到响应文件，将妥善保存并即时向供应商发出确认回执通知。在响应截止时间前，除供应商补充、修改或者撤回响应文件外，任何单位和个人不得解密或提取响应文件。</w:t>
      </w:r>
    </w:p>
    <w:p w14:paraId="1EFE5038">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采购代理机构可以视情况延长提交响应文件的截止时间。在上述情况下，采购代理机构与供应商以前在响应截止期方面的全部权利、责任和义务，将适用于延长至新的响应截止期。</w:t>
      </w:r>
    </w:p>
    <w:p w14:paraId="3738ECC0">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2.备份响应文件</w:t>
      </w:r>
    </w:p>
    <w:p w14:paraId="52B6FE67">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2.1 供应商在电子交易平台传输提交响应文件后，还可以在响应截止时间前直接提交或者以邮政快递方式递交备份响应文件1份，</w:t>
      </w:r>
      <w:r>
        <w:rPr>
          <w:rFonts w:hint="eastAsia" w:ascii="宋体" w:hAnsi="宋体" w:eastAsia="宋体" w:cs="宋体"/>
          <w:b/>
          <w:color w:val="auto"/>
          <w:sz w:val="21"/>
          <w:szCs w:val="21"/>
          <w:highlight w:val="none"/>
        </w:rPr>
        <w:t>但采购人、采购代理机构不强制或变相强制供应商提交备份响应文件。</w:t>
      </w:r>
    </w:p>
    <w:p w14:paraId="7488DCD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2.2 备份响应文件须在“广西政府采购云平台投标客户端”制作生成，并储存在不可修改的</w:t>
      </w:r>
      <w:r>
        <w:rPr>
          <w:rFonts w:hint="eastAsia" w:ascii="宋体" w:hAnsi="宋体" w:eastAsia="宋体" w:cs="宋体"/>
          <w:b/>
          <w:color w:val="auto"/>
          <w:sz w:val="21"/>
          <w:szCs w:val="21"/>
          <w:highlight w:val="none"/>
        </w:rPr>
        <w:t>电子光盘等存储介质</w:t>
      </w:r>
      <w:r>
        <w:rPr>
          <w:rFonts w:hint="eastAsia" w:ascii="宋体" w:hAnsi="宋体" w:eastAsia="宋体" w:cs="宋体"/>
          <w:color w:val="auto"/>
          <w:sz w:val="21"/>
          <w:szCs w:val="21"/>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color w:val="auto"/>
          <w:sz w:val="21"/>
          <w:szCs w:val="21"/>
          <w:highlight w:val="none"/>
        </w:rPr>
        <w:t>▲不符合上述制作、存储、密封规定的备份响应文件将被视为无效或者被拒绝接收。</w:t>
      </w:r>
    </w:p>
    <w:p w14:paraId="050649B6">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07F24C4B">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w:t>
      </w:r>
    </w:p>
    <w:p w14:paraId="48E49DEA">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 ▲供应商仅提交备份响应文件，未在电子交易平台传输提交响应文件的，响应无效。</w:t>
      </w:r>
    </w:p>
    <w:p w14:paraId="11210358">
      <w:pPr>
        <w:keepNext w:val="0"/>
        <w:keepLines w:val="0"/>
        <w:pageBreakBefore w:val="0"/>
        <w:kinsoku/>
        <w:wordWrap/>
        <w:overflowPunct/>
        <w:topLinePunct w:val="0"/>
        <w:bidi w:val="0"/>
        <w:spacing w:line="360" w:lineRule="exact"/>
        <w:rPr>
          <w:rFonts w:hint="eastAsia" w:ascii="宋体" w:hAnsi="宋体" w:eastAsia="宋体" w:cs="宋体"/>
          <w:snapToGrid w:val="0"/>
          <w:color w:val="auto"/>
          <w:kern w:val="28"/>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snapToGrid w:val="0"/>
          <w:color w:val="auto"/>
          <w:kern w:val="28"/>
          <w:sz w:val="21"/>
          <w:szCs w:val="21"/>
          <w:highlight w:val="none"/>
        </w:rPr>
        <w:t>磋商保证金</w:t>
      </w:r>
      <w:r>
        <w:rPr>
          <w:rFonts w:hint="eastAsia" w:ascii="宋体" w:hAnsi="宋体" w:cs="宋体"/>
          <w:b/>
          <w:snapToGrid w:val="0"/>
          <w:color w:val="auto"/>
          <w:kern w:val="28"/>
          <w:sz w:val="21"/>
          <w:szCs w:val="21"/>
          <w:highlight w:val="none"/>
          <w:lang w:val="en-US" w:eastAsia="zh-CN"/>
        </w:rPr>
        <w:t>:不收取</w:t>
      </w:r>
      <w:r>
        <w:rPr>
          <w:rFonts w:hint="eastAsia" w:ascii="宋体" w:hAnsi="宋体" w:cs="宋体"/>
          <w:snapToGrid w:val="0"/>
          <w:color w:val="auto"/>
          <w:kern w:val="28"/>
          <w:sz w:val="21"/>
          <w:szCs w:val="21"/>
          <w:highlight w:val="none"/>
          <w:lang w:eastAsia="zh-CN"/>
        </w:rPr>
        <w:t>。</w:t>
      </w:r>
    </w:p>
    <w:p w14:paraId="5153FEDF">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八、开启响应文件与信用信息查询</w:t>
      </w:r>
    </w:p>
    <w:p w14:paraId="337C2745">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开启响应文件</w:t>
      </w:r>
    </w:p>
    <w:p w14:paraId="02C8AD8E">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采购代理机构按照磋商文件规定的时间通过电子交易平台组织响应文件开启，所有供应商均应当准时在线参加。</w:t>
      </w:r>
      <w:r>
        <w:rPr>
          <w:rFonts w:hint="eastAsia" w:ascii="宋体" w:hAnsi="宋体" w:eastAsia="宋体" w:cs="宋体"/>
          <w:b/>
          <w:color w:val="auto"/>
          <w:sz w:val="21"/>
          <w:szCs w:val="21"/>
          <w:highlight w:val="none"/>
        </w:rPr>
        <w:t>供应商数量不符合规定的，不得开启响应文件。</w:t>
      </w:r>
    </w:p>
    <w:p w14:paraId="7A431D3B">
      <w:pPr>
        <w:pStyle w:val="15"/>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708919B4">
      <w:pPr>
        <w:pStyle w:val="15"/>
        <w:keepNext w:val="0"/>
        <w:keepLines w:val="0"/>
        <w:pageBreakBefore w:val="0"/>
        <w:kinsoku/>
        <w:wordWrap/>
        <w:overflowPunct/>
        <w:topLinePunct w:val="0"/>
        <w:bidi w:val="0"/>
        <w:spacing w:line="36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1.3响应文件未在规定时间内成功解密的供应商，如提交了备份响应文件的，以备份响应文件作为依据，否则视为响应文件撤回。响应文件解密成功的供应商，其备份响应文件自动失效。</w:t>
      </w:r>
    </w:p>
    <w:p w14:paraId="2F108BE3">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2.信用信息查询</w:t>
      </w:r>
    </w:p>
    <w:p w14:paraId="3ACF1550">
      <w:pPr>
        <w:pStyle w:val="58"/>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2.1信用信息查询渠道及截止时间：采购人或采购代理机构将通过“信用中国”网站(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"http://www.creditchina.gov.cn" </w:instrText>
      </w:r>
      <w:r>
        <w:rPr>
          <w:rFonts w:hint="eastAsia" w:ascii="宋体" w:hAnsi="宋体" w:eastAsia="宋体" w:cs="宋体"/>
          <w:color w:val="auto"/>
          <w:sz w:val="21"/>
          <w:szCs w:val="21"/>
          <w:highlight w:val="none"/>
        </w:rPr>
        <w:fldChar w:fldCharType="separate"/>
      </w:r>
      <w:r>
        <w:rPr>
          <w:rStyle w:val="32"/>
          <w:rFonts w:hint="eastAsia" w:ascii="宋体" w:hAnsi="宋体" w:eastAsia="宋体" w:cs="宋体"/>
          <w:snapToGrid/>
          <w:color w:val="auto"/>
          <w:sz w:val="21"/>
          <w:szCs w:val="21"/>
          <w:highlight w:val="none"/>
        </w:rPr>
        <w:t>www.creditchina.gov.cn</w:t>
      </w:r>
      <w:r>
        <w:rPr>
          <w:rStyle w:val="32"/>
          <w:rFonts w:hint="eastAsia" w:ascii="宋体" w:hAnsi="宋体" w:eastAsia="宋体" w:cs="宋体"/>
          <w:snapToGrid/>
          <w:color w:val="auto"/>
          <w:sz w:val="21"/>
          <w:szCs w:val="21"/>
          <w:highlight w:val="none"/>
        </w:rPr>
        <w:fldChar w:fldCharType="end"/>
      </w:r>
      <w:r>
        <w:rPr>
          <w:rFonts w:hint="eastAsia" w:ascii="宋体" w:hAnsi="宋体" w:eastAsia="宋体" w:cs="宋体"/>
          <w:color w:val="auto"/>
          <w:kern w:val="0"/>
          <w:sz w:val="21"/>
          <w:szCs w:val="21"/>
          <w:highlight w:val="none"/>
        </w:rPr>
        <w:t>)、中国政府采购网(www.ccgp.gov.cn)渠道查询供应商响应截止时间前的信用记录。</w:t>
      </w:r>
    </w:p>
    <w:p w14:paraId="2863CEEF">
      <w:pPr>
        <w:pStyle w:val="58"/>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2.2信用信息查询记录和证据留存的具体方式：现场查询的供应商的信用记录、查询结果经确认后存档。</w:t>
      </w:r>
    </w:p>
    <w:p w14:paraId="7630DFF6">
      <w:pPr>
        <w:pStyle w:val="58"/>
        <w:keepNext w:val="0"/>
        <w:keepLines w:val="0"/>
        <w:pageBreakBefore w:val="0"/>
        <w:widowControl w:val="0"/>
        <w:kinsoku/>
        <w:wordWrap w:val="0"/>
        <w:overflowPunct/>
        <w:topLinePunct/>
        <w:autoSpaceDE/>
        <w:autoSpaceDN/>
        <w:bidi w:val="0"/>
        <w:adjustRightInd w:val="0"/>
        <w:snapToGrid/>
        <w:spacing w:before="0" w:line="360" w:lineRule="exact"/>
        <w:ind w:firstLine="48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2.3信用信息的使用规则：经查询列入失信被执行人名单、</w:t>
      </w:r>
      <w:r>
        <w:rPr>
          <w:rFonts w:hint="eastAsia" w:ascii="宋体" w:hAnsi="宋体" w:cs="宋体"/>
          <w:color w:val="auto"/>
          <w:kern w:val="0"/>
          <w:sz w:val="21"/>
          <w:szCs w:val="21"/>
          <w:highlight w:val="none"/>
          <w:lang w:eastAsia="zh-CN"/>
        </w:rPr>
        <w:t>重大税收违法失信主体</w:t>
      </w:r>
      <w:r>
        <w:rPr>
          <w:rFonts w:hint="eastAsia" w:ascii="宋体" w:hAnsi="宋体" w:eastAsia="宋体" w:cs="宋体"/>
          <w:color w:val="auto"/>
          <w:kern w:val="0"/>
          <w:sz w:val="21"/>
          <w:szCs w:val="21"/>
          <w:highlight w:val="none"/>
        </w:rPr>
        <w:t>、政府采购严重违法失信行为记录名单的供应商将被拒绝参与政府采购活动。</w:t>
      </w:r>
    </w:p>
    <w:p w14:paraId="6F09107B">
      <w:pPr>
        <w:pStyle w:val="58"/>
        <w:keepNext w:val="0"/>
        <w:keepLines w:val="0"/>
        <w:pageBreakBefore w:val="0"/>
        <w:kinsoku/>
        <w:wordWrap/>
        <w:overflowPunct/>
        <w:topLinePunct w:val="0"/>
        <w:bidi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2A432CD">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lang w:eastAsia="zh-CN"/>
        </w:rPr>
        <w:t>九</w:t>
      </w:r>
      <w:r>
        <w:rPr>
          <w:rFonts w:hint="eastAsia" w:cs="仿宋_GB2312" w:asciiTheme="minorEastAsia" w:hAnsiTheme="minorEastAsia" w:eastAsiaTheme="minorEastAsia"/>
          <w:b/>
          <w:color w:val="auto"/>
          <w:sz w:val="24"/>
          <w:szCs w:val="24"/>
          <w:highlight w:val="none"/>
        </w:rPr>
        <w:t>、评审</w:t>
      </w:r>
    </w:p>
    <w:p w14:paraId="45CE0AE1">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评审方法：</w:t>
      </w:r>
      <w:r>
        <w:rPr>
          <w:rFonts w:hint="eastAsia" w:ascii="宋体" w:hAnsi="宋体" w:eastAsia="宋体" w:cs="宋体"/>
          <w:color w:val="auto"/>
          <w:sz w:val="21"/>
          <w:szCs w:val="21"/>
          <w:highlight w:val="none"/>
        </w:rPr>
        <w:t>综合评分法。</w:t>
      </w:r>
    </w:p>
    <w:p w14:paraId="7EE000D9">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价格分计算方法：</w:t>
      </w:r>
      <w:r>
        <w:rPr>
          <w:rFonts w:hint="eastAsia" w:ascii="宋体" w:hAnsi="宋体" w:eastAsia="宋体" w:cs="宋体"/>
          <w:color w:val="auto"/>
          <w:sz w:val="21"/>
          <w:szCs w:val="21"/>
          <w:highlight w:val="none"/>
        </w:rPr>
        <w:t>低价优先法。</w:t>
      </w:r>
    </w:p>
    <w:p w14:paraId="595FF5F3">
      <w:pPr>
        <w:pStyle w:val="58"/>
        <w:keepNext w:val="0"/>
        <w:keepLines w:val="0"/>
        <w:pageBreakBefore w:val="0"/>
        <w:kinsoku/>
        <w:wordWrap/>
        <w:overflowPunct/>
        <w:topLinePunct w:val="0"/>
        <w:bidi w:val="0"/>
        <w:spacing w:before="0" w:line="36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3. 评审要求：</w:t>
      </w:r>
      <w:r>
        <w:rPr>
          <w:rFonts w:hint="eastAsia" w:ascii="宋体" w:hAnsi="宋体" w:eastAsia="宋体" w:cs="宋体"/>
          <w:color w:val="auto"/>
          <w:sz w:val="21"/>
          <w:szCs w:val="21"/>
          <w:highlight w:val="none"/>
        </w:rPr>
        <w:t>详见磋商文件第五部分“评审方法及评审标准”。</w:t>
      </w:r>
    </w:p>
    <w:p w14:paraId="603A6419">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p>
    <w:p w14:paraId="4E7E8C34">
      <w:pPr>
        <w:keepNext w:val="0"/>
        <w:keepLines w:val="0"/>
        <w:pageBreakBefore w:val="0"/>
        <w:kinsoku/>
        <w:wordWrap/>
        <w:overflowPunct/>
        <w:topLinePunct w:val="0"/>
        <w:bidi w:val="0"/>
        <w:adjustRightInd/>
        <w:spacing w:line="360" w:lineRule="exact"/>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十、成交</w:t>
      </w:r>
    </w:p>
    <w:p w14:paraId="71800245">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推荐成交候选供应商</w:t>
      </w:r>
    </w:p>
    <w:p w14:paraId="796D29B8">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005E8DE9">
      <w:pPr>
        <w:pStyle w:val="15"/>
        <w:keepNext w:val="0"/>
        <w:keepLines w:val="0"/>
        <w:pageBreakBefore w:val="0"/>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确定成交供应商</w:t>
      </w:r>
    </w:p>
    <w:p w14:paraId="7130E22F">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政府采购项目实行全流程电子化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为进一步提升采购结果确定效率，采购代理机构应当依法及时将评审报告送交采购人。采购人应当自收到评审报告之日起</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个工作日内确定成交供应商。成交通知书和成交结果公告应当在规定时间内同时发出。</w:t>
      </w:r>
    </w:p>
    <w:p w14:paraId="1A2E0461">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3．成交通知及成交结果公告</w:t>
      </w:r>
    </w:p>
    <w:p w14:paraId="1DA9ECD6">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3.1自成交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确定之日起2个工作日内，采购代理机构向成交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发出成交通知书，同时编制发布采购成交结果公告。</w:t>
      </w:r>
    </w:p>
    <w:p w14:paraId="386451F0">
      <w:pPr>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3.2成交结果公告内容包括采购人及其委托的采购代理机构的名称、地址、联系方式，项目名称和项目编号，成交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名称、地址和成交金额，主要成交标的的名称、规格型号、数量、单价、服务要求，成交公告期限以及评审专家名单、成交供应商评审总得分及排名。</w:t>
      </w:r>
    </w:p>
    <w:p w14:paraId="1C3161E3">
      <w:pPr>
        <w:keepNext w:val="0"/>
        <w:keepLines w:val="0"/>
        <w:pageBreakBefore w:val="0"/>
        <w:kinsoku/>
        <w:wordWrap/>
        <w:overflowPunct/>
        <w:topLinePunct w:val="0"/>
        <w:bidi w:val="0"/>
        <w:spacing w:line="36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3.3公告期限为1个工作日。</w:t>
      </w:r>
    </w:p>
    <w:p w14:paraId="35D6F388">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一</w:t>
      </w:r>
      <w:r>
        <w:rPr>
          <w:rFonts w:hint="eastAsia" w:cs="仿宋_GB2312" w:asciiTheme="minorEastAsia" w:hAnsiTheme="minorEastAsia" w:eastAsiaTheme="minorEastAsia"/>
          <w:b/>
          <w:color w:val="auto"/>
          <w:sz w:val="24"/>
          <w:szCs w:val="24"/>
          <w:highlight w:val="none"/>
        </w:rPr>
        <w:t>、合同</w:t>
      </w:r>
    </w:p>
    <w:p w14:paraId="2E1F7749">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1.合同主要条款：</w:t>
      </w:r>
      <w:r>
        <w:rPr>
          <w:rFonts w:hint="eastAsia" w:ascii="宋体" w:hAnsi="宋体" w:eastAsia="宋体" w:cs="宋体"/>
          <w:color w:val="auto"/>
          <w:sz w:val="21"/>
          <w:szCs w:val="21"/>
          <w:highlight w:val="none"/>
        </w:rPr>
        <w:t>详见“第六部分拟签订的合同文本”。</w:t>
      </w:r>
    </w:p>
    <w:p w14:paraId="1E1A5755">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2.合同的签订</w:t>
      </w:r>
    </w:p>
    <w:p w14:paraId="21FBF838">
      <w:pPr>
        <w:keepNext w:val="0"/>
        <w:keepLines w:val="0"/>
        <w:pageBreakBefore w:val="0"/>
        <w:widowControl/>
        <w:shd w:val="clear" w:color="auto" w:fill="FFFFFF"/>
        <w:kinsoku/>
        <w:wordWrap/>
        <w:overflowPunct/>
        <w:topLinePunct w:val="0"/>
        <w:bidi w:val="0"/>
        <w:spacing w:line="360" w:lineRule="exact"/>
        <w:ind w:firstLine="48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2.1</w:t>
      </w:r>
      <w:bookmarkStart w:id="31" w:name="OLE_LINK4"/>
      <w:r>
        <w:rPr>
          <w:rFonts w:hint="eastAsia" w:ascii="宋体" w:hAnsi="宋体" w:eastAsia="宋体" w:cs="宋体"/>
          <w:color w:val="auto"/>
          <w:kern w:val="0"/>
          <w:sz w:val="21"/>
          <w:szCs w:val="21"/>
          <w:highlight w:val="none"/>
        </w:rPr>
        <w:t>采购人与成交供应商应当自成交通知书发出之日起</w:t>
      </w:r>
      <w:r>
        <w:rPr>
          <w:rFonts w:hint="eastAsia" w:ascii="宋体" w:hAnsi="宋体" w:cs="宋体"/>
          <w:color w:val="auto"/>
          <w:kern w:val="0"/>
          <w:sz w:val="21"/>
          <w:szCs w:val="21"/>
          <w:highlight w:val="none"/>
          <w:u w:val="single"/>
          <w:lang w:val="en-US" w:eastAsia="zh-CN"/>
        </w:rPr>
        <w:t xml:space="preserve"> 25</w:t>
      </w:r>
      <w:r>
        <w:rPr>
          <w:rFonts w:hint="eastAsia" w:ascii="宋体" w:hAnsi="宋体" w:cs="宋体"/>
          <w:color w:val="auto"/>
          <w:kern w:val="0"/>
          <w:sz w:val="21"/>
          <w:szCs w:val="21"/>
          <w:highlight w:val="none"/>
          <w:u w:val="none"/>
          <w:lang w:val="en-US" w:eastAsia="zh-CN"/>
        </w:rPr>
        <w:t>个</w:t>
      </w:r>
      <w:r>
        <w:rPr>
          <w:rFonts w:hint="eastAsia" w:ascii="宋体" w:hAnsi="宋体" w:cs="宋体"/>
          <w:color w:val="auto"/>
          <w:kern w:val="0"/>
          <w:sz w:val="21"/>
          <w:szCs w:val="21"/>
          <w:highlight w:val="none"/>
          <w:u w:val="none"/>
          <w:lang w:eastAsia="zh-CN"/>
        </w:rPr>
        <w:t>日历日</w:t>
      </w:r>
      <w:r>
        <w:rPr>
          <w:rFonts w:hint="eastAsia" w:ascii="宋体" w:hAnsi="宋体" w:eastAsia="宋体" w:cs="宋体"/>
          <w:color w:val="auto"/>
          <w:kern w:val="0"/>
          <w:sz w:val="21"/>
          <w:szCs w:val="21"/>
          <w:highlight w:val="none"/>
        </w:rPr>
        <w:t>内</w:t>
      </w:r>
      <w:bookmarkEnd w:id="31"/>
      <w:r>
        <w:rPr>
          <w:rFonts w:hint="eastAsia" w:ascii="宋体" w:hAnsi="宋体" w:eastAsia="宋体" w:cs="宋体"/>
          <w:color w:val="auto"/>
          <w:kern w:val="0"/>
          <w:sz w:val="21"/>
          <w:szCs w:val="21"/>
          <w:highlight w:val="none"/>
        </w:rPr>
        <w:t>，按照</w:t>
      </w:r>
      <w:r>
        <w:rPr>
          <w:rFonts w:hint="eastAsia" w:ascii="宋体" w:hAnsi="宋体" w:cs="宋体"/>
          <w:color w:val="auto"/>
          <w:kern w:val="0"/>
          <w:sz w:val="21"/>
          <w:szCs w:val="21"/>
          <w:highlight w:val="none"/>
          <w:lang w:eastAsia="zh-CN"/>
        </w:rPr>
        <w:t>磋商</w:t>
      </w:r>
      <w:r>
        <w:rPr>
          <w:rFonts w:hint="eastAsia" w:ascii="宋体" w:hAnsi="宋体" w:eastAsia="宋体" w:cs="宋体"/>
          <w:color w:val="auto"/>
          <w:kern w:val="0"/>
          <w:sz w:val="21"/>
          <w:szCs w:val="21"/>
          <w:highlight w:val="none"/>
        </w:rPr>
        <w:t>文件确定的事项签订政府采购合同，采购人因不可抗力原因延迟签订合同的，应当自不可抗力事由消除之日起</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u w:val="single"/>
        </w:rPr>
        <w:t>5</w:t>
      </w:r>
      <w:r>
        <w:rPr>
          <w:rFonts w:hint="eastAsia" w:ascii="宋体" w:hAnsi="宋体" w:cs="宋体"/>
          <w:color w:val="auto"/>
          <w:kern w:val="0"/>
          <w:sz w:val="21"/>
          <w:szCs w:val="21"/>
          <w:highlight w:val="none"/>
          <w:u w:val="single"/>
          <w:lang w:val="en-US" w:eastAsia="zh-CN"/>
        </w:rPr>
        <w:t xml:space="preserve"> </w:t>
      </w:r>
      <w:r>
        <w:rPr>
          <w:rFonts w:hint="eastAsia" w:ascii="宋体" w:hAnsi="宋体" w:eastAsia="宋体" w:cs="宋体"/>
          <w:color w:val="auto"/>
          <w:kern w:val="0"/>
          <w:sz w:val="21"/>
          <w:szCs w:val="21"/>
          <w:highlight w:val="none"/>
        </w:rPr>
        <w:t>个工作日内完成合同签订事宜。鼓励采购人通过完善内部流程进一步缩短合同签订期限。</w:t>
      </w:r>
    </w:p>
    <w:p w14:paraId="6147B21A">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2.2成交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按规定的日期、时间、地点，由法定代表人或其授权代表与采购人代表签订合同。如成交</w:t>
      </w:r>
      <w:r>
        <w:rPr>
          <w:rFonts w:hint="eastAsia" w:ascii="宋体" w:hAnsi="宋体" w:cs="宋体"/>
          <w:color w:val="auto"/>
          <w:kern w:val="0"/>
          <w:sz w:val="21"/>
          <w:szCs w:val="21"/>
          <w:highlight w:val="none"/>
          <w:lang w:val="zh-CN"/>
        </w:rPr>
        <w:t>供应商</w:t>
      </w:r>
      <w:r>
        <w:rPr>
          <w:rFonts w:hint="eastAsia" w:ascii="宋体" w:hAnsi="宋体" w:eastAsia="宋体" w:cs="宋体"/>
          <w:color w:val="auto"/>
          <w:kern w:val="0"/>
          <w:sz w:val="21"/>
          <w:szCs w:val="21"/>
          <w:highlight w:val="none"/>
          <w:lang w:val="zh-CN"/>
        </w:rPr>
        <w:t>为联合体的，由联合体成员各方法定代表人或其授权代表与采购人代表签订合同。</w:t>
      </w:r>
    </w:p>
    <w:p w14:paraId="15FDAE2E">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BB170ED">
      <w:pPr>
        <w:keepNext w:val="0"/>
        <w:keepLines w:val="0"/>
        <w:pageBreakBefore w:val="0"/>
        <w:kinsoku/>
        <w:wordWrap/>
        <w:overflowPunct/>
        <w:topLinePunct w:val="0"/>
        <w:bidi w:val="0"/>
        <w:spacing w:line="360" w:lineRule="exact"/>
        <w:ind w:firstLine="407" w:firstLineChars="19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0852DC8D">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2.5如签订合同并生效后，供应商无故拒绝或延期，除按照合同条款处理外，列入不良行为记录一次，并给予通报。</w:t>
      </w:r>
    </w:p>
    <w:p w14:paraId="2B4A344B">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2.6采购合同由采购人与成交供应商根据磋商文件、响应文件等内容</w:t>
      </w:r>
      <w:r>
        <w:rPr>
          <w:rFonts w:hint="eastAsia" w:ascii="宋体" w:hAnsi="宋体" w:cs="宋体"/>
          <w:color w:val="auto"/>
          <w:sz w:val="21"/>
          <w:szCs w:val="21"/>
          <w:highlight w:val="none"/>
          <w:lang w:eastAsia="zh-CN"/>
        </w:rPr>
        <w:t>线下或</w:t>
      </w:r>
      <w:r>
        <w:rPr>
          <w:rFonts w:hint="eastAsia" w:ascii="宋体" w:hAnsi="宋体" w:eastAsia="宋体" w:cs="宋体"/>
          <w:color w:val="auto"/>
          <w:sz w:val="21"/>
          <w:szCs w:val="21"/>
          <w:highlight w:val="none"/>
        </w:rPr>
        <w:t>通过政府采购电子交易平台在线签订，自动备案。</w:t>
      </w:r>
    </w:p>
    <w:p w14:paraId="764678CE">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成交供应商须在合同签订生效之日起1个工作日内，将政府采购合同扫描件发送到采购代理机构邮箱，并</w:t>
      </w:r>
      <w:r>
        <w:rPr>
          <w:rFonts w:hint="eastAsia" w:ascii="宋体" w:hAnsi="宋体" w:eastAsia="宋体" w:cs="宋体"/>
          <w:color w:val="auto"/>
          <w:sz w:val="21"/>
          <w:szCs w:val="21"/>
          <w:highlight w:val="none"/>
          <w:lang w:eastAsia="zh-CN"/>
        </w:rPr>
        <w:t>在</w:t>
      </w:r>
      <w:r>
        <w:rPr>
          <w:rFonts w:hint="eastAsia" w:ascii="宋体" w:hAnsi="宋体" w:eastAsia="宋体" w:cs="宋体"/>
          <w:color w:val="auto"/>
          <w:sz w:val="21"/>
          <w:szCs w:val="21"/>
          <w:highlight w:val="none"/>
          <w:lang w:val="en-US" w:eastAsia="zh-CN"/>
        </w:rPr>
        <w:t>3个工作日内</w:t>
      </w:r>
      <w:r>
        <w:rPr>
          <w:rFonts w:hint="eastAsia" w:ascii="宋体" w:hAnsi="宋体" w:eastAsia="宋体" w:cs="宋体"/>
          <w:color w:val="auto"/>
          <w:sz w:val="21"/>
          <w:szCs w:val="21"/>
          <w:highlight w:val="none"/>
        </w:rPr>
        <w:t>将政府采购合同原件2份送达到采购代理机构。</w:t>
      </w:r>
    </w:p>
    <w:p w14:paraId="055ABD63">
      <w:pPr>
        <w:pStyle w:val="58"/>
        <w:keepNext w:val="0"/>
        <w:keepLines w:val="0"/>
        <w:pageBreakBefore w:val="0"/>
        <w:kinsoku/>
        <w:wordWrap/>
        <w:overflowPunct/>
        <w:topLinePunct w:val="0"/>
        <w:bidi w:val="0"/>
        <w:snapToGrid w:val="0"/>
        <w:spacing w:before="0" w:line="360" w:lineRule="exact"/>
        <w:ind w:firstLine="48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政采贷</w:t>
      </w:r>
      <w:r>
        <w:rPr>
          <w:rFonts w:hint="eastAsia" w:ascii="宋体" w:hAnsi="宋体" w:cs="宋体"/>
          <w:color w:val="auto"/>
          <w:sz w:val="21"/>
          <w:szCs w:val="21"/>
          <w:highlight w:val="none"/>
          <w:lang w:eastAsia="zh-CN"/>
        </w:rPr>
        <w:t>：</w:t>
      </w:r>
      <w:r>
        <w:rPr>
          <w:rFonts w:hint="eastAsia" w:ascii="宋体" w:hAnsi="宋体" w:eastAsia="宋体" w:cs="宋体"/>
          <w:color w:val="auto"/>
          <w:kern w:val="0"/>
          <w:sz w:val="21"/>
          <w:szCs w:val="21"/>
          <w:highlight w:val="none"/>
        </w:rPr>
        <w:t>有贷款需求的供应商可以访问“广西政府采购云平台-金融服务-融资服务”栏目办理有关业务（链接：</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"https://jinrong.gcy.zfcg.gxzf.gov.cn/finance/loan/gx"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kern w:val="0"/>
          <w:sz w:val="21"/>
          <w:szCs w:val="21"/>
          <w:highlight w:val="none"/>
        </w:rPr>
        <w:t>https://jinrong.gcy.zfcg.gxzf.gov.cn/finance/loan/gx</w:t>
      </w:r>
      <w:r>
        <w:rPr>
          <w:rFonts w:hint="eastAsia" w:ascii="宋体" w:hAnsi="宋体" w:eastAsia="宋体" w:cs="宋体"/>
          <w:color w:val="auto"/>
          <w:kern w:val="0"/>
          <w:sz w:val="21"/>
          <w:szCs w:val="21"/>
          <w:highlight w:val="none"/>
        </w:rPr>
        <w:fldChar w:fldCharType="end"/>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rPr>
        <w:t>。</w:t>
      </w:r>
    </w:p>
    <w:p w14:paraId="5A60F71C">
      <w:pPr>
        <w:keepNext w:val="0"/>
        <w:keepLines w:val="0"/>
        <w:pageBreakBefore w:val="0"/>
        <w:tabs>
          <w:tab w:val="left" w:pos="0"/>
        </w:tabs>
        <w:kinsoku/>
        <w:wordWrap/>
        <w:overflowPunct/>
        <w:topLinePunct w:val="0"/>
        <w:bidi w:val="0"/>
        <w:spacing w:line="360" w:lineRule="exact"/>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3．履约保证金</w:t>
      </w:r>
      <w:r>
        <w:rPr>
          <w:rFonts w:hint="eastAsia" w:ascii="宋体" w:hAnsi="宋体" w:cs="宋体"/>
          <w:b/>
          <w:color w:val="auto"/>
          <w:sz w:val="21"/>
          <w:szCs w:val="21"/>
          <w:highlight w:val="none"/>
          <w:lang w:eastAsia="zh-CN"/>
        </w:rPr>
        <w:t>：不收取</w:t>
      </w:r>
      <w:r>
        <w:rPr>
          <w:rFonts w:hint="eastAsia" w:cs="宋体"/>
          <w:color w:val="auto"/>
          <w:sz w:val="21"/>
          <w:szCs w:val="21"/>
          <w:highlight w:val="none"/>
          <w:lang w:eastAsia="zh-CN"/>
        </w:rPr>
        <w:t>。</w:t>
      </w:r>
    </w:p>
    <w:p w14:paraId="353E16FF">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二</w:t>
      </w:r>
      <w:r>
        <w:rPr>
          <w:rFonts w:hint="eastAsia" w:cs="仿宋_GB2312" w:asciiTheme="minorEastAsia" w:hAnsiTheme="minorEastAsia" w:eastAsiaTheme="minorEastAsia"/>
          <w:b/>
          <w:color w:val="auto"/>
          <w:sz w:val="24"/>
          <w:szCs w:val="24"/>
          <w:highlight w:val="none"/>
        </w:rPr>
        <w:t>、验收</w:t>
      </w:r>
    </w:p>
    <w:p w14:paraId="47D522BF">
      <w:pPr>
        <w:pStyle w:val="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w:t>
      </w:r>
    </w:p>
    <w:p w14:paraId="509933FA">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EF2A9D7">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1.2采购人可以邀请参加本项目的其他供应商或者第三方机构参与验收。参与验收的供应商或者第三方机构的意见作为验收书的参考资料一并存档。</w:t>
      </w:r>
    </w:p>
    <w:p w14:paraId="50795F8C">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B5E9F59">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strike w:val="0"/>
          <w:dstrike w:val="0"/>
          <w:color w:val="auto"/>
          <w:kern w:val="0"/>
          <w:sz w:val="21"/>
          <w:szCs w:val="21"/>
          <w:highlight w:val="none"/>
        </w:rPr>
      </w:pPr>
      <w:r>
        <w:rPr>
          <w:rFonts w:hint="eastAsia" w:ascii="宋体" w:hAnsi="宋体" w:eastAsia="宋体" w:cs="宋体"/>
          <w:strike w:val="0"/>
          <w:dstrike w:val="0"/>
          <w:color w:val="auto"/>
          <w:kern w:val="0"/>
          <w:sz w:val="21"/>
          <w:szCs w:val="21"/>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3869FB">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b/>
          <w:color w:val="auto"/>
          <w:sz w:val="21"/>
          <w:szCs w:val="21"/>
          <w:highlight w:val="none"/>
        </w:rPr>
      </w:pPr>
      <w:r>
        <w:rPr>
          <w:rFonts w:hint="eastAsia" w:ascii="宋体" w:hAnsi="宋体" w:cs="宋体"/>
          <w:color w:val="auto"/>
          <w:kern w:val="0"/>
          <w:sz w:val="21"/>
          <w:szCs w:val="21"/>
          <w:highlight w:val="none"/>
          <w:lang w:val="en-US" w:eastAsia="zh-CN"/>
        </w:rPr>
        <w:t xml:space="preserve">1.5 </w:t>
      </w:r>
      <w:r>
        <w:rPr>
          <w:rFonts w:hint="eastAsia" w:ascii="宋体" w:hAnsi="宋体" w:eastAsia="宋体" w:cs="宋体"/>
          <w:b w:val="0"/>
          <w:bCs w:val="0"/>
          <w:color w:val="auto"/>
          <w:kern w:val="0"/>
          <w:szCs w:val="21"/>
          <w:highlight w:val="none"/>
        </w:rPr>
        <w:t>成交供应商</w:t>
      </w:r>
      <w:r>
        <w:rPr>
          <w:rFonts w:hint="eastAsia" w:ascii="宋体" w:hAnsi="宋体" w:cs="宋体"/>
          <w:b w:val="0"/>
          <w:bCs w:val="0"/>
          <w:color w:val="auto"/>
          <w:kern w:val="0"/>
          <w:szCs w:val="21"/>
          <w:highlight w:val="none"/>
          <w:lang w:eastAsia="zh-CN"/>
        </w:rPr>
        <w:t>可以</w:t>
      </w:r>
      <w:r>
        <w:rPr>
          <w:rFonts w:hint="eastAsia" w:ascii="宋体" w:hAnsi="宋体" w:eastAsia="宋体" w:cs="宋体"/>
          <w:b w:val="0"/>
          <w:bCs w:val="0"/>
          <w:color w:val="auto"/>
          <w:kern w:val="0"/>
          <w:szCs w:val="21"/>
          <w:highlight w:val="none"/>
        </w:rPr>
        <w:t>在验收书签署后</w:t>
      </w:r>
      <w:r>
        <w:rPr>
          <w:rFonts w:hint="eastAsia" w:ascii="宋体" w:hAnsi="宋体" w:eastAsia="宋体" w:cs="宋体"/>
          <w:b w:val="0"/>
          <w:bCs w:val="0"/>
          <w:color w:val="auto"/>
          <w:kern w:val="0"/>
          <w:szCs w:val="21"/>
          <w:highlight w:val="none"/>
          <w:lang w:val="en-US" w:eastAsia="zh-CN"/>
        </w:rPr>
        <w:t>3</w:t>
      </w:r>
      <w:r>
        <w:rPr>
          <w:rFonts w:hint="eastAsia" w:ascii="宋体" w:hAnsi="宋体" w:eastAsia="宋体" w:cs="宋体"/>
          <w:b w:val="0"/>
          <w:bCs w:val="0"/>
          <w:color w:val="auto"/>
          <w:kern w:val="0"/>
          <w:szCs w:val="21"/>
          <w:highlight w:val="none"/>
        </w:rPr>
        <w:t>个工作日内将验收书发送至采购代理机构邮箱或送（寄）到采购代理机构。</w:t>
      </w:r>
    </w:p>
    <w:p w14:paraId="52609B1D">
      <w:pPr>
        <w:keepNext w:val="0"/>
        <w:keepLines w:val="0"/>
        <w:pageBreakBefore w:val="0"/>
        <w:kinsoku/>
        <w:wordWrap/>
        <w:overflowPunct/>
        <w:topLinePunct w:val="0"/>
        <w:bidi w:val="0"/>
        <w:adjustRightInd/>
        <w:spacing w:line="360" w:lineRule="exact"/>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三</w:t>
      </w:r>
      <w:r>
        <w:rPr>
          <w:rFonts w:hint="eastAsia" w:cs="仿宋_GB2312" w:asciiTheme="minorEastAsia" w:hAnsiTheme="minorEastAsia" w:eastAsiaTheme="minorEastAsia"/>
          <w:b/>
          <w:color w:val="auto"/>
          <w:sz w:val="24"/>
          <w:szCs w:val="24"/>
          <w:highlight w:val="none"/>
        </w:rPr>
        <w:t>、电子交易活动的中止</w:t>
      </w:r>
    </w:p>
    <w:p w14:paraId="4065BB3B">
      <w:pPr>
        <w:keepNext w:val="0"/>
        <w:keepLines w:val="0"/>
        <w:pageBreakBefore w:val="0"/>
        <w:tabs>
          <w:tab w:val="left" w:pos="0"/>
        </w:tabs>
        <w:kinsoku/>
        <w:wordWrap/>
        <w:overflowPunct/>
        <w:topLinePunct w:val="0"/>
        <w:bidi w:val="0"/>
        <w:spacing w:line="3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电子交易活动的中止</w:t>
      </w:r>
    </w:p>
    <w:p w14:paraId="677FA62C">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采购过程中出现以下情形，导致电子交易平台无法正常运行，或者无法保证电子交易的公平、公正和安全时，采购代理机构可中止电子交易活动：</w:t>
      </w:r>
    </w:p>
    <w:p w14:paraId="7BBDDDBA">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1.1电子交易平台发生故障而无法登录访问的； </w:t>
      </w:r>
    </w:p>
    <w:p w14:paraId="54DF9260">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1.2电子交易平台应用或数据库出现错误，不能进行正常操作的；</w:t>
      </w:r>
    </w:p>
    <w:p w14:paraId="68401741">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1.3电子交易平台发现严重安全漏洞，有潜在泄密危险的；</w:t>
      </w:r>
    </w:p>
    <w:p w14:paraId="1BF8B80E">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1.4病毒发作导致不能进行正常操作的； </w:t>
      </w:r>
    </w:p>
    <w:p w14:paraId="0DBF3061">
      <w:pPr>
        <w:keepNext w:val="0"/>
        <w:keepLines w:val="0"/>
        <w:pageBreakBefore w:val="0"/>
        <w:tabs>
          <w:tab w:val="left" w:pos="0"/>
        </w:tabs>
        <w:kinsoku/>
        <w:wordWrap/>
        <w:overflowPunct/>
        <w:topLinePunct w:val="0"/>
        <w:bidi w:val="0"/>
        <w:spacing w:line="360" w:lineRule="exact"/>
        <w:ind w:firstLine="48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1.5其他无法保证电子交易的公平、公正和安全的情况。</w:t>
      </w:r>
    </w:p>
    <w:p w14:paraId="5B07F5A5">
      <w:pPr>
        <w:keepNext w:val="0"/>
        <w:keepLines w:val="0"/>
        <w:pageBreakBefore w:val="0"/>
        <w:tabs>
          <w:tab w:val="left" w:pos="0"/>
        </w:tabs>
        <w:kinsoku/>
        <w:wordWrap/>
        <w:overflowPunct/>
        <w:topLinePunct w:val="0"/>
        <w:bidi w:val="0"/>
        <w:spacing w:line="360" w:lineRule="exact"/>
        <w:rPr>
          <w:rFonts w:hint="eastAsia" w:ascii="宋体" w:hAnsi="宋体" w:eastAsia="宋体" w:cs="宋体"/>
          <w:color w:val="auto"/>
          <w:kern w:val="0"/>
          <w:sz w:val="21"/>
          <w:szCs w:val="21"/>
          <w:highlight w:val="none"/>
        </w:rPr>
      </w:pPr>
      <w:r>
        <w:rPr>
          <w:rFonts w:hint="eastAsia" w:ascii="宋体" w:hAnsi="宋体" w:eastAsia="宋体" w:cs="宋体"/>
          <w:b/>
          <w:color w:val="auto"/>
          <w:kern w:val="0"/>
          <w:sz w:val="21"/>
          <w:szCs w:val="21"/>
          <w:highlight w:val="none"/>
        </w:rPr>
        <w:t>2.</w:t>
      </w:r>
      <w:r>
        <w:rPr>
          <w:rFonts w:hint="eastAsia" w:ascii="宋体" w:hAnsi="宋体" w:eastAsia="宋体" w:cs="宋体"/>
          <w:color w:val="auto"/>
          <w:kern w:val="0"/>
          <w:sz w:val="21"/>
          <w:szCs w:val="21"/>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Start w:id="32" w:name="_Hlt74730295"/>
      <w:bookmarkEnd w:id="32"/>
      <w:bookmarkStart w:id="33" w:name="_Hlt68057669"/>
      <w:bookmarkEnd w:id="33"/>
      <w:bookmarkStart w:id="34" w:name="_Hlt74707468"/>
      <w:bookmarkEnd w:id="34"/>
      <w:bookmarkStart w:id="35" w:name="_Hlt75236011"/>
      <w:bookmarkEnd w:id="35"/>
      <w:bookmarkStart w:id="36" w:name="_Hlt68072990"/>
      <w:bookmarkEnd w:id="36"/>
      <w:bookmarkStart w:id="37" w:name="_Hlt74714665"/>
      <w:bookmarkEnd w:id="37"/>
      <w:bookmarkStart w:id="38" w:name="_Hlt74729768"/>
      <w:bookmarkEnd w:id="38"/>
      <w:bookmarkStart w:id="39" w:name="_Hlt75236290"/>
      <w:bookmarkEnd w:id="39"/>
      <w:bookmarkStart w:id="40" w:name="_Hlt75236101"/>
      <w:bookmarkEnd w:id="40"/>
    </w:p>
    <w:p w14:paraId="36929DAB">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p>
    <w:p w14:paraId="7046A435">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ascii="宋体" w:hAnsi="宋体" w:eastAsia="宋体" w:cs="宋体"/>
          <w:b/>
          <w:color w:val="auto"/>
          <w:sz w:val="21"/>
          <w:szCs w:val="21"/>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四</w:t>
      </w:r>
      <w:r>
        <w:rPr>
          <w:rFonts w:hint="eastAsia" w:cs="仿宋_GB2312" w:asciiTheme="minorEastAsia" w:hAnsiTheme="minorEastAsia" w:eastAsiaTheme="minorEastAsia"/>
          <w:b/>
          <w:color w:val="auto"/>
          <w:sz w:val="24"/>
          <w:szCs w:val="24"/>
          <w:highlight w:val="none"/>
        </w:rPr>
        <w:t>、代理费用的收取标准和方式</w:t>
      </w:r>
    </w:p>
    <w:p w14:paraId="059C9E39">
      <w:pPr>
        <w:pStyle w:val="3"/>
        <w:keepNext w:val="0"/>
        <w:keepLines w:val="0"/>
        <w:pageBreakBefore w:val="0"/>
        <w:kinsoku/>
        <w:wordWrap/>
        <w:overflowPunct/>
        <w:topLinePunct w:val="0"/>
        <w:bidi w:val="0"/>
        <w:spacing w:line="360" w:lineRule="exact"/>
        <w:ind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1.代理费用的收取标准和方式（适用于有权收取代理费用的采购代理机构）</w:t>
      </w:r>
    </w:p>
    <w:p w14:paraId="2D814CDE">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1.1采购代理费支付方式：</w:t>
      </w:r>
    </w:p>
    <w:p w14:paraId="4A18747C">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☑本项目代理服务费由成交供应商一次性向采购代理机构支付。</w:t>
      </w:r>
    </w:p>
    <w:p w14:paraId="06A9731D">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□采购人支付。</w:t>
      </w:r>
    </w:p>
    <w:p w14:paraId="3F99A9CC">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1.2采购代理费收取标准：</w:t>
      </w:r>
    </w:p>
    <w:p w14:paraId="7661B8CB">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以分标（</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成交金额/</w:t>
      </w:r>
      <w:r>
        <w:rPr>
          <w:rFonts w:hint="eastAsia" w:cs="宋体"/>
          <w:color w:val="auto"/>
          <w:kern w:val="2"/>
          <w:sz w:val="21"/>
          <w:szCs w:val="21"/>
          <w:highlight w:val="none"/>
          <w:lang w:eastAsia="zh-CN"/>
        </w:rPr>
        <w:sym w:font="Wingdings 2" w:char="00A3"/>
      </w:r>
      <w:r>
        <w:rPr>
          <w:rFonts w:hint="eastAsia" w:ascii="宋体" w:hAnsi="宋体" w:eastAsia="宋体" w:cs="宋体"/>
          <w:color w:val="auto"/>
          <w:kern w:val="2"/>
          <w:sz w:val="21"/>
          <w:szCs w:val="21"/>
          <w:highlight w:val="none"/>
        </w:rPr>
        <w:t>采购预算/□暂定成交金额/□其他 / ）为计费额，按代理服务收费标准（□货物类/</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服务类/□工程类）采用差额定率累进法计算出收费基准价格，采购代理收费以（</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w:t>
      </w:r>
      <w:r>
        <w:rPr>
          <w:rFonts w:hint="eastAsia" w:cs="宋体"/>
          <w:color w:val="auto"/>
          <w:kern w:val="2"/>
          <w:sz w:val="21"/>
          <w:szCs w:val="21"/>
          <w:highlight w:val="none"/>
          <w:lang w:eastAsia="zh-CN"/>
        </w:rPr>
        <w:t>□</w:t>
      </w:r>
      <w:r>
        <w:rPr>
          <w:rFonts w:hint="eastAsia" w:ascii="宋体" w:hAnsi="宋体" w:eastAsia="宋体" w:cs="宋体"/>
          <w:color w:val="auto"/>
          <w:kern w:val="2"/>
          <w:sz w:val="21"/>
          <w:szCs w:val="21"/>
          <w:highlight w:val="none"/>
        </w:rPr>
        <w:t>收费基准价格下浮 %/□收费基准价格上浮 / %）收取。</w:t>
      </w:r>
    </w:p>
    <w:p w14:paraId="03D39590">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sym w:font="Wingdings 2" w:char="0052"/>
      </w:r>
      <w:r>
        <w:rPr>
          <w:rFonts w:hint="eastAsia" w:ascii="宋体" w:hAnsi="宋体" w:eastAsia="宋体" w:cs="宋体"/>
          <w:color w:val="auto"/>
          <w:kern w:val="2"/>
          <w:sz w:val="21"/>
          <w:szCs w:val="21"/>
          <w:highlight w:val="none"/>
        </w:rPr>
        <w:t>固定采购代理收费</w:t>
      </w:r>
      <w:r>
        <w:rPr>
          <w:rFonts w:hint="eastAsia" w:cs="宋体"/>
          <w:color w:val="auto"/>
          <w:kern w:val="2"/>
          <w:sz w:val="21"/>
          <w:szCs w:val="21"/>
          <w:highlight w:val="none"/>
          <w:lang w:eastAsia="zh-CN"/>
        </w:rPr>
        <w:t>，本项目采购代理服务费为人民</w:t>
      </w:r>
      <w:r>
        <w:rPr>
          <w:rFonts w:hint="eastAsia" w:ascii="宋体" w:hAnsi="宋体" w:eastAsia="宋体" w:cs="宋体"/>
          <w:color w:val="auto"/>
          <w:kern w:val="2"/>
          <w:sz w:val="21"/>
          <w:szCs w:val="21"/>
          <w:highlight w:val="none"/>
          <w:lang w:eastAsia="zh-CN"/>
        </w:rPr>
        <w:t>币</w:t>
      </w:r>
      <w:r>
        <w:rPr>
          <w:rFonts w:hint="eastAsia" w:cs="宋体"/>
          <w:color w:val="auto"/>
          <w:kern w:val="2"/>
          <w:sz w:val="21"/>
          <w:szCs w:val="21"/>
          <w:highlight w:val="none"/>
          <w:lang w:eastAsia="zh-CN"/>
        </w:rPr>
        <w:t>贰万壹仟捌佰捌拾元整</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21880.00</w:t>
      </w:r>
      <w:r>
        <w:rPr>
          <w:rFonts w:hint="eastAsia" w:ascii="宋体" w:hAnsi="宋体" w:eastAsia="宋体" w:cs="宋体"/>
          <w:bCs/>
          <w:color w:val="auto"/>
          <w:sz w:val="21"/>
          <w:szCs w:val="21"/>
          <w:highlight w:val="none"/>
        </w:rPr>
        <w:t>）</w:t>
      </w:r>
      <w:r>
        <w:rPr>
          <w:rFonts w:hint="eastAsia" w:ascii="宋体" w:hAnsi="宋体" w:eastAsia="宋体" w:cs="宋体"/>
          <w:color w:val="auto"/>
          <w:kern w:val="2"/>
          <w:sz w:val="21"/>
          <w:szCs w:val="21"/>
          <w:highlight w:val="none"/>
        </w:rPr>
        <w:t>。</w:t>
      </w:r>
    </w:p>
    <w:p w14:paraId="14B18552">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1.3采购代理费收取银行账户</w:t>
      </w:r>
    </w:p>
    <w:p w14:paraId="0D00B4ED">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开户名称：</w:t>
      </w:r>
      <w:r>
        <w:rPr>
          <w:rFonts w:hint="eastAsia" w:ascii="宋体" w:hAnsi="宋体" w:eastAsia="宋体" w:cs="宋体"/>
          <w:color w:val="auto"/>
          <w:sz w:val="21"/>
          <w:szCs w:val="21"/>
          <w:highlight w:val="none"/>
        </w:rPr>
        <w:t>广西泽丰工程咨询有限公司北海分公司</w:t>
      </w:r>
      <w:r>
        <w:rPr>
          <w:rFonts w:hint="eastAsia" w:ascii="宋体" w:hAnsi="宋体" w:eastAsia="宋体" w:cs="宋体"/>
          <w:color w:val="auto"/>
          <w:kern w:val="2"/>
          <w:sz w:val="21"/>
          <w:szCs w:val="21"/>
          <w:highlight w:val="none"/>
        </w:rPr>
        <w:t xml:space="preserve"> </w:t>
      </w:r>
    </w:p>
    <w:p w14:paraId="5F6A1434">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开户银行： </w:t>
      </w:r>
      <w:r>
        <w:rPr>
          <w:rFonts w:hint="eastAsia" w:ascii="宋体" w:hAnsi="宋体" w:eastAsia="宋体" w:cs="宋体"/>
          <w:color w:val="auto"/>
          <w:sz w:val="21"/>
          <w:szCs w:val="21"/>
          <w:highlight w:val="none"/>
        </w:rPr>
        <w:t>中国工商银行股份有限公司北海分行</w:t>
      </w:r>
    </w:p>
    <w:p w14:paraId="2CD5B600">
      <w:pPr>
        <w:pStyle w:val="57"/>
        <w:keepNext w:val="0"/>
        <w:keepLines w:val="0"/>
        <w:pageBreakBefore w:val="0"/>
        <w:kinsoku/>
        <w:wordWrap/>
        <w:overflowPunct/>
        <w:topLinePunct w:val="0"/>
        <w:bidi w:val="0"/>
        <w:spacing w:line="36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银行账号：</w:t>
      </w:r>
      <w:r>
        <w:rPr>
          <w:rFonts w:hint="eastAsia" w:ascii="宋体" w:hAnsi="宋体" w:eastAsia="宋体" w:cs="宋体"/>
          <w:color w:val="auto"/>
          <w:sz w:val="21"/>
          <w:szCs w:val="21"/>
          <w:highlight w:val="none"/>
        </w:rPr>
        <w:t>2107500009300096127</w:t>
      </w:r>
    </w:p>
    <w:p w14:paraId="747A6BED">
      <w:pPr>
        <w:keepNext w:val="0"/>
        <w:keepLines w:val="0"/>
        <w:pageBreakBefore w:val="0"/>
        <w:kinsoku/>
        <w:wordWrap/>
        <w:overflowPunct/>
        <w:topLinePunct w:val="0"/>
        <w:bidi w:val="0"/>
        <w:snapToGrid w:val="0"/>
        <w:spacing w:line="3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1.4代理服务收费标准：《关于进一步放开建设项目专业服务价格的通知》（发改价格〔2015〕299号），由实行政府指导价管理改为实行市场调节价，价格由</w:t>
      </w:r>
      <w:r>
        <w:rPr>
          <w:rFonts w:hint="eastAsia" w:ascii="宋体" w:hAnsi="宋体" w:cs="宋体"/>
          <w:bCs/>
          <w:color w:val="auto"/>
          <w:sz w:val="21"/>
          <w:szCs w:val="21"/>
          <w:highlight w:val="none"/>
          <w:lang w:eastAsia="zh-CN"/>
        </w:rPr>
        <w:t>采购人和代理机构双方</w:t>
      </w:r>
      <w:r>
        <w:rPr>
          <w:rFonts w:hint="eastAsia" w:ascii="宋体" w:hAnsi="宋体" w:eastAsia="宋体" w:cs="宋体"/>
          <w:bCs/>
          <w:color w:val="auto"/>
          <w:sz w:val="21"/>
          <w:szCs w:val="21"/>
          <w:highlight w:val="none"/>
        </w:rPr>
        <w:t>协商确定。</w:t>
      </w:r>
    </w:p>
    <w:p w14:paraId="50820C97">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p>
    <w:p w14:paraId="47BCF145">
      <w:pPr>
        <w:keepNext w:val="0"/>
        <w:keepLines w:val="0"/>
        <w:pageBreakBefore w:val="0"/>
        <w:kinsoku/>
        <w:wordWrap/>
        <w:overflowPunct/>
        <w:topLinePunct w:val="0"/>
        <w:bidi w:val="0"/>
        <w:snapToGrid w:val="0"/>
        <w:spacing w:line="360" w:lineRule="exact"/>
        <w:ind w:left="120" w:leftChars="57" w:firstLine="361" w:firstLineChars="150"/>
        <w:jc w:val="center"/>
        <w:outlineLvl w:val="1"/>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十</w:t>
      </w:r>
      <w:r>
        <w:rPr>
          <w:rFonts w:hint="eastAsia" w:cs="仿宋_GB2312" w:asciiTheme="minorEastAsia" w:hAnsiTheme="minorEastAsia" w:eastAsiaTheme="minorEastAsia"/>
          <w:b/>
          <w:color w:val="auto"/>
          <w:sz w:val="24"/>
          <w:szCs w:val="24"/>
          <w:highlight w:val="none"/>
          <w:lang w:eastAsia="zh-CN"/>
        </w:rPr>
        <w:t>五</w:t>
      </w:r>
      <w:r>
        <w:rPr>
          <w:rFonts w:hint="eastAsia" w:cs="仿宋_GB2312" w:asciiTheme="minorEastAsia" w:hAnsiTheme="minorEastAsia" w:eastAsiaTheme="minorEastAsia"/>
          <w:b/>
          <w:color w:val="auto"/>
          <w:sz w:val="24"/>
          <w:szCs w:val="24"/>
          <w:highlight w:val="none"/>
        </w:rPr>
        <w:t>、其他事项</w:t>
      </w:r>
    </w:p>
    <w:p w14:paraId="79FA1E36">
      <w:pPr>
        <w:keepNext w:val="0"/>
        <w:keepLines w:val="0"/>
        <w:pageBreakBefore w:val="0"/>
        <w:kinsoku/>
        <w:wordWrap/>
        <w:overflowPunct/>
        <w:topLinePunct w:val="0"/>
        <w:bidi w:val="0"/>
        <w:snapToGrid w:val="0"/>
        <w:spacing w:line="360" w:lineRule="exact"/>
        <w:ind w:firstLine="420" w:firstLineChars="200"/>
        <w:rPr>
          <w:rFonts w:cs="仿宋_GB2312" w:asciiTheme="minorEastAsia" w:hAnsiTheme="minorEastAsia" w:eastAsiaTheme="minorEastAsia"/>
          <w:b/>
          <w:color w:val="auto"/>
          <w:sz w:val="36"/>
          <w:szCs w:val="36"/>
          <w:highlight w:val="none"/>
        </w:rPr>
      </w:pPr>
      <w:r>
        <w:rPr>
          <w:rFonts w:hint="eastAsia" w:ascii="宋体" w:hAnsi="宋体" w:cs="宋体"/>
          <w:b w:val="0"/>
          <w:bCs w:val="0"/>
          <w:color w:val="auto"/>
          <w:kern w:val="0"/>
          <w:szCs w:val="21"/>
          <w:highlight w:val="none"/>
        </w:rPr>
        <w:t>因项目存档需要，须按以下要求提供纸质投标响应文件：成交供应商在成交通知书发出后5个工作日内须向采购代理机构提供完整的电子备份响应文件纸质版2份（含报价</w:t>
      </w:r>
      <w:r>
        <w:rPr>
          <w:rFonts w:hint="eastAsia" w:ascii="宋体" w:hAnsi="宋体" w:cs="宋体"/>
          <w:b w:val="0"/>
          <w:bCs w:val="0"/>
          <w:color w:val="auto"/>
          <w:kern w:val="0"/>
          <w:szCs w:val="21"/>
          <w:highlight w:val="none"/>
          <w:lang w:eastAsia="zh-CN"/>
        </w:rPr>
        <w:t>文件</w:t>
      </w:r>
      <w:r>
        <w:rPr>
          <w:rFonts w:hint="eastAsia" w:ascii="宋体" w:hAnsi="宋体" w:cs="宋体"/>
          <w:b w:val="0"/>
          <w:bCs w:val="0"/>
          <w:color w:val="auto"/>
          <w:kern w:val="0"/>
          <w:szCs w:val="21"/>
          <w:highlight w:val="none"/>
        </w:rPr>
        <w:t>、资格文件、商务技术文件)并按要求加盖公章装订成册。提交的纸质版响应文件文本必须与其上传系统的电子响应文件内容完全一致，如项目验收时因所提供的纸质响应文件与评标时系统中上传的响应文件不一致产生的一切后果由成交供应商承担。</w:t>
      </w:r>
      <w:r>
        <w:rPr>
          <w:rFonts w:cs="仿宋_GB2312" w:asciiTheme="minorEastAsia" w:hAnsiTheme="minorEastAsia" w:eastAsiaTheme="minorEastAsia"/>
          <w:b/>
          <w:color w:val="auto"/>
          <w:sz w:val="36"/>
          <w:szCs w:val="36"/>
          <w:highlight w:val="none"/>
        </w:rPr>
        <w:br w:type="page"/>
      </w:r>
    </w:p>
    <w:p w14:paraId="453E7A05">
      <w:pPr>
        <w:pStyle w:val="5"/>
        <w:keepNext w:val="0"/>
        <w:keepLines w:val="0"/>
        <w:spacing w:before="0" w:after="0" w:line="360" w:lineRule="exact"/>
        <w:ind w:firstLine="562" w:firstLineChars="200"/>
        <w:rPr>
          <w:rFonts w:ascii="宋体" w:hAnsi="宋体" w:cs="宋体"/>
          <w:color w:val="auto"/>
          <w:kern w:val="0"/>
          <w:sz w:val="28"/>
          <w:szCs w:val="28"/>
          <w:highlight w:val="none"/>
        </w:rPr>
      </w:pPr>
      <w:r>
        <w:rPr>
          <w:rFonts w:hint="eastAsia" w:ascii="宋体" w:hAnsi="宋体" w:cs="宋体"/>
          <w:color w:val="auto"/>
          <w:kern w:val="0"/>
          <w:sz w:val="28"/>
          <w:szCs w:val="28"/>
          <w:highlight w:val="none"/>
        </w:rPr>
        <w:t>第</w:t>
      </w:r>
      <w:r>
        <w:rPr>
          <w:rFonts w:hint="eastAsia" w:ascii="宋体" w:hAnsi="宋体" w:cs="宋体"/>
          <w:color w:val="auto"/>
          <w:kern w:val="0"/>
          <w:sz w:val="28"/>
          <w:szCs w:val="28"/>
          <w:highlight w:val="none"/>
          <w:lang w:eastAsia="zh-CN"/>
        </w:rPr>
        <w:t>三部分</w:t>
      </w:r>
      <w:r>
        <w:rPr>
          <w:rFonts w:hint="eastAsia" w:ascii="宋体" w:hAnsi="宋体" w:cs="宋体"/>
          <w:color w:val="auto"/>
          <w:kern w:val="0"/>
          <w:sz w:val="28"/>
          <w:szCs w:val="28"/>
          <w:highlight w:val="none"/>
        </w:rPr>
        <w:t>附件：</w:t>
      </w:r>
    </w:p>
    <w:p w14:paraId="5BC6DB13">
      <w:pPr>
        <w:shd w:val="clear" w:color="auto" w:fill="FFFFFF"/>
        <w:spacing w:line="480" w:lineRule="atLeast"/>
        <w:jc w:val="center"/>
        <w:rPr>
          <w:rFonts w:ascii="宋体" w:hAnsi="宋体" w:cs="宋体"/>
          <w:color w:val="auto"/>
          <w:kern w:val="0"/>
          <w:sz w:val="32"/>
          <w:szCs w:val="32"/>
          <w:highlight w:val="none"/>
        </w:rPr>
      </w:pPr>
      <w:r>
        <w:rPr>
          <w:rFonts w:hint="eastAsia" w:ascii="宋体" w:hAnsi="宋体" w:cs="宋体"/>
          <w:color w:val="auto"/>
          <w:kern w:val="0"/>
          <w:sz w:val="32"/>
          <w:szCs w:val="32"/>
          <w:highlight w:val="none"/>
        </w:rPr>
        <w:t>采购项目合同验收书（</w:t>
      </w:r>
      <w:r>
        <w:rPr>
          <w:rFonts w:hint="eastAsia" w:ascii="宋体" w:hAnsi="宋体" w:cs="宋体"/>
          <w:color w:val="auto"/>
          <w:kern w:val="0"/>
          <w:sz w:val="32"/>
          <w:szCs w:val="32"/>
          <w:highlight w:val="none"/>
          <w:lang w:eastAsia="zh-CN"/>
        </w:rPr>
        <w:t>参考</w:t>
      </w:r>
      <w:r>
        <w:rPr>
          <w:rFonts w:hint="eastAsia" w:ascii="宋体" w:hAnsi="宋体" w:cs="宋体"/>
          <w:color w:val="auto"/>
          <w:kern w:val="0"/>
          <w:sz w:val="32"/>
          <w:szCs w:val="32"/>
          <w:highlight w:val="none"/>
        </w:rPr>
        <w:t>格式）</w:t>
      </w:r>
    </w:p>
    <w:p w14:paraId="29011857">
      <w:pPr>
        <w:shd w:val="clear" w:color="auto" w:fill="FFFFFF"/>
        <w:snapToGrid w:val="0"/>
        <w:spacing w:line="320" w:lineRule="atLeast"/>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根据采购项目（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）采购项目中标（或成交）供应商（</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 提供的货物（或工程、服务）进行了验收，验收情况如下：</w:t>
      </w:r>
    </w:p>
    <w:tbl>
      <w:tblPr>
        <w:tblStyle w:val="28"/>
        <w:tblW w:w="9399" w:type="dxa"/>
        <w:jc w:val="center"/>
        <w:tblLayout w:type="fixed"/>
        <w:tblCellMar>
          <w:top w:w="0" w:type="dxa"/>
          <w:left w:w="0" w:type="dxa"/>
          <w:bottom w:w="0" w:type="dxa"/>
          <w:right w:w="0" w:type="dxa"/>
        </w:tblCellMar>
      </w:tblPr>
      <w:tblGrid>
        <w:gridCol w:w="1334"/>
        <w:gridCol w:w="1928"/>
        <w:gridCol w:w="799"/>
        <w:gridCol w:w="103"/>
        <w:gridCol w:w="2008"/>
        <w:gridCol w:w="178"/>
        <w:gridCol w:w="686"/>
        <w:gridCol w:w="2363"/>
      </w:tblGrid>
      <w:tr w14:paraId="35A9655C">
        <w:tblPrEx>
          <w:tblCellMar>
            <w:top w:w="0" w:type="dxa"/>
            <w:left w:w="0" w:type="dxa"/>
            <w:bottom w:w="0" w:type="dxa"/>
            <w:right w:w="0" w:type="dxa"/>
          </w:tblCellMar>
        </w:tblPrEx>
        <w:trPr>
          <w:trHeight w:val="414" w:hRule="atLeast"/>
          <w:jc w:val="center"/>
        </w:trPr>
        <w:tc>
          <w:tcPr>
            <w:tcW w:w="3262" w:type="dxa"/>
            <w:gridSpan w:val="2"/>
            <w:tcBorders>
              <w:top w:val="single" w:color="auto" w:sz="8" w:space="0"/>
              <w:left w:val="single" w:color="auto" w:sz="8" w:space="0"/>
              <w:bottom w:val="single" w:color="auto" w:sz="8" w:space="0"/>
              <w:right w:val="single" w:color="auto" w:sz="8" w:space="0"/>
            </w:tcBorders>
            <w:vAlign w:val="center"/>
          </w:tcPr>
          <w:p w14:paraId="626F39C4">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验收方式：</w:t>
            </w:r>
          </w:p>
        </w:tc>
        <w:tc>
          <w:tcPr>
            <w:tcW w:w="6137" w:type="dxa"/>
            <w:gridSpan w:val="6"/>
            <w:tcBorders>
              <w:top w:val="single" w:color="auto" w:sz="8" w:space="0"/>
              <w:left w:val="nil"/>
              <w:bottom w:val="single" w:color="auto" w:sz="8" w:space="0"/>
              <w:right w:val="single" w:color="auto" w:sz="8" w:space="0"/>
            </w:tcBorders>
            <w:vAlign w:val="center"/>
          </w:tcPr>
          <w:p w14:paraId="39023C0D">
            <w:pPr>
              <w:snapToGrid w:val="0"/>
              <w:spacing w:before="100" w:beforeAutospacing="1" w:after="100" w:afterAutospacing="1" w:line="320" w:lineRule="atLeas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□自行验收 □委托验收</w:t>
            </w:r>
          </w:p>
        </w:tc>
      </w:tr>
      <w:tr w14:paraId="1BAF493E">
        <w:tblPrEx>
          <w:tblCellMar>
            <w:top w:w="0" w:type="dxa"/>
            <w:left w:w="0" w:type="dxa"/>
            <w:bottom w:w="0" w:type="dxa"/>
            <w:right w:w="0" w:type="dxa"/>
          </w:tblCellMar>
        </w:tblPrEx>
        <w:trPr>
          <w:trHeight w:val="804" w:hRule="atLeast"/>
          <w:jc w:val="center"/>
        </w:trPr>
        <w:tc>
          <w:tcPr>
            <w:tcW w:w="1334" w:type="dxa"/>
            <w:tcBorders>
              <w:top w:val="nil"/>
              <w:left w:val="single" w:color="auto" w:sz="8" w:space="0"/>
              <w:bottom w:val="single" w:color="auto" w:sz="8" w:space="0"/>
              <w:right w:val="single" w:color="auto" w:sz="8" w:space="0"/>
            </w:tcBorders>
            <w:vAlign w:val="center"/>
          </w:tcPr>
          <w:p w14:paraId="7CF025EF">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928" w:type="dxa"/>
            <w:tcBorders>
              <w:top w:val="nil"/>
              <w:left w:val="nil"/>
              <w:bottom w:val="single" w:color="auto" w:sz="8" w:space="0"/>
              <w:right w:val="single" w:color="auto" w:sz="8" w:space="0"/>
            </w:tcBorders>
            <w:vAlign w:val="center"/>
          </w:tcPr>
          <w:p w14:paraId="1C5B4D23">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 称</w:t>
            </w:r>
          </w:p>
        </w:tc>
        <w:tc>
          <w:tcPr>
            <w:tcW w:w="2910" w:type="dxa"/>
            <w:gridSpan w:val="3"/>
            <w:tcBorders>
              <w:top w:val="nil"/>
              <w:left w:val="nil"/>
              <w:bottom w:val="single" w:color="auto" w:sz="8" w:space="0"/>
              <w:right w:val="single" w:color="auto" w:sz="8" w:space="0"/>
            </w:tcBorders>
            <w:vAlign w:val="center"/>
          </w:tcPr>
          <w:p w14:paraId="36E56D3F">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64" w:type="dxa"/>
            <w:gridSpan w:val="2"/>
            <w:tcBorders>
              <w:top w:val="nil"/>
              <w:left w:val="nil"/>
              <w:bottom w:val="single" w:color="auto" w:sz="8" w:space="0"/>
              <w:right w:val="single" w:color="auto" w:sz="8" w:space="0"/>
            </w:tcBorders>
            <w:vAlign w:val="center"/>
          </w:tcPr>
          <w:p w14:paraId="46D283BE">
            <w:pPr>
              <w:snapToGrid w:val="0"/>
              <w:spacing w:before="100" w:beforeAutospacing="1" w:after="100"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2363" w:type="dxa"/>
            <w:tcBorders>
              <w:top w:val="nil"/>
              <w:left w:val="nil"/>
              <w:bottom w:val="single" w:color="auto" w:sz="8" w:space="0"/>
              <w:right w:val="single" w:color="auto" w:sz="8" w:space="0"/>
            </w:tcBorders>
            <w:vAlign w:val="center"/>
          </w:tcPr>
          <w:p w14:paraId="07986A7A">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 额</w:t>
            </w:r>
          </w:p>
        </w:tc>
      </w:tr>
      <w:tr w14:paraId="46CFA048">
        <w:tblPrEx>
          <w:tblCellMar>
            <w:top w:w="0" w:type="dxa"/>
            <w:left w:w="0" w:type="dxa"/>
            <w:bottom w:w="0" w:type="dxa"/>
            <w:right w:w="0" w:type="dxa"/>
          </w:tblCellMar>
        </w:tblPrEx>
        <w:trPr>
          <w:trHeight w:val="404" w:hRule="atLeast"/>
          <w:jc w:val="center"/>
        </w:trPr>
        <w:tc>
          <w:tcPr>
            <w:tcW w:w="1334" w:type="dxa"/>
            <w:tcBorders>
              <w:top w:val="nil"/>
              <w:left w:val="single" w:color="auto" w:sz="8" w:space="0"/>
              <w:bottom w:val="single" w:color="auto" w:sz="8" w:space="0"/>
              <w:right w:val="single" w:color="auto" w:sz="8" w:space="0"/>
            </w:tcBorders>
            <w:vAlign w:val="center"/>
          </w:tcPr>
          <w:p w14:paraId="5AB0463C">
            <w:pPr>
              <w:spacing w:before="100" w:beforeAutospacing="1" w:after="100" w:afterAutospacing="1" w:line="240" w:lineRule="atLeast"/>
              <w:jc w:val="center"/>
              <w:rPr>
                <w:rFonts w:ascii="宋体" w:hAnsi="宋体" w:cs="宋体"/>
                <w:color w:val="auto"/>
                <w:kern w:val="0"/>
                <w:szCs w:val="21"/>
                <w:highlight w:val="none"/>
              </w:rPr>
            </w:pPr>
          </w:p>
        </w:tc>
        <w:tc>
          <w:tcPr>
            <w:tcW w:w="1928" w:type="dxa"/>
            <w:tcBorders>
              <w:top w:val="nil"/>
              <w:left w:val="nil"/>
              <w:bottom w:val="single" w:color="auto" w:sz="8" w:space="0"/>
              <w:right w:val="single" w:color="auto" w:sz="8" w:space="0"/>
            </w:tcBorders>
            <w:vAlign w:val="center"/>
          </w:tcPr>
          <w:p w14:paraId="614576D4">
            <w:pPr>
              <w:spacing w:before="100" w:beforeAutospacing="1" w:after="100" w:afterAutospacing="1" w:line="240" w:lineRule="atLeast"/>
              <w:jc w:val="center"/>
              <w:rPr>
                <w:rFonts w:ascii="宋体" w:hAnsi="宋体" w:cs="宋体"/>
                <w:color w:val="auto"/>
                <w:kern w:val="0"/>
                <w:szCs w:val="21"/>
                <w:highlight w:val="none"/>
              </w:rPr>
            </w:pPr>
          </w:p>
        </w:tc>
        <w:tc>
          <w:tcPr>
            <w:tcW w:w="2910" w:type="dxa"/>
            <w:gridSpan w:val="3"/>
            <w:tcBorders>
              <w:top w:val="nil"/>
              <w:left w:val="nil"/>
              <w:bottom w:val="single" w:color="auto" w:sz="8" w:space="0"/>
              <w:right w:val="single" w:color="auto" w:sz="8" w:space="0"/>
            </w:tcBorders>
            <w:vAlign w:val="center"/>
          </w:tcPr>
          <w:p w14:paraId="2DE8FEDD">
            <w:pPr>
              <w:spacing w:before="100" w:beforeAutospacing="1" w:after="100" w:afterAutospacing="1" w:line="240" w:lineRule="atLeast"/>
              <w:jc w:val="center"/>
              <w:rPr>
                <w:rFonts w:ascii="宋体" w:hAnsi="宋体" w:cs="宋体"/>
                <w:color w:val="auto"/>
                <w:kern w:val="0"/>
                <w:szCs w:val="21"/>
                <w:highlight w:val="none"/>
              </w:rPr>
            </w:pPr>
          </w:p>
        </w:tc>
        <w:tc>
          <w:tcPr>
            <w:tcW w:w="864" w:type="dxa"/>
            <w:gridSpan w:val="2"/>
            <w:tcBorders>
              <w:top w:val="nil"/>
              <w:left w:val="nil"/>
              <w:bottom w:val="single" w:color="auto" w:sz="8" w:space="0"/>
              <w:right w:val="single" w:color="auto" w:sz="8" w:space="0"/>
            </w:tcBorders>
            <w:vAlign w:val="center"/>
          </w:tcPr>
          <w:p w14:paraId="039EF809">
            <w:pPr>
              <w:spacing w:before="100" w:beforeAutospacing="1" w:after="100" w:afterAutospacing="1" w:line="240" w:lineRule="atLeast"/>
              <w:jc w:val="center"/>
              <w:rPr>
                <w:rFonts w:ascii="宋体" w:hAnsi="宋体" w:cs="宋体"/>
                <w:color w:val="auto"/>
                <w:kern w:val="0"/>
                <w:szCs w:val="21"/>
                <w:highlight w:val="none"/>
              </w:rPr>
            </w:pPr>
          </w:p>
        </w:tc>
        <w:tc>
          <w:tcPr>
            <w:tcW w:w="2363" w:type="dxa"/>
            <w:tcBorders>
              <w:top w:val="nil"/>
              <w:left w:val="nil"/>
              <w:bottom w:val="single" w:color="auto" w:sz="8" w:space="0"/>
              <w:right w:val="single" w:color="auto" w:sz="8" w:space="0"/>
            </w:tcBorders>
            <w:vAlign w:val="center"/>
          </w:tcPr>
          <w:p w14:paraId="1F7E7C44">
            <w:pPr>
              <w:spacing w:before="100" w:beforeAutospacing="1" w:after="100" w:afterAutospacing="1" w:line="240" w:lineRule="atLeast"/>
              <w:jc w:val="center"/>
              <w:rPr>
                <w:rFonts w:ascii="宋体" w:hAnsi="宋体" w:cs="宋体"/>
                <w:color w:val="auto"/>
                <w:kern w:val="0"/>
                <w:szCs w:val="21"/>
                <w:highlight w:val="none"/>
              </w:rPr>
            </w:pPr>
          </w:p>
        </w:tc>
      </w:tr>
      <w:tr w14:paraId="42553E48">
        <w:tblPrEx>
          <w:tblCellMar>
            <w:top w:w="0" w:type="dxa"/>
            <w:left w:w="0" w:type="dxa"/>
            <w:bottom w:w="0" w:type="dxa"/>
            <w:right w:w="0" w:type="dxa"/>
          </w:tblCellMar>
        </w:tblPrEx>
        <w:trPr>
          <w:trHeight w:val="404" w:hRule="atLeast"/>
          <w:jc w:val="center"/>
        </w:trPr>
        <w:tc>
          <w:tcPr>
            <w:tcW w:w="1334" w:type="dxa"/>
            <w:tcBorders>
              <w:top w:val="nil"/>
              <w:left w:val="single" w:color="auto" w:sz="8" w:space="0"/>
              <w:bottom w:val="single" w:color="auto" w:sz="8" w:space="0"/>
              <w:right w:val="single" w:color="auto" w:sz="8" w:space="0"/>
            </w:tcBorders>
            <w:vAlign w:val="center"/>
          </w:tcPr>
          <w:p w14:paraId="4D8D3957">
            <w:pPr>
              <w:spacing w:before="100" w:beforeAutospacing="1" w:after="100" w:afterAutospacing="1" w:line="240" w:lineRule="atLeast"/>
              <w:jc w:val="center"/>
              <w:rPr>
                <w:rFonts w:ascii="宋体" w:hAnsi="宋体" w:cs="宋体"/>
                <w:color w:val="auto"/>
                <w:kern w:val="0"/>
                <w:szCs w:val="21"/>
                <w:highlight w:val="none"/>
              </w:rPr>
            </w:pPr>
          </w:p>
        </w:tc>
        <w:tc>
          <w:tcPr>
            <w:tcW w:w="1928" w:type="dxa"/>
            <w:tcBorders>
              <w:top w:val="nil"/>
              <w:left w:val="nil"/>
              <w:bottom w:val="single" w:color="auto" w:sz="8" w:space="0"/>
              <w:right w:val="single" w:color="auto" w:sz="8" w:space="0"/>
            </w:tcBorders>
            <w:vAlign w:val="center"/>
          </w:tcPr>
          <w:p w14:paraId="55DCB115">
            <w:pPr>
              <w:spacing w:before="100" w:beforeAutospacing="1" w:after="100" w:afterAutospacing="1" w:line="240" w:lineRule="atLeast"/>
              <w:jc w:val="center"/>
              <w:rPr>
                <w:rFonts w:ascii="宋体" w:hAnsi="宋体" w:cs="宋体"/>
                <w:color w:val="auto"/>
                <w:kern w:val="0"/>
                <w:szCs w:val="21"/>
                <w:highlight w:val="none"/>
              </w:rPr>
            </w:pPr>
          </w:p>
        </w:tc>
        <w:tc>
          <w:tcPr>
            <w:tcW w:w="2910" w:type="dxa"/>
            <w:gridSpan w:val="3"/>
            <w:tcBorders>
              <w:top w:val="nil"/>
              <w:left w:val="nil"/>
              <w:bottom w:val="single" w:color="auto" w:sz="8" w:space="0"/>
              <w:right w:val="single" w:color="auto" w:sz="8" w:space="0"/>
            </w:tcBorders>
            <w:vAlign w:val="center"/>
          </w:tcPr>
          <w:p w14:paraId="75F3529E">
            <w:pPr>
              <w:spacing w:before="100" w:beforeAutospacing="1" w:after="100" w:afterAutospacing="1" w:line="240" w:lineRule="atLeast"/>
              <w:jc w:val="center"/>
              <w:rPr>
                <w:rFonts w:ascii="宋体" w:hAnsi="宋体" w:cs="宋体"/>
                <w:color w:val="auto"/>
                <w:kern w:val="0"/>
                <w:szCs w:val="21"/>
                <w:highlight w:val="none"/>
              </w:rPr>
            </w:pPr>
          </w:p>
        </w:tc>
        <w:tc>
          <w:tcPr>
            <w:tcW w:w="864" w:type="dxa"/>
            <w:gridSpan w:val="2"/>
            <w:tcBorders>
              <w:top w:val="nil"/>
              <w:left w:val="nil"/>
              <w:bottom w:val="single" w:color="auto" w:sz="8" w:space="0"/>
              <w:right w:val="single" w:color="auto" w:sz="8" w:space="0"/>
            </w:tcBorders>
            <w:vAlign w:val="center"/>
          </w:tcPr>
          <w:p w14:paraId="561F7E13">
            <w:pPr>
              <w:spacing w:before="100" w:beforeAutospacing="1" w:after="100" w:afterAutospacing="1" w:line="240" w:lineRule="atLeast"/>
              <w:jc w:val="center"/>
              <w:rPr>
                <w:rFonts w:ascii="宋体" w:hAnsi="宋体" w:cs="宋体"/>
                <w:color w:val="auto"/>
                <w:kern w:val="0"/>
                <w:szCs w:val="21"/>
                <w:highlight w:val="none"/>
              </w:rPr>
            </w:pPr>
          </w:p>
        </w:tc>
        <w:tc>
          <w:tcPr>
            <w:tcW w:w="2363" w:type="dxa"/>
            <w:tcBorders>
              <w:top w:val="nil"/>
              <w:left w:val="nil"/>
              <w:bottom w:val="single" w:color="auto" w:sz="8" w:space="0"/>
              <w:right w:val="single" w:color="auto" w:sz="8" w:space="0"/>
            </w:tcBorders>
            <w:vAlign w:val="center"/>
          </w:tcPr>
          <w:p w14:paraId="65D5C2B0">
            <w:pPr>
              <w:spacing w:before="100" w:beforeAutospacing="1" w:after="100" w:afterAutospacing="1" w:line="240" w:lineRule="atLeast"/>
              <w:jc w:val="center"/>
              <w:rPr>
                <w:rFonts w:ascii="宋体" w:hAnsi="宋体" w:cs="宋体"/>
                <w:color w:val="auto"/>
                <w:kern w:val="0"/>
                <w:szCs w:val="21"/>
                <w:highlight w:val="none"/>
              </w:rPr>
            </w:pPr>
          </w:p>
        </w:tc>
      </w:tr>
      <w:tr w14:paraId="6DD8E757">
        <w:tblPrEx>
          <w:tblCellMar>
            <w:top w:w="0" w:type="dxa"/>
            <w:left w:w="0" w:type="dxa"/>
            <w:bottom w:w="0" w:type="dxa"/>
            <w:right w:w="0" w:type="dxa"/>
          </w:tblCellMar>
        </w:tblPrEx>
        <w:trPr>
          <w:trHeight w:val="404" w:hRule="atLeast"/>
          <w:jc w:val="center"/>
        </w:trPr>
        <w:tc>
          <w:tcPr>
            <w:tcW w:w="1334" w:type="dxa"/>
            <w:tcBorders>
              <w:top w:val="nil"/>
              <w:left w:val="single" w:color="auto" w:sz="8" w:space="0"/>
              <w:bottom w:val="single" w:color="auto" w:sz="8" w:space="0"/>
              <w:right w:val="single" w:color="auto" w:sz="8" w:space="0"/>
            </w:tcBorders>
            <w:vAlign w:val="center"/>
          </w:tcPr>
          <w:p w14:paraId="43BD5530">
            <w:pPr>
              <w:spacing w:before="100" w:beforeAutospacing="1" w:after="100" w:afterAutospacing="1" w:line="240" w:lineRule="atLeast"/>
              <w:jc w:val="center"/>
              <w:rPr>
                <w:rFonts w:ascii="宋体" w:hAnsi="宋体" w:cs="宋体"/>
                <w:color w:val="auto"/>
                <w:kern w:val="0"/>
                <w:szCs w:val="21"/>
                <w:highlight w:val="none"/>
              </w:rPr>
            </w:pPr>
          </w:p>
        </w:tc>
        <w:tc>
          <w:tcPr>
            <w:tcW w:w="1928" w:type="dxa"/>
            <w:tcBorders>
              <w:top w:val="nil"/>
              <w:left w:val="nil"/>
              <w:bottom w:val="single" w:color="auto" w:sz="8" w:space="0"/>
              <w:right w:val="single" w:color="auto" w:sz="8" w:space="0"/>
            </w:tcBorders>
            <w:vAlign w:val="center"/>
          </w:tcPr>
          <w:p w14:paraId="77525A0C">
            <w:pPr>
              <w:spacing w:before="100" w:beforeAutospacing="1" w:after="100" w:afterAutospacing="1" w:line="240" w:lineRule="atLeast"/>
              <w:jc w:val="center"/>
              <w:rPr>
                <w:rFonts w:ascii="宋体" w:hAnsi="宋体" w:cs="宋体"/>
                <w:color w:val="auto"/>
                <w:kern w:val="0"/>
                <w:szCs w:val="21"/>
                <w:highlight w:val="none"/>
              </w:rPr>
            </w:pPr>
          </w:p>
        </w:tc>
        <w:tc>
          <w:tcPr>
            <w:tcW w:w="2910" w:type="dxa"/>
            <w:gridSpan w:val="3"/>
            <w:tcBorders>
              <w:top w:val="nil"/>
              <w:left w:val="nil"/>
              <w:bottom w:val="single" w:color="auto" w:sz="8" w:space="0"/>
              <w:right w:val="single" w:color="auto" w:sz="8" w:space="0"/>
            </w:tcBorders>
            <w:vAlign w:val="center"/>
          </w:tcPr>
          <w:p w14:paraId="31FD3667">
            <w:pPr>
              <w:spacing w:before="100" w:beforeAutospacing="1" w:after="100" w:afterAutospacing="1" w:line="240" w:lineRule="atLeast"/>
              <w:jc w:val="center"/>
              <w:rPr>
                <w:rFonts w:ascii="宋体" w:hAnsi="宋体" w:cs="宋体"/>
                <w:color w:val="auto"/>
                <w:kern w:val="0"/>
                <w:szCs w:val="21"/>
                <w:highlight w:val="none"/>
              </w:rPr>
            </w:pPr>
          </w:p>
        </w:tc>
        <w:tc>
          <w:tcPr>
            <w:tcW w:w="864" w:type="dxa"/>
            <w:gridSpan w:val="2"/>
            <w:tcBorders>
              <w:top w:val="nil"/>
              <w:left w:val="nil"/>
              <w:bottom w:val="single" w:color="auto" w:sz="8" w:space="0"/>
              <w:right w:val="single" w:color="auto" w:sz="8" w:space="0"/>
            </w:tcBorders>
            <w:vAlign w:val="center"/>
          </w:tcPr>
          <w:p w14:paraId="281C3FC5">
            <w:pPr>
              <w:spacing w:before="100" w:beforeAutospacing="1" w:after="100" w:afterAutospacing="1" w:line="240" w:lineRule="atLeast"/>
              <w:jc w:val="center"/>
              <w:rPr>
                <w:rFonts w:ascii="宋体" w:hAnsi="宋体" w:cs="宋体"/>
                <w:color w:val="auto"/>
                <w:kern w:val="0"/>
                <w:szCs w:val="21"/>
                <w:highlight w:val="none"/>
              </w:rPr>
            </w:pPr>
          </w:p>
        </w:tc>
        <w:tc>
          <w:tcPr>
            <w:tcW w:w="2363" w:type="dxa"/>
            <w:tcBorders>
              <w:top w:val="nil"/>
              <w:left w:val="nil"/>
              <w:bottom w:val="single" w:color="auto" w:sz="8" w:space="0"/>
              <w:right w:val="single" w:color="auto" w:sz="8" w:space="0"/>
            </w:tcBorders>
            <w:vAlign w:val="center"/>
          </w:tcPr>
          <w:p w14:paraId="4006B4E7">
            <w:pPr>
              <w:spacing w:before="100" w:beforeAutospacing="1" w:after="100" w:afterAutospacing="1" w:line="240" w:lineRule="atLeast"/>
              <w:jc w:val="center"/>
              <w:rPr>
                <w:rFonts w:ascii="宋体" w:hAnsi="宋体" w:cs="宋体"/>
                <w:color w:val="auto"/>
                <w:kern w:val="0"/>
                <w:szCs w:val="21"/>
                <w:highlight w:val="none"/>
              </w:rPr>
            </w:pPr>
          </w:p>
        </w:tc>
      </w:tr>
      <w:tr w14:paraId="19020210">
        <w:tblPrEx>
          <w:tblCellMar>
            <w:top w:w="0" w:type="dxa"/>
            <w:left w:w="0" w:type="dxa"/>
            <w:bottom w:w="0" w:type="dxa"/>
            <w:right w:w="0" w:type="dxa"/>
          </w:tblCellMar>
        </w:tblPrEx>
        <w:trPr>
          <w:trHeight w:val="414" w:hRule="atLeast"/>
          <w:jc w:val="center"/>
        </w:trPr>
        <w:tc>
          <w:tcPr>
            <w:tcW w:w="6172" w:type="dxa"/>
            <w:gridSpan w:val="5"/>
            <w:tcBorders>
              <w:top w:val="nil"/>
              <w:left w:val="single" w:color="auto" w:sz="8" w:space="0"/>
              <w:bottom w:val="single" w:color="auto" w:sz="8" w:space="0"/>
              <w:right w:val="single" w:color="auto" w:sz="8" w:space="0"/>
            </w:tcBorders>
            <w:vAlign w:val="center"/>
          </w:tcPr>
          <w:p w14:paraId="62706018">
            <w:pPr>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hint="eastAsia" w:ascii="宋体" w:hAnsi="宋体" w:cs="宋体"/>
                <w:color w:val="auto"/>
                <w:kern w:val="0"/>
                <w:szCs w:val="21"/>
                <w:highlight w:val="none"/>
              </w:rPr>
              <w:t>合 计</w:t>
            </w:r>
          </w:p>
        </w:tc>
        <w:tc>
          <w:tcPr>
            <w:tcW w:w="864" w:type="dxa"/>
            <w:gridSpan w:val="2"/>
            <w:tcBorders>
              <w:top w:val="nil"/>
              <w:left w:val="nil"/>
              <w:bottom w:val="single" w:color="auto" w:sz="8" w:space="0"/>
              <w:right w:val="single" w:color="auto" w:sz="8" w:space="0"/>
            </w:tcBorders>
            <w:vAlign w:val="center"/>
          </w:tcPr>
          <w:p w14:paraId="3E6DD534">
            <w:pPr>
              <w:spacing w:before="100" w:beforeAutospacing="1" w:after="100" w:afterAutospacing="1" w:line="240" w:lineRule="atLeast"/>
              <w:jc w:val="center"/>
              <w:rPr>
                <w:rFonts w:ascii="宋体" w:hAnsi="宋体" w:cs="宋体"/>
                <w:color w:val="auto"/>
                <w:kern w:val="0"/>
                <w:szCs w:val="21"/>
                <w:highlight w:val="none"/>
              </w:rPr>
            </w:pPr>
          </w:p>
        </w:tc>
        <w:tc>
          <w:tcPr>
            <w:tcW w:w="2363" w:type="dxa"/>
            <w:tcBorders>
              <w:top w:val="nil"/>
              <w:left w:val="nil"/>
              <w:bottom w:val="single" w:color="auto" w:sz="8" w:space="0"/>
              <w:right w:val="single" w:color="auto" w:sz="8" w:space="0"/>
            </w:tcBorders>
            <w:vAlign w:val="center"/>
          </w:tcPr>
          <w:p w14:paraId="5FFBD1CC">
            <w:pPr>
              <w:spacing w:before="100" w:beforeAutospacing="1" w:after="100" w:afterAutospacing="1" w:line="240" w:lineRule="atLeast"/>
              <w:jc w:val="center"/>
              <w:rPr>
                <w:rFonts w:ascii="宋体" w:hAnsi="宋体" w:cs="宋体"/>
                <w:color w:val="auto"/>
                <w:kern w:val="0"/>
                <w:szCs w:val="21"/>
                <w:highlight w:val="none"/>
              </w:rPr>
            </w:pPr>
          </w:p>
        </w:tc>
      </w:tr>
      <w:tr w14:paraId="6DC85073">
        <w:tblPrEx>
          <w:tblCellMar>
            <w:top w:w="0" w:type="dxa"/>
            <w:left w:w="0" w:type="dxa"/>
            <w:bottom w:w="0" w:type="dxa"/>
            <w:right w:w="0" w:type="dxa"/>
          </w:tblCellMar>
        </w:tblPrEx>
        <w:trPr>
          <w:trHeight w:val="414" w:hRule="atLeast"/>
          <w:jc w:val="center"/>
        </w:trPr>
        <w:tc>
          <w:tcPr>
            <w:tcW w:w="9399" w:type="dxa"/>
            <w:gridSpan w:val="8"/>
            <w:tcBorders>
              <w:top w:val="nil"/>
              <w:left w:val="single" w:color="auto" w:sz="8" w:space="0"/>
              <w:bottom w:val="single" w:color="auto" w:sz="8" w:space="0"/>
              <w:right w:val="single" w:color="auto" w:sz="8" w:space="0"/>
            </w:tcBorders>
            <w:vAlign w:val="center"/>
          </w:tcPr>
          <w:p w14:paraId="5CB86DDE">
            <w:pPr>
              <w:snapToGrid w:val="0"/>
              <w:spacing w:before="100" w:beforeAutospacing="1" w:after="100"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 仟 佰 拾 万 仟 佰 拾 元</w:t>
            </w:r>
          </w:p>
        </w:tc>
      </w:tr>
      <w:tr w14:paraId="52135252">
        <w:tblPrEx>
          <w:tblCellMar>
            <w:top w:w="0" w:type="dxa"/>
            <w:left w:w="0" w:type="dxa"/>
            <w:bottom w:w="0" w:type="dxa"/>
            <w:right w:w="0" w:type="dxa"/>
          </w:tblCellMar>
        </w:tblPrEx>
        <w:trPr>
          <w:trHeight w:val="414" w:hRule="atLeast"/>
          <w:jc w:val="center"/>
        </w:trPr>
        <w:tc>
          <w:tcPr>
            <w:tcW w:w="1334" w:type="dxa"/>
            <w:tcBorders>
              <w:top w:val="nil"/>
              <w:left w:val="single" w:color="auto" w:sz="8" w:space="0"/>
              <w:bottom w:val="single" w:color="auto" w:sz="8" w:space="0"/>
              <w:right w:val="single" w:color="auto" w:sz="8" w:space="0"/>
            </w:tcBorders>
            <w:vAlign w:val="center"/>
          </w:tcPr>
          <w:p w14:paraId="0BB2E2FD">
            <w:pPr>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2727" w:type="dxa"/>
            <w:gridSpan w:val="2"/>
            <w:tcBorders>
              <w:top w:val="nil"/>
              <w:left w:val="nil"/>
              <w:bottom w:val="single" w:color="auto" w:sz="8" w:space="0"/>
              <w:right w:val="single" w:color="auto" w:sz="8" w:space="0"/>
            </w:tcBorders>
            <w:vAlign w:val="center"/>
          </w:tcPr>
          <w:p w14:paraId="3572A5BD">
            <w:pPr>
              <w:spacing w:before="100" w:beforeAutospacing="1" w:after="100" w:afterAutospacing="1" w:line="240" w:lineRule="atLeast"/>
              <w:jc w:val="center"/>
              <w:rPr>
                <w:rFonts w:ascii="宋体" w:hAnsi="宋体" w:cs="宋体"/>
                <w:color w:val="auto"/>
                <w:kern w:val="0"/>
                <w:szCs w:val="21"/>
                <w:highlight w:val="none"/>
              </w:rPr>
            </w:pPr>
          </w:p>
        </w:tc>
        <w:tc>
          <w:tcPr>
            <w:tcW w:w="2289" w:type="dxa"/>
            <w:gridSpan w:val="3"/>
            <w:tcBorders>
              <w:top w:val="nil"/>
              <w:left w:val="nil"/>
              <w:bottom w:val="single" w:color="auto" w:sz="8" w:space="0"/>
              <w:right w:val="single" w:color="auto" w:sz="8" w:space="0"/>
            </w:tcBorders>
            <w:vAlign w:val="center"/>
          </w:tcPr>
          <w:p w14:paraId="0022C793">
            <w:pPr>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3049" w:type="dxa"/>
            <w:gridSpan w:val="2"/>
            <w:tcBorders>
              <w:top w:val="nil"/>
              <w:left w:val="nil"/>
              <w:bottom w:val="single" w:color="auto" w:sz="8" w:space="0"/>
              <w:right w:val="single" w:color="auto" w:sz="8" w:space="0"/>
            </w:tcBorders>
            <w:vAlign w:val="center"/>
          </w:tcPr>
          <w:p w14:paraId="4BB01975">
            <w:pPr>
              <w:spacing w:before="100" w:beforeAutospacing="1" w:after="100" w:afterAutospacing="1" w:line="240" w:lineRule="atLeast"/>
              <w:jc w:val="center"/>
              <w:rPr>
                <w:rFonts w:ascii="宋体" w:hAnsi="宋体" w:cs="宋体"/>
                <w:color w:val="auto"/>
                <w:kern w:val="0"/>
                <w:szCs w:val="21"/>
                <w:highlight w:val="none"/>
              </w:rPr>
            </w:pPr>
          </w:p>
        </w:tc>
      </w:tr>
      <w:tr w14:paraId="7260A27F">
        <w:tblPrEx>
          <w:tblCellMar>
            <w:top w:w="0" w:type="dxa"/>
            <w:left w:w="0" w:type="dxa"/>
            <w:bottom w:w="0" w:type="dxa"/>
            <w:right w:w="0" w:type="dxa"/>
          </w:tblCellMar>
        </w:tblPrEx>
        <w:trPr>
          <w:trHeight w:val="404" w:hRule="atLeast"/>
          <w:jc w:val="center"/>
        </w:trPr>
        <w:tc>
          <w:tcPr>
            <w:tcW w:w="1334" w:type="dxa"/>
            <w:tcBorders>
              <w:top w:val="nil"/>
              <w:left w:val="single" w:color="auto" w:sz="8" w:space="0"/>
              <w:bottom w:val="single" w:color="auto" w:sz="8" w:space="0"/>
              <w:right w:val="single" w:color="auto" w:sz="8" w:space="0"/>
            </w:tcBorders>
            <w:vAlign w:val="center"/>
          </w:tcPr>
          <w:p w14:paraId="518326C4">
            <w:pPr>
              <w:spacing w:before="100" w:beforeAutospacing="1" w:after="100" w:afterAutospacing="1" w:line="240" w:lineRule="atLeast"/>
              <w:jc w:val="center"/>
              <w:rPr>
                <w:rFonts w:ascii="宋体" w:hAnsi="宋体" w:cs="宋体"/>
                <w:color w:val="auto"/>
                <w:kern w:val="0"/>
                <w:szCs w:val="21"/>
                <w:highlight w:val="none"/>
              </w:rPr>
            </w:pPr>
          </w:p>
        </w:tc>
        <w:tc>
          <w:tcPr>
            <w:tcW w:w="2727" w:type="dxa"/>
            <w:gridSpan w:val="2"/>
            <w:tcBorders>
              <w:top w:val="nil"/>
              <w:left w:val="nil"/>
              <w:bottom w:val="single" w:color="auto" w:sz="8" w:space="0"/>
              <w:right w:val="single" w:color="auto" w:sz="8" w:space="0"/>
            </w:tcBorders>
            <w:vAlign w:val="center"/>
          </w:tcPr>
          <w:p w14:paraId="1284EFA8">
            <w:pPr>
              <w:spacing w:before="100" w:beforeAutospacing="1" w:after="100" w:afterAutospacing="1" w:line="240" w:lineRule="atLeast"/>
              <w:jc w:val="center"/>
              <w:rPr>
                <w:rFonts w:ascii="宋体" w:hAnsi="宋体" w:cs="宋体"/>
                <w:color w:val="auto"/>
                <w:kern w:val="0"/>
                <w:szCs w:val="21"/>
                <w:highlight w:val="none"/>
              </w:rPr>
            </w:pPr>
          </w:p>
        </w:tc>
        <w:tc>
          <w:tcPr>
            <w:tcW w:w="2289" w:type="dxa"/>
            <w:gridSpan w:val="3"/>
            <w:tcBorders>
              <w:top w:val="nil"/>
              <w:left w:val="nil"/>
              <w:bottom w:val="single" w:color="auto" w:sz="8" w:space="0"/>
              <w:right w:val="single" w:color="auto" w:sz="8" w:space="0"/>
            </w:tcBorders>
            <w:vAlign w:val="center"/>
          </w:tcPr>
          <w:p w14:paraId="69E48924">
            <w:pPr>
              <w:spacing w:before="100" w:beforeAutospacing="1" w:after="100" w:afterAutospacing="1" w:line="240" w:lineRule="atLeast"/>
              <w:jc w:val="center"/>
              <w:rPr>
                <w:rFonts w:ascii="宋体" w:hAnsi="宋体" w:cs="宋体"/>
                <w:color w:val="auto"/>
                <w:kern w:val="0"/>
                <w:szCs w:val="21"/>
                <w:highlight w:val="none"/>
              </w:rPr>
            </w:pPr>
          </w:p>
        </w:tc>
        <w:tc>
          <w:tcPr>
            <w:tcW w:w="3049" w:type="dxa"/>
            <w:gridSpan w:val="2"/>
            <w:tcBorders>
              <w:top w:val="nil"/>
              <w:left w:val="nil"/>
              <w:bottom w:val="single" w:color="auto" w:sz="8" w:space="0"/>
              <w:right w:val="single" w:color="auto" w:sz="8" w:space="0"/>
            </w:tcBorders>
            <w:vAlign w:val="center"/>
          </w:tcPr>
          <w:p w14:paraId="63B52708">
            <w:pPr>
              <w:spacing w:before="100" w:beforeAutospacing="1" w:after="100" w:afterAutospacing="1" w:line="240" w:lineRule="atLeast"/>
              <w:jc w:val="center"/>
              <w:rPr>
                <w:rFonts w:ascii="宋体" w:hAnsi="宋体" w:cs="宋体"/>
                <w:color w:val="auto"/>
                <w:kern w:val="0"/>
                <w:szCs w:val="21"/>
                <w:highlight w:val="none"/>
              </w:rPr>
            </w:pPr>
          </w:p>
        </w:tc>
      </w:tr>
      <w:tr w14:paraId="14C70252">
        <w:tblPrEx>
          <w:tblCellMar>
            <w:top w:w="0" w:type="dxa"/>
            <w:left w:w="0" w:type="dxa"/>
            <w:bottom w:w="0" w:type="dxa"/>
            <w:right w:w="0" w:type="dxa"/>
          </w:tblCellMar>
        </w:tblPrEx>
        <w:trPr>
          <w:trHeight w:val="1195" w:hRule="atLeast"/>
          <w:jc w:val="center"/>
        </w:trPr>
        <w:tc>
          <w:tcPr>
            <w:tcW w:w="133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BC26093">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8065"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C940A80">
            <w:pPr>
              <w:snapToGrid w:val="0"/>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磋商文件、投标响应文件及验收方案等进行验收；并核对中标或者成交供应商在服务数量、质量等方面是否违反合同约定或服务规范要求、提供的质量保证证明材料是否齐全、应有的服务内容是否达到合同约定等。可附件)</w:t>
            </w:r>
          </w:p>
        </w:tc>
      </w:tr>
      <w:tr w14:paraId="67A9A4A1">
        <w:tblPrEx>
          <w:tblCellMar>
            <w:top w:w="0" w:type="dxa"/>
            <w:left w:w="0" w:type="dxa"/>
            <w:bottom w:w="0" w:type="dxa"/>
            <w:right w:w="0" w:type="dxa"/>
          </w:tblCellMar>
        </w:tblPrEx>
        <w:trPr>
          <w:trHeight w:val="509" w:hRule="atLeast"/>
          <w:jc w:val="center"/>
        </w:trPr>
        <w:tc>
          <w:tcPr>
            <w:tcW w:w="133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5C5840">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8065" w:type="dxa"/>
            <w:gridSpan w:val="7"/>
            <w:tcBorders>
              <w:top w:val="nil"/>
              <w:left w:val="nil"/>
              <w:bottom w:val="single" w:color="auto" w:sz="8" w:space="0"/>
              <w:right w:val="single" w:color="auto" w:sz="8" w:space="0"/>
            </w:tcBorders>
            <w:vAlign w:val="center"/>
          </w:tcPr>
          <w:p w14:paraId="36AC515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tc>
      </w:tr>
      <w:tr w14:paraId="7230242C">
        <w:tblPrEx>
          <w:tblCellMar>
            <w:top w:w="0" w:type="dxa"/>
            <w:left w:w="0" w:type="dxa"/>
            <w:bottom w:w="0" w:type="dxa"/>
            <w:right w:w="0" w:type="dxa"/>
          </w:tblCellMar>
        </w:tblPrEx>
        <w:trPr>
          <w:trHeight w:val="1146" w:hRule="atLeast"/>
          <w:jc w:val="center"/>
        </w:trPr>
        <w:tc>
          <w:tcPr>
            <w:tcW w:w="1334" w:type="dxa"/>
            <w:vMerge w:val="continue"/>
            <w:tcBorders>
              <w:top w:val="nil"/>
              <w:left w:val="single" w:color="auto" w:sz="8" w:space="0"/>
              <w:bottom w:val="single" w:color="auto" w:sz="8" w:space="0"/>
              <w:right w:val="single" w:color="auto" w:sz="8" w:space="0"/>
            </w:tcBorders>
            <w:vAlign w:val="center"/>
          </w:tcPr>
          <w:p w14:paraId="2C981CA3">
            <w:pPr>
              <w:jc w:val="left"/>
              <w:rPr>
                <w:rFonts w:ascii="宋体" w:hAnsi="宋体" w:cs="宋体"/>
                <w:color w:val="auto"/>
                <w:kern w:val="0"/>
                <w:szCs w:val="21"/>
                <w:highlight w:val="none"/>
              </w:rPr>
            </w:pPr>
          </w:p>
        </w:tc>
        <w:tc>
          <w:tcPr>
            <w:tcW w:w="8065" w:type="dxa"/>
            <w:gridSpan w:val="7"/>
            <w:tcBorders>
              <w:top w:val="nil"/>
              <w:left w:val="nil"/>
              <w:bottom w:val="single" w:color="auto" w:sz="8" w:space="0"/>
              <w:right w:val="single" w:color="auto" w:sz="8" w:space="0"/>
            </w:tcBorders>
            <w:vAlign w:val="center"/>
          </w:tcPr>
          <w:p w14:paraId="05F9C8CA">
            <w:pPr>
              <w:spacing w:before="100" w:beforeAutospacing="1" w:after="100" w:afterAutospacing="1" w:line="320" w:lineRule="atLeast"/>
              <w:ind w:firstLine="96"/>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7C9F0C2D">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7980D926">
        <w:tblPrEx>
          <w:tblCellMar>
            <w:top w:w="0" w:type="dxa"/>
            <w:left w:w="0" w:type="dxa"/>
            <w:bottom w:w="0" w:type="dxa"/>
            <w:right w:w="0" w:type="dxa"/>
          </w:tblCellMar>
        </w:tblPrEx>
        <w:trPr>
          <w:trHeight w:val="414" w:hRule="atLeast"/>
          <w:jc w:val="center"/>
        </w:trPr>
        <w:tc>
          <w:tcPr>
            <w:tcW w:w="9399"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2D488A">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41C28459">
        <w:tblPrEx>
          <w:tblCellMar>
            <w:top w:w="0" w:type="dxa"/>
            <w:left w:w="0" w:type="dxa"/>
            <w:bottom w:w="0" w:type="dxa"/>
            <w:right w:w="0" w:type="dxa"/>
          </w:tblCellMar>
        </w:tblPrEx>
        <w:trPr>
          <w:trHeight w:val="1146" w:hRule="atLeast"/>
          <w:jc w:val="center"/>
        </w:trPr>
        <w:tc>
          <w:tcPr>
            <w:tcW w:w="9399" w:type="dxa"/>
            <w:gridSpan w:val="8"/>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14:paraId="2A840249">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40B22D5">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5F1C62E4">
        <w:tblPrEx>
          <w:tblCellMar>
            <w:top w:w="0" w:type="dxa"/>
            <w:left w:w="0" w:type="dxa"/>
            <w:bottom w:w="0" w:type="dxa"/>
            <w:right w:w="0" w:type="dxa"/>
          </w:tblCellMar>
        </w:tblPrEx>
        <w:trPr>
          <w:trHeight w:val="1146" w:hRule="atLeast"/>
          <w:jc w:val="center"/>
        </w:trPr>
        <w:tc>
          <w:tcPr>
            <w:tcW w:w="4164" w:type="dxa"/>
            <w:gridSpan w:val="4"/>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14:paraId="539534ED">
            <w:pPr>
              <w:spacing w:before="100" w:beforeAutospacing="1" w:after="100" w:afterAutospacing="1" w:line="320" w:lineRule="atLeast"/>
              <w:ind w:firstLine="74"/>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w:t>
            </w:r>
          </w:p>
          <w:p w14:paraId="2273F26C">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c>
          <w:tcPr>
            <w:tcW w:w="5235" w:type="dxa"/>
            <w:gridSpan w:val="4"/>
            <w:tcBorders>
              <w:top w:val="single" w:color="auto" w:sz="4" w:space="0"/>
              <w:left w:val="single" w:color="auto" w:sz="4" w:space="0"/>
              <w:bottom w:val="single" w:color="auto" w:sz="4" w:space="0"/>
              <w:right w:val="single" w:color="auto" w:sz="4" w:space="0"/>
            </w:tcBorders>
            <w:vAlign w:val="center"/>
          </w:tcPr>
          <w:p w14:paraId="660F301F">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采购人或受托机构的意见（盖章）：</w:t>
            </w:r>
          </w:p>
          <w:p w14:paraId="04E9B386">
            <w:pPr>
              <w:spacing w:before="100" w:beforeAutospacing="1" w:after="100"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w:t>
            </w:r>
          </w:p>
        </w:tc>
      </w:tr>
    </w:tbl>
    <w:p w14:paraId="4E57AF39">
      <w:pPr>
        <w:pStyle w:val="5"/>
        <w:keepNext w:val="0"/>
        <w:keepLines w:val="0"/>
        <w:spacing w:before="0" w:after="0" w:line="240" w:lineRule="auto"/>
        <w:jc w:val="center"/>
        <w:rPr>
          <w:rFonts w:ascii="宋体" w:hAnsi="宋体" w:cs="宋体"/>
          <w:b w:val="0"/>
          <w:color w:val="auto"/>
          <w:kern w:val="2"/>
          <w:sz w:val="36"/>
          <w:szCs w:val="36"/>
          <w:highlight w:val="none"/>
        </w:rPr>
      </w:pPr>
    </w:p>
    <w:p w14:paraId="679FF4E0">
      <w:pPr>
        <w:rPr>
          <w:rFonts w:ascii="宋体" w:hAnsi="宋体" w:cs="宋体"/>
          <w:b/>
          <w:color w:val="auto"/>
          <w:sz w:val="36"/>
          <w:szCs w:val="36"/>
          <w:highlight w:val="none"/>
        </w:rPr>
      </w:pPr>
    </w:p>
    <w:p w14:paraId="02C99732">
      <w:pPr>
        <w:pStyle w:val="27"/>
        <w:ind w:firstLine="640"/>
        <w:rPr>
          <w:color w:val="auto"/>
          <w:highlight w:val="none"/>
        </w:rPr>
      </w:pPr>
    </w:p>
    <w:p w14:paraId="1BE95CD4">
      <w:pPr>
        <w:pStyle w:val="18"/>
        <w:rPr>
          <w:rFonts w:ascii="宋体" w:hAnsi="宋体" w:cs="宋体"/>
          <w:b/>
          <w:color w:val="auto"/>
          <w:sz w:val="36"/>
          <w:szCs w:val="36"/>
          <w:highlight w:val="none"/>
        </w:rPr>
      </w:pPr>
    </w:p>
    <w:p w14:paraId="2A097C0E">
      <w:pPr>
        <w:rPr>
          <w:rFonts w:ascii="宋体" w:hAnsi="宋体" w:cs="宋体"/>
          <w:color w:val="auto"/>
          <w:highlight w:val="none"/>
        </w:rPr>
      </w:pPr>
    </w:p>
    <w:p w14:paraId="6B3C894B">
      <w:pPr>
        <w:rPr>
          <w:rFonts w:ascii="宋体" w:hAnsi="宋体" w:cs="宋体"/>
          <w:color w:val="auto"/>
          <w:highlight w:val="none"/>
        </w:rPr>
      </w:pPr>
    </w:p>
    <w:bookmarkEnd w:id="30"/>
    <w:p w14:paraId="7F9269DF">
      <w:pPr>
        <w:numPr>
          <w:ilvl w:val="0"/>
          <w:numId w:val="3"/>
        </w:num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bookmarkStart w:id="41" w:name="_Toc181203097"/>
      <w:bookmarkStart w:id="42" w:name="_Toc483412665"/>
      <w:r>
        <w:rPr>
          <w:rFonts w:hint="eastAsia" w:cs="仿宋_GB2312" w:asciiTheme="minorEastAsia" w:hAnsiTheme="minorEastAsia" w:eastAsiaTheme="minorEastAsia"/>
          <w:b/>
          <w:color w:val="auto"/>
          <w:sz w:val="32"/>
          <w:szCs w:val="32"/>
          <w:highlight w:val="none"/>
        </w:rPr>
        <w:t xml:space="preserve"> 采购需求</w:t>
      </w:r>
      <w:bookmarkEnd w:id="41"/>
    </w:p>
    <w:p w14:paraId="6E6B62C3">
      <w:pPr>
        <w:keepNext w:val="0"/>
        <w:keepLines w:val="0"/>
        <w:pageBreakBefore w:val="0"/>
        <w:widowControl w:val="0"/>
        <w:kinsoku w:val="0"/>
        <w:wordWrap/>
        <w:overflowPunct w:val="0"/>
        <w:topLinePunct w:val="0"/>
        <w:autoSpaceDE/>
        <w:autoSpaceDN/>
        <w:bidi w:val="0"/>
        <w:snapToGrid/>
        <w:spacing w:line="320" w:lineRule="exact"/>
        <w:ind w:firstLine="361" w:firstLineChars="200"/>
        <w:textAlignment w:val="auto"/>
        <w:rPr>
          <w:rFonts w:ascii="宋体" w:hAnsi="宋体" w:cs="宋体"/>
          <w:b/>
          <w:bCs/>
          <w:color w:val="auto"/>
          <w:sz w:val="18"/>
          <w:szCs w:val="18"/>
          <w:highlight w:val="none"/>
        </w:rPr>
      </w:pPr>
      <w:r>
        <w:rPr>
          <w:rFonts w:hint="eastAsia" w:ascii="宋体" w:hAnsi="宋体" w:cs="宋体"/>
          <w:b/>
          <w:bCs/>
          <w:color w:val="auto"/>
          <w:sz w:val="18"/>
          <w:szCs w:val="18"/>
          <w:highlight w:val="none"/>
        </w:rPr>
        <w:t>说明：</w:t>
      </w:r>
    </w:p>
    <w:p w14:paraId="506D491F">
      <w:pPr>
        <w:keepNext w:val="0"/>
        <w:keepLines w:val="0"/>
        <w:pageBreakBefore w:val="0"/>
        <w:widowControl w:val="0"/>
        <w:kinsoku w:val="0"/>
        <w:wordWrap/>
        <w:overflowPunct w:val="0"/>
        <w:topLinePunct w:val="0"/>
        <w:autoSpaceDE/>
        <w:autoSpaceDN/>
        <w:bidi w:val="0"/>
        <w:snapToGrid/>
        <w:spacing w:line="320" w:lineRule="exact"/>
        <w:ind w:firstLine="361" w:firstLineChars="200"/>
        <w:textAlignment w:val="auto"/>
        <w:rPr>
          <w:rFonts w:ascii="宋体" w:hAnsi="宋体" w:cs="宋体"/>
          <w:color w:val="auto"/>
          <w:sz w:val="18"/>
          <w:szCs w:val="18"/>
          <w:highlight w:val="none"/>
        </w:rPr>
      </w:pPr>
      <w:r>
        <w:rPr>
          <w:rFonts w:hint="eastAsia" w:ascii="宋体" w:hAnsi="宋体" w:cs="宋体"/>
          <w:b/>
          <w:bCs/>
          <w:color w:val="auto"/>
          <w:sz w:val="18"/>
          <w:szCs w:val="18"/>
          <w:highlight w:val="none"/>
        </w:rPr>
        <w:t>1.项目名称：</w:t>
      </w:r>
      <w:r>
        <w:rPr>
          <w:rFonts w:hint="eastAsia" w:ascii="宋体" w:hAnsi="宋体" w:cs="宋体"/>
          <w:color w:val="auto"/>
          <w:sz w:val="18"/>
          <w:szCs w:val="18"/>
          <w:highlight w:val="none"/>
        </w:rPr>
        <w:t>北海市就业驿站运行管理服务</w:t>
      </w:r>
    </w:p>
    <w:p w14:paraId="15958D53">
      <w:pPr>
        <w:keepNext w:val="0"/>
        <w:keepLines w:val="0"/>
        <w:pageBreakBefore w:val="0"/>
        <w:widowControl w:val="0"/>
        <w:kinsoku w:val="0"/>
        <w:wordWrap/>
        <w:overflowPunct w:val="0"/>
        <w:topLinePunct w:val="0"/>
        <w:autoSpaceDE/>
        <w:autoSpaceDN/>
        <w:bidi w:val="0"/>
        <w:snapToGrid/>
        <w:spacing w:line="320" w:lineRule="exact"/>
        <w:ind w:firstLine="361" w:firstLineChars="200"/>
        <w:textAlignment w:val="auto"/>
        <w:rPr>
          <w:rFonts w:hint="eastAsia" w:ascii="宋体" w:hAnsi="宋体" w:eastAsia="宋体" w:cs="宋体"/>
          <w:color w:val="auto"/>
          <w:sz w:val="18"/>
          <w:szCs w:val="18"/>
          <w:highlight w:val="none"/>
          <w:lang w:eastAsia="zh-CN"/>
        </w:rPr>
      </w:pPr>
      <w:r>
        <w:rPr>
          <w:rFonts w:hint="eastAsia" w:ascii="宋体" w:hAnsi="宋体" w:cs="宋体"/>
          <w:b/>
          <w:bCs/>
          <w:color w:val="auto"/>
          <w:sz w:val="18"/>
          <w:szCs w:val="18"/>
          <w:highlight w:val="none"/>
        </w:rPr>
        <w:t>2.项目编号：</w:t>
      </w:r>
      <w:r>
        <w:rPr>
          <w:rFonts w:hint="eastAsia" w:ascii="宋体" w:hAnsi="宋体" w:cs="宋体"/>
          <w:color w:val="auto"/>
          <w:sz w:val="18"/>
          <w:szCs w:val="18"/>
          <w:highlight w:val="none"/>
          <w:lang w:eastAsia="zh-CN"/>
        </w:rPr>
        <w:t>BHZC2025-C3-990306-GXZF</w:t>
      </w:r>
    </w:p>
    <w:p w14:paraId="0710D188">
      <w:pPr>
        <w:keepNext w:val="0"/>
        <w:keepLines w:val="0"/>
        <w:pageBreakBefore w:val="0"/>
        <w:widowControl w:val="0"/>
        <w:kinsoku w:val="0"/>
        <w:wordWrap/>
        <w:overflowPunct w:val="0"/>
        <w:topLinePunct w:val="0"/>
        <w:autoSpaceDE/>
        <w:autoSpaceDN/>
        <w:bidi w:val="0"/>
        <w:snapToGrid/>
        <w:spacing w:line="320" w:lineRule="exact"/>
        <w:ind w:firstLine="361" w:firstLineChars="200"/>
        <w:textAlignment w:val="auto"/>
        <w:rPr>
          <w:rFonts w:ascii="宋体" w:hAnsi="宋体" w:cs="宋体"/>
          <w:color w:val="auto"/>
          <w:sz w:val="18"/>
          <w:szCs w:val="18"/>
          <w:highlight w:val="none"/>
        </w:rPr>
      </w:pPr>
      <w:r>
        <w:rPr>
          <w:rFonts w:hint="eastAsia" w:ascii="宋体" w:hAnsi="宋体" w:cs="宋体"/>
          <w:b/>
          <w:bCs/>
          <w:color w:val="auto"/>
          <w:sz w:val="18"/>
          <w:szCs w:val="18"/>
          <w:highlight w:val="none"/>
        </w:rPr>
        <w:t>3.项目类别：</w:t>
      </w:r>
      <w:r>
        <w:rPr>
          <w:rFonts w:hint="eastAsia" w:ascii="宋体" w:hAnsi="宋体" w:cs="宋体"/>
          <w:color w:val="auto"/>
          <w:sz w:val="18"/>
          <w:szCs w:val="18"/>
          <w:highlight w:val="none"/>
        </w:rPr>
        <w:t>服务类</w:t>
      </w:r>
    </w:p>
    <w:bookmarkEnd w:id="42"/>
    <w:p w14:paraId="0501F093">
      <w:pPr>
        <w:keepNext w:val="0"/>
        <w:keepLines w:val="0"/>
        <w:pageBreakBefore w:val="0"/>
        <w:widowControl w:val="0"/>
        <w:kinsoku/>
        <w:wordWrap/>
        <w:overflowPunct/>
        <w:topLinePunct w:val="0"/>
        <w:autoSpaceDE/>
        <w:autoSpaceDN/>
        <w:bidi w:val="0"/>
        <w:adjustRightInd w:val="0"/>
        <w:snapToGrid/>
        <w:spacing w:line="320" w:lineRule="exact"/>
        <w:ind w:firstLine="361" w:firstLineChars="200"/>
        <w:textAlignment w:val="auto"/>
        <w:rPr>
          <w:rFonts w:hint="eastAsia" w:ascii="Times New Roman" w:hAnsi="宋体" w:eastAsia="宋体" w:cs="宋体"/>
          <w:color w:val="auto"/>
          <w:sz w:val="18"/>
          <w:szCs w:val="18"/>
          <w:highlight w:val="none"/>
          <w:lang w:val="en-US" w:eastAsia="zh-CN"/>
        </w:rPr>
      </w:pPr>
      <w:r>
        <w:rPr>
          <w:rFonts w:hint="eastAsia" w:hAnsi="宋体" w:cs="宋体"/>
          <w:b/>
          <w:bCs/>
          <w:color w:val="auto"/>
          <w:sz w:val="18"/>
          <w:szCs w:val="18"/>
          <w:highlight w:val="none"/>
        </w:rPr>
        <w:t>4.采购预算</w:t>
      </w:r>
      <w:r>
        <w:rPr>
          <w:rFonts w:hint="eastAsia" w:hAnsi="宋体" w:cs="宋体"/>
          <w:b/>
          <w:bCs/>
          <w:color w:val="auto"/>
          <w:sz w:val="18"/>
          <w:szCs w:val="18"/>
          <w:highlight w:val="none"/>
          <w:lang w:eastAsia="zh-CN"/>
        </w:rPr>
        <w:t>总金额</w:t>
      </w:r>
      <w:r>
        <w:rPr>
          <w:rFonts w:hint="eastAsia" w:hAnsi="宋体" w:cs="宋体"/>
          <w:b/>
          <w:bCs/>
          <w:color w:val="auto"/>
          <w:sz w:val="18"/>
          <w:szCs w:val="18"/>
          <w:highlight w:val="none"/>
        </w:rPr>
        <w:t>：</w:t>
      </w:r>
      <w:r>
        <w:rPr>
          <w:rFonts w:hint="eastAsia" w:ascii="Times New Roman" w:hAnsi="宋体" w:eastAsia="宋体" w:cs="宋体"/>
          <w:color w:val="auto"/>
          <w:sz w:val="18"/>
          <w:szCs w:val="18"/>
          <w:highlight w:val="none"/>
        </w:rPr>
        <w:t>人民币</w:t>
      </w:r>
      <w:r>
        <w:rPr>
          <w:rFonts w:hint="eastAsia" w:ascii="Times New Roman" w:hAnsi="宋体" w:eastAsia="宋体" w:cs="宋体"/>
          <w:color w:val="auto"/>
          <w:sz w:val="18"/>
          <w:szCs w:val="18"/>
          <w:highlight w:val="none"/>
          <w:lang w:eastAsia="zh-CN"/>
        </w:rPr>
        <w:t>壹佰捌拾陆万</w:t>
      </w:r>
      <w:r>
        <w:rPr>
          <w:rFonts w:hint="eastAsia" w:ascii="Times New Roman" w:hAnsi="宋体" w:eastAsia="宋体" w:cs="宋体"/>
          <w:color w:val="auto"/>
          <w:sz w:val="18"/>
          <w:szCs w:val="18"/>
          <w:highlight w:val="none"/>
        </w:rPr>
        <w:t>元整（¥</w:t>
      </w:r>
      <w:r>
        <w:rPr>
          <w:rFonts w:hint="eastAsia" w:ascii="Times New Roman" w:hAnsi="宋体" w:eastAsia="宋体" w:cs="宋体"/>
          <w:color w:val="auto"/>
          <w:sz w:val="18"/>
          <w:szCs w:val="18"/>
          <w:highlight w:val="none"/>
          <w:lang w:val="en-US" w:eastAsia="zh-CN"/>
        </w:rPr>
        <w:t>186</w:t>
      </w:r>
      <w:r>
        <w:rPr>
          <w:rFonts w:hint="eastAsia" w:ascii="Times New Roman" w:hAnsi="宋体" w:eastAsia="宋体" w:cs="宋体"/>
          <w:color w:val="auto"/>
          <w:sz w:val="18"/>
          <w:szCs w:val="18"/>
          <w:highlight w:val="none"/>
        </w:rPr>
        <w:t>0000.00）</w:t>
      </w:r>
      <w:r>
        <w:rPr>
          <w:rFonts w:hint="eastAsia" w:ascii="Times New Roman" w:hAnsi="宋体" w:eastAsia="宋体" w:cs="宋体"/>
          <w:color w:val="auto"/>
          <w:sz w:val="18"/>
          <w:szCs w:val="18"/>
          <w:highlight w:val="none"/>
          <w:lang w:eastAsia="zh-CN"/>
        </w:rPr>
        <w:t>，每年：</w:t>
      </w:r>
      <w:r>
        <w:rPr>
          <w:rFonts w:hint="eastAsia" w:ascii="Times New Roman" w:hAnsi="宋体" w:eastAsia="宋体" w:cs="宋体"/>
          <w:color w:val="auto"/>
          <w:sz w:val="18"/>
          <w:szCs w:val="18"/>
          <w:highlight w:val="none"/>
        </w:rPr>
        <w:t>¥</w:t>
      </w:r>
      <w:r>
        <w:rPr>
          <w:rFonts w:hint="eastAsia" w:ascii="Times New Roman" w:hAnsi="宋体" w:eastAsia="宋体" w:cs="宋体"/>
          <w:color w:val="auto"/>
          <w:sz w:val="18"/>
          <w:szCs w:val="18"/>
          <w:highlight w:val="none"/>
          <w:lang w:val="en-US" w:eastAsia="zh-CN"/>
        </w:rPr>
        <w:t>930000.00。</w:t>
      </w:r>
    </w:p>
    <w:p w14:paraId="4F1321B4">
      <w:pPr>
        <w:keepNext w:val="0"/>
        <w:keepLines w:val="0"/>
        <w:pageBreakBefore w:val="0"/>
        <w:widowControl w:val="0"/>
        <w:kinsoku/>
        <w:wordWrap/>
        <w:overflowPunct/>
        <w:topLinePunct w:val="0"/>
        <w:autoSpaceDE/>
        <w:autoSpaceDN/>
        <w:bidi w:val="0"/>
        <w:adjustRightInd w:val="0"/>
        <w:snapToGrid/>
        <w:spacing w:line="320" w:lineRule="exact"/>
        <w:ind w:firstLine="360" w:firstLineChars="200"/>
        <w:textAlignment w:val="auto"/>
        <w:rPr>
          <w:rFonts w:hint="eastAsia" w:ascii="Times New Roman" w:hAnsi="宋体" w:eastAsia="宋体" w:cs="宋体"/>
          <w:color w:val="auto"/>
          <w:sz w:val="18"/>
          <w:szCs w:val="18"/>
          <w:highlight w:val="none"/>
        </w:rPr>
      </w:pPr>
      <w:r>
        <w:rPr>
          <w:rFonts w:hint="eastAsia" w:ascii="Times New Roman" w:hAnsi="宋体" w:eastAsia="宋体" w:cs="宋体"/>
          <w:color w:val="auto"/>
          <w:sz w:val="18"/>
          <w:szCs w:val="18"/>
          <w:highlight w:val="none"/>
        </w:rPr>
        <w:t>最高限价（元）：本项目</w:t>
      </w:r>
      <w:r>
        <w:rPr>
          <w:rFonts w:hint="eastAsia" w:ascii="Times New Roman" w:hAnsi="宋体" w:eastAsia="宋体" w:cs="宋体"/>
          <w:color w:val="auto"/>
          <w:sz w:val="18"/>
          <w:szCs w:val="18"/>
          <w:highlight w:val="none"/>
          <w:lang w:eastAsia="zh-CN"/>
        </w:rPr>
        <w:t>为解决政府采购异常低价问题试点项目，项目</w:t>
      </w:r>
      <w:r>
        <w:rPr>
          <w:rFonts w:hint="eastAsia" w:ascii="Times New Roman" w:hAnsi="宋体" w:eastAsia="宋体" w:cs="宋体"/>
          <w:color w:val="auto"/>
          <w:sz w:val="18"/>
          <w:szCs w:val="18"/>
          <w:highlight w:val="none"/>
        </w:rPr>
        <w:t>最高限价</w:t>
      </w:r>
      <w:r>
        <w:rPr>
          <w:rFonts w:hint="eastAsia" w:ascii="Times New Roman" w:hAnsi="宋体" w:eastAsia="宋体" w:cs="宋体"/>
          <w:color w:val="auto"/>
          <w:sz w:val="18"/>
          <w:szCs w:val="18"/>
          <w:highlight w:val="none"/>
          <w:lang w:eastAsia="zh-CN"/>
        </w:rPr>
        <w:t>为</w:t>
      </w:r>
      <w:r>
        <w:rPr>
          <w:rFonts w:hint="eastAsia" w:ascii="Times New Roman" w:hAnsi="宋体" w:eastAsia="宋体" w:cs="宋体"/>
          <w:color w:val="auto"/>
          <w:sz w:val="18"/>
          <w:szCs w:val="18"/>
          <w:highlight w:val="none"/>
        </w:rPr>
        <w:t>人民币</w:t>
      </w:r>
      <w:r>
        <w:rPr>
          <w:rFonts w:hint="eastAsia" w:ascii="Times New Roman" w:hAnsi="宋体" w:eastAsia="宋体" w:cs="宋体"/>
          <w:color w:val="auto"/>
          <w:sz w:val="18"/>
          <w:szCs w:val="18"/>
          <w:highlight w:val="none"/>
          <w:lang w:eastAsia="zh-CN"/>
        </w:rPr>
        <w:t>壹佰捌拾陆万</w:t>
      </w:r>
      <w:r>
        <w:rPr>
          <w:rFonts w:hint="eastAsia" w:ascii="Times New Roman" w:hAnsi="宋体" w:eastAsia="宋体" w:cs="宋体"/>
          <w:color w:val="auto"/>
          <w:sz w:val="18"/>
          <w:szCs w:val="18"/>
          <w:highlight w:val="none"/>
        </w:rPr>
        <w:t>元整（¥</w:t>
      </w:r>
      <w:r>
        <w:rPr>
          <w:rFonts w:hint="eastAsia" w:ascii="Times New Roman" w:hAnsi="宋体" w:eastAsia="宋体" w:cs="宋体"/>
          <w:color w:val="auto"/>
          <w:sz w:val="18"/>
          <w:szCs w:val="18"/>
          <w:highlight w:val="none"/>
          <w:lang w:val="en-US" w:eastAsia="zh-CN"/>
        </w:rPr>
        <w:t>186</w:t>
      </w:r>
      <w:r>
        <w:rPr>
          <w:rFonts w:hint="eastAsia" w:ascii="Times New Roman" w:hAnsi="宋体" w:eastAsia="宋体" w:cs="宋体"/>
          <w:color w:val="auto"/>
          <w:sz w:val="18"/>
          <w:szCs w:val="18"/>
          <w:highlight w:val="none"/>
        </w:rPr>
        <w:t>0000.00）</w:t>
      </w:r>
      <w:r>
        <w:rPr>
          <w:rFonts w:hint="eastAsia" w:ascii="Times New Roman" w:hAnsi="宋体" w:eastAsia="宋体" w:cs="宋体"/>
          <w:color w:val="auto"/>
          <w:sz w:val="18"/>
          <w:szCs w:val="18"/>
          <w:highlight w:val="none"/>
          <w:lang w:eastAsia="zh-CN"/>
        </w:rPr>
        <w:t>，每年：</w:t>
      </w:r>
      <w:r>
        <w:rPr>
          <w:rFonts w:hint="eastAsia" w:ascii="Times New Roman" w:hAnsi="宋体" w:eastAsia="宋体" w:cs="宋体"/>
          <w:color w:val="auto"/>
          <w:sz w:val="18"/>
          <w:szCs w:val="18"/>
          <w:highlight w:val="none"/>
        </w:rPr>
        <w:t>¥</w:t>
      </w:r>
      <w:r>
        <w:rPr>
          <w:rFonts w:hint="eastAsia" w:ascii="Times New Roman" w:hAnsi="宋体" w:eastAsia="宋体" w:cs="宋体"/>
          <w:color w:val="auto"/>
          <w:sz w:val="18"/>
          <w:szCs w:val="18"/>
          <w:highlight w:val="none"/>
          <w:lang w:val="en-US" w:eastAsia="zh-CN"/>
        </w:rPr>
        <w:t>930000.00。</w:t>
      </w:r>
      <w:r>
        <w:rPr>
          <w:rFonts w:hint="eastAsia" w:ascii="Times New Roman" w:hAnsi="宋体" w:eastAsia="宋体" w:cs="宋体"/>
          <w:color w:val="auto"/>
          <w:sz w:val="18"/>
          <w:szCs w:val="18"/>
          <w:highlight w:val="none"/>
        </w:rPr>
        <w:t>报价或最终报价超过采购预算金额</w:t>
      </w:r>
      <w:r>
        <w:rPr>
          <w:rFonts w:hint="eastAsia" w:ascii="Times New Roman" w:hAnsi="宋体" w:eastAsia="宋体" w:cs="宋体"/>
          <w:color w:val="auto"/>
          <w:sz w:val="18"/>
          <w:szCs w:val="18"/>
          <w:highlight w:val="none"/>
          <w:lang w:eastAsia="zh-CN"/>
        </w:rPr>
        <w:t>或最高限价</w:t>
      </w:r>
      <w:r>
        <w:rPr>
          <w:rFonts w:hint="eastAsia" w:ascii="Times New Roman" w:hAnsi="宋体" w:eastAsia="宋体" w:cs="宋体"/>
          <w:color w:val="auto"/>
          <w:sz w:val="18"/>
          <w:szCs w:val="18"/>
          <w:highlight w:val="none"/>
        </w:rPr>
        <w:t>的，将按参加磋商无效处理。</w:t>
      </w:r>
    </w:p>
    <w:p w14:paraId="4B9C0618">
      <w:pPr>
        <w:keepNext w:val="0"/>
        <w:keepLines w:val="0"/>
        <w:pageBreakBefore w:val="0"/>
        <w:widowControl w:val="0"/>
        <w:kinsoku w:val="0"/>
        <w:wordWrap/>
        <w:overflowPunct w:val="0"/>
        <w:topLinePunct w:val="0"/>
        <w:autoSpaceDE/>
        <w:autoSpaceDN/>
        <w:bidi w:val="0"/>
        <w:snapToGrid/>
        <w:spacing w:line="320" w:lineRule="exact"/>
        <w:ind w:right="-218" w:rightChars="-104" w:firstLine="361" w:firstLineChars="200"/>
        <w:textAlignment w:val="auto"/>
        <w:rPr>
          <w:rFonts w:ascii="宋体" w:hAnsi="宋体" w:cs="宋体"/>
          <w:color w:val="auto"/>
          <w:sz w:val="18"/>
          <w:szCs w:val="18"/>
          <w:highlight w:val="none"/>
        </w:rPr>
      </w:pPr>
      <w:r>
        <w:rPr>
          <w:rFonts w:hint="eastAsia" w:ascii="宋体" w:hAnsi="宋体" w:cs="宋体"/>
          <w:b/>
          <w:bCs/>
          <w:color w:val="auto"/>
          <w:sz w:val="18"/>
          <w:szCs w:val="18"/>
          <w:highlight w:val="none"/>
        </w:rPr>
        <w:t>5.本章中的所有的技术服务要求及商务要求内容均必须满足，不允许出现负偏离，否则将导致其参加竞争性磋商无效。</w:t>
      </w:r>
    </w:p>
    <w:p w14:paraId="1E97CD38">
      <w:pPr>
        <w:keepNext w:val="0"/>
        <w:keepLines w:val="0"/>
        <w:pageBreakBefore w:val="0"/>
        <w:widowControl w:val="0"/>
        <w:kinsoku w:val="0"/>
        <w:wordWrap/>
        <w:overflowPunct w:val="0"/>
        <w:topLinePunct w:val="0"/>
        <w:autoSpaceDE/>
        <w:autoSpaceDN/>
        <w:bidi w:val="0"/>
        <w:snapToGrid/>
        <w:spacing w:line="320" w:lineRule="exact"/>
        <w:ind w:firstLine="360" w:firstLineChars="200"/>
        <w:textAlignment w:val="auto"/>
        <w:rPr>
          <w:rFonts w:ascii="宋体" w:hAnsi="宋体" w:cs="宋体"/>
          <w:color w:val="auto"/>
          <w:sz w:val="18"/>
          <w:szCs w:val="18"/>
          <w:highlight w:val="none"/>
        </w:rPr>
      </w:pPr>
      <w:r>
        <w:rPr>
          <w:rFonts w:hint="eastAsia" w:ascii="宋体" w:hAnsi="宋体" w:cs="宋体"/>
          <w:color w:val="auto"/>
          <w:sz w:val="18"/>
          <w:szCs w:val="18"/>
          <w:highlight w:val="none"/>
        </w:rPr>
        <w:t>6.本项目采购标的对应的中小企业划分标准所属行业为</w:t>
      </w:r>
      <w:r>
        <w:rPr>
          <w:rFonts w:hint="eastAsia" w:ascii="宋体" w:hAnsi="宋体" w:cs="宋体"/>
          <w:color w:val="auto"/>
          <w:sz w:val="18"/>
          <w:szCs w:val="18"/>
          <w:highlight w:val="none"/>
          <w:u w:val="single"/>
        </w:rPr>
        <w:t xml:space="preserve"> 其他未列明行业</w:t>
      </w:r>
      <w:r>
        <w:rPr>
          <w:rFonts w:hint="eastAsia" w:ascii="宋体" w:hAnsi="宋体" w:cs="宋体"/>
          <w:color w:val="auto"/>
          <w:sz w:val="18"/>
          <w:szCs w:val="18"/>
          <w:highlight w:val="none"/>
        </w:rPr>
        <w:t>。【中小企业划分标准见本章附件】</w:t>
      </w:r>
    </w:p>
    <w:p w14:paraId="210FF7E5">
      <w:pPr>
        <w:keepNext w:val="0"/>
        <w:keepLines w:val="0"/>
        <w:pageBreakBefore w:val="0"/>
        <w:widowControl w:val="0"/>
        <w:kinsoku w:val="0"/>
        <w:wordWrap/>
        <w:overflowPunct w:val="0"/>
        <w:topLinePunct w:val="0"/>
        <w:autoSpaceDE/>
        <w:autoSpaceDN/>
        <w:bidi w:val="0"/>
        <w:snapToGrid/>
        <w:spacing w:line="320" w:lineRule="exact"/>
        <w:ind w:firstLine="360" w:firstLineChars="200"/>
        <w:textAlignment w:val="auto"/>
        <w:rPr>
          <w:rFonts w:ascii="宋体" w:hAnsi="宋体" w:cs="宋体"/>
          <w:b/>
          <w:bCs/>
          <w:color w:val="auto"/>
          <w:sz w:val="18"/>
          <w:szCs w:val="18"/>
          <w:highlight w:val="none"/>
        </w:rPr>
      </w:pPr>
      <w:r>
        <w:rPr>
          <w:rFonts w:hint="eastAsia" w:ascii="宋体" w:hAnsi="宋体" w:cs="宋体"/>
          <w:color w:val="auto"/>
          <w:sz w:val="18"/>
          <w:szCs w:val="18"/>
          <w:highlight w:val="none"/>
        </w:rPr>
        <w:t>7.最终报价有时间限制，请投标人事前准备好报价，以免耽误报价。</w:t>
      </w:r>
    </w:p>
    <w:p w14:paraId="1B97D457">
      <w:pPr>
        <w:kinsoku w:val="0"/>
        <w:overflowPunct w:val="0"/>
        <w:spacing w:line="260" w:lineRule="exact"/>
        <w:ind w:firstLine="482" w:firstLineChars="20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一、技术服务要求</w:t>
      </w:r>
    </w:p>
    <w:p w14:paraId="34311B8E">
      <w:pPr>
        <w:pStyle w:val="2"/>
        <w:keepNext w:val="0"/>
        <w:keepLines w:val="0"/>
        <w:pageBreakBefore w:val="0"/>
        <w:widowControl w:val="0"/>
        <w:kinsoku/>
        <w:wordWrap/>
        <w:overflowPunct/>
        <w:topLinePunct w:val="0"/>
        <w:autoSpaceDE/>
        <w:autoSpaceDN/>
        <w:bidi w:val="0"/>
        <w:adjustRightInd/>
        <w:snapToGrid/>
        <w:spacing w:before="0" w:after="0" w:line="240" w:lineRule="exact"/>
        <w:textAlignment w:val="auto"/>
        <w:rPr>
          <w:highlight w:val="none"/>
        </w:rPr>
      </w:pPr>
    </w:p>
    <w:tbl>
      <w:tblPr>
        <w:tblStyle w:val="29"/>
        <w:tblW w:w="10181"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756"/>
        <w:gridCol w:w="6000"/>
        <w:gridCol w:w="351"/>
        <w:gridCol w:w="421"/>
        <w:gridCol w:w="1050"/>
        <w:gridCol w:w="1118"/>
      </w:tblGrid>
      <w:tr w14:paraId="55874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4A3B89AB">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序号</w:t>
            </w:r>
          </w:p>
        </w:tc>
        <w:tc>
          <w:tcPr>
            <w:tcW w:w="756" w:type="dxa"/>
            <w:vAlign w:val="center"/>
          </w:tcPr>
          <w:p w14:paraId="414BA3A9">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项目名称</w:t>
            </w:r>
          </w:p>
        </w:tc>
        <w:tc>
          <w:tcPr>
            <w:tcW w:w="6000" w:type="dxa"/>
            <w:vAlign w:val="center"/>
          </w:tcPr>
          <w:p w14:paraId="3E65642E">
            <w:pPr>
              <w:jc w:val="center"/>
              <w:rPr>
                <w:rFonts w:hint="eastAsia" w:ascii="宋体" w:hAnsi="宋体" w:eastAsia="宋体" w:cs="宋体"/>
                <w:b/>
                <w:color w:val="auto"/>
                <w:sz w:val="18"/>
                <w:szCs w:val="18"/>
                <w:highlight w:val="none"/>
              </w:rPr>
            </w:pPr>
            <w:r>
              <w:rPr>
                <w:rFonts w:hint="eastAsia" w:ascii="宋体" w:hAnsi="宋体" w:eastAsia="宋体" w:cs="宋体"/>
                <w:b/>
                <w:color w:val="auto"/>
                <w:kern w:val="0"/>
                <w:sz w:val="18"/>
                <w:szCs w:val="18"/>
                <w:highlight w:val="none"/>
              </w:rPr>
              <w:t>详细技术参数及配备要求</w:t>
            </w:r>
          </w:p>
        </w:tc>
        <w:tc>
          <w:tcPr>
            <w:tcW w:w="351" w:type="dxa"/>
            <w:vAlign w:val="center"/>
          </w:tcPr>
          <w:p w14:paraId="43E62927">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数量</w:t>
            </w:r>
          </w:p>
        </w:tc>
        <w:tc>
          <w:tcPr>
            <w:tcW w:w="421" w:type="dxa"/>
            <w:vAlign w:val="center"/>
          </w:tcPr>
          <w:p w14:paraId="7A76A85B">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单位</w:t>
            </w:r>
          </w:p>
        </w:tc>
        <w:tc>
          <w:tcPr>
            <w:tcW w:w="1050" w:type="dxa"/>
            <w:vAlign w:val="center"/>
          </w:tcPr>
          <w:p w14:paraId="465588EB">
            <w:pPr>
              <w:jc w:val="center"/>
              <w:rPr>
                <w:rFonts w:hint="eastAsia" w:ascii="宋体" w:hAnsi="宋体" w:eastAsia="宋体" w:cs="宋体"/>
                <w:b/>
                <w:color w:val="auto"/>
                <w:sz w:val="18"/>
                <w:szCs w:val="18"/>
                <w:highlight w:val="none"/>
              </w:rPr>
            </w:pPr>
            <w:r>
              <w:rPr>
                <w:rFonts w:hint="eastAsia" w:ascii="宋体" w:hAnsi="宋体" w:cs="宋体"/>
                <w:b/>
                <w:color w:val="auto"/>
                <w:sz w:val="18"/>
                <w:szCs w:val="18"/>
                <w:highlight w:val="none"/>
                <w:lang w:eastAsia="zh-CN"/>
              </w:rPr>
              <w:t>预算</w:t>
            </w:r>
            <w:r>
              <w:rPr>
                <w:rFonts w:hint="eastAsia" w:ascii="宋体" w:hAnsi="宋体" w:eastAsia="宋体" w:cs="宋体"/>
                <w:b/>
                <w:color w:val="auto"/>
                <w:sz w:val="18"/>
                <w:szCs w:val="18"/>
                <w:highlight w:val="none"/>
              </w:rPr>
              <w:t>单价</w:t>
            </w:r>
          </w:p>
          <w:p w14:paraId="31D94C1F">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(元</w:t>
            </w:r>
            <w:r>
              <w:rPr>
                <w:rFonts w:hint="eastAsia" w:ascii="宋体" w:hAnsi="宋体" w:cs="宋体"/>
                <w:b/>
                <w:color w:val="auto"/>
                <w:sz w:val="18"/>
                <w:szCs w:val="18"/>
                <w:highlight w:val="none"/>
                <w:lang w:val="en-US" w:eastAsia="zh-CN"/>
              </w:rPr>
              <w:t>/年</w:t>
            </w:r>
            <w:r>
              <w:rPr>
                <w:rFonts w:hint="eastAsia" w:ascii="宋体" w:hAnsi="宋体" w:eastAsia="宋体" w:cs="宋体"/>
                <w:b/>
                <w:color w:val="auto"/>
                <w:sz w:val="18"/>
                <w:szCs w:val="18"/>
                <w:highlight w:val="none"/>
              </w:rPr>
              <w:t>)</w:t>
            </w:r>
          </w:p>
        </w:tc>
        <w:tc>
          <w:tcPr>
            <w:tcW w:w="1118" w:type="dxa"/>
            <w:vAlign w:val="center"/>
          </w:tcPr>
          <w:p w14:paraId="74115E45">
            <w:pPr>
              <w:jc w:val="center"/>
              <w:rPr>
                <w:rFonts w:hint="eastAsia" w:ascii="宋体" w:hAnsi="宋体" w:cs="宋体"/>
                <w:b/>
                <w:color w:val="auto"/>
                <w:sz w:val="18"/>
                <w:szCs w:val="18"/>
                <w:highlight w:val="none"/>
                <w:lang w:eastAsia="zh-CN"/>
              </w:rPr>
            </w:pPr>
            <w:r>
              <w:rPr>
                <w:rFonts w:hint="eastAsia" w:ascii="宋体" w:hAnsi="宋体" w:cs="宋体"/>
                <w:b/>
                <w:color w:val="auto"/>
                <w:sz w:val="18"/>
                <w:szCs w:val="18"/>
                <w:highlight w:val="none"/>
                <w:lang w:eastAsia="zh-CN"/>
              </w:rPr>
              <w:t>预算总</w:t>
            </w:r>
          </w:p>
          <w:p w14:paraId="7018A948">
            <w:pPr>
              <w:jc w:val="center"/>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金</w:t>
            </w:r>
            <w:r>
              <w:rPr>
                <w:rFonts w:hint="eastAsia" w:ascii="宋体" w:hAnsi="宋体" w:cs="宋体"/>
                <w:b/>
                <w:color w:val="auto"/>
                <w:sz w:val="18"/>
                <w:szCs w:val="18"/>
                <w:highlight w:val="none"/>
                <w:lang w:eastAsia="zh-CN"/>
              </w:rPr>
              <w:t>额</w:t>
            </w:r>
            <w:r>
              <w:rPr>
                <w:rFonts w:hint="eastAsia" w:ascii="宋体" w:hAnsi="宋体" w:eastAsia="宋体" w:cs="宋体"/>
                <w:b/>
                <w:color w:val="auto"/>
                <w:sz w:val="18"/>
                <w:szCs w:val="18"/>
                <w:highlight w:val="none"/>
              </w:rPr>
              <w:t>(元)</w:t>
            </w:r>
          </w:p>
        </w:tc>
      </w:tr>
      <w:tr w14:paraId="6EED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5459EC8">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756" w:type="dxa"/>
            <w:vAlign w:val="center"/>
          </w:tcPr>
          <w:p w14:paraId="4084A6FA">
            <w:pPr>
              <w:jc w:val="center"/>
              <w:rPr>
                <w:rFonts w:hint="eastAsia" w:ascii="宋体" w:hAnsi="宋体" w:eastAsia="宋体" w:cs="宋体"/>
                <w:color w:val="auto"/>
                <w:sz w:val="18"/>
                <w:szCs w:val="18"/>
                <w:highlight w:val="none"/>
              </w:rPr>
            </w:pPr>
            <w:r>
              <w:rPr>
                <w:rFonts w:hint="eastAsia" w:ascii="宋体" w:hAnsi="宋体" w:cs="宋体"/>
                <w:color w:val="auto"/>
                <w:sz w:val="18"/>
                <w:szCs w:val="18"/>
                <w:highlight w:val="none"/>
                <w:lang w:val="en-US" w:eastAsia="zh-CN"/>
              </w:rPr>
              <w:t>北海市</w:t>
            </w:r>
            <w:r>
              <w:rPr>
                <w:rFonts w:hint="eastAsia" w:ascii="宋体" w:hAnsi="宋体" w:eastAsia="宋体" w:cs="宋体"/>
                <w:color w:val="auto"/>
                <w:sz w:val="18"/>
                <w:szCs w:val="18"/>
                <w:highlight w:val="none"/>
              </w:rPr>
              <w:t>就业驿站运行管理服务</w:t>
            </w:r>
          </w:p>
        </w:tc>
        <w:tc>
          <w:tcPr>
            <w:tcW w:w="6000" w:type="dxa"/>
            <w:vAlign w:val="center"/>
          </w:tcPr>
          <w:p w14:paraId="103738E0">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b/>
                <w:bCs/>
                <w:color w:val="auto"/>
                <w:sz w:val="18"/>
                <w:szCs w:val="18"/>
                <w:highlight w:val="none"/>
              </w:rPr>
              <w:t>1.服务时间：</w:t>
            </w:r>
            <w:r>
              <w:rPr>
                <w:rFonts w:hint="eastAsia" w:ascii="宋体" w:hAnsi="宋体" w:eastAsia="宋体" w:cs="Times New Roman"/>
                <w:color w:val="auto"/>
                <w:sz w:val="18"/>
                <w:szCs w:val="18"/>
                <w:highlight w:val="none"/>
              </w:rPr>
              <w:t>服务期限为</w:t>
            </w:r>
            <w:r>
              <w:rPr>
                <w:rFonts w:hint="eastAsia" w:ascii="宋体" w:hAnsi="宋体" w:eastAsia="宋体" w:cs="Times New Roman"/>
                <w:color w:val="auto"/>
                <w:sz w:val="18"/>
                <w:szCs w:val="18"/>
                <w:highlight w:val="none"/>
                <w:lang w:val="en-US" w:eastAsia="zh-CN"/>
              </w:rPr>
              <w:t>2</w:t>
            </w:r>
            <w:r>
              <w:rPr>
                <w:rFonts w:hint="eastAsia" w:ascii="宋体" w:hAnsi="宋体" w:eastAsia="宋体" w:cs="Times New Roman"/>
                <w:color w:val="auto"/>
                <w:sz w:val="18"/>
                <w:szCs w:val="18"/>
                <w:highlight w:val="none"/>
              </w:rPr>
              <w:t>年，每周对外服务时间</w:t>
            </w:r>
            <w:r>
              <w:rPr>
                <w:rFonts w:hint="eastAsia" w:ascii="宋体" w:hAnsi="宋体" w:eastAsia="宋体" w:cs="Times New Roman"/>
                <w:color w:val="auto"/>
                <w:sz w:val="18"/>
                <w:szCs w:val="18"/>
                <w:highlight w:val="none"/>
                <w:lang w:val="en-US" w:eastAsia="zh-CN"/>
              </w:rPr>
              <w:t>6</w:t>
            </w:r>
            <w:r>
              <w:rPr>
                <w:rFonts w:hint="eastAsia" w:ascii="宋体" w:hAnsi="宋体" w:eastAsia="宋体" w:cs="Times New Roman"/>
                <w:color w:val="auto"/>
                <w:sz w:val="18"/>
                <w:szCs w:val="18"/>
                <w:highlight w:val="none"/>
              </w:rPr>
              <w:t>天，每天对外服务时间</w:t>
            </w:r>
            <w:r>
              <w:rPr>
                <w:rFonts w:hint="eastAsia" w:ascii="宋体" w:hAnsi="宋体" w:eastAsia="宋体" w:cs="Times New Roman"/>
                <w:color w:val="auto"/>
                <w:sz w:val="18"/>
                <w:szCs w:val="18"/>
                <w:highlight w:val="none"/>
                <w:lang w:val="en-US" w:eastAsia="zh-CN"/>
              </w:rPr>
              <w:t>7</w:t>
            </w:r>
            <w:r>
              <w:rPr>
                <w:rFonts w:hint="eastAsia" w:ascii="宋体" w:hAnsi="宋体" w:eastAsia="宋体" w:cs="Times New Roman"/>
                <w:color w:val="auto"/>
                <w:sz w:val="18"/>
                <w:szCs w:val="18"/>
                <w:highlight w:val="none"/>
              </w:rPr>
              <w:t>小时（含）以上</w:t>
            </w:r>
            <w:r>
              <w:rPr>
                <w:rFonts w:hint="eastAsia" w:ascii="宋体" w:hAnsi="宋体" w:eastAsia="宋体" w:cs="Times New Roman"/>
                <w:color w:val="auto"/>
                <w:sz w:val="18"/>
                <w:szCs w:val="18"/>
                <w:highlight w:val="none"/>
                <w:lang w:eastAsia="zh-CN"/>
              </w:rPr>
              <w:t>。</w:t>
            </w:r>
          </w:p>
          <w:p w14:paraId="0A595740">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b/>
                <w:bCs/>
                <w:color w:val="auto"/>
                <w:sz w:val="18"/>
                <w:szCs w:val="18"/>
                <w:highlight w:val="none"/>
              </w:rPr>
              <w:t>2.服务场地：</w:t>
            </w:r>
            <w:r>
              <w:rPr>
                <w:rFonts w:hint="eastAsia" w:ascii="宋体" w:hAnsi="宋体" w:eastAsia="宋体" w:cs="Times New Roman"/>
                <w:color w:val="auto"/>
                <w:sz w:val="18"/>
                <w:szCs w:val="18"/>
                <w:highlight w:val="none"/>
              </w:rPr>
              <w:t>我市城区内的</w:t>
            </w:r>
            <w:r>
              <w:rPr>
                <w:rFonts w:hint="eastAsia" w:ascii="宋体" w:hAnsi="宋体" w:eastAsia="宋体" w:cs="Times New Roman"/>
                <w:color w:val="auto"/>
                <w:sz w:val="18"/>
                <w:szCs w:val="18"/>
                <w:highlight w:val="none"/>
                <w:lang w:val="en-US" w:eastAsia="zh-CN"/>
              </w:rPr>
              <w:t>13</w:t>
            </w:r>
            <w:r>
              <w:rPr>
                <w:rFonts w:hint="eastAsia" w:ascii="宋体" w:hAnsi="宋体" w:eastAsia="宋体" w:cs="Times New Roman"/>
                <w:color w:val="auto"/>
                <w:sz w:val="18"/>
                <w:szCs w:val="18"/>
                <w:highlight w:val="none"/>
              </w:rPr>
              <w:t>个就业驿站（具体地址以采购人提供的就业驿站</w:t>
            </w:r>
            <w:r>
              <w:rPr>
                <w:rFonts w:hint="eastAsia" w:ascii="宋体" w:hAnsi="宋体" w:eastAsia="宋体" w:cs="Times New Roman"/>
                <w:color w:val="auto"/>
                <w:sz w:val="18"/>
                <w:szCs w:val="18"/>
                <w:highlight w:val="none"/>
                <w:lang w:val="en-US" w:eastAsia="zh-CN"/>
              </w:rPr>
              <w:t>地</w:t>
            </w:r>
            <w:r>
              <w:rPr>
                <w:rFonts w:hint="eastAsia" w:ascii="宋体" w:hAnsi="宋体" w:eastAsia="宋体" w:cs="Times New Roman"/>
                <w:color w:val="auto"/>
                <w:sz w:val="18"/>
                <w:szCs w:val="18"/>
                <w:highlight w:val="none"/>
              </w:rPr>
              <w:t>址为准）</w:t>
            </w:r>
            <w:r>
              <w:rPr>
                <w:rFonts w:hint="eastAsia" w:ascii="宋体" w:hAnsi="宋体" w:eastAsia="宋体" w:cs="Times New Roman"/>
                <w:color w:val="auto"/>
                <w:sz w:val="18"/>
                <w:szCs w:val="18"/>
                <w:highlight w:val="none"/>
                <w:lang w:eastAsia="zh-CN"/>
              </w:rPr>
              <w:t>。</w:t>
            </w:r>
          </w:p>
          <w:p w14:paraId="757D73F2">
            <w:pPr>
              <w:jc w:val="left"/>
              <w:rPr>
                <w:rFonts w:hint="eastAsia" w:ascii="宋体" w:hAnsi="宋体" w:eastAsia="宋体" w:cs="Times New Roman"/>
                <w:b/>
                <w:bCs/>
                <w:color w:val="auto"/>
                <w:sz w:val="18"/>
                <w:szCs w:val="18"/>
                <w:highlight w:val="none"/>
              </w:rPr>
            </w:pPr>
            <w:r>
              <w:rPr>
                <w:rFonts w:hint="eastAsia" w:ascii="宋体" w:hAnsi="宋体" w:eastAsia="宋体" w:cs="Times New Roman"/>
                <w:b/>
                <w:bCs/>
                <w:color w:val="auto"/>
                <w:sz w:val="18"/>
                <w:szCs w:val="18"/>
                <w:highlight w:val="none"/>
              </w:rPr>
              <w:t>3.人员配备：</w:t>
            </w:r>
          </w:p>
          <w:p w14:paraId="14AD3EB6">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3.1 运行管理部门配备6名(含)以上专职人员，负责日常管理、供需匹配对接、信息发布、业务培训、项目执行、活动策划、技术维护、宣传、客服等事务；</w:t>
            </w:r>
          </w:p>
          <w:p w14:paraId="5FDB103D">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3.2 每个就业驿站配备1名(含)以上工作人员，确保就业驿站正常运转、办理求职招聘登记、提供各项就业服务</w:t>
            </w:r>
            <w:r>
              <w:rPr>
                <w:rFonts w:hint="eastAsia" w:ascii="宋体" w:hAnsi="宋体" w:eastAsia="宋体" w:cs="Times New Roman"/>
                <w:color w:val="auto"/>
                <w:sz w:val="18"/>
                <w:szCs w:val="18"/>
                <w:highlight w:val="none"/>
                <w:lang w:eastAsia="zh-CN"/>
              </w:rPr>
              <w:t>。</w:t>
            </w:r>
          </w:p>
          <w:p w14:paraId="28DF62D3">
            <w:pPr>
              <w:jc w:val="left"/>
              <w:rPr>
                <w:rFonts w:hint="eastAsia" w:ascii="宋体" w:hAnsi="宋体" w:eastAsia="宋体" w:cs="Times New Roman"/>
                <w:b/>
                <w:bCs/>
                <w:color w:val="auto"/>
                <w:sz w:val="18"/>
                <w:szCs w:val="18"/>
                <w:highlight w:val="none"/>
              </w:rPr>
            </w:pPr>
            <w:r>
              <w:rPr>
                <w:rFonts w:hint="eastAsia" w:ascii="宋体" w:hAnsi="宋体" w:eastAsia="宋体" w:cs="Times New Roman"/>
                <w:b/>
                <w:bCs/>
                <w:color w:val="auto"/>
                <w:sz w:val="18"/>
                <w:szCs w:val="18"/>
                <w:highlight w:val="none"/>
              </w:rPr>
              <w:t>4.功能设置：</w:t>
            </w:r>
          </w:p>
          <w:p w14:paraId="3965F6D1">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4.1就业咨询服务</w:t>
            </w:r>
          </w:p>
          <w:p w14:paraId="085F2918">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综合利用就业驿站的政策宣传栏、电子信息屏和北海人社官方网站、公众号等线上线下服务渠道，推送劳动就业和社会保障法律法规、就业创业政策解读等信息，“点对点”推送就业政策到企业和务工人员</w:t>
            </w:r>
            <w:r>
              <w:rPr>
                <w:rFonts w:hint="eastAsia" w:ascii="宋体" w:hAnsi="宋体" w:eastAsia="宋体" w:cs="Times New Roman"/>
                <w:color w:val="auto"/>
                <w:sz w:val="18"/>
                <w:szCs w:val="18"/>
                <w:highlight w:val="none"/>
                <w:lang w:eastAsia="zh-CN"/>
              </w:rPr>
              <w:t>。</w:t>
            </w:r>
          </w:p>
          <w:p w14:paraId="0288C84A">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4.2招工招聘服务</w:t>
            </w:r>
          </w:p>
          <w:p w14:paraId="2CB3493E">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为有用工需求的企业提供用工信息发布、员工招聘、求职者信息“点对点”精准推送等服务。对于缺工多、用工急的企业，提供“一对一”专场招聘活动。</w:t>
            </w:r>
          </w:p>
          <w:p w14:paraId="52550AB7">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4.3就业推荐服务</w:t>
            </w:r>
          </w:p>
          <w:p w14:paraId="2AA7E5B9">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对登记求职的各类务工人员提供3次以上就业岗位推荐服务，“点对点”将就业岗位信息推送到求职人员。</w:t>
            </w:r>
          </w:p>
          <w:p w14:paraId="71DF8345">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4.4零工帮扶服务</w:t>
            </w:r>
          </w:p>
          <w:p w14:paraId="24D71424">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对待工时间长、低收入家庭、残疾等大龄和困难零工人员，优先组织其与适合的用工主体开展“点对点”对接洽谈，引导用工主体优先招用困难零工人员。</w:t>
            </w:r>
          </w:p>
          <w:p w14:paraId="4C904E6F">
            <w:pPr>
              <w:jc w:val="left"/>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4.5 重点区域就业帮扶</w:t>
            </w:r>
          </w:p>
          <w:p w14:paraId="2A499C79">
            <w:pPr>
              <w:jc w:val="left"/>
              <w:rPr>
                <w:rFonts w:hint="eastAsia"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按月根据人社部门摸底就业驿站附近重点监控社区、乡镇未就业人员信息，并及时推荐工作，帮扶就业。</w:t>
            </w:r>
          </w:p>
          <w:p w14:paraId="0747ECC4">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r>
              <w:rPr>
                <w:rFonts w:hint="eastAsia" w:ascii="宋体" w:hAnsi="宋体" w:eastAsia="宋体" w:cs="Times New Roman"/>
                <w:color w:val="auto"/>
                <w:sz w:val="18"/>
                <w:szCs w:val="18"/>
                <w:highlight w:val="none"/>
                <w:lang w:val="en-US" w:eastAsia="zh-CN"/>
              </w:rPr>
              <w:t>6</w:t>
            </w:r>
            <w:r>
              <w:rPr>
                <w:rFonts w:hint="eastAsia" w:ascii="宋体" w:hAnsi="宋体" w:eastAsia="宋体" w:cs="Times New Roman"/>
                <w:color w:val="auto"/>
                <w:sz w:val="18"/>
                <w:szCs w:val="18"/>
                <w:highlight w:val="none"/>
              </w:rPr>
              <w:t>劳动维权服务</w:t>
            </w:r>
          </w:p>
          <w:p w14:paraId="4673F6E0">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协助劳动监察、劳动仲裁调解机构开展维权指导、争议调解等服务。</w:t>
            </w:r>
          </w:p>
          <w:p w14:paraId="5637DB50">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r>
              <w:rPr>
                <w:rFonts w:hint="eastAsia" w:ascii="宋体" w:hAnsi="宋体" w:eastAsia="宋体" w:cs="Times New Roman"/>
                <w:color w:val="auto"/>
                <w:sz w:val="18"/>
                <w:szCs w:val="18"/>
                <w:highlight w:val="none"/>
                <w:lang w:val="en-US" w:eastAsia="zh-CN"/>
              </w:rPr>
              <w:t>7</w:t>
            </w:r>
            <w:r>
              <w:rPr>
                <w:rFonts w:hint="eastAsia" w:ascii="宋体" w:hAnsi="宋体" w:eastAsia="宋体" w:cs="Times New Roman"/>
                <w:color w:val="auto"/>
                <w:sz w:val="18"/>
                <w:szCs w:val="18"/>
                <w:highlight w:val="none"/>
              </w:rPr>
              <w:t>职业规划服务</w:t>
            </w:r>
          </w:p>
          <w:p w14:paraId="5703ED52">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为求职者、职业人士提供测评、就业指导、简历优化、模拟面试、专家问答等服务。</w:t>
            </w:r>
          </w:p>
          <w:p w14:paraId="618FE79E">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r>
              <w:rPr>
                <w:rFonts w:hint="eastAsia" w:ascii="宋体" w:hAnsi="宋体" w:eastAsia="宋体" w:cs="Times New Roman"/>
                <w:color w:val="auto"/>
                <w:sz w:val="18"/>
                <w:szCs w:val="18"/>
                <w:highlight w:val="none"/>
                <w:lang w:val="en-US" w:eastAsia="zh-CN"/>
              </w:rPr>
              <w:t>8</w:t>
            </w:r>
            <w:r>
              <w:rPr>
                <w:rFonts w:hint="eastAsia" w:ascii="宋体" w:hAnsi="宋体" w:eastAsia="宋体" w:cs="Times New Roman"/>
                <w:color w:val="auto"/>
                <w:sz w:val="18"/>
                <w:szCs w:val="18"/>
                <w:highlight w:val="none"/>
              </w:rPr>
              <w:t>劳务协作服务</w:t>
            </w:r>
          </w:p>
          <w:p w14:paraId="4F32D35C">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为劳务人员与企业、中介机构当面对接洽谈提供免费场地。提供快速发布信息、现场对接洽谈、即时确认结果、当日面试到岗等服务。</w:t>
            </w:r>
          </w:p>
          <w:p w14:paraId="73D3AE9E">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r>
              <w:rPr>
                <w:rFonts w:hint="eastAsia" w:ascii="宋体" w:hAnsi="宋体" w:eastAsia="宋体" w:cs="Times New Roman"/>
                <w:color w:val="auto"/>
                <w:sz w:val="18"/>
                <w:szCs w:val="18"/>
                <w:highlight w:val="none"/>
                <w:lang w:val="en-US" w:eastAsia="zh-CN"/>
              </w:rPr>
              <w:t>9</w:t>
            </w:r>
            <w:r>
              <w:rPr>
                <w:rFonts w:hint="eastAsia" w:ascii="宋体" w:hAnsi="宋体" w:eastAsia="宋体" w:cs="Times New Roman"/>
                <w:color w:val="auto"/>
                <w:sz w:val="18"/>
                <w:szCs w:val="18"/>
                <w:highlight w:val="none"/>
              </w:rPr>
              <w:t>用工调查服务</w:t>
            </w:r>
          </w:p>
          <w:p w14:paraId="2AF0FA0C">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动态收集更新</w:t>
            </w:r>
            <w:r>
              <w:rPr>
                <w:rFonts w:hint="eastAsia" w:ascii="宋体" w:hAnsi="宋体" w:eastAsia="宋体" w:cs="Times New Roman"/>
                <w:color w:val="auto"/>
                <w:sz w:val="18"/>
                <w:szCs w:val="18"/>
                <w:highlight w:val="none"/>
                <w:lang w:eastAsia="zh-CN"/>
              </w:rPr>
              <w:t>驿站附近基层</w:t>
            </w:r>
            <w:r>
              <w:rPr>
                <w:rFonts w:hint="eastAsia" w:ascii="宋体" w:hAnsi="宋体" w:eastAsia="宋体" w:cs="Times New Roman"/>
                <w:color w:val="auto"/>
                <w:sz w:val="18"/>
                <w:szCs w:val="18"/>
                <w:highlight w:val="none"/>
              </w:rPr>
              <w:t>零工人员和用工主体信息，对求职人数、招聘岗位等信息进行定期监测分析。</w:t>
            </w:r>
          </w:p>
          <w:p w14:paraId="29066E37">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4.</w:t>
            </w:r>
            <w:r>
              <w:rPr>
                <w:rFonts w:hint="eastAsia" w:ascii="宋体" w:hAnsi="宋体" w:eastAsia="宋体" w:cs="Times New Roman"/>
                <w:color w:val="auto"/>
                <w:sz w:val="18"/>
                <w:szCs w:val="18"/>
                <w:highlight w:val="none"/>
                <w:lang w:val="en-US" w:eastAsia="zh-CN"/>
              </w:rPr>
              <w:t>10</w:t>
            </w:r>
            <w:r>
              <w:rPr>
                <w:rFonts w:hint="eastAsia" w:ascii="宋体" w:hAnsi="宋体" w:eastAsia="宋体" w:cs="Times New Roman"/>
                <w:color w:val="auto"/>
                <w:sz w:val="18"/>
                <w:szCs w:val="18"/>
                <w:highlight w:val="none"/>
              </w:rPr>
              <w:t>可根据实际需要开展劳务品牌、法律援助等服务。</w:t>
            </w:r>
          </w:p>
          <w:p w14:paraId="3601BCA8">
            <w:pPr>
              <w:jc w:val="left"/>
              <w:rPr>
                <w:rFonts w:hint="default" w:ascii="宋体" w:hAnsi="宋体" w:eastAsia="宋体" w:cs="Times New Roman"/>
                <w:color w:val="auto"/>
                <w:sz w:val="18"/>
                <w:szCs w:val="18"/>
                <w:highlight w:val="none"/>
                <w:lang w:val="en-US" w:eastAsia="zh-CN"/>
              </w:rPr>
            </w:pPr>
            <w:r>
              <w:rPr>
                <w:rFonts w:hint="eastAsia" w:ascii="宋体" w:hAnsi="宋体" w:eastAsia="宋体" w:cs="Times New Roman"/>
                <w:color w:val="auto"/>
                <w:sz w:val="18"/>
                <w:szCs w:val="18"/>
                <w:highlight w:val="none"/>
                <w:lang w:val="en-US" w:eastAsia="zh-CN"/>
              </w:rPr>
              <w:t>4.11根据人社部门要求承担其他适当的基层就业服务工作。</w:t>
            </w:r>
          </w:p>
          <w:p w14:paraId="76064BA9">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b/>
                <w:bCs/>
                <w:color w:val="auto"/>
                <w:sz w:val="18"/>
                <w:szCs w:val="18"/>
                <w:highlight w:val="none"/>
              </w:rPr>
              <w:t>5.设备配备：</w:t>
            </w:r>
            <w:r>
              <w:rPr>
                <w:rFonts w:hint="eastAsia" w:ascii="宋体" w:hAnsi="宋体" w:eastAsia="宋体" w:cs="Times New Roman"/>
                <w:color w:val="auto"/>
                <w:sz w:val="18"/>
                <w:szCs w:val="18"/>
                <w:highlight w:val="none"/>
              </w:rPr>
              <w:t>配备饮水机、洽谈桌椅、遮阳伞、电脑、用工宣传栏、求职电话等办公设备</w:t>
            </w:r>
            <w:r>
              <w:rPr>
                <w:rFonts w:hint="eastAsia" w:ascii="宋体" w:hAnsi="宋体" w:eastAsia="宋体" w:cs="Times New Roman"/>
                <w:color w:val="auto"/>
                <w:sz w:val="18"/>
                <w:szCs w:val="18"/>
                <w:highlight w:val="none"/>
                <w:lang w:eastAsia="zh-CN"/>
              </w:rPr>
              <w:t>。</w:t>
            </w:r>
          </w:p>
          <w:p w14:paraId="165844B9">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★根据功能设置的要求，提供配套设备清单及就业驿站服务场景效果图（含外部正面、侧面效果图）。</w:t>
            </w:r>
          </w:p>
          <w:p w14:paraId="0977F554">
            <w:pPr>
              <w:jc w:val="left"/>
              <w:rPr>
                <w:rFonts w:hint="eastAsia" w:ascii="宋体" w:hAnsi="宋体" w:eastAsia="宋体" w:cs="Times New Roman"/>
                <w:b/>
                <w:bCs/>
                <w:color w:val="auto"/>
                <w:sz w:val="18"/>
                <w:szCs w:val="18"/>
                <w:highlight w:val="none"/>
              </w:rPr>
            </w:pPr>
            <w:r>
              <w:rPr>
                <w:rFonts w:hint="eastAsia" w:ascii="宋体" w:hAnsi="宋体" w:eastAsia="宋体" w:cs="Times New Roman"/>
                <w:b/>
                <w:bCs/>
                <w:color w:val="auto"/>
                <w:sz w:val="18"/>
                <w:szCs w:val="18"/>
                <w:highlight w:val="none"/>
              </w:rPr>
              <w:t>6.服务要求：</w:t>
            </w:r>
          </w:p>
          <w:p w14:paraId="464B90B9">
            <w:pPr>
              <w:jc w:val="left"/>
              <w:rPr>
                <w:rFonts w:hint="eastAsia" w:ascii="宋体" w:hAnsi="宋体" w:eastAsia="宋体" w:cs="Times New Roman"/>
                <w:color w:val="auto"/>
                <w:sz w:val="18"/>
                <w:szCs w:val="18"/>
                <w:highlight w:val="none"/>
              </w:rPr>
            </w:pPr>
            <w:r>
              <w:rPr>
                <w:rFonts w:hint="default" w:ascii="宋体" w:hAnsi="宋体" w:eastAsia="宋体" w:cs="Times New Roman"/>
                <w:color w:val="auto"/>
                <w:sz w:val="18"/>
                <w:szCs w:val="18"/>
                <w:highlight w:val="none"/>
                <w:lang w:val="en-US"/>
              </w:rPr>
              <w:t>6</w:t>
            </w:r>
            <w:r>
              <w:rPr>
                <w:rFonts w:hint="eastAsia" w:ascii="宋体" w:hAnsi="宋体" w:eastAsia="宋体" w:cs="Times New Roman"/>
                <w:color w:val="auto"/>
                <w:sz w:val="18"/>
                <w:szCs w:val="18"/>
                <w:highlight w:val="none"/>
              </w:rPr>
              <w:t>.1利用就业驿站的政策宣传栏、电子信息屏和北海人社官方网站、公众号等线上线下服务渠道，“点对点”推送就业政策到企业和务工人员。</w:t>
            </w:r>
            <w:r>
              <w:rPr>
                <w:rFonts w:hint="eastAsia" w:ascii="宋体" w:hAnsi="宋体" w:eastAsia="宋体" w:cs="Times New Roman"/>
                <w:color w:val="auto"/>
                <w:sz w:val="18"/>
                <w:szCs w:val="18"/>
                <w:highlight w:val="none"/>
                <w:lang w:eastAsia="zh-CN"/>
              </w:rPr>
              <w:t>每个驿站每年线上线下</w:t>
            </w:r>
            <w:r>
              <w:rPr>
                <w:rFonts w:hint="eastAsia" w:ascii="宋体" w:hAnsi="宋体" w:eastAsia="宋体" w:cs="Times New Roman"/>
                <w:color w:val="auto"/>
                <w:sz w:val="18"/>
                <w:szCs w:val="18"/>
                <w:highlight w:val="none"/>
              </w:rPr>
              <w:t>推送劳动就业和社会保障法律法规、就业创业政策解读等</w:t>
            </w:r>
            <w:r>
              <w:rPr>
                <w:rFonts w:hint="eastAsia" w:ascii="宋体" w:hAnsi="宋体" w:eastAsia="宋体" w:cs="Times New Roman"/>
                <w:color w:val="auto"/>
                <w:sz w:val="18"/>
                <w:szCs w:val="18"/>
                <w:highlight w:val="none"/>
                <w:lang w:eastAsia="zh-CN"/>
              </w:rPr>
              <w:t>资料不少于</w:t>
            </w:r>
            <w:r>
              <w:rPr>
                <w:rFonts w:hint="eastAsia" w:ascii="宋体" w:hAnsi="宋体" w:eastAsia="宋体" w:cs="Times New Roman"/>
                <w:color w:val="auto"/>
                <w:sz w:val="18"/>
                <w:szCs w:val="18"/>
                <w:highlight w:val="none"/>
                <w:lang w:val="en-US" w:eastAsia="zh-CN"/>
              </w:rPr>
              <w:t>3000份。</w:t>
            </w:r>
          </w:p>
          <w:p w14:paraId="2A671F55">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6.</w:t>
            </w:r>
            <w:r>
              <w:rPr>
                <w:rFonts w:hint="default" w:ascii="宋体" w:hAnsi="宋体" w:eastAsia="宋体" w:cs="Times New Roman"/>
                <w:color w:val="auto"/>
                <w:sz w:val="18"/>
                <w:szCs w:val="18"/>
                <w:highlight w:val="none"/>
                <w:lang w:val="en-US"/>
              </w:rPr>
              <w:t>2</w:t>
            </w:r>
            <w:r>
              <w:rPr>
                <w:rFonts w:hint="eastAsia" w:ascii="宋体" w:hAnsi="宋体" w:eastAsia="宋体" w:cs="Times New Roman"/>
                <w:color w:val="auto"/>
                <w:sz w:val="18"/>
                <w:szCs w:val="18"/>
                <w:highlight w:val="none"/>
                <w:lang w:eastAsia="zh-CN"/>
              </w:rPr>
              <w:t>每个驿站每年</w:t>
            </w:r>
            <w:r>
              <w:rPr>
                <w:rFonts w:hint="eastAsia" w:ascii="宋体" w:hAnsi="宋体" w:eastAsia="宋体" w:cs="Times New Roman"/>
                <w:color w:val="auto"/>
                <w:sz w:val="18"/>
                <w:szCs w:val="18"/>
                <w:highlight w:val="none"/>
              </w:rPr>
              <w:t>登记用人单位（用工主体）信息</w:t>
            </w:r>
            <w:r>
              <w:rPr>
                <w:rFonts w:hint="eastAsia" w:ascii="宋体" w:hAnsi="宋体" w:eastAsia="宋体" w:cs="Times New Roman"/>
                <w:color w:val="auto"/>
                <w:sz w:val="18"/>
                <w:szCs w:val="18"/>
                <w:highlight w:val="none"/>
                <w:lang w:val="en-US" w:eastAsia="zh-CN"/>
              </w:rPr>
              <w:t>200</w:t>
            </w:r>
            <w:r>
              <w:rPr>
                <w:rFonts w:hint="eastAsia" w:ascii="宋体" w:hAnsi="宋体" w:eastAsia="宋体" w:cs="Times New Roman"/>
                <w:color w:val="auto"/>
                <w:sz w:val="18"/>
                <w:szCs w:val="18"/>
                <w:highlight w:val="none"/>
              </w:rPr>
              <w:t>家（含）以上</w:t>
            </w:r>
            <w:r>
              <w:rPr>
                <w:rFonts w:hint="eastAsia" w:ascii="宋体" w:hAnsi="宋体" w:eastAsia="宋体" w:cs="Times New Roman"/>
                <w:color w:val="auto"/>
                <w:sz w:val="18"/>
                <w:szCs w:val="18"/>
                <w:highlight w:val="none"/>
                <w:lang w:eastAsia="zh-CN"/>
              </w:rPr>
              <w:t>，</w:t>
            </w:r>
            <w:r>
              <w:rPr>
                <w:rFonts w:hint="eastAsia" w:ascii="宋体" w:hAnsi="宋体" w:eastAsia="宋体" w:cs="Times New Roman"/>
                <w:color w:val="auto"/>
                <w:sz w:val="18"/>
                <w:szCs w:val="18"/>
                <w:highlight w:val="none"/>
              </w:rPr>
              <w:t>依托广西“数智人社”信息系统、广西就业、北海人才网、就业在线等平台联网发布求职招聘信息</w:t>
            </w:r>
            <w:r>
              <w:rPr>
                <w:rFonts w:hint="eastAsia" w:ascii="宋体" w:hAnsi="宋体" w:eastAsia="宋体" w:cs="Times New Roman"/>
                <w:color w:val="auto"/>
                <w:sz w:val="18"/>
                <w:szCs w:val="18"/>
                <w:highlight w:val="none"/>
                <w:lang w:eastAsia="zh-CN"/>
              </w:rPr>
              <w:t>及用工信息</w:t>
            </w:r>
            <w:r>
              <w:rPr>
                <w:rFonts w:hint="eastAsia" w:ascii="宋体" w:hAnsi="宋体" w:eastAsia="宋体" w:cs="Times New Roman"/>
                <w:color w:val="auto"/>
                <w:sz w:val="18"/>
                <w:szCs w:val="18"/>
                <w:highlight w:val="none"/>
                <w:lang w:val="en-US" w:eastAsia="zh-CN"/>
              </w:rPr>
              <w:t>3000条以上，</w:t>
            </w:r>
            <w:r>
              <w:rPr>
                <w:rFonts w:hint="eastAsia" w:ascii="宋体" w:hAnsi="宋体" w:eastAsia="宋体" w:cs="Times New Roman"/>
                <w:color w:val="auto"/>
                <w:sz w:val="18"/>
                <w:szCs w:val="18"/>
                <w:highlight w:val="none"/>
              </w:rPr>
              <w:t>岗位信息市级归集、多点联动、统一发布；建立用工需求台账，分类登记企业用工动态数据，及时录入广西“数智人社”信息系统</w:t>
            </w:r>
            <w:r>
              <w:rPr>
                <w:rFonts w:hint="eastAsia" w:ascii="宋体" w:hAnsi="宋体" w:eastAsia="宋体" w:cs="Times New Roman"/>
                <w:color w:val="auto"/>
                <w:sz w:val="18"/>
                <w:szCs w:val="18"/>
                <w:highlight w:val="none"/>
                <w:lang w:eastAsia="zh-CN"/>
              </w:rPr>
              <w:t>。</w:t>
            </w:r>
          </w:p>
          <w:p w14:paraId="551F0293">
            <w:pPr>
              <w:jc w:val="left"/>
              <w:rPr>
                <w:rFonts w:hint="eastAsia"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6.</w:t>
            </w:r>
            <w:r>
              <w:rPr>
                <w:rFonts w:hint="default" w:ascii="宋体" w:hAnsi="宋体" w:eastAsia="宋体" w:cs="Times New Roman"/>
                <w:color w:val="auto"/>
                <w:sz w:val="18"/>
                <w:szCs w:val="18"/>
                <w:highlight w:val="none"/>
                <w:lang w:val="en-US"/>
              </w:rPr>
              <w:t>3</w:t>
            </w:r>
            <w:r>
              <w:rPr>
                <w:rFonts w:hint="eastAsia" w:ascii="宋体" w:hAnsi="宋体" w:eastAsia="宋体" w:cs="Times New Roman"/>
                <w:color w:val="auto"/>
                <w:sz w:val="18"/>
                <w:szCs w:val="18"/>
                <w:highlight w:val="none"/>
                <w:lang w:eastAsia="zh-CN"/>
              </w:rPr>
              <w:t>每个驿站每年</w:t>
            </w:r>
            <w:r>
              <w:rPr>
                <w:rFonts w:hint="eastAsia" w:ascii="宋体" w:hAnsi="宋体" w:eastAsia="宋体" w:cs="Times New Roman"/>
                <w:color w:val="auto"/>
                <w:sz w:val="18"/>
                <w:szCs w:val="18"/>
                <w:highlight w:val="none"/>
              </w:rPr>
              <w:t>登记务工人员（零工人员）信息</w:t>
            </w:r>
            <w:r>
              <w:rPr>
                <w:rFonts w:hint="eastAsia" w:ascii="宋体" w:hAnsi="宋体" w:eastAsia="宋体" w:cs="Times New Roman"/>
                <w:color w:val="auto"/>
                <w:sz w:val="18"/>
                <w:szCs w:val="18"/>
                <w:highlight w:val="none"/>
                <w:lang w:val="en-US" w:eastAsia="zh-CN"/>
              </w:rPr>
              <w:t>1</w:t>
            </w:r>
            <w:r>
              <w:rPr>
                <w:rFonts w:hint="eastAsia" w:ascii="宋体" w:hAnsi="宋体" w:eastAsia="宋体" w:cs="Times New Roman"/>
                <w:color w:val="auto"/>
                <w:sz w:val="18"/>
                <w:szCs w:val="18"/>
                <w:highlight w:val="none"/>
              </w:rPr>
              <w:t>000人</w:t>
            </w:r>
            <w:r>
              <w:rPr>
                <w:rFonts w:hint="eastAsia" w:ascii="宋体" w:hAnsi="宋体" w:eastAsia="宋体" w:cs="Times New Roman"/>
                <w:color w:val="auto"/>
                <w:sz w:val="18"/>
                <w:szCs w:val="18"/>
                <w:highlight w:val="none"/>
                <w:lang w:eastAsia="zh-CN"/>
              </w:rPr>
              <w:t>次</w:t>
            </w:r>
            <w:r>
              <w:rPr>
                <w:rFonts w:hint="eastAsia" w:ascii="宋体" w:hAnsi="宋体" w:eastAsia="宋体" w:cs="Times New Roman"/>
                <w:color w:val="auto"/>
                <w:sz w:val="18"/>
                <w:szCs w:val="18"/>
                <w:highlight w:val="none"/>
              </w:rPr>
              <w:t>（含）以上；建立务工人员台账，及时录入广西“数智人社”信息系统，提供在线匹配对接、应聘报名、结果确认等“一网通办”服务。</w:t>
            </w:r>
          </w:p>
          <w:p w14:paraId="2EAD1384">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6.</w:t>
            </w:r>
            <w:r>
              <w:rPr>
                <w:rFonts w:hint="default" w:ascii="宋体" w:hAnsi="宋体" w:eastAsia="宋体" w:cs="Times New Roman"/>
                <w:color w:val="auto"/>
                <w:sz w:val="18"/>
                <w:szCs w:val="18"/>
                <w:highlight w:val="none"/>
                <w:lang w:val="en-US"/>
              </w:rPr>
              <w:t>4</w:t>
            </w:r>
            <w:r>
              <w:rPr>
                <w:rFonts w:hint="eastAsia" w:ascii="宋体" w:hAnsi="宋体" w:eastAsia="宋体" w:cs="Times New Roman"/>
                <w:color w:val="auto"/>
                <w:sz w:val="18"/>
                <w:szCs w:val="18"/>
                <w:highlight w:val="none"/>
              </w:rPr>
              <w:t>动态收集更新</w:t>
            </w:r>
            <w:r>
              <w:rPr>
                <w:rFonts w:hint="eastAsia" w:ascii="宋体" w:hAnsi="宋体" w:eastAsia="宋体" w:cs="Times New Roman"/>
                <w:color w:val="auto"/>
                <w:sz w:val="18"/>
                <w:szCs w:val="18"/>
                <w:highlight w:val="none"/>
                <w:lang w:eastAsia="zh-CN"/>
              </w:rPr>
              <w:t>驿站范围内</w:t>
            </w:r>
            <w:r>
              <w:rPr>
                <w:rFonts w:hint="eastAsia" w:ascii="宋体" w:hAnsi="宋体" w:eastAsia="宋体" w:cs="Times New Roman"/>
                <w:color w:val="auto"/>
                <w:sz w:val="18"/>
                <w:szCs w:val="18"/>
                <w:highlight w:val="none"/>
              </w:rPr>
              <w:t>零工人员信息，</w:t>
            </w:r>
            <w:r>
              <w:rPr>
                <w:rFonts w:hint="eastAsia" w:ascii="宋体" w:hAnsi="宋体" w:eastAsia="宋体" w:cs="Times New Roman"/>
                <w:color w:val="auto"/>
                <w:sz w:val="18"/>
                <w:szCs w:val="18"/>
                <w:highlight w:val="none"/>
                <w:lang w:eastAsia="zh-CN"/>
              </w:rPr>
              <w:t>每个驿站每年收集</w:t>
            </w:r>
            <w:r>
              <w:rPr>
                <w:rFonts w:hint="eastAsia" w:ascii="宋体" w:hAnsi="宋体" w:eastAsia="宋体" w:cs="Times New Roman"/>
                <w:color w:val="auto"/>
                <w:sz w:val="18"/>
                <w:szCs w:val="18"/>
                <w:highlight w:val="none"/>
                <w:lang w:val="en-US" w:eastAsia="zh-CN"/>
              </w:rPr>
              <w:t>不少于500个零工求职人员信息，</w:t>
            </w:r>
            <w:r>
              <w:rPr>
                <w:rFonts w:hint="eastAsia" w:ascii="宋体" w:hAnsi="宋体" w:eastAsia="宋体" w:cs="Times New Roman"/>
                <w:color w:val="auto"/>
                <w:sz w:val="18"/>
                <w:szCs w:val="18"/>
                <w:highlight w:val="none"/>
              </w:rPr>
              <w:t>引导用工主体优先招用困难零工人员。</w:t>
            </w:r>
            <w:r>
              <w:rPr>
                <w:rFonts w:hint="eastAsia" w:ascii="宋体" w:hAnsi="宋体" w:eastAsia="宋体" w:cs="Times New Roman"/>
                <w:color w:val="auto"/>
                <w:sz w:val="18"/>
                <w:szCs w:val="18"/>
                <w:highlight w:val="none"/>
                <w:lang w:eastAsia="zh-CN"/>
              </w:rPr>
              <w:t>按月报送重点社区人员摸底情况、帮扶情况。</w:t>
            </w:r>
          </w:p>
          <w:p w14:paraId="178F0C01">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6.</w:t>
            </w:r>
            <w:r>
              <w:rPr>
                <w:rFonts w:hint="eastAsia" w:ascii="宋体" w:hAnsi="宋体" w:eastAsia="宋体" w:cs="Times New Roman"/>
                <w:color w:val="auto"/>
                <w:sz w:val="18"/>
                <w:szCs w:val="18"/>
                <w:highlight w:val="none"/>
                <w:lang w:val="en-US" w:eastAsia="zh-CN"/>
              </w:rPr>
              <w:t>5</w:t>
            </w:r>
            <w:r>
              <w:rPr>
                <w:rFonts w:hint="eastAsia" w:ascii="宋体" w:hAnsi="宋体" w:eastAsia="宋体" w:cs="Times New Roman"/>
                <w:color w:val="auto"/>
                <w:sz w:val="18"/>
                <w:szCs w:val="18"/>
                <w:highlight w:val="none"/>
              </w:rPr>
              <w:t>编制就业驿站名录，名录信息具体包括：就业驿站名称、运营性质、详细地址、主要招聘工种和招聘人数等</w:t>
            </w:r>
            <w:r>
              <w:rPr>
                <w:rFonts w:hint="eastAsia" w:ascii="宋体" w:hAnsi="宋体" w:eastAsia="宋体" w:cs="Times New Roman"/>
                <w:color w:val="auto"/>
                <w:sz w:val="18"/>
                <w:szCs w:val="18"/>
                <w:highlight w:val="none"/>
                <w:lang w:eastAsia="zh-CN"/>
              </w:rPr>
              <w:t>。</w:t>
            </w:r>
          </w:p>
          <w:p w14:paraId="215B9441">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6.</w:t>
            </w:r>
            <w:r>
              <w:rPr>
                <w:rFonts w:hint="eastAsia" w:ascii="宋体" w:hAnsi="宋体" w:eastAsia="宋体" w:cs="Times New Roman"/>
                <w:color w:val="auto"/>
                <w:sz w:val="18"/>
                <w:szCs w:val="18"/>
                <w:highlight w:val="none"/>
                <w:lang w:val="en-US" w:eastAsia="zh-CN"/>
              </w:rPr>
              <w:t>6对</w:t>
            </w:r>
            <w:r>
              <w:rPr>
                <w:rFonts w:hint="eastAsia" w:ascii="宋体" w:hAnsi="宋体" w:eastAsia="宋体" w:cs="Times New Roman"/>
                <w:color w:val="auto"/>
                <w:sz w:val="18"/>
                <w:szCs w:val="18"/>
                <w:highlight w:val="none"/>
                <w:lang w:eastAsia="zh-CN"/>
              </w:rPr>
              <w:t>就业</w:t>
            </w:r>
            <w:r>
              <w:rPr>
                <w:rFonts w:hint="eastAsia" w:ascii="宋体" w:hAnsi="宋体" w:eastAsia="宋体" w:cs="Times New Roman"/>
                <w:color w:val="auto"/>
                <w:sz w:val="18"/>
                <w:szCs w:val="18"/>
                <w:highlight w:val="none"/>
              </w:rPr>
              <w:t>情况</w:t>
            </w:r>
            <w:r>
              <w:rPr>
                <w:rFonts w:hint="eastAsia" w:ascii="宋体" w:hAnsi="宋体" w:eastAsia="宋体" w:cs="Times New Roman"/>
                <w:color w:val="auto"/>
                <w:sz w:val="18"/>
                <w:szCs w:val="18"/>
                <w:highlight w:val="none"/>
                <w:lang w:eastAsia="zh-CN"/>
              </w:rPr>
              <w:t>进行</w:t>
            </w:r>
            <w:r>
              <w:rPr>
                <w:rFonts w:hint="eastAsia" w:ascii="宋体" w:hAnsi="宋体" w:eastAsia="宋体" w:cs="Times New Roman"/>
                <w:color w:val="auto"/>
                <w:sz w:val="18"/>
                <w:szCs w:val="18"/>
                <w:highlight w:val="none"/>
              </w:rPr>
              <w:t>监测，对求职人数、招聘岗位等信息进行定期监测分析，并形成月度统计报表、季度形势分析报告、年度发展报告；</w:t>
            </w:r>
            <w:r>
              <w:rPr>
                <w:rFonts w:hint="eastAsia" w:ascii="宋体" w:hAnsi="宋体" w:eastAsia="宋体" w:cs="Times New Roman"/>
                <w:color w:val="auto"/>
                <w:sz w:val="18"/>
                <w:szCs w:val="18"/>
                <w:highlight w:val="none"/>
                <w:lang w:eastAsia="zh-CN"/>
              </w:rPr>
              <w:t>对就业驿站的运营情况形成月度、季度及年度报告。</w:t>
            </w:r>
          </w:p>
          <w:p w14:paraId="1689BECD">
            <w:pPr>
              <w:jc w:val="left"/>
              <w:rPr>
                <w:rFonts w:hint="eastAsia" w:ascii="宋体" w:hAnsi="宋体" w:eastAsia="宋体" w:cs="Times New Roman"/>
                <w:color w:val="auto"/>
                <w:sz w:val="18"/>
                <w:szCs w:val="18"/>
                <w:highlight w:val="none"/>
                <w:lang w:eastAsia="zh-CN"/>
              </w:rPr>
            </w:pPr>
            <w:r>
              <w:rPr>
                <w:rFonts w:hint="eastAsia" w:ascii="宋体" w:hAnsi="宋体" w:eastAsia="宋体" w:cs="Times New Roman"/>
                <w:color w:val="auto"/>
                <w:sz w:val="18"/>
                <w:szCs w:val="18"/>
                <w:highlight w:val="none"/>
              </w:rPr>
              <w:t>6.</w:t>
            </w:r>
            <w:r>
              <w:rPr>
                <w:rFonts w:hint="eastAsia" w:ascii="宋体" w:hAnsi="宋体" w:eastAsia="宋体" w:cs="Times New Roman"/>
                <w:color w:val="auto"/>
                <w:sz w:val="18"/>
                <w:szCs w:val="18"/>
                <w:highlight w:val="none"/>
                <w:lang w:val="en-US" w:eastAsia="zh-CN"/>
              </w:rPr>
              <w:t>7</w:t>
            </w:r>
            <w:r>
              <w:rPr>
                <w:rFonts w:hint="eastAsia" w:ascii="宋体" w:hAnsi="宋体" w:eastAsia="宋体" w:cs="Times New Roman"/>
                <w:color w:val="auto"/>
                <w:sz w:val="18"/>
                <w:szCs w:val="18"/>
                <w:highlight w:val="none"/>
              </w:rPr>
              <w:t>在开展运行管理期间，对使用就业驿站的信息发布系统（含LED显示屏、控制主机、物联网卡等） 要负责保管和维护，因不适当使用导致设施设备损坏或故障的，要负责维修修缮及相关赔偿费用</w:t>
            </w:r>
            <w:r>
              <w:rPr>
                <w:rFonts w:hint="eastAsia" w:ascii="宋体" w:hAnsi="宋体" w:eastAsia="宋体" w:cs="Times New Roman"/>
                <w:color w:val="auto"/>
                <w:sz w:val="18"/>
                <w:szCs w:val="18"/>
                <w:highlight w:val="none"/>
                <w:lang w:eastAsia="zh-CN"/>
              </w:rPr>
              <w:t>。</w:t>
            </w:r>
          </w:p>
          <w:p w14:paraId="4A0A1C35">
            <w:pPr>
              <w:jc w:val="left"/>
              <w:rPr>
                <w:rFonts w:hint="eastAsia" w:ascii="宋体" w:hAnsi="宋体" w:eastAsia="宋体" w:cs="Times New Roman"/>
                <w:color w:val="auto"/>
                <w:sz w:val="18"/>
                <w:szCs w:val="18"/>
                <w:highlight w:val="none"/>
                <w:lang w:val="en-US" w:eastAsia="zh-CN"/>
              </w:rPr>
            </w:pPr>
            <w:r>
              <w:rPr>
                <w:rFonts w:hint="default" w:ascii="宋体" w:hAnsi="宋体" w:eastAsia="宋体" w:cs="Times New Roman"/>
                <w:color w:val="auto"/>
                <w:sz w:val="18"/>
                <w:szCs w:val="18"/>
                <w:highlight w:val="none"/>
                <w:lang w:val="en-US" w:eastAsia="zh-CN"/>
              </w:rPr>
              <w:t>6.8每个季度按照人社部门要求在北海市及广西区主流媒体或人社部门指定的相关媒体开展一次宣传</w:t>
            </w:r>
            <w:r>
              <w:rPr>
                <w:rFonts w:hint="eastAsia" w:ascii="宋体" w:hAnsi="宋体" w:eastAsia="宋体" w:cs="Times New Roman"/>
                <w:color w:val="auto"/>
                <w:sz w:val="18"/>
                <w:szCs w:val="18"/>
                <w:highlight w:val="none"/>
                <w:lang w:val="en-US" w:eastAsia="zh-CN"/>
              </w:rPr>
              <w:t>，让更多群众了解就业驿站相关服务及职能。</w:t>
            </w:r>
          </w:p>
          <w:p w14:paraId="06643FE0">
            <w:pPr>
              <w:jc w:val="left"/>
              <w:rPr>
                <w:rFonts w:hint="eastAsia" w:ascii="宋体" w:hAnsi="宋体" w:eastAsia="宋体" w:cs="Times New Roman"/>
                <w:b/>
                <w:bCs/>
                <w:color w:val="auto"/>
                <w:sz w:val="18"/>
                <w:szCs w:val="18"/>
                <w:highlight w:val="none"/>
                <w:lang w:val="en-US" w:eastAsia="zh-CN"/>
              </w:rPr>
            </w:pPr>
            <w:r>
              <w:rPr>
                <w:rFonts w:hint="eastAsia" w:ascii="宋体" w:hAnsi="宋体" w:eastAsia="宋体" w:cs="Times New Roman"/>
                <w:b/>
                <w:bCs/>
                <w:color w:val="auto"/>
                <w:sz w:val="18"/>
                <w:szCs w:val="18"/>
                <w:highlight w:val="none"/>
                <w:lang w:val="en-US" w:eastAsia="zh-CN"/>
              </w:rPr>
              <w:t>7.项目验收：</w:t>
            </w:r>
          </w:p>
          <w:p w14:paraId="13EB3BB8">
            <w:pPr>
              <w:jc w:val="left"/>
              <w:rPr>
                <w:rFonts w:hint="default" w:ascii="宋体" w:hAnsi="宋体" w:eastAsia="宋体" w:cs="Times New Roman"/>
                <w:color w:val="auto"/>
                <w:sz w:val="18"/>
                <w:szCs w:val="18"/>
                <w:highlight w:val="none"/>
                <w:lang w:val="en-US" w:eastAsia="zh-CN"/>
              </w:rPr>
            </w:pPr>
            <w:r>
              <w:rPr>
                <w:rFonts w:hint="default" w:ascii="宋体" w:hAnsi="宋体" w:eastAsia="宋体" w:cs="Times New Roman"/>
                <w:color w:val="auto"/>
                <w:sz w:val="18"/>
                <w:szCs w:val="18"/>
                <w:highlight w:val="none"/>
                <w:lang w:val="en-US" w:eastAsia="zh-CN"/>
              </w:rPr>
              <w:t>按每年一个周期对</w:t>
            </w:r>
            <w:r>
              <w:rPr>
                <w:rFonts w:hint="eastAsia" w:ascii="宋体" w:hAnsi="宋体" w:eastAsia="宋体" w:cs="Times New Roman"/>
                <w:color w:val="auto"/>
                <w:sz w:val="18"/>
                <w:szCs w:val="18"/>
                <w:highlight w:val="none"/>
                <w:lang w:val="en-US" w:eastAsia="zh-CN"/>
              </w:rPr>
              <w:t>就业驿站</w:t>
            </w:r>
            <w:r>
              <w:rPr>
                <w:rFonts w:hint="default" w:ascii="宋体" w:hAnsi="宋体" w:eastAsia="宋体" w:cs="Times New Roman"/>
                <w:color w:val="auto"/>
                <w:sz w:val="18"/>
                <w:szCs w:val="18"/>
                <w:highlight w:val="none"/>
                <w:lang w:val="en-US" w:eastAsia="zh-CN"/>
              </w:rPr>
              <w:t>委托运营机构进行考核，考核标准逐年制定，实行100分制。</w:t>
            </w:r>
          </w:p>
          <w:p w14:paraId="4E340072">
            <w:pPr>
              <w:jc w:val="left"/>
              <w:rPr>
                <w:rFonts w:hint="eastAsia" w:ascii="宋体" w:hAnsi="宋体" w:eastAsia="宋体" w:cs="宋体"/>
                <w:color w:val="auto"/>
                <w:sz w:val="18"/>
                <w:szCs w:val="18"/>
                <w:highlight w:val="none"/>
                <w:lang w:val="en-US" w:eastAsia="zh-CN"/>
              </w:rPr>
            </w:pPr>
            <w:r>
              <w:rPr>
                <w:rFonts w:hint="eastAsia" w:ascii="宋体" w:hAnsi="宋体" w:eastAsia="宋体" w:cs="Times New Roman"/>
                <w:color w:val="auto"/>
                <w:sz w:val="18"/>
                <w:szCs w:val="18"/>
                <w:highlight w:val="none"/>
              </w:rPr>
              <w:t>★提供就业驿站运行管理服务方案。</w:t>
            </w:r>
          </w:p>
        </w:tc>
        <w:tc>
          <w:tcPr>
            <w:tcW w:w="351" w:type="dxa"/>
            <w:vAlign w:val="center"/>
          </w:tcPr>
          <w:p w14:paraId="72864009">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 xml:space="preserve"> </w:t>
            </w:r>
          </w:p>
        </w:tc>
        <w:tc>
          <w:tcPr>
            <w:tcW w:w="421" w:type="dxa"/>
            <w:vAlign w:val="center"/>
          </w:tcPr>
          <w:p w14:paraId="7549B1F2">
            <w:pPr>
              <w:jc w:val="center"/>
              <w:rPr>
                <w:rFonts w:hint="eastAsia" w:ascii="宋体" w:hAnsi="宋体" w:eastAsia="宋体" w:cs="宋体"/>
                <w:color w:val="auto"/>
                <w:sz w:val="18"/>
                <w:szCs w:val="18"/>
                <w:highlight w:val="none"/>
                <w:lang w:eastAsia="zh-CN"/>
              </w:rPr>
            </w:pPr>
            <w:r>
              <w:rPr>
                <w:rFonts w:hint="eastAsia" w:ascii="宋体" w:hAnsi="宋体" w:cs="宋体"/>
                <w:color w:val="auto"/>
                <w:sz w:val="18"/>
                <w:szCs w:val="18"/>
                <w:highlight w:val="none"/>
                <w:lang w:eastAsia="zh-CN"/>
              </w:rPr>
              <w:t>年</w:t>
            </w:r>
          </w:p>
        </w:tc>
        <w:tc>
          <w:tcPr>
            <w:tcW w:w="1050" w:type="dxa"/>
            <w:vAlign w:val="center"/>
          </w:tcPr>
          <w:p w14:paraId="39EB8A5A">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93</w:t>
            </w:r>
            <w:r>
              <w:rPr>
                <w:rFonts w:hint="eastAsia" w:ascii="宋体" w:hAnsi="宋体" w:cs="宋体"/>
                <w:color w:val="auto"/>
                <w:sz w:val="18"/>
                <w:szCs w:val="18"/>
                <w:highlight w:val="none"/>
                <w:lang w:val="en-US" w:eastAsia="zh-CN"/>
              </w:rPr>
              <w:t>0000.00</w:t>
            </w:r>
          </w:p>
        </w:tc>
        <w:tc>
          <w:tcPr>
            <w:tcW w:w="1118" w:type="dxa"/>
            <w:vAlign w:val="center"/>
          </w:tcPr>
          <w:p w14:paraId="6F0E981A">
            <w:pPr>
              <w:jc w:val="center"/>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186</w:t>
            </w:r>
            <w:r>
              <w:rPr>
                <w:rFonts w:hint="eastAsia" w:ascii="宋体" w:hAnsi="宋体" w:cs="宋体"/>
                <w:color w:val="auto"/>
                <w:sz w:val="18"/>
                <w:szCs w:val="18"/>
                <w:highlight w:val="none"/>
                <w:lang w:val="en-US" w:eastAsia="zh-CN"/>
              </w:rPr>
              <w:t>0000.00</w:t>
            </w:r>
          </w:p>
        </w:tc>
      </w:tr>
    </w:tbl>
    <w:p w14:paraId="53DB1903">
      <w:pPr>
        <w:kinsoku w:val="0"/>
        <w:overflowPunct w:val="0"/>
        <w:adjustRightInd w:val="0"/>
        <w:spacing w:line="260" w:lineRule="exact"/>
        <w:ind w:firstLine="422" w:firstLineChars="200"/>
        <w:jc w:val="center"/>
        <w:rPr>
          <w:rFonts w:hint="eastAsia" w:ascii="宋体" w:hAnsi="宋体" w:cs="宋体"/>
          <w:b/>
          <w:bCs/>
          <w:color w:val="auto"/>
          <w:szCs w:val="21"/>
          <w:highlight w:val="none"/>
        </w:rPr>
      </w:pPr>
    </w:p>
    <w:p w14:paraId="6068E498">
      <w:pPr>
        <w:kinsoku w:val="0"/>
        <w:overflowPunct w:val="0"/>
        <w:adjustRightInd w:val="0"/>
        <w:spacing w:line="260" w:lineRule="exact"/>
        <w:ind w:firstLine="482" w:firstLineChars="200"/>
        <w:jc w:val="center"/>
        <w:rPr>
          <w:rFonts w:ascii="宋体" w:hAnsi="宋体" w:cs="宋体"/>
          <w:color w:val="auto"/>
          <w:sz w:val="24"/>
          <w:szCs w:val="24"/>
          <w:highlight w:val="none"/>
        </w:rPr>
      </w:pPr>
      <w:r>
        <w:rPr>
          <w:rFonts w:hint="eastAsia" w:ascii="宋体" w:hAnsi="宋体" w:cs="宋体"/>
          <w:b/>
          <w:bCs/>
          <w:color w:val="auto"/>
          <w:sz w:val="24"/>
          <w:szCs w:val="24"/>
          <w:highlight w:val="none"/>
        </w:rPr>
        <w:t>二、商务要求</w:t>
      </w:r>
    </w:p>
    <w:tbl>
      <w:tblPr>
        <w:tblStyle w:val="28"/>
        <w:tblpPr w:leftFromText="180" w:rightFromText="180" w:vertAnchor="text" w:horzAnchor="page" w:tblpX="1271" w:tblpY="207"/>
        <w:tblOverlap w:val="never"/>
        <w:tblW w:w="9681" w:type="dxa"/>
        <w:tblInd w:w="0" w:type="dxa"/>
        <w:tblLayout w:type="fixed"/>
        <w:tblCellMar>
          <w:top w:w="0" w:type="dxa"/>
          <w:left w:w="0" w:type="dxa"/>
          <w:bottom w:w="0" w:type="dxa"/>
          <w:right w:w="0" w:type="dxa"/>
        </w:tblCellMar>
      </w:tblPr>
      <w:tblGrid>
        <w:gridCol w:w="1039"/>
        <w:gridCol w:w="8642"/>
      </w:tblGrid>
      <w:tr w14:paraId="70FDE1DE">
        <w:tblPrEx>
          <w:tblCellMar>
            <w:top w:w="0" w:type="dxa"/>
            <w:left w:w="0" w:type="dxa"/>
            <w:bottom w:w="0" w:type="dxa"/>
            <w:right w:w="0" w:type="dxa"/>
          </w:tblCellMar>
        </w:tblPrEx>
        <w:trPr>
          <w:cantSplit/>
        </w:trPr>
        <w:tc>
          <w:tcPr>
            <w:tcW w:w="1039" w:type="dxa"/>
            <w:tcBorders>
              <w:top w:val="single" w:color="000000" w:sz="4" w:space="0"/>
              <w:left w:val="single" w:color="000000" w:sz="4" w:space="0"/>
              <w:bottom w:val="single" w:color="000000" w:sz="4" w:space="0"/>
              <w:right w:val="single" w:color="000000" w:sz="4" w:space="0"/>
            </w:tcBorders>
            <w:vAlign w:val="center"/>
          </w:tcPr>
          <w:p w14:paraId="3BB2589D">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ascii="宋体" w:hAnsi="宋体" w:cs="宋体"/>
                <w:color w:val="auto"/>
                <w:sz w:val="18"/>
                <w:szCs w:val="18"/>
                <w:highlight w:val="none"/>
              </w:rPr>
            </w:pPr>
            <w:r>
              <w:rPr>
                <w:rFonts w:hint="eastAsia" w:ascii="宋体" w:hAnsi="宋体" w:cs="宋体"/>
                <w:color w:val="auto"/>
                <w:spacing w:val="2"/>
                <w:sz w:val="18"/>
                <w:szCs w:val="18"/>
                <w:highlight w:val="none"/>
              </w:rPr>
              <w:t>服务期限</w:t>
            </w:r>
            <w:r>
              <w:rPr>
                <w:rFonts w:hint="eastAsia" w:ascii="宋体" w:hAnsi="宋体" w:cs="宋体"/>
                <w:color w:val="auto"/>
                <w:sz w:val="18"/>
                <w:szCs w:val="18"/>
                <w:highlight w:val="none"/>
              </w:rPr>
              <w:t>及服务地点</w:t>
            </w:r>
          </w:p>
        </w:tc>
        <w:tc>
          <w:tcPr>
            <w:tcW w:w="8642" w:type="dxa"/>
            <w:tcBorders>
              <w:top w:val="single" w:color="000000" w:sz="4" w:space="0"/>
              <w:left w:val="single" w:color="000000" w:sz="4" w:space="0"/>
              <w:bottom w:val="single" w:color="000000" w:sz="4" w:space="0"/>
              <w:right w:val="single" w:color="000000" w:sz="4" w:space="0"/>
            </w:tcBorders>
            <w:vAlign w:val="center"/>
          </w:tcPr>
          <w:p w14:paraId="595DB825">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1.服务期限：</w:t>
            </w:r>
            <w:r>
              <w:rPr>
                <w:rFonts w:hint="eastAsia" w:ascii="宋体" w:hAnsi="宋体" w:cs="宋体"/>
                <w:bCs/>
                <w:color w:val="auto"/>
                <w:sz w:val="18"/>
                <w:szCs w:val="18"/>
                <w:highlight w:val="none"/>
                <w:lang w:val="en-US" w:eastAsia="zh-CN"/>
              </w:rPr>
              <w:t>2</w:t>
            </w:r>
            <w:r>
              <w:rPr>
                <w:rFonts w:hint="eastAsia" w:ascii="宋体" w:hAnsi="宋体" w:cs="宋体"/>
                <w:bCs/>
                <w:color w:val="auto"/>
                <w:sz w:val="18"/>
                <w:szCs w:val="18"/>
                <w:highlight w:val="none"/>
              </w:rPr>
              <w:t>年，每周对外服务时间为6天，每天对外服务时间为7小时（含）以上；</w:t>
            </w:r>
          </w:p>
          <w:p w14:paraId="2286CD91">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ascii="宋体" w:hAnsi="宋体" w:cs="宋体"/>
                <w:color w:val="auto"/>
                <w:sz w:val="18"/>
                <w:szCs w:val="18"/>
                <w:highlight w:val="none"/>
              </w:rPr>
            </w:pPr>
            <w:r>
              <w:rPr>
                <w:rFonts w:hint="eastAsia" w:ascii="宋体" w:hAnsi="宋体" w:cs="宋体"/>
                <w:bCs/>
                <w:color w:val="auto"/>
                <w:sz w:val="18"/>
                <w:szCs w:val="18"/>
                <w:highlight w:val="none"/>
              </w:rPr>
              <w:t>2.服务地点：北海市城</w:t>
            </w:r>
            <w:r>
              <w:rPr>
                <w:rFonts w:hint="eastAsia" w:ascii="宋体" w:hAnsi="宋体" w:cs="宋体"/>
                <w:color w:val="auto"/>
                <w:sz w:val="18"/>
                <w:szCs w:val="18"/>
                <w:highlight w:val="none"/>
              </w:rPr>
              <w:t>区内的13个就业驿站（具体地址以采购人提供的就业驿站地址为准）；</w:t>
            </w:r>
          </w:p>
        </w:tc>
      </w:tr>
      <w:tr w14:paraId="262B67E6">
        <w:tblPrEx>
          <w:tblCellMar>
            <w:top w:w="0" w:type="dxa"/>
            <w:left w:w="0" w:type="dxa"/>
            <w:bottom w:w="0" w:type="dxa"/>
            <w:right w:w="0" w:type="dxa"/>
          </w:tblCellMar>
        </w:tblPrEx>
        <w:tc>
          <w:tcPr>
            <w:tcW w:w="1039" w:type="dxa"/>
            <w:tcBorders>
              <w:top w:val="single" w:color="000000" w:sz="4" w:space="0"/>
              <w:left w:val="single" w:color="000000" w:sz="4" w:space="0"/>
              <w:bottom w:val="single" w:color="000000" w:sz="4" w:space="0"/>
              <w:right w:val="single" w:color="000000" w:sz="4" w:space="0"/>
            </w:tcBorders>
            <w:vAlign w:val="center"/>
          </w:tcPr>
          <w:p w14:paraId="1D816C6B">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报价要求</w:t>
            </w:r>
          </w:p>
        </w:tc>
        <w:tc>
          <w:tcPr>
            <w:tcW w:w="8642" w:type="dxa"/>
            <w:tcBorders>
              <w:top w:val="single" w:color="000000" w:sz="4" w:space="0"/>
              <w:left w:val="single" w:color="000000" w:sz="4" w:space="0"/>
              <w:bottom w:val="single" w:color="000000" w:sz="4" w:space="0"/>
              <w:right w:val="single" w:color="000000" w:sz="4" w:space="0"/>
            </w:tcBorders>
            <w:vAlign w:val="center"/>
          </w:tcPr>
          <w:p w14:paraId="6D3F20E7">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Ansi="宋体" w:cs="宋体"/>
                <w:color w:val="auto"/>
                <w:sz w:val="18"/>
                <w:szCs w:val="18"/>
                <w:highlight w:val="none"/>
              </w:rPr>
            </w:pPr>
            <w:r>
              <w:rPr>
                <w:rFonts w:hint="eastAsia" w:hAnsi="宋体" w:cs="宋体"/>
                <w:color w:val="auto"/>
                <w:sz w:val="18"/>
                <w:szCs w:val="18"/>
                <w:highlight w:val="none"/>
              </w:rPr>
              <w:t>报价必须包含但不限于以下部分：</w:t>
            </w:r>
          </w:p>
          <w:p w14:paraId="1836C160">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ascii="宋体" w:hAnsi="宋体" w:cs="宋体"/>
                <w:color w:val="auto"/>
                <w:sz w:val="18"/>
                <w:szCs w:val="18"/>
                <w:highlight w:val="none"/>
              </w:rPr>
            </w:pPr>
            <w:bookmarkStart w:id="43" w:name="OLE_LINK5"/>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服务费、人工劳务费、</w:t>
            </w:r>
            <w:r>
              <w:rPr>
                <w:rFonts w:hint="eastAsia" w:ascii="宋体" w:hAnsi="宋体" w:cs="宋体"/>
                <w:color w:val="auto"/>
                <w:sz w:val="18"/>
                <w:szCs w:val="18"/>
                <w:highlight w:val="none"/>
                <w:lang w:eastAsia="zh-CN"/>
              </w:rPr>
              <w:t>管理费、</w:t>
            </w:r>
            <w:r>
              <w:rPr>
                <w:rFonts w:hint="eastAsia" w:ascii="宋体" w:hAnsi="宋体" w:cs="宋体"/>
                <w:color w:val="auto"/>
                <w:sz w:val="18"/>
                <w:szCs w:val="18"/>
                <w:highlight w:val="none"/>
              </w:rPr>
              <w:t>材料费、配套设备的货款；</w:t>
            </w:r>
          </w:p>
          <w:p w14:paraId="4D4B314E">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ascii="宋体" w:hAnsi="宋体" w:cs="宋体"/>
                <w:color w:val="auto"/>
                <w:sz w:val="18"/>
                <w:szCs w:val="18"/>
                <w:highlight w:val="none"/>
              </w:rPr>
            </w:pPr>
            <w:r>
              <w:rPr>
                <w:rFonts w:hint="eastAsia" w:ascii="宋体" w:hAnsi="宋体" w:cs="宋体"/>
                <w:color w:val="auto"/>
                <w:sz w:val="18"/>
                <w:szCs w:val="18"/>
                <w:highlight w:val="none"/>
              </w:rPr>
              <w:t>（2）运输(含保险)、</w:t>
            </w:r>
            <w:r>
              <w:rPr>
                <w:rFonts w:hint="eastAsia" w:ascii="宋体" w:hAnsi="宋体" w:cs="宋体"/>
                <w:color w:val="auto"/>
                <w:sz w:val="18"/>
                <w:szCs w:val="18"/>
                <w:highlight w:val="none"/>
                <w:lang w:eastAsia="zh-CN"/>
              </w:rPr>
              <w:t>设备采购及</w:t>
            </w:r>
            <w:r>
              <w:rPr>
                <w:rFonts w:hint="eastAsia" w:ascii="宋体" w:hAnsi="宋体" w:cs="宋体"/>
                <w:color w:val="auto"/>
                <w:sz w:val="18"/>
                <w:szCs w:val="18"/>
                <w:highlight w:val="none"/>
              </w:rPr>
              <w:t>安装、 调试、</w:t>
            </w:r>
            <w:r>
              <w:rPr>
                <w:rFonts w:hint="eastAsia" w:ascii="宋体" w:hAnsi="宋体" w:cs="宋体"/>
                <w:color w:val="auto"/>
                <w:sz w:val="18"/>
                <w:szCs w:val="18"/>
                <w:highlight w:val="none"/>
                <w:lang w:eastAsia="zh-CN"/>
              </w:rPr>
              <w:t>验收、</w:t>
            </w:r>
            <w:r>
              <w:rPr>
                <w:rFonts w:hint="eastAsia" w:ascii="宋体" w:hAnsi="宋体" w:cs="宋体"/>
                <w:color w:val="auto"/>
                <w:sz w:val="18"/>
                <w:szCs w:val="18"/>
                <w:highlight w:val="none"/>
              </w:rPr>
              <w:t>印刷、广告宣传、利润、保险费用和各项税金；</w:t>
            </w:r>
          </w:p>
          <w:p w14:paraId="3CC1D587">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Ansi="宋体" w:cs="宋体"/>
                <w:color w:val="auto"/>
                <w:sz w:val="18"/>
                <w:szCs w:val="18"/>
                <w:highlight w:val="none"/>
              </w:rPr>
            </w:pPr>
            <w:r>
              <w:rPr>
                <w:rFonts w:hint="eastAsia" w:hAnsi="宋体" w:cs="宋体"/>
                <w:color w:val="auto"/>
                <w:sz w:val="18"/>
                <w:szCs w:val="18"/>
                <w:highlight w:val="none"/>
              </w:rPr>
              <w:t>（3）其他费用（包括但不限于组织、策划、</w:t>
            </w:r>
            <w:r>
              <w:rPr>
                <w:rFonts w:hint="eastAsia" w:hAnsi="宋体" w:cs="宋体"/>
                <w:color w:val="auto"/>
                <w:sz w:val="18"/>
                <w:szCs w:val="18"/>
                <w:highlight w:val="none"/>
                <w:lang w:eastAsia="zh-CN"/>
              </w:rPr>
              <w:t>宣传、合同履行风险、采购</w:t>
            </w:r>
            <w:r>
              <w:rPr>
                <w:rFonts w:hint="eastAsia" w:hAnsi="宋体" w:cs="宋体"/>
                <w:color w:val="auto"/>
                <w:sz w:val="18"/>
                <w:szCs w:val="18"/>
                <w:highlight w:val="none"/>
              </w:rPr>
              <w:t>代理服务费等费用）；</w:t>
            </w:r>
          </w:p>
          <w:bookmarkEnd w:id="43"/>
          <w:p w14:paraId="4A6C4C1F">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Ansi="宋体" w:cs="宋体"/>
                <w:color w:val="auto"/>
                <w:sz w:val="18"/>
                <w:szCs w:val="18"/>
                <w:highlight w:val="none"/>
              </w:rPr>
            </w:pPr>
            <w:r>
              <w:rPr>
                <w:rFonts w:hint="eastAsia" w:hAnsi="宋体" w:cs="宋体"/>
                <w:color w:val="auto"/>
                <w:sz w:val="18"/>
                <w:szCs w:val="18"/>
                <w:highlight w:val="none"/>
              </w:rPr>
              <w:t>（4）完成本项目采购的可预见及不可预见的所有成本及费用的总和，除合同价款及采购人认可的特殊情况外，采购人不再为本项目另付其他任何费用给成交供应商。</w:t>
            </w:r>
          </w:p>
        </w:tc>
      </w:tr>
      <w:tr w14:paraId="36C10882">
        <w:tblPrEx>
          <w:tblCellMar>
            <w:top w:w="0" w:type="dxa"/>
            <w:left w:w="0" w:type="dxa"/>
            <w:bottom w:w="0" w:type="dxa"/>
            <w:right w:w="0" w:type="dxa"/>
          </w:tblCellMar>
        </w:tblPrEx>
        <w:tc>
          <w:tcPr>
            <w:tcW w:w="1039" w:type="dxa"/>
            <w:tcBorders>
              <w:top w:val="single" w:color="000000" w:sz="4" w:space="0"/>
              <w:left w:val="single" w:color="000000" w:sz="4" w:space="0"/>
              <w:bottom w:val="single" w:color="000000" w:sz="4" w:space="0"/>
              <w:right w:val="single" w:color="000000" w:sz="4" w:space="0"/>
            </w:tcBorders>
            <w:vAlign w:val="center"/>
          </w:tcPr>
          <w:p w14:paraId="0E43E899">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知识产权要求</w:t>
            </w:r>
          </w:p>
        </w:tc>
        <w:tc>
          <w:tcPr>
            <w:tcW w:w="8642" w:type="dxa"/>
            <w:tcBorders>
              <w:top w:val="single" w:color="000000" w:sz="4" w:space="0"/>
              <w:left w:val="single" w:color="000000" w:sz="4" w:space="0"/>
              <w:bottom w:val="single" w:color="000000" w:sz="4" w:space="0"/>
              <w:right w:val="single" w:color="000000" w:sz="4" w:space="0"/>
            </w:tcBorders>
            <w:vAlign w:val="center"/>
          </w:tcPr>
          <w:p w14:paraId="1F9589F9">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所有运营服务项目过程和成果归采购人所有，成交供应商必须按照《中华人民共和国保密法》及其相关条例中的保密规定对采购人（含采购人相关单位〉的工作和成果进行保密，不得向其他单位和个人提供相关资料。</w:t>
            </w:r>
          </w:p>
          <w:p w14:paraId="183B9362">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6D1385D7">
        <w:tblPrEx>
          <w:tblCellMar>
            <w:top w:w="0" w:type="dxa"/>
            <w:left w:w="0" w:type="dxa"/>
            <w:bottom w:w="0" w:type="dxa"/>
            <w:right w:w="0" w:type="dxa"/>
          </w:tblCellMar>
        </w:tblPrEx>
        <w:tc>
          <w:tcPr>
            <w:tcW w:w="1039" w:type="dxa"/>
            <w:tcBorders>
              <w:top w:val="single" w:color="000000" w:sz="4" w:space="0"/>
              <w:left w:val="single" w:color="000000" w:sz="4" w:space="0"/>
              <w:bottom w:val="single" w:color="000000" w:sz="4" w:space="0"/>
              <w:right w:val="single" w:color="000000" w:sz="4" w:space="0"/>
            </w:tcBorders>
            <w:vAlign w:val="center"/>
          </w:tcPr>
          <w:p w14:paraId="41F74DEC">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保密要求</w:t>
            </w:r>
          </w:p>
        </w:tc>
        <w:tc>
          <w:tcPr>
            <w:tcW w:w="8642" w:type="dxa"/>
            <w:tcBorders>
              <w:top w:val="single" w:color="000000" w:sz="4" w:space="0"/>
              <w:left w:val="single" w:color="000000" w:sz="4" w:space="0"/>
              <w:bottom w:val="single" w:color="000000" w:sz="4" w:space="0"/>
              <w:right w:val="single" w:color="000000" w:sz="4" w:space="0"/>
            </w:tcBorders>
            <w:vAlign w:val="center"/>
          </w:tcPr>
          <w:p w14:paraId="118A8D27">
            <w:pPr>
              <w:pStyle w:val="15"/>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服务过程中成交供应商必须严格遵守采购人各项管理规定，在任何情况下，禁止复制、传播、引用及所接触到的采购人各类业务数据、工作措施等信息，均要按照《中华人民共和国保密法》及其相关条例中的保密规定进行使用。如出现业务数据、涉密数据泄漏，采购人将终止服务合同，并将追究成交供应商相关法律责任。</w:t>
            </w:r>
          </w:p>
        </w:tc>
      </w:tr>
      <w:tr w14:paraId="6507D96E">
        <w:tblPrEx>
          <w:tblCellMar>
            <w:top w:w="0" w:type="dxa"/>
            <w:left w:w="0" w:type="dxa"/>
            <w:bottom w:w="0" w:type="dxa"/>
            <w:right w:w="0" w:type="dxa"/>
          </w:tblCellMar>
        </w:tblPrEx>
        <w:tc>
          <w:tcPr>
            <w:tcW w:w="1039" w:type="dxa"/>
            <w:tcBorders>
              <w:top w:val="single" w:color="000000" w:sz="4" w:space="0"/>
              <w:left w:val="single" w:color="000000" w:sz="4" w:space="0"/>
              <w:bottom w:val="single" w:color="000000" w:sz="4" w:space="0"/>
              <w:right w:val="single" w:color="000000" w:sz="4" w:space="0"/>
            </w:tcBorders>
            <w:vAlign w:val="center"/>
          </w:tcPr>
          <w:p w14:paraId="089AEB6D">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ascii="宋体" w:hAnsi="宋体" w:cs="宋体"/>
                <w:color w:val="auto"/>
                <w:sz w:val="18"/>
                <w:szCs w:val="18"/>
                <w:highlight w:val="none"/>
              </w:rPr>
            </w:pPr>
            <w:r>
              <w:rPr>
                <w:rFonts w:hint="eastAsia" w:ascii="宋体" w:hAnsi="宋体" w:cs="宋体"/>
                <w:color w:val="auto"/>
                <w:sz w:val="18"/>
                <w:szCs w:val="18"/>
                <w:highlight w:val="none"/>
              </w:rPr>
              <w:t>付款方式</w:t>
            </w:r>
          </w:p>
        </w:tc>
        <w:tc>
          <w:tcPr>
            <w:tcW w:w="8642" w:type="dxa"/>
            <w:tcBorders>
              <w:top w:val="single" w:color="000000" w:sz="4" w:space="0"/>
              <w:left w:val="single" w:color="000000" w:sz="4" w:space="0"/>
              <w:bottom w:val="single" w:color="000000" w:sz="4" w:space="0"/>
              <w:right w:val="single" w:color="000000" w:sz="4" w:space="0"/>
            </w:tcBorders>
            <w:vAlign w:val="center"/>
          </w:tcPr>
          <w:p w14:paraId="2B2222C7">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1.合同生效之日起 10 个工作日内，采购人向成交供应商支付合同总金额的 40% 作为预付款；</w:t>
            </w:r>
          </w:p>
          <w:p w14:paraId="6BFA8409">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2.服务内容完成进度过半，经验收合格后，支付合同总金额的30%。</w:t>
            </w:r>
          </w:p>
          <w:p w14:paraId="12E8629C">
            <w:pPr>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left"/>
              <w:textAlignment w:val="auto"/>
              <w:rPr>
                <w:rFonts w:hint="eastAsia" w:ascii="宋体" w:hAnsi="宋体" w:cs="宋体"/>
                <w:color w:val="auto"/>
                <w:sz w:val="18"/>
                <w:szCs w:val="18"/>
                <w:highlight w:val="none"/>
              </w:rPr>
            </w:pPr>
            <w:r>
              <w:rPr>
                <w:rFonts w:hint="eastAsia" w:ascii="宋体" w:hAnsi="宋体" w:cs="宋体"/>
                <w:color w:val="auto"/>
                <w:sz w:val="18"/>
                <w:szCs w:val="18"/>
                <w:highlight w:val="none"/>
              </w:rPr>
              <w:t>3.服务内容全部完成，经验收合格后，支付合同总金额的30%。</w:t>
            </w:r>
          </w:p>
          <w:p w14:paraId="28253C24">
            <w:pPr>
              <w:keepNext w:val="0"/>
              <w:keepLines w:val="0"/>
              <w:pageBreakBefore w:val="0"/>
              <w:widowControl w:val="0"/>
              <w:kinsoku/>
              <w:wordWrap w:val="0"/>
              <w:overflowPunct/>
              <w:topLinePunct w:val="0"/>
              <w:autoSpaceDE w:val="0"/>
              <w:autoSpaceDN w:val="0"/>
              <w:bidi w:val="0"/>
              <w:adjustRightInd/>
              <w:snapToGrid/>
              <w:spacing w:line="320" w:lineRule="exact"/>
              <w:ind w:left="0" w:firstLine="360" w:firstLineChars="200"/>
              <w:jc w:val="left"/>
              <w:textAlignment w:val="auto"/>
              <w:rPr>
                <w:rFonts w:ascii="宋体" w:hAnsi="宋体" w:cs="宋体"/>
                <w:color w:val="auto"/>
                <w:sz w:val="18"/>
                <w:szCs w:val="18"/>
                <w:highlight w:val="none"/>
              </w:rPr>
            </w:pPr>
            <w:r>
              <w:rPr>
                <w:rFonts w:hint="eastAsia" w:ascii="宋体" w:hAnsi="宋体" w:cs="宋体"/>
                <w:color w:val="auto"/>
                <w:sz w:val="18"/>
                <w:szCs w:val="18"/>
                <w:highlight w:val="none"/>
              </w:rPr>
              <w:t>以上支付须待</w:t>
            </w:r>
            <w:r>
              <w:rPr>
                <w:rFonts w:hint="eastAsia" w:ascii="宋体" w:hAnsi="宋体" w:cs="宋体"/>
                <w:color w:val="auto"/>
                <w:sz w:val="18"/>
                <w:szCs w:val="18"/>
                <w:highlight w:val="none"/>
                <w:lang w:eastAsia="zh-CN"/>
              </w:rPr>
              <w:t>支付条件允许的情况下</w:t>
            </w:r>
            <w:r>
              <w:rPr>
                <w:rFonts w:hint="eastAsia" w:ascii="宋体" w:hAnsi="宋体" w:cs="宋体"/>
                <w:color w:val="auto"/>
                <w:sz w:val="18"/>
                <w:szCs w:val="18"/>
                <w:highlight w:val="none"/>
              </w:rPr>
              <w:t>10个工作日内支付，且每次付款前成交供应商须向采购人提供相应金额的税局合法有效的增值税发票。</w:t>
            </w:r>
          </w:p>
        </w:tc>
      </w:tr>
      <w:tr w14:paraId="258CC567">
        <w:tblPrEx>
          <w:tblCellMar>
            <w:top w:w="0" w:type="dxa"/>
            <w:left w:w="0" w:type="dxa"/>
            <w:bottom w:w="0" w:type="dxa"/>
            <w:right w:w="0" w:type="dxa"/>
          </w:tblCellMar>
        </w:tblPrEx>
        <w:tc>
          <w:tcPr>
            <w:tcW w:w="1039" w:type="dxa"/>
            <w:tcBorders>
              <w:top w:val="single" w:color="000000" w:sz="4" w:space="0"/>
              <w:left w:val="single" w:color="000000" w:sz="4" w:space="0"/>
              <w:bottom w:val="single" w:color="000000" w:sz="4" w:space="0"/>
              <w:right w:val="single" w:color="000000" w:sz="4" w:space="0"/>
            </w:tcBorders>
            <w:vAlign w:val="center"/>
          </w:tcPr>
          <w:p w14:paraId="72C361E4">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jc w:val="center"/>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其他要求</w:t>
            </w:r>
          </w:p>
        </w:tc>
        <w:tc>
          <w:tcPr>
            <w:tcW w:w="8642" w:type="dxa"/>
            <w:tcBorders>
              <w:top w:val="single" w:color="000000" w:sz="4" w:space="0"/>
              <w:left w:val="single" w:color="000000" w:sz="4" w:space="0"/>
              <w:bottom w:val="single" w:color="000000" w:sz="4" w:space="0"/>
              <w:right w:val="single" w:color="000000" w:sz="4" w:space="0"/>
            </w:tcBorders>
            <w:vAlign w:val="center"/>
          </w:tcPr>
          <w:p w14:paraId="158B0DB1">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rPr>
            </w:pPr>
            <w:r>
              <w:rPr>
                <w:rFonts w:hint="eastAsia" w:ascii="宋体" w:hAnsi="宋体" w:cs="宋体"/>
                <w:color w:val="auto"/>
                <w:sz w:val="18"/>
                <w:szCs w:val="18"/>
                <w:highlight w:val="none"/>
                <w:lang w:eastAsia="zh-CN"/>
              </w:rPr>
              <w:t xml:space="preserve">1.合同签订期： </w:t>
            </w:r>
          </w:p>
          <w:p w14:paraId="2F827667">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360" w:firstLineChars="200"/>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成交供应商自成交通知书发出之日起</w:t>
            </w:r>
            <w:r>
              <w:rPr>
                <w:rFonts w:hint="eastAsia" w:ascii="宋体" w:hAnsi="宋体" w:cs="宋体"/>
                <w:color w:val="auto"/>
                <w:sz w:val="18"/>
                <w:szCs w:val="18"/>
                <w:highlight w:val="none"/>
                <w:lang w:val="en-US" w:eastAsia="zh-CN"/>
              </w:rPr>
              <w:t>25</w:t>
            </w:r>
            <w:r>
              <w:rPr>
                <w:rFonts w:hint="eastAsia" w:ascii="宋体" w:hAnsi="宋体" w:cs="宋体"/>
                <w:color w:val="auto"/>
                <w:sz w:val="18"/>
                <w:szCs w:val="18"/>
                <w:highlight w:val="none"/>
                <w:lang w:eastAsia="zh-CN"/>
              </w:rPr>
              <w:t>个日历日内与采购人签订合同。</w:t>
            </w:r>
          </w:p>
          <w:p w14:paraId="55BD76F1">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lang w:eastAsia="zh-CN"/>
              </w:rPr>
              <w:t xml:space="preserve">.服务标准： </w:t>
            </w:r>
          </w:p>
          <w:p w14:paraId="65B61FEF">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360" w:firstLineChars="200"/>
              <w:textAlignment w:val="auto"/>
              <w:rPr>
                <w:rFonts w:ascii="宋体" w:hAnsi="宋体" w:cs="宋体"/>
                <w:color w:val="auto"/>
                <w:sz w:val="18"/>
                <w:szCs w:val="18"/>
                <w:highlight w:val="none"/>
              </w:rPr>
            </w:pPr>
            <w:r>
              <w:rPr>
                <w:rFonts w:hint="eastAsia" w:ascii="宋体" w:hAnsi="宋体" w:cs="宋体"/>
                <w:color w:val="auto"/>
                <w:sz w:val="18"/>
                <w:szCs w:val="18"/>
                <w:highlight w:val="none"/>
                <w:lang w:eastAsia="zh-CN"/>
              </w:rPr>
              <w:t xml:space="preserve">符合最新的国家标准、行业标准、地方标准或者其他标准、规范。存在多项标准的，按最新标准或较高标准执行。无标准的，按采购人的服务要求执行。 </w:t>
            </w:r>
          </w:p>
          <w:p w14:paraId="27429648">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rPr>
            </w:pPr>
            <w:r>
              <w:rPr>
                <w:rFonts w:hint="eastAsia" w:ascii="宋体" w:hAnsi="宋体" w:cs="宋体"/>
                <w:color w:val="auto"/>
                <w:sz w:val="18"/>
                <w:szCs w:val="18"/>
                <w:highlight w:val="none"/>
                <w:lang w:val="en-US" w:eastAsia="zh-CN"/>
              </w:rPr>
              <w:t>3</w:t>
            </w:r>
            <w:r>
              <w:rPr>
                <w:rFonts w:hint="eastAsia" w:ascii="宋体" w:hAnsi="宋体" w:cs="宋体"/>
                <w:color w:val="auto"/>
                <w:sz w:val="18"/>
                <w:szCs w:val="18"/>
                <w:highlight w:val="none"/>
                <w:lang w:eastAsia="zh-CN"/>
              </w:rPr>
              <w:t xml:space="preserve">.服务响应要求： </w:t>
            </w:r>
          </w:p>
          <w:p w14:paraId="4749ABF9">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360" w:firstLineChars="200"/>
              <w:textAlignment w:val="auto"/>
              <w:rPr>
                <w:rFonts w:ascii="宋体" w:hAnsi="宋体" w:cs="宋体"/>
                <w:color w:val="auto"/>
                <w:sz w:val="18"/>
                <w:szCs w:val="18"/>
                <w:highlight w:val="none"/>
              </w:rPr>
            </w:pPr>
            <w:r>
              <w:rPr>
                <w:rFonts w:hint="eastAsia" w:ascii="宋体" w:hAnsi="宋体" w:cs="宋体"/>
                <w:color w:val="auto"/>
                <w:sz w:val="18"/>
                <w:szCs w:val="18"/>
                <w:highlight w:val="none"/>
                <w:lang w:eastAsia="zh-CN"/>
              </w:rPr>
              <w:t xml:space="preserve">提供 7×24 小时电话服务，供应商接到采购人的通知后立即响应，在≤1 小时内做出明确响应和安排，并承担一切相关费用。 </w:t>
            </w:r>
          </w:p>
          <w:p w14:paraId="7ABF00A4">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4</w:t>
            </w:r>
            <w:r>
              <w:rPr>
                <w:rFonts w:hint="eastAsia" w:ascii="宋体" w:hAnsi="宋体" w:cs="宋体"/>
                <w:color w:val="auto"/>
                <w:sz w:val="18"/>
                <w:szCs w:val="18"/>
                <w:highlight w:val="none"/>
                <w:lang w:eastAsia="zh-CN"/>
              </w:rPr>
              <w:t>.其他要求：</w:t>
            </w:r>
          </w:p>
          <w:p w14:paraId="350F14E7">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（1）成交后，若成交供应商所提供的服务不符合本磋商文件要求，或不按采购合同的约定履约的，将按照《中华人民共和国政府采购法》及其实施条例等国家及地方有关法律法规的规定严肃处理。</w:t>
            </w:r>
          </w:p>
          <w:p w14:paraId="760F1348">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2）合同履行期间，成交供应商须严格按照本项目磋商文件的要求及成交供应商响应文件的承诺完成本项目的所有服务内容，各项技术服务指标均需达到要求，确保服务质量；若未经采购人同意随便更改采购人要求或未按采购人要求按时按质量完成指定项目，采购人有权单方面取消合同，由此给采购人造成的一切损失均由该成交供应商负责赔偿；采购人将按国家相关法律法规追究该成交供应商的相关责任。</w:t>
            </w:r>
          </w:p>
          <w:p w14:paraId="799D4574">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（3）合同履行期间，成交供应商所投入的人员未经采购人的许可不能随便变动。</w:t>
            </w:r>
          </w:p>
          <w:p w14:paraId="1FF6BC0D">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（4）成交供应商在采购活动中提供任何虚假材料，以及响应服务所涉及内容的不如实说明，一经查实其投标无效。</w:t>
            </w:r>
          </w:p>
          <w:p w14:paraId="33052688">
            <w:pPr>
              <w:pStyle w:val="56"/>
              <w:keepNext w:val="0"/>
              <w:keepLines w:val="0"/>
              <w:pageBreakBefore w:val="0"/>
              <w:widowControl w:val="0"/>
              <w:kinsoku/>
              <w:wordWrap w:val="0"/>
              <w:overflowPunct/>
              <w:topLinePunct w:val="0"/>
              <w:autoSpaceDE w:val="0"/>
              <w:autoSpaceDN w:val="0"/>
              <w:bidi w:val="0"/>
              <w:adjustRightInd/>
              <w:snapToGrid/>
              <w:spacing w:line="320" w:lineRule="exact"/>
              <w:ind w:left="0" w:firstLine="0" w:firstLineChars="0"/>
              <w:textAlignment w:val="auto"/>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eastAsia="zh-CN"/>
              </w:rPr>
              <w:t>（5）在合同履行期间因成交供应商的责任导致财产或人身伤害，给采购人造成的相关损失的，成交供应商须承担由此产生的一切责任，由成交供应商负责赔偿。</w:t>
            </w:r>
          </w:p>
          <w:p w14:paraId="4637A380">
            <w:pPr>
              <w:pStyle w:val="10"/>
              <w:keepNext w:val="0"/>
              <w:keepLines w:val="0"/>
              <w:pageBreakBefore w:val="0"/>
              <w:widowControl/>
              <w:kinsoku/>
              <w:wordWrap/>
              <w:overflowPunct/>
              <w:topLinePunct w:val="0"/>
              <w:autoSpaceDE/>
              <w:autoSpaceDN/>
              <w:bidi w:val="0"/>
              <w:adjustRightInd w:val="0"/>
              <w:snapToGrid w:val="0"/>
              <w:spacing w:line="340" w:lineRule="exact"/>
              <w:ind w:left="0" w:leftChars="0" w:firstLine="0" w:firstLineChars="0"/>
              <w:textAlignment w:val="auto"/>
              <w:rPr>
                <w:rFonts w:hint="default" w:ascii="宋体" w:hAnsi="宋体" w:cs="宋体"/>
                <w:color w:val="auto"/>
                <w:sz w:val="18"/>
                <w:szCs w:val="18"/>
                <w:highlight w:val="none"/>
                <w:lang w:val="en-US" w:eastAsia="zh-CN"/>
              </w:rPr>
            </w:pPr>
            <w:r>
              <w:rPr>
                <w:rFonts w:hint="eastAsia" w:ascii="宋体" w:hAnsi="宋体" w:cs="宋体"/>
                <w:color w:val="auto"/>
                <w:kern w:val="0"/>
                <w:sz w:val="18"/>
                <w:szCs w:val="18"/>
                <w:highlight w:val="none"/>
                <w:lang w:val="en-US" w:eastAsia="zh-CN" w:bidi="ar-SA"/>
              </w:rPr>
              <w:t>（6）</w:t>
            </w:r>
            <w:r>
              <w:rPr>
                <w:rFonts w:hint="eastAsia" w:ascii="宋体" w:hAnsi="宋体" w:eastAsia="宋体" w:cs="宋体"/>
                <w:color w:val="auto"/>
                <w:kern w:val="0"/>
                <w:sz w:val="18"/>
                <w:szCs w:val="18"/>
                <w:highlight w:val="none"/>
                <w:lang w:val="en-US" w:eastAsia="zh-CN" w:bidi="ar-SA"/>
              </w:rPr>
              <w:t>签订合同后，成交供应商须向采购人提供</w:t>
            </w:r>
            <w:r>
              <w:rPr>
                <w:rFonts w:hint="eastAsia" w:ascii="宋体" w:hAnsi="宋体" w:cs="宋体"/>
                <w:color w:val="auto"/>
                <w:kern w:val="0"/>
                <w:sz w:val="18"/>
                <w:szCs w:val="18"/>
                <w:highlight w:val="none"/>
                <w:lang w:val="en-US" w:eastAsia="zh-CN" w:bidi="ar-SA"/>
              </w:rPr>
              <w:t>与</w:t>
            </w:r>
            <w:r>
              <w:rPr>
                <w:rFonts w:hint="eastAsia" w:ascii="宋体" w:hAnsi="宋体" w:eastAsia="宋体" w:cs="宋体"/>
                <w:color w:val="auto"/>
                <w:kern w:val="0"/>
                <w:sz w:val="18"/>
                <w:szCs w:val="18"/>
                <w:highlight w:val="none"/>
                <w:lang w:val="en-US" w:eastAsia="zh-CN" w:bidi="ar-SA"/>
              </w:rPr>
              <w:t>为本项目投入的服务人员签订的劳动合同(复印件)以及依法为其购买</w:t>
            </w:r>
            <w:r>
              <w:rPr>
                <w:rFonts w:hint="eastAsia" w:ascii="宋体" w:hAnsi="宋体" w:cs="宋体"/>
                <w:color w:val="auto"/>
                <w:kern w:val="0"/>
                <w:sz w:val="18"/>
                <w:szCs w:val="18"/>
                <w:highlight w:val="none"/>
                <w:lang w:val="en-US" w:eastAsia="zh-CN" w:bidi="ar-SA"/>
              </w:rPr>
              <w:t>的</w:t>
            </w:r>
            <w:r>
              <w:rPr>
                <w:rFonts w:hint="eastAsia" w:ascii="宋体" w:hAnsi="宋体" w:eastAsia="宋体" w:cs="宋体"/>
                <w:color w:val="auto"/>
                <w:kern w:val="0"/>
                <w:sz w:val="18"/>
                <w:szCs w:val="18"/>
                <w:highlight w:val="none"/>
                <w:lang w:val="en-US" w:eastAsia="zh-CN" w:bidi="ar-SA"/>
              </w:rPr>
              <w:t>社保等相关证明材料。</w:t>
            </w:r>
          </w:p>
        </w:tc>
      </w:tr>
    </w:tbl>
    <w:p w14:paraId="1188E986">
      <w:pPr>
        <w:pStyle w:val="18"/>
        <w:rPr>
          <w:rFonts w:ascii="宋体" w:hAnsi="宋体" w:cs="宋体"/>
          <w:color w:val="auto"/>
          <w:highlight w:val="none"/>
        </w:rPr>
      </w:pPr>
    </w:p>
    <w:p w14:paraId="04FD7AE1">
      <w:pPr>
        <w:rPr>
          <w:rFonts w:ascii="宋体" w:hAnsi="宋体" w:cs="宋体"/>
          <w:color w:val="auto"/>
          <w:highlight w:val="none"/>
        </w:rPr>
      </w:pPr>
    </w:p>
    <w:p w14:paraId="34A65CDF">
      <w:pPr>
        <w:pStyle w:val="37"/>
        <w:ind w:firstLine="0" w:firstLineChars="0"/>
        <w:rPr>
          <w:rFonts w:ascii="宋体" w:hAnsi="宋体" w:cs="宋体"/>
          <w:b/>
          <w:bCs/>
          <w:color w:val="auto"/>
          <w:sz w:val="24"/>
          <w:highlight w:val="none"/>
        </w:rPr>
      </w:pPr>
      <w:r>
        <w:rPr>
          <w:rFonts w:hint="eastAsia" w:ascii="宋体" w:hAnsi="宋体" w:cs="宋体"/>
          <w:b/>
          <w:color w:val="auto"/>
          <w:sz w:val="28"/>
          <w:szCs w:val="28"/>
          <w:highlight w:val="none"/>
        </w:rPr>
        <w:t>第</w:t>
      </w:r>
      <w:r>
        <w:rPr>
          <w:rFonts w:hint="eastAsia" w:ascii="宋体" w:hAnsi="宋体" w:cs="宋体"/>
          <w:b/>
          <w:color w:val="auto"/>
          <w:sz w:val="28"/>
          <w:szCs w:val="28"/>
          <w:highlight w:val="none"/>
          <w:lang w:eastAsia="zh-CN"/>
        </w:rPr>
        <w:t>四部分</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rPr>
        <w:t>附件</w:t>
      </w:r>
    </w:p>
    <w:p w14:paraId="6606EB36">
      <w:pPr>
        <w:pStyle w:val="37"/>
        <w:ind w:firstLine="0" w:firstLineChars="0"/>
        <w:jc w:val="center"/>
        <w:rPr>
          <w:rFonts w:ascii="宋体" w:hAnsi="宋体" w:cs="宋体"/>
          <w:b/>
          <w:bCs/>
          <w:color w:val="auto"/>
          <w:sz w:val="24"/>
          <w:highlight w:val="none"/>
        </w:rPr>
      </w:pPr>
      <w:r>
        <w:rPr>
          <w:rFonts w:hint="eastAsia" w:ascii="宋体" w:hAnsi="宋体" w:cs="宋体"/>
          <w:b/>
          <w:bCs/>
          <w:color w:val="auto"/>
          <w:sz w:val="32"/>
          <w:szCs w:val="32"/>
          <w:highlight w:val="none"/>
        </w:rPr>
        <w:t>中小企业划分标准</w:t>
      </w:r>
    </w:p>
    <w:p w14:paraId="561C2D37">
      <w:pPr>
        <w:pStyle w:val="37"/>
        <w:ind w:firstLine="0" w:firstLineChars="0"/>
        <w:jc w:val="center"/>
        <w:rPr>
          <w:rFonts w:ascii="宋体" w:hAnsi="宋体" w:cs="宋体"/>
          <w:b/>
          <w:bCs/>
          <w:color w:val="auto"/>
          <w:sz w:val="24"/>
          <w:highlight w:val="none"/>
        </w:rPr>
      </w:pPr>
      <w:r>
        <w:rPr>
          <w:rFonts w:hint="eastAsia" w:ascii="宋体" w:hAnsi="宋体" w:cs="宋体"/>
          <w:b/>
          <w:bCs/>
          <w:color w:val="auto"/>
          <w:sz w:val="24"/>
          <w:highlight w:val="none"/>
        </w:rPr>
        <w:t>【根据《中小企业划型标准规定》（工信部联企业〔2011〕300号）整理】</w:t>
      </w:r>
    </w:p>
    <w:tbl>
      <w:tblPr>
        <w:tblStyle w:val="2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1959"/>
        <w:gridCol w:w="1125"/>
        <w:gridCol w:w="777"/>
        <w:gridCol w:w="1307"/>
        <w:gridCol w:w="1374"/>
        <w:gridCol w:w="1323"/>
        <w:gridCol w:w="1202"/>
      </w:tblGrid>
      <w:tr w14:paraId="7B7A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1507ACB2">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序号</w:t>
            </w:r>
          </w:p>
        </w:tc>
        <w:tc>
          <w:tcPr>
            <w:tcW w:w="1959" w:type="dxa"/>
            <w:vMerge w:val="restart"/>
            <w:vAlign w:val="center"/>
          </w:tcPr>
          <w:p w14:paraId="2A524791">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行业名称</w:t>
            </w:r>
          </w:p>
        </w:tc>
        <w:tc>
          <w:tcPr>
            <w:tcW w:w="1125" w:type="dxa"/>
            <w:vMerge w:val="restart"/>
            <w:vAlign w:val="center"/>
          </w:tcPr>
          <w:p w14:paraId="4445F6E8">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指标名称</w:t>
            </w:r>
          </w:p>
        </w:tc>
        <w:tc>
          <w:tcPr>
            <w:tcW w:w="777" w:type="dxa"/>
            <w:vMerge w:val="restart"/>
            <w:vAlign w:val="center"/>
          </w:tcPr>
          <w:p w14:paraId="62F5CE83">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单位</w:t>
            </w:r>
          </w:p>
        </w:tc>
        <w:tc>
          <w:tcPr>
            <w:tcW w:w="5206" w:type="dxa"/>
            <w:gridSpan w:val="4"/>
          </w:tcPr>
          <w:p w14:paraId="17DF129F">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划分标准</w:t>
            </w:r>
          </w:p>
        </w:tc>
      </w:tr>
      <w:tr w14:paraId="6BF44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tcPr>
          <w:p w14:paraId="1D37508B">
            <w:pPr>
              <w:spacing w:line="400" w:lineRule="exact"/>
              <w:ind w:left="-105" w:leftChars="-50" w:right="-105" w:rightChars="-50"/>
              <w:jc w:val="center"/>
              <w:rPr>
                <w:rFonts w:ascii="宋体" w:hAnsi="宋体" w:cs="宋体"/>
                <w:b/>
                <w:bCs/>
                <w:color w:val="auto"/>
                <w:sz w:val="18"/>
                <w:szCs w:val="18"/>
                <w:highlight w:val="none"/>
              </w:rPr>
            </w:pPr>
          </w:p>
        </w:tc>
        <w:tc>
          <w:tcPr>
            <w:tcW w:w="1959" w:type="dxa"/>
            <w:vMerge w:val="continue"/>
          </w:tcPr>
          <w:p w14:paraId="083924CC">
            <w:pPr>
              <w:spacing w:line="400" w:lineRule="exact"/>
              <w:ind w:left="-105" w:leftChars="-50" w:right="-105" w:rightChars="-50"/>
              <w:jc w:val="center"/>
              <w:rPr>
                <w:rFonts w:ascii="宋体" w:hAnsi="宋体" w:cs="宋体"/>
                <w:b/>
                <w:bCs/>
                <w:color w:val="auto"/>
                <w:sz w:val="18"/>
                <w:szCs w:val="18"/>
                <w:highlight w:val="none"/>
              </w:rPr>
            </w:pPr>
          </w:p>
        </w:tc>
        <w:tc>
          <w:tcPr>
            <w:tcW w:w="1125" w:type="dxa"/>
            <w:vMerge w:val="continue"/>
          </w:tcPr>
          <w:p w14:paraId="5F402A69">
            <w:pPr>
              <w:spacing w:line="400" w:lineRule="exact"/>
              <w:ind w:left="-105" w:leftChars="-50" w:right="-105" w:rightChars="-50"/>
              <w:jc w:val="center"/>
              <w:rPr>
                <w:rFonts w:ascii="宋体" w:hAnsi="宋体" w:cs="宋体"/>
                <w:b/>
                <w:bCs/>
                <w:color w:val="auto"/>
                <w:sz w:val="18"/>
                <w:szCs w:val="18"/>
                <w:highlight w:val="none"/>
              </w:rPr>
            </w:pPr>
          </w:p>
        </w:tc>
        <w:tc>
          <w:tcPr>
            <w:tcW w:w="777" w:type="dxa"/>
            <w:vMerge w:val="continue"/>
          </w:tcPr>
          <w:p w14:paraId="005A5090">
            <w:pPr>
              <w:spacing w:line="400" w:lineRule="exact"/>
              <w:ind w:left="-105" w:leftChars="-50" w:right="-105" w:rightChars="-50"/>
              <w:jc w:val="center"/>
              <w:rPr>
                <w:rFonts w:ascii="宋体" w:hAnsi="宋体" w:cs="宋体"/>
                <w:b/>
                <w:bCs/>
                <w:color w:val="auto"/>
                <w:sz w:val="18"/>
                <w:szCs w:val="18"/>
                <w:highlight w:val="none"/>
              </w:rPr>
            </w:pPr>
          </w:p>
        </w:tc>
        <w:tc>
          <w:tcPr>
            <w:tcW w:w="1307" w:type="dxa"/>
          </w:tcPr>
          <w:p w14:paraId="4A9CBDDD">
            <w:pPr>
              <w:spacing w:line="24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中小微企业标准上限</w:t>
            </w:r>
          </w:p>
        </w:tc>
        <w:tc>
          <w:tcPr>
            <w:tcW w:w="1374" w:type="dxa"/>
          </w:tcPr>
          <w:p w14:paraId="0DC37B0A">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中型</w:t>
            </w:r>
          </w:p>
        </w:tc>
        <w:tc>
          <w:tcPr>
            <w:tcW w:w="1323" w:type="dxa"/>
          </w:tcPr>
          <w:p w14:paraId="7F7D1725">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小型</w:t>
            </w:r>
          </w:p>
        </w:tc>
        <w:tc>
          <w:tcPr>
            <w:tcW w:w="1202" w:type="dxa"/>
          </w:tcPr>
          <w:p w14:paraId="0A576B7D">
            <w:pPr>
              <w:spacing w:line="400" w:lineRule="exact"/>
              <w:ind w:left="-105" w:leftChars="-50" w:right="-105" w:rightChars="-50"/>
              <w:jc w:val="center"/>
              <w:rPr>
                <w:rFonts w:ascii="宋体" w:hAnsi="宋体" w:cs="宋体"/>
                <w:b/>
                <w:bCs/>
                <w:color w:val="auto"/>
                <w:sz w:val="18"/>
                <w:szCs w:val="18"/>
                <w:highlight w:val="none"/>
              </w:rPr>
            </w:pPr>
            <w:r>
              <w:rPr>
                <w:rFonts w:hint="eastAsia" w:ascii="宋体" w:hAnsi="宋体" w:cs="宋体"/>
                <w:b/>
                <w:bCs/>
                <w:color w:val="auto"/>
                <w:sz w:val="18"/>
                <w:szCs w:val="18"/>
                <w:highlight w:val="none"/>
              </w:rPr>
              <w:t>微型</w:t>
            </w:r>
          </w:p>
        </w:tc>
      </w:tr>
      <w:tr w14:paraId="6D21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Align w:val="center"/>
          </w:tcPr>
          <w:p w14:paraId="07C674E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w:t>
            </w:r>
          </w:p>
        </w:tc>
        <w:tc>
          <w:tcPr>
            <w:tcW w:w="1959" w:type="dxa"/>
            <w:vAlign w:val="center"/>
          </w:tcPr>
          <w:p w14:paraId="245EAAD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125" w:type="dxa"/>
            <w:vAlign w:val="center"/>
          </w:tcPr>
          <w:p w14:paraId="587F942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4F5B322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3D72753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20000以下</w:t>
            </w:r>
          </w:p>
        </w:tc>
        <w:tc>
          <w:tcPr>
            <w:tcW w:w="1374" w:type="dxa"/>
            <w:vAlign w:val="center"/>
          </w:tcPr>
          <w:p w14:paraId="313AC34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500及以上</w:t>
            </w:r>
          </w:p>
        </w:tc>
        <w:tc>
          <w:tcPr>
            <w:tcW w:w="1323" w:type="dxa"/>
            <w:vAlign w:val="center"/>
          </w:tcPr>
          <w:p w14:paraId="2AA0891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50及以上</w:t>
            </w:r>
          </w:p>
        </w:tc>
        <w:tc>
          <w:tcPr>
            <w:tcW w:w="1202" w:type="dxa"/>
            <w:vAlign w:val="center"/>
          </w:tcPr>
          <w:p w14:paraId="14C5461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50以下</w:t>
            </w:r>
          </w:p>
        </w:tc>
      </w:tr>
      <w:tr w14:paraId="0588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1E967C1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1959" w:type="dxa"/>
            <w:vMerge w:val="restart"/>
            <w:vAlign w:val="center"/>
          </w:tcPr>
          <w:p w14:paraId="2A8D865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工业</w:t>
            </w:r>
          </w:p>
        </w:tc>
        <w:tc>
          <w:tcPr>
            <w:tcW w:w="1125" w:type="dxa"/>
            <w:vAlign w:val="center"/>
          </w:tcPr>
          <w:p w14:paraId="40E7E41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703081D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45C8313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1000以下</w:t>
            </w:r>
          </w:p>
        </w:tc>
        <w:tc>
          <w:tcPr>
            <w:tcW w:w="1374" w:type="dxa"/>
            <w:vAlign w:val="center"/>
          </w:tcPr>
          <w:p w14:paraId="46D2F88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300及以上</w:t>
            </w:r>
          </w:p>
        </w:tc>
        <w:tc>
          <w:tcPr>
            <w:tcW w:w="1323" w:type="dxa"/>
            <w:vAlign w:val="center"/>
          </w:tcPr>
          <w:p w14:paraId="4F4E36A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20及以上</w:t>
            </w:r>
          </w:p>
        </w:tc>
        <w:tc>
          <w:tcPr>
            <w:tcW w:w="1202" w:type="dxa"/>
            <w:vAlign w:val="center"/>
          </w:tcPr>
          <w:p w14:paraId="4B10695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20以下</w:t>
            </w:r>
          </w:p>
        </w:tc>
      </w:tr>
      <w:tr w14:paraId="3C87D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1B8511DE">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8171491">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1D332CD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6DE8651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072D037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或40000以下</w:t>
            </w:r>
          </w:p>
        </w:tc>
        <w:tc>
          <w:tcPr>
            <w:tcW w:w="1374" w:type="dxa"/>
            <w:vAlign w:val="center"/>
          </w:tcPr>
          <w:p w14:paraId="766EC60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且2000及以上</w:t>
            </w:r>
          </w:p>
        </w:tc>
        <w:tc>
          <w:tcPr>
            <w:tcW w:w="1323" w:type="dxa"/>
            <w:vAlign w:val="center"/>
          </w:tcPr>
          <w:p w14:paraId="67B0DED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且300及以上</w:t>
            </w:r>
          </w:p>
        </w:tc>
        <w:tc>
          <w:tcPr>
            <w:tcW w:w="1202" w:type="dxa"/>
            <w:vAlign w:val="center"/>
          </w:tcPr>
          <w:p w14:paraId="57BC807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或300以下</w:t>
            </w:r>
          </w:p>
        </w:tc>
      </w:tr>
      <w:tr w14:paraId="210E7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6A28DEB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w:t>
            </w:r>
          </w:p>
        </w:tc>
        <w:tc>
          <w:tcPr>
            <w:tcW w:w="1959" w:type="dxa"/>
            <w:vMerge w:val="restart"/>
            <w:vAlign w:val="center"/>
          </w:tcPr>
          <w:p w14:paraId="282513A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125" w:type="dxa"/>
            <w:vAlign w:val="center"/>
          </w:tcPr>
          <w:p w14:paraId="6D1B5D6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535118F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746CAEC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80000以下</w:t>
            </w:r>
          </w:p>
        </w:tc>
        <w:tc>
          <w:tcPr>
            <w:tcW w:w="1374" w:type="dxa"/>
            <w:vAlign w:val="center"/>
          </w:tcPr>
          <w:p w14:paraId="59D7DE8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6000及以上</w:t>
            </w:r>
          </w:p>
        </w:tc>
        <w:tc>
          <w:tcPr>
            <w:tcW w:w="1323" w:type="dxa"/>
            <w:vAlign w:val="center"/>
          </w:tcPr>
          <w:p w14:paraId="0FA8E92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300及以上</w:t>
            </w:r>
          </w:p>
        </w:tc>
        <w:tc>
          <w:tcPr>
            <w:tcW w:w="1202" w:type="dxa"/>
            <w:vAlign w:val="center"/>
          </w:tcPr>
          <w:p w14:paraId="49A2A0A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r>
      <w:tr w14:paraId="183DA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6B8AD601">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4193B2D6">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2C18794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w:t>
            </w:r>
          </w:p>
        </w:tc>
        <w:tc>
          <w:tcPr>
            <w:tcW w:w="777" w:type="dxa"/>
            <w:vAlign w:val="center"/>
          </w:tcPr>
          <w:p w14:paraId="2BBBE73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651D555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或80000以下</w:t>
            </w:r>
          </w:p>
        </w:tc>
        <w:tc>
          <w:tcPr>
            <w:tcW w:w="1374" w:type="dxa"/>
            <w:vAlign w:val="center"/>
          </w:tcPr>
          <w:p w14:paraId="5C3316F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且5000及以上</w:t>
            </w:r>
          </w:p>
        </w:tc>
        <w:tc>
          <w:tcPr>
            <w:tcW w:w="1323" w:type="dxa"/>
            <w:vAlign w:val="center"/>
          </w:tcPr>
          <w:p w14:paraId="1B907A7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且300及以上</w:t>
            </w:r>
          </w:p>
        </w:tc>
        <w:tc>
          <w:tcPr>
            <w:tcW w:w="1202" w:type="dxa"/>
            <w:vAlign w:val="center"/>
          </w:tcPr>
          <w:p w14:paraId="50AE3C6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或300以下</w:t>
            </w:r>
          </w:p>
        </w:tc>
      </w:tr>
      <w:tr w14:paraId="5AD93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33DEC33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4</w:t>
            </w:r>
          </w:p>
        </w:tc>
        <w:tc>
          <w:tcPr>
            <w:tcW w:w="1959" w:type="dxa"/>
            <w:vMerge w:val="restart"/>
            <w:vAlign w:val="center"/>
          </w:tcPr>
          <w:p w14:paraId="3258644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125" w:type="dxa"/>
            <w:vAlign w:val="center"/>
          </w:tcPr>
          <w:p w14:paraId="2035BD9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13CA7F1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2CE32DC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200以下</w:t>
            </w:r>
          </w:p>
        </w:tc>
        <w:tc>
          <w:tcPr>
            <w:tcW w:w="1374" w:type="dxa"/>
            <w:vAlign w:val="center"/>
          </w:tcPr>
          <w:p w14:paraId="05443F0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20及以上</w:t>
            </w:r>
          </w:p>
        </w:tc>
        <w:tc>
          <w:tcPr>
            <w:tcW w:w="1323" w:type="dxa"/>
            <w:vAlign w:val="center"/>
          </w:tcPr>
          <w:p w14:paraId="18A0E7F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5及以上</w:t>
            </w:r>
          </w:p>
        </w:tc>
        <w:tc>
          <w:tcPr>
            <w:tcW w:w="1202" w:type="dxa"/>
            <w:vAlign w:val="center"/>
          </w:tcPr>
          <w:p w14:paraId="7C5F5BD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5以下</w:t>
            </w:r>
          </w:p>
        </w:tc>
      </w:tr>
      <w:tr w14:paraId="1311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AFEA717">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1EEB113F">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637F921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3417E78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468AE36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或40000以下</w:t>
            </w:r>
          </w:p>
        </w:tc>
        <w:tc>
          <w:tcPr>
            <w:tcW w:w="1374" w:type="dxa"/>
            <w:vAlign w:val="center"/>
          </w:tcPr>
          <w:p w14:paraId="131BF77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且5000及以上</w:t>
            </w:r>
          </w:p>
        </w:tc>
        <w:tc>
          <w:tcPr>
            <w:tcW w:w="1323" w:type="dxa"/>
            <w:vAlign w:val="center"/>
          </w:tcPr>
          <w:p w14:paraId="2DE76CF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且1000及以上</w:t>
            </w:r>
          </w:p>
        </w:tc>
        <w:tc>
          <w:tcPr>
            <w:tcW w:w="1202" w:type="dxa"/>
            <w:vAlign w:val="center"/>
          </w:tcPr>
          <w:p w14:paraId="435A8CB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或1000以下</w:t>
            </w:r>
          </w:p>
        </w:tc>
      </w:tr>
      <w:tr w14:paraId="0CE0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383202C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w:t>
            </w:r>
          </w:p>
        </w:tc>
        <w:tc>
          <w:tcPr>
            <w:tcW w:w="1959" w:type="dxa"/>
            <w:vMerge w:val="restart"/>
            <w:vAlign w:val="center"/>
          </w:tcPr>
          <w:p w14:paraId="49C32F4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125" w:type="dxa"/>
            <w:vAlign w:val="center"/>
          </w:tcPr>
          <w:p w14:paraId="33685C6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5A36414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3CE308E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75158CE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50及以上</w:t>
            </w:r>
          </w:p>
        </w:tc>
        <w:tc>
          <w:tcPr>
            <w:tcW w:w="1323" w:type="dxa"/>
            <w:vAlign w:val="center"/>
          </w:tcPr>
          <w:p w14:paraId="35A0B03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2FDA270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2581E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51D74CD1">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6AB27053">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7BEA91A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0FE2C5D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23FC50B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或20000以下</w:t>
            </w:r>
          </w:p>
        </w:tc>
        <w:tc>
          <w:tcPr>
            <w:tcW w:w="1374" w:type="dxa"/>
            <w:vAlign w:val="center"/>
          </w:tcPr>
          <w:p w14:paraId="48A8D5E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且500及以上</w:t>
            </w:r>
          </w:p>
        </w:tc>
        <w:tc>
          <w:tcPr>
            <w:tcW w:w="1323" w:type="dxa"/>
            <w:vAlign w:val="center"/>
          </w:tcPr>
          <w:p w14:paraId="6BCA1D3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78E66E0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0D6A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5FA16ED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6</w:t>
            </w:r>
          </w:p>
        </w:tc>
        <w:tc>
          <w:tcPr>
            <w:tcW w:w="1959" w:type="dxa"/>
            <w:vMerge w:val="restart"/>
            <w:vAlign w:val="center"/>
          </w:tcPr>
          <w:p w14:paraId="3C4A953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交通运输业</w:t>
            </w:r>
          </w:p>
        </w:tc>
        <w:tc>
          <w:tcPr>
            <w:tcW w:w="1125" w:type="dxa"/>
            <w:vAlign w:val="center"/>
          </w:tcPr>
          <w:p w14:paraId="3857EDC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67102F6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0A69399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1000以下</w:t>
            </w:r>
          </w:p>
        </w:tc>
        <w:tc>
          <w:tcPr>
            <w:tcW w:w="1374" w:type="dxa"/>
            <w:vAlign w:val="center"/>
          </w:tcPr>
          <w:p w14:paraId="6D15FF5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300及以上</w:t>
            </w:r>
          </w:p>
        </w:tc>
        <w:tc>
          <w:tcPr>
            <w:tcW w:w="1323" w:type="dxa"/>
            <w:vAlign w:val="center"/>
          </w:tcPr>
          <w:p w14:paraId="22C405C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20及以上</w:t>
            </w:r>
          </w:p>
        </w:tc>
        <w:tc>
          <w:tcPr>
            <w:tcW w:w="1202" w:type="dxa"/>
            <w:vAlign w:val="center"/>
          </w:tcPr>
          <w:p w14:paraId="491EFA7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20以下</w:t>
            </w:r>
          </w:p>
        </w:tc>
      </w:tr>
      <w:tr w14:paraId="22BC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617F7C45">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507E471">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0EBAD28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4FA3E82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38CFE5B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或30000以下</w:t>
            </w:r>
          </w:p>
        </w:tc>
        <w:tc>
          <w:tcPr>
            <w:tcW w:w="1374" w:type="dxa"/>
            <w:vAlign w:val="center"/>
          </w:tcPr>
          <w:p w14:paraId="0F3F779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且3000及以上</w:t>
            </w:r>
          </w:p>
        </w:tc>
        <w:tc>
          <w:tcPr>
            <w:tcW w:w="1323" w:type="dxa"/>
            <w:vAlign w:val="center"/>
          </w:tcPr>
          <w:p w14:paraId="5CE40A2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且200及以上</w:t>
            </w:r>
          </w:p>
        </w:tc>
        <w:tc>
          <w:tcPr>
            <w:tcW w:w="1202" w:type="dxa"/>
            <w:vAlign w:val="center"/>
          </w:tcPr>
          <w:p w14:paraId="7E3FC2D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或200以下</w:t>
            </w:r>
          </w:p>
        </w:tc>
      </w:tr>
      <w:tr w14:paraId="0222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7404B80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7</w:t>
            </w:r>
          </w:p>
        </w:tc>
        <w:tc>
          <w:tcPr>
            <w:tcW w:w="1959" w:type="dxa"/>
            <w:vMerge w:val="restart"/>
            <w:vAlign w:val="center"/>
          </w:tcPr>
          <w:p w14:paraId="3020F6E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125" w:type="dxa"/>
            <w:vAlign w:val="center"/>
          </w:tcPr>
          <w:p w14:paraId="282AD1A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04A37DF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4833B69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200以下</w:t>
            </w:r>
          </w:p>
        </w:tc>
        <w:tc>
          <w:tcPr>
            <w:tcW w:w="1374" w:type="dxa"/>
            <w:vAlign w:val="center"/>
          </w:tcPr>
          <w:p w14:paraId="7FAEA12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72D59CB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20及以上</w:t>
            </w:r>
          </w:p>
        </w:tc>
        <w:tc>
          <w:tcPr>
            <w:tcW w:w="1202" w:type="dxa"/>
            <w:vAlign w:val="center"/>
          </w:tcPr>
          <w:p w14:paraId="26BFF09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20以下</w:t>
            </w:r>
          </w:p>
        </w:tc>
      </w:tr>
      <w:tr w14:paraId="3A40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C3262B4">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BC13415">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7793AB9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7F009D2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3AE5083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或30000以下</w:t>
            </w:r>
          </w:p>
        </w:tc>
        <w:tc>
          <w:tcPr>
            <w:tcW w:w="1374" w:type="dxa"/>
            <w:vAlign w:val="center"/>
          </w:tcPr>
          <w:p w14:paraId="3987C64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且1000及以上</w:t>
            </w:r>
          </w:p>
        </w:tc>
        <w:tc>
          <w:tcPr>
            <w:tcW w:w="1323" w:type="dxa"/>
            <w:vAlign w:val="center"/>
          </w:tcPr>
          <w:p w14:paraId="264665E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687EFC5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04C17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1705F6F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8</w:t>
            </w:r>
          </w:p>
        </w:tc>
        <w:tc>
          <w:tcPr>
            <w:tcW w:w="1959" w:type="dxa"/>
            <w:vMerge w:val="restart"/>
            <w:vAlign w:val="center"/>
          </w:tcPr>
          <w:p w14:paraId="1283836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125" w:type="dxa"/>
            <w:vAlign w:val="center"/>
          </w:tcPr>
          <w:p w14:paraId="42C442B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3204FD8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6ADEF39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1000以下</w:t>
            </w:r>
          </w:p>
        </w:tc>
        <w:tc>
          <w:tcPr>
            <w:tcW w:w="1374" w:type="dxa"/>
            <w:vAlign w:val="center"/>
          </w:tcPr>
          <w:p w14:paraId="7FA6CE1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300及以上</w:t>
            </w:r>
          </w:p>
        </w:tc>
        <w:tc>
          <w:tcPr>
            <w:tcW w:w="1323" w:type="dxa"/>
            <w:vAlign w:val="center"/>
          </w:tcPr>
          <w:p w14:paraId="3112000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20及以上</w:t>
            </w:r>
          </w:p>
        </w:tc>
        <w:tc>
          <w:tcPr>
            <w:tcW w:w="1202" w:type="dxa"/>
            <w:vAlign w:val="center"/>
          </w:tcPr>
          <w:p w14:paraId="4E2C033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20以下</w:t>
            </w:r>
          </w:p>
        </w:tc>
      </w:tr>
      <w:tr w14:paraId="28D4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6F93B0D9">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6E726266">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3CD680F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18544DA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63300F2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或30000以下</w:t>
            </w:r>
          </w:p>
        </w:tc>
        <w:tc>
          <w:tcPr>
            <w:tcW w:w="1374" w:type="dxa"/>
            <w:vAlign w:val="center"/>
          </w:tcPr>
          <w:p w14:paraId="22129A3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且2000及以上</w:t>
            </w:r>
          </w:p>
        </w:tc>
        <w:tc>
          <w:tcPr>
            <w:tcW w:w="1323" w:type="dxa"/>
            <w:vAlign w:val="center"/>
          </w:tcPr>
          <w:p w14:paraId="480419F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0690D36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1EBC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7D867E7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9</w:t>
            </w:r>
          </w:p>
        </w:tc>
        <w:tc>
          <w:tcPr>
            <w:tcW w:w="1959" w:type="dxa"/>
            <w:vMerge w:val="restart"/>
            <w:vAlign w:val="center"/>
          </w:tcPr>
          <w:p w14:paraId="06BE2AC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125" w:type="dxa"/>
            <w:vAlign w:val="center"/>
          </w:tcPr>
          <w:p w14:paraId="06952EA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4FCDD61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0A23243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4543CC7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1B7A57E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1DF50A3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09C7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A782193">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129A16B">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261260E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2C4EBC0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2A1DF92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或10000以下</w:t>
            </w:r>
          </w:p>
        </w:tc>
        <w:tc>
          <w:tcPr>
            <w:tcW w:w="1374" w:type="dxa"/>
            <w:vAlign w:val="center"/>
          </w:tcPr>
          <w:p w14:paraId="4F18710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且2000及以上</w:t>
            </w:r>
          </w:p>
        </w:tc>
        <w:tc>
          <w:tcPr>
            <w:tcW w:w="1323" w:type="dxa"/>
            <w:vAlign w:val="center"/>
          </w:tcPr>
          <w:p w14:paraId="734BE0C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5023457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380F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6BCD738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w:t>
            </w:r>
          </w:p>
        </w:tc>
        <w:tc>
          <w:tcPr>
            <w:tcW w:w="1959" w:type="dxa"/>
            <w:vMerge w:val="restart"/>
            <w:vAlign w:val="center"/>
          </w:tcPr>
          <w:p w14:paraId="7437674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125" w:type="dxa"/>
            <w:vAlign w:val="center"/>
          </w:tcPr>
          <w:p w14:paraId="35C7A89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43CD4FA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042A116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21EAE0A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6815618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6012C48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1FB5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6730B4D4">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3170A5B1">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2340441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4D58325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6CF5AB6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或10000以下</w:t>
            </w:r>
          </w:p>
        </w:tc>
        <w:tc>
          <w:tcPr>
            <w:tcW w:w="1374" w:type="dxa"/>
            <w:vAlign w:val="center"/>
          </w:tcPr>
          <w:p w14:paraId="3FDDA24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且2000及以上</w:t>
            </w:r>
          </w:p>
        </w:tc>
        <w:tc>
          <w:tcPr>
            <w:tcW w:w="1323" w:type="dxa"/>
            <w:vAlign w:val="center"/>
          </w:tcPr>
          <w:p w14:paraId="52A9018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6784E3C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254F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7882FBD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11</w:t>
            </w:r>
          </w:p>
        </w:tc>
        <w:tc>
          <w:tcPr>
            <w:tcW w:w="1959" w:type="dxa"/>
            <w:vMerge w:val="restart"/>
            <w:vAlign w:val="center"/>
          </w:tcPr>
          <w:p w14:paraId="783ADC9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信息传输业</w:t>
            </w:r>
          </w:p>
        </w:tc>
        <w:tc>
          <w:tcPr>
            <w:tcW w:w="1125" w:type="dxa"/>
            <w:vAlign w:val="center"/>
          </w:tcPr>
          <w:p w14:paraId="766E562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7DA685E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6BD7924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2000以下</w:t>
            </w:r>
          </w:p>
        </w:tc>
        <w:tc>
          <w:tcPr>
            <w:tcW w:w="1374" w:type="dxa"/>
            <w:vAlign w:val="center"/>
          </w:tcPr>
          <w:p w14:paraId="08008EF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7B9998D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3B2EFB4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00372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3CC8EC5D">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02B56C11">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2A696EC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0F72CD5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051355F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或100000以下</w:t>
            </w:r>
          </w:p>
        </w:tc>
        <w:tc>
          <w:tcPr>
            <w:tcW w:w="1374" w:type="dxa"/>
            <w:vAlign w:val="center"/>
          </w:tcPr>
          <w:p w14:paraId="270A74D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且1000及以上</w:t>
            </w:r>
          </w:p>
        </w:tc>
        <w:tc>
          <w:tcPr>
            <w:tcW w:w="1323" w:type="dxa"/>
            <w:vAlign w:val="center"/>
          </w:tcPr>
          <w:p w14:paraId="5344E6A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7EE162B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4E5C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38391FD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12</w:t>
            </w:r>
          </w:p>
        </w:tc>
        <w:tc>
          <w:tcPr>
            <w:tcW w:w="1959" w:type="dxa"/>
            <w:vMerge w:val="restart"/>
            <w:vAlign w:val="center"/>
          </w:tcPr>
          <w:p w14:paraId="7D405FC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软件和信息技术服务业</w:t>
            </w:r>
          </w:p>
        </w:tc>
        <w:tc>
          <w:tcPr>
            <w:tcW w:w="1125" w:type="dxa"/>
            <w:vAlign w:val="center"/>
          </w:tcPr>
          <w:p w14:paraId="17FDEFD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739151A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3ACF2F6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7C553DB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08FCDE8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091D6F0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5435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0D2C688">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2808ACA">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3618005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0869EF8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6408483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或10000以下</w:t>
            </w:r>
          </w:p>
        </w:tc>
        <w:tc>
          <w:tcPr>
            <w:tcW w:w="1374" w:type="dxa"/>
            <w:vAlign w:val="center"/>
          </w:tcPr>
          <w:p w14:paraId="1AD4F61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且1000及以上</w:t>
            </w:r>
          </w:p>
        </w:tc>
        <w:tc>
          <w:tcPr>
            <w:tcW w:w="1323" w:type="dxa"/>
            <w:vAlign w:val="center"/>
          </w:tcPr>
          <w:p w14:paraId="764ABB5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且50及以上</w:t>
            </w:r>
          </w:p>
        </w:tc>
        <w:tc>
          <w:tcPr>
            <w:tcW w:w="1202" w:type="dxa"/>
            <w:vAlign w:val="center"/>
          </w:tcPr>
          <w:p w14:paraId="5E4D0FC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或50以下</w:t>
            </w:r>
          </w:p>
        </w:tc>
      </w:tr>
      <w:tr w14:paraId="44ED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1FAAA14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13</w:t>
            </w:r>
          </w:p>
        </w:tc>
        <w:tc>
          <w:tcPr>
            <w:tcW w:w="1959" w:type="dxa"/>
            <w:vMerge w:val="restart"/>
            <w:vAlign w:val="center"/>
          </w:tcPr>
          <w:p w14:paraId="700DD01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125" w:type="dxa"/>
            <w:vAlign w:val="center"/>
          </w:tcPr>
          <w:p w14:paraId="7C4E91F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5CB649A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06E4C5E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200000以下</w:t>
            </w:r>
          </w:p>
        </w:tc>
        <w:tc>
          <w:tcPr>
            <w:tcW w:w="1374" w:type="dxa"/>
            <w:vAlign w:val="center"/>
          </w:tcPr>
          <w:p w14:paraId="30360F3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1000及以上</w:t>
            </w:r>
          </w:p>
        </w:tc>
        <w:tc>
          <w:tcPr>
            <w:tcW w:w="1323" w:type="dxa"/>
            <w:vAlign w:val="center"/>
          </w:tcPr>
          <w:p w14:paraId="3A82742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202" w:type="dxa"/>
            <w:vAlign w:val="center"/>
          </w:tcPr>
          <w:p w14:paraId="3DC2B4A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100以下</w:t>
            </w:r>
          </w:p>
        </w:tc>
      </w:tr>
      <w:tr w14:paraId="4531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28D33FE">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2A05A74E">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683A8A7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w:t>
            </w:r>
          </w:p>
        </w:tc>
        <w:tc>
          <w:tcPr>
            <w:tcW w:w="777" w:type="dxa"/>
            <w:vAlign w:val="center"/>
          </w:tcPr>
          <w:p w14:paraId="219608C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79696E9D">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或10000以下</w:t>
            </w:r>
          </w:p>
        </w:tc>
        <w:tc>
          <w:tcPr>
            <w:tcW w:w="1374" w:type="dxa"/>
            <w:vAlign w:val="center"/>
          </w:tcPr>
          <w:p w14:paraId="0AA5442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且5000及以上</w:t>
            </w:r>
          </w:p>
        </w:tc>
        <w:tc>
          <w:tcPr>
            <w:tcW w:w="1323" w:type="dxa"/>
            <w:vAlign w:val="center"/>
          </w:tcPr>
          <w:p w14:paraId="4F7C50D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且2000及以上</w:t>
            </w:r>
          </w:p>
        </w:tc>
        <w:tc>
          <w:tcPr>
            <w:tcW w:w="1202" w:type="dxa"/>
            <w:vAlign w:val="center"/>
          </w:tcPr>
          <w:p w14:paraId="2FE04CA7">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或2000以下</w:t>
            </w:r>
          </w:p>
        </w:tc>
      </w:tr>
      <w:tr w14:paraId="39DB1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53AC081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14</w:t>
            </w:r>
          </w:p>
        </w:tc>
        <w:tc>
          <w:tcPr>
            <w:tcW w:w="1959" w:type="dxa"/>
            <w:vMerge w:val="restart"/>
            <w:vAlign w:val="center"/>
          </w:tcPr>
          <w:p w14:paraId="0A055FD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125" w:type="dxa"/>
            <w:vAlign w:val="center"/>
          </w:tcPr>
          <w:p w14:paraId="006F008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61B8599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5B646A2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1000以下</w:t>
            </w:r>
          </w:p>
        </w:tc>
        <w:tc>
          <w:tcPr>
            <w:tcW w:w="1374" w:type="dxa"/>
            <w:vAlign w:val="center"/>
          </w:tcPr>
          <w:p w14:paraId="2835A67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300及以上</w:t>
            </w:r>
          </w:p>
        </w:tc>
        <w:tc>
          <w:tcPr>
            <w:tcW w:w="1323" w:type="dxa"/>
            <w:vAlign w:val="center"/>
          </w:tcPr>
          <w:p w14:paraId="64C42510">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202" w:type="dxa"/>
            <w:vAlign w:val="center"/>
          </w:tcPr>
          <w:p w14:paraId="4AB00F0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100以下</w:t>
            </w:r>
          </w:p>
        </w:tc>
      </w:tr>
      <w:tr w14:paraId="24F4E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01453410">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6765704B">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04E1808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营业收入</w:t>
            </w:r>
          </w:p>
        </w:tc>
        <w:tc>
          <w:tcPr>
            <w:tcW w:w="777" w:type="dxa"/>
            <w:vAlign w:val="center"/>
          </w:tcPr>
          <w:p w14:paraId="189497AC">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58AF1544">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或5000以下</w:t>
            </w:r>
          </w:p>
        </w:tc>
        <w:tc>
          <w:tcPr>
            <w:tcW w:w="1374" w:type="dxa"/>
            <w:vAlign w:val="center"/>
          </w:tcPr>
          <w:p w14:paraId="0FA530F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且1000及以上</w:t>
            </w:r>
          </w:p>
        </w:tc>
        <w:tc>
          <w:tcPr>
            <w:tcW w:w="1323" w:type="dxa"/>
            <w:vAlign w:val="center"/>
          </w:tcPr>
          <w:p w14:paraId="6C5CFDA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且500及以上</w:t>
            </w:r>
          </w:p>
        </w:tc>
        <w:tc>
          <w:tcPr>
            <w:tcW w:w="1202" w:type="dxa"/>
            <w:vAlign w:val="center"/>
          </w:tcPr>
          <w:p w14:paraId="35ACE2E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或500以下</w:t>
            </w:r>
          </w:p>
        </w:tc>
      </w:tr>
      <w:tr w14:paraId="67FC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restart"/>
            <w:vAlign w:val="center"/>
          </w:tcPr>
          <w:p w14:paraId="3C5A7636">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15</w:t>
            </w:r>
          </w:p>
        </w:tc>
        <w:tc>
          <w:tcPr>
            <w:tcW w:w="1959" w:type="dxa"/>
            <w:vMerge w:val="restart"/>
            <w:vAlign w:val="center"/>
          </w:tcPr>
          <w:p w14:paraId="042F324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125" w:type="dxa"/>
            <w:vAlign w:val="center"/>
          </w:tcPr>
          <w:p w14:paraId="436ED099">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203DBBEB">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0E79AC92">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594AC27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0F6DDC6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19BBB68E">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r w14:paraId="126E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Merge w:val="continue"/>
            <w:vAlign w:val="center"/>
          </w:tcPr>
          <w:p w14:paraId="70DE4886">
            <w:pPr>
              <w:spacing w:line="360" w:lineRule="exact"/>
              <w:ind w:left="-105" w:leftChars="-50" w:right="-105" w:rightChars="-50"/>
              <w:jc w:val="center"/>
              <w:rPr>
                <w:rFonts w:ascii="宋体" w:hAnsi="宋体" w:cs="宋体"/>
                <w:color w:val="auto"/>
                <w:sz w:val="18"/>
                <w:szCs w:val="18"/>
                <w:highlight w:val="none"/>
              </w:rPr>
            </w:pPr>
          </w:p>
        </w:tc>
        <w:tc>
          <w:tcPr>
            <w:tcW w:w="1959" w:type="dxa"/>
            <w:vMerge w:val="continue"/>
            <w:vAlign w:val="center"/>
          </w:tcPr>
          <w:p w14:paraId="33EC18D9">
            <w:pPr>
              <w:spacing w:line="360" w:lineRule="exact"/>
              <w:ind w:left="-105" w:leftChars="-50" w:right="-105" w:rightChars="-50"/>
              <w:jc w:val="center"/>
              <w:rPr>
                <w:rFonts w:ascii="宋体" w:hAnsi="宋体" w:cs="宋体"/>
                <w:color w:val="auto"/>
                <w:sz w:val="18"/>
                <w:szCs w:val="18"/>
                <w:highlight w:val="none"/>
              </w:rPr>
            </w:pPr>
          </w:p>
        </w:tc>
        <w:tc>
          <w:tcPr>
            <w:tcW w:w="1125" w:type="dxa"/>
            <w:vAlign w:val="center"/>
          </w:tcPr>
          <w:p w14:paraId="0C6180D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资产总额</w:t>
            </w:r>
          </w:p>
        </w:tc>
        <w:tc>
          <w:tcPr>
            <w:tcW w:w="777" w:type="dxa"/>
            <w:vAlign w:val="center"/>
          </w:tcPr>
          <w:p w14:paraId="054A262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307" w:type="dxa"/>
            <w:vAlign w:val="center"/>
          </w:tcPr>
          <w:p w14:paraId="57787D4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或120000以下</w:t>
            </w:r>
          </w:p>
        </w:tc>
        <w:tc>
          <w:tcPr>
            <w:tcW w:w="1374" w:type="dxa"/>
            <w:vAlign w:val="center"/>
          </w:tcPr>
          <w:p w14:paraId="0DD19D5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且8000及以上</w:t>
            </w:r>
          </w:p>
        </w:tc>
        <w:tc>
          <w:tcPr>
            <w:tcW w:w="1323" w:type="dxa"/>
            <w:vAlign w:val="center"/>
          </w:tcPr>
          <w:p w14:paraId="7C5CC43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且100及以上</w:t>
            </w:r>
          </w:p>
        </w:tc>
        <w:tc>
          <w:tcPr>
            <w:tcW w:w="1202" w:type="dxa"/>
            <w:vAlign w:val="center"/>
          </w:tcPr>
          <w:p w14:paraId="0679426F">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或100以下</w:t>
            </w:r>
          </w:p>
        </w:tc>
      </w:tr>
      <w:tr w14:paraId="53F4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dxa"/>
            <w:vAlign w:val="center"/>
          </w:tcPr>
          <w:p w14:paraId="7958F3D1">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16</w:t>
            </w:r>
          </w:p>
        </w:tc>
        <w:tc>
          <w:tcPr>
            <w:tcW w:w="1959" w:type="dxa"/>
            <w:vAlign w:val="center"/>
          </w:tcPr>
          <w:p w14:paraId="1222E7B8">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其他未列明行业</w:t>
            </w:r>
          </w:p>
        </w:tc>
        <w:tc>
          <w:tcPr>
            <w:tcW w:w="1125" w:type="dxa"/>
            <w:vAlign w:val="center"/>
          </w:tcPr>
          <w:p w14:paraId="27717C0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从业人数</w:t>
            </w:r>
          </w:p>
        </w:tc>
        <w:tc>
          <w:tcPr>
            <w:tcW w:w="777" w:type="dxa"/>
            <w:vAlign w:val="center"/>
          </w:tcPr>
          <w:p w14:paraId="64F72C6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307" w:type="dxa"/>
            <w:vAlign w:val="center"/>
          </w:tcPr>
          <w:p w14:paraId="6EB00DB3">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300以下</w:t>
            </w:r>
          </w:p>
        </w:tc>
        <w:tc>
          <w:tcPr>
            <w:tcW w:w="1374" w:type="dxa"/>
            <w:vAlign w:val="center"/>
          </w:tcPr>
          <w:p w14:paraId="39E6012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100及以上</w:t>
            </w:r>
          </w:p>
        </w:tc>
        <w:tc>
          <w:tcPr>
            <w:tcW w:w="1323" w:type="dxa"/>
            <w:vAlign w:val="center"/>
          </w:tcPr>
          <w:p w14:paraId="7B537DBA">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10及以上</w:t>
            </w:r>
          </w:p>
        </w:tc>
        <w:tc>
          <w:tcPr>
            <w:tcW w:w="1202" w:type="dxa"/>
            <w:vAlign w:val="center"/>
          </w:tcPr>
          <w:p w14:paraId="1AE45005">
            <w:pPr>
              <w:spacing w:line="360" w:lineRule="exact"/>
              <w:ind w:left="-105" w:leftChars="-50" w:right="-105" w:rightChars="-50"/>
              <w:jc w:val="center"/>
              <w:rPr>
                <w:rFonts w:ascii="宋体" w:hAnsi="宋体" w:cs="宋体"/>
                <w:color w:val="auto"/>
                <w:sz w:val="18"/>
                <w:szCs w:val="18"/>
                <w:highlight w:val="none"/>
              </w:rPr>
            </w:pPr>
            <w:r>
              <w:rPr>
                <w:rFonts w:hint="eastAsia" w:ascii="宋体" w:hAnsi="宋体" w:cs="宋体"/>
                <w:color w:val="auto"/>
                <w:sz w:val="18"/>
                <w:szCs w:val="18"/>
                <w:highlight w:val="none"/>
              </w:rPr>
              <w:t>10以下</w:t>
            </w:r>
          </w:p>
        </w:tc>
      </w:tr>
    </w:tbl>
    <w:p w14:paraId="4CE0C5D6">
      <w:pPr>
        <w:pStyle w:val="37"/>
        <w:ind w:firstLine="0" w:firstLineChars="0"/>
        <w:rPr>
          <w:rFonts w:ascii="宋体" w:hAnsi="宋体" w:cs="宋体"/>
          <w:b/>
          <w:color w:val="auto"/>
          <w:sz w:val="24"/>
          <w:highlight w:val="none"/>
        </w:rPr>
      </w:pPr>
    </w:p>
    <w:p w14:paraId="5519D6D5">
      <w:pPr>
        <w:pStyle w:val="37"/>
        <w:ind w:firstLine="0" w:firstLineChars="0"/>
        <w:rPr>
          <w:rFonts w:ascii="宋体" w:hAnsi="宋体" w:cs="宋体"/>
          <w:b/>
          <w:color w:val="auto"/>
          <w:sz w:val="24"/>
          <w:highlight w:val="none"/>
        </w:rPr>
      </w:pPr>
    </w:p>
    <w:p w14:paraId="49F670DC">
      <w:pPr>
        <w:pStyle w:val="5"/>
        <w:keepNext w:val="0"/>
        <w:keepLines w:val="0"/>
        <w:spacing w:before="0" w:after="0" w:line="600" w:lineRule="exact"/>
        <w:jc w:val="center"/>
        <w:rPr>
          <w:rFonts w:ascii="宋体" w:hAnsi="宋体" w:cs="宋体"/>
          <w:color w:val="auto"/>
          <w:kern w:val="0"/>
          <w:sz w:val="36"/>
          <w:szCs w:val="36"/>
          <w:highlight w:val="none"/>
        </w:rPr>
      </w:pPr>
      <w:r>
        <w:rPr>
          <w:rFonts w:hint="eastAsia" w:ascii="宋体" w:hAnsi="宋体" w:cs="宋体"/>
          <w:color w:val="auto"/>
          <w:kern w:val="0"/>
          <w:sz w:val="36"/>
          <w:szCs w:val="36"/>
          <w:highlight w:val="none"/>
        </w:rPr>
        <w:t>第</w:t>
      </w:r>
      <w:r>
        <w:rPr>
          <w:rFonts w:hint="eastAsia" w:ascii="宋体" w:hAnsi="宋体" w:cs="宋体"/>
          <w:color w:val="auto"/>
          <w:kern w:val="0"/>
          <w:sz w:val="36"/>
          <w:szCs w:val="36"/>
          <w:highlight w:val="none"/>
          <w:lang w:eastAsia="zh-CN"/>
        </w:rPr>
        <w:t>五部分</w:t>
      </w:r>
      <w:r>
        <w:rPr>
          <w:rFonts w:hint="eastAsia" w:ascii="宋体" w:hAnsi="宋体" w:cs="宋体"/>
          <w:color w:val="auto"/>
          <w:kern w:val="0"/>
          <w:sz w:val="36"/>
          <w:szCs w:val="36"/>
          <w:highlight w:val="none"/>
        </w:rPr>
        <w:t xml:space="preserve">  评</w:t>
      </w:r>
      <w:r>
        <w:rPr>
          <w:rFonts w:hint="eastAsia" w:ascii="宋体" w:hAnsi="宋体" w:cs="宋体"/>
          <w:color w:val="auto"/>
          <w:kern w:val="0"/>
          <w:sz w:val="36"/>
          <w:szCs w:val="36"/>
          <w:highlight w:val="none"/>
          <w:lang w:eastAsia="zh-CN"/>
        </w:rPr>
        <w:t>审</w:t>
      </w:r>
      <w:r>
        <w:rPr>
          <w:rFonts w:hint="eastAsia" w:ascii="宋体" w:hAnsi="宋体" w:cs="宋体"/>
          <w:color w:val="auto"/>
          <w:kern w:val="0"/>
          <w:sz w:val="36"/>
          <w:szCs w:val="36"/>
          <w:highlight w:val="none"/>
        </w:rPr>
        <w:t>办法及评</w:t>
      </w:r>
      <w:r>
        <w:rPr>
          <w:rFonts w:hint="eastAsia" w:ascii="宋体" w:hAnsi="宋体" w:cs="宋体"/>
          <w:color w:val="auto"/>
          <w:kern w:val="0"/>
          <w:sz w:val="36"/>
          <w:szCs w:val="36"/>
          <w:highlight w:val="none"/>
          <w:lang w:eastAsia="zh-CN"/>
        </w:rPr>
        <w:t>审</w:t>
      </w:r>
      <w:r>
        <w:rPr>
          <w:rFonts w:hint="eastAsia" w:ascii="宋体" w:hAnsi="宋体" w:cs="宋体"/>
          <w:color w:val="auto"/>
          <w:kern w:val="0"/>
          <w:sz w:val="36"/>
          <w:szCs w:val="36"/>
          <w:highlight w:val="none"/>
        </w:rPr>
        <w:t>标准</w:t>
      </w:r>
    </w:p>
    <w:p w14:paraId="7F32F7F3">
      <w:pPr>
        <w:pStyle w:val="15"/>
        <w:spacing w:line="360" w:lineRule="exact"/>
        <w:outlineLvl w:val="0"/>
        <w:rPr>
          <w:rFonts w:hAnsi="宋体" w:cs="宋体"/>
          <w:b/>
          <w:color w:val="auto"/>
          <w:highlight w:val="none"/>
        </w:rPr>
      </w:pPr>
    </w:p>
    <w:p w14:paraId="51005435">
      <w:pPr>
        <w:pStyle w:val="15"/>
        <w:keepNext w:val="0"/>
        <w:keepLines w:val="0"/>
        <w:pageBreakBefore w:val="0"/>
        <w:widowControl w:val="0"/>
        <w:kinsoku/>
        <w:wordWrap/>
        <w:overflowPunct/>
        <w:topLinePunct w:val="0"/>
        <w:autoSpaceDE/>
        <w:autoSpaceDN/>
        <w:bidi w:val="0"/>
        <w:adjustRightInd w:val="0"/>
        <w:spacing w:line="380" w:lineRule="exact"/>
        <w:jc w:val="center"/>
        <w:textAlignment w:val="auto"/>
        <w:rPr>
          <w:rFonts w:hAnsi="宋体" w:cs="宋体"/>
          <w:b/>
          <w:bCs/>
          <w:color w:val="auto"/>
          <w:highlight w:val="none"/>
        </w:rPr>
      </w:pPr>
      <w:r>
        <w:rPr>
          <w:rFonts w:hint="eastAsia" w:hAnsi="宋体" w:cs="宋体"/>
          <w:b/>
          <w:bCs/>
          <w:color w:val="auto"/>
          <w:sz w:val="28"/>
          <w:szCs w:val="28"/>
          <w:highlight w:val="none"/>
          <w:lang w:eastAsia="zh-CN"/>
        </w:rPr>
        <w:t>一</w:t>
      </w:r>
      <w:r>
        <w:rPr>
          <w:rFonts w:hint="eastAsia" w:hAnsi="宋体" w:cs="宋体"/>
          <w:b/>
          <w:bCs/>
          <w:color w:val="auto"/>
          <w:sz w:val="28"/>
          <w:szCs w:val="28"/>
          <w:highlight w:val="none"/>
        </w:rPr>
        <w:t>、评</w:t>
      </w:r>
      <w:r>
        <w:rPr>
          <w:rFonts w:hint="eastAsia" w:hAnsi="宋体" w:cs="宋体"/>
          <w:b/>
          <w:bCs/>
          <w:color w:val="auto"/>
          <w:sz w:val="28"/>
          <w:szCs w:val="28"/>
          <w:highlight w:val="none"/>
          <w:lang w:eastAsia="zh-CN"/>
        </w:rPr>
        <w:t>审</w:t>
      </w:r>
      <w:r>
        <w:rPr>
          <w:rFonts w:hint="eastAsia" w:hAnsi="宋体" w:cs="宋体"/>
          <w:b/>
          <w:bCs/>
          <w:color w:val="auto"/>
          <w:sz w:val="28"/>
          <w:szCs w:val="28"/>
          <w:highlight w:val="none"/>
        </w:rPr>
        <w:t>方法</w:t>
      </w:r>
    </w:p>
    <w:p w14:paraId="6DC07A78">
      <w:pPr>
        <w:pStyle w:val="15"/>
        <w:keepNext w:val="0"/>
        <w:keepLines w:val="0"/>
        <w:pageBreakBefore w:val="0"/>
        <w:widowControl w:val="0"/>
        <w:kinsoku/>
        <w:wordWrap/>
        <w:overflowPunct/>
        <w:topLinePunct w:val="0"/>
        <w:autoSpaceDE/>
        <w:autoSpaceDN/>
        <w:bidi w:val="0"/>
        <w:adjustRightInd w:val="0"/>
        <w:spacing w:line="380" w:lineRule="exact"/>
        <w:ind w:firstLine="420" w:firstLineChars="200"/>
        <w:textAlignment w:val="auto"/>
        <w:rPr>
          <w:rFonts w:hint="eastAsia" w:hAnsi="宋体" w:cs="宋体"/>
          <w:color w:val="auto"/>
          <w:highlight w:val="none"/>
        </w:rPr>
      </w:pPr>
    </w:p>
    <w:p w14:paraId="5236DA51">
      <w:pPr>
        <w:pStyle w:val="15"/>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（一）对进入详评的，采用百分制综合评分法。</w:t>
      </w:r>
    </w:p>
    <w:p w14:paraId="447A74F8">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（二）计分办法（按四舍五入取至小数点后两位）：</w:t>
      </w:r>
    </w:p>
    <w:p w14:paraId="0846AD63">
      <w:pPr>
        <w:pStyle w:val="15"/>
        <w:keepNext w:val="0"/>
        <w:keepLines w:val="0"/>
        <w:pageBreakBefore w:val="0"/>
        <w:widowControl w:val="0"/>
        <w:kinsoku w:val="0"/>
        <w:overflowPunct w:val="0"/>
        <w:topLinePunct w:val="0"/>
        <w:autoSpaceDE/>
        <w:autoSpaceDN/>
        <w:bidi w:val="0"/>
        <w:adjustRightInd w:val="0"/>
        <w:spacing w:line="370" w:lineRule="exact"/>
        <w:ind w:firstLine="422" w:firstLineChars="200"/>
        <w:textAlignment w:val="auto"/>
        <w:rPr>
          <w:rFonts w:hAnsi="宋体" w:cs="宋体"/>
          <w:bCs/>
          <w:color w:val="auto"/>
          <w:highlight w:val="none"/>
        </w:rPr>
      </w:pPr>
      <w:r>
        <w:rPr>
          <w:rFonts w:hint="eastAsia" w:hAnsi="宋体" w:cs="宋体"/>
          <w:b/>
          <w:color w:val="auto"/>
          <w:highlight w:val="none"/>
        </w:rPr>
        <w:t>1.</w:t>
      </w:r>
      <w:r>
        <w:rPr>
          <w:rFonts w:hint="eastAsia" w:hAnsi="宋体" w:cs="宋体"/>
          <w:b/>
          <w:bCs/>
          <w:color w:val="auto"/>
          <w:highlight w:val="none"/>
        </w:rPr>
        <w:t>价格分</w:t>
      </w:r>
      <w:r>
        <w:rPr>
          <w:rFonts w:hint="eastAsia" w:hAnsi="宋体" w:cs="宋体"/>
          <w:bCs/>
          <w:color w:val="auto"/>
          <w:highlight w:val="none"/>
        </w:rPr>
        <w:t>…………………</w:t>
      </w:r>
      <w:r>
        <w:rPr>
          <w:rFonts w:hint="eastAsia" w:hAnsi="宋体" w:cs="宋体"/>
          <w:b/>
          <w:color w:val="auto"/>
          <w:highlight w:val="none"/>
        </w:rPr>
        <w:t>……</w:t>
      </w:r>
      <w:r>
        <w:rPr>
          <w:rFonts w:hint="eastAsia" w:hAnsi="宋体" w:cs="宋体"/>
          <w:bCs/>
          <w:color w:val="auto"/>
          <w:highlight w:val="none"/>
        </w:rPr>
        <w:t>………………………………………………………………</w:t>
      </w:r>
      <w:r>
        <w:rPr>
          <w:rFonts w:hint="eastAsia" w:hAnsi="宋体" w:cs="宋体"/>
          <w:b/>
          <w:color w:val="auto"/>
          <w:highlight w:val="none"/>
        </w:rPr>
        <w:t>（满分10分）</w:t>
      </w:r>
    </w:p>
    <w:p w14:paraId="3EFFB435">
      <w:pPr>
        <w:pStyle w:val="15"/>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（1）本项目属于专门面向中小企业采购的项目，根据《政府采购促进中小企业发展管理办法》（财库﹝2020﹞46号）的相关规定，本项目无价格扣除。即评标报价=投标报价。</w:t>
      </w:r>
    </w:p>
    <w:p w14:paraId="38CF4C8E">
      <w:pPr>
        <w:pStyle w:val="15"/>
        <w:keepNext w:val="0"/>
        <w:keepLines w:val="0"/>
        <w:pageBreakBefore w:val="0"/>
        <w:widowControl w:val="0"/>
        <w:wordWrap w:val="0"/>
        <w:topLinePunct w:val="0"/>
        <w:autoSpaceDE/>
        <w:autoSpaceDN/>
        <w:bidi w:val="0"/>
        <w:adjustRightInd w:val="0"/>
        <w:snapToGrid w:val="0"/>
        <w:spacing w:line="370" w:lineRule="exact"/>
        <w:ind w:firstLine="420" w:firstLineChars="200"/>
        <w:textAlignment w:val="auto"/>
        <w:rPr>
          <w:rFonts w:hAnsi="宋体" w:cs="宋体"/>
          <w:color w:val="auto"/>
          <w:highlight w:val="none"/>
        </w:rPr>
      </w:pPr>
      <w:r>
        <w:rPr>
          <w:rFonts w:hint="eastAsia" w:hAnsi="宋体" w:cs="宋体"/>
          <w:color w:val="auto"/>
          <w:highlight w:val="none"/>
        </w:rPr>
        <w:t>（2）价格分计算公式：某</w:t>
      </w:r>
      <w:r>
        <w:rPr>
          <w:rFonts w:hint="eastAsia" w:hAnsi="宋体" w:cs="宋体"/>
          <w:color w:val="auto"/>
          <w:highlight w:val="none"/>
          <w:lang w:eastAsia="zh-CN"/>
        </w:rPr>
        <w:t>供应商</w:t>
      </w:r>
      <w:r>
        <w:rPr>
          <w:rFonts w:hint="eastAsia" w:hAnsi="宋体" w:cs="宋体"/>
          <w:color w:val="auto"/>
          <w:highlight w:val="none"/>
        </w:rPr>
        <w:t>价格分=</w:t>
      </w:r>
      <w:r>
        <w:rPr>
          <w:rFonts w:hint="eastAsia" w:hAnsi="宋体" w:cs="宋体"/>
          <w:color w:val="auto"/>
          <w:highlight w:val="none"/>
          <w:lang w:eastAsia="zh-CN"/>
        </w:rPr>
        <w:t>供应商</w:t>
      </w:r>
      <w:r>
        <w:rPr>
          <w:rFonts w:hint="eastAsia" w:hAnsi="宋体" w:cs="宋体"/>
          <w:color w:val="auto"/>
          <w:highlight w:val="none"/>
        </w:rPr>
        <w:t>最低评标价/某</w:t>
      </w:r>
      <w:r>
        <w:rPr>
          <w:rFonts w:hint="eastAsia" w:hAnsi="宋体" w:cs="宋体"/>
          <w:color w:val="auto"/>
          <w:highlight w:val="none"/>
          <w:lang w:eastAsia="zh-CN"/>
        </w:rPr>
        <w:t>供应商</w:t>
      </w:r>
      <w:r>
        <w:rPr>
          <w:rFonts w:hint="eastAsia" w:hAnsi="宋体" w:cs="宋体"/>
          <w:color w:val="auto"/>
          <w:highlight w:val="none"/>
        </w:rPr>
        <w:t>评标价×10分</w:t>
      </w:r>
    </w:p>
    <w:p w14:paraId="244B860D">
      <w:pPr>
        <w:kinsoku w:val="0"/>
        <w:overflowPunct w:val="0"/>
        <w:spacing w:line="36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ru-RU"/>
        </w:rPr>
        <w:t>技术分…………………………………………………………………………………</w:t>
      </w:r>
      <w:r>
        <w:rPr>
          <w:rFonts w:hint="eastAsia" w:ascii="宋体" w:hAnsi="宋体" w:cs="宋体"/>
          <w:b/>
          <w:bCs/>
          <w:color w:val="auto"/>
          <w:szCs w:val="21"/>
          <w:highlight w:val="none"/>
          <w:lang w:val="ru-RU" w:eastAsia="zh-CN"/>
        </w:rPr>
        <w:t>…</w:t>
      </w:r>
      <w:r>
        <w:rPr>
          <w:rFonts w:hint="eastAsia" w:ascii="宋体" w:hAnsi="宋体" w:cs="宋体"/>
          <w:b/>
          <w:bCs/>
          <w:color w:val="auto"/>
          <w:szCs w:val="21"/>
          <w:highlight w:val="none"/>
          <w:lang w:val="ru-RU"/>
        </w:rPr>
        <w:t>…（满分</w:t>
      </w:r>
      <w:r>
        <w:rPr>
          <w:rFonts w:hint="eastAsia" w:ascii="宋体" w:hAnsi="宋体" w:cs="宋体"/>
          <w:b/>
          <w:bCs/>
          <w:color w:val="auto"/>
          <w:szCs w:val="21"/>
          <w:highlight w:val="none"/>
        </w:rPr>
        <w:t>8</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lang w:val="ru-RU"/>
        </w:rPr>
        <w:t>分）</w:t>
      </w:r>
    </w:p>
    <w:p w14:paraId="64D299D1">
      <w:pPr>
        <w:kinsoku w:val="0"/>
        <w:overflowPunct w:val="0"/>
        <w:spacing w:line="360" w:lineRule="exact"/>
        <w:ind w:firstLine="422" w:firstLineChars="200"/>
        <w:rPr>
          <w:rFonts w:ascii="宋体" w:hAnsi="宋体" w:cs="宋体"/>
          <w:color w:val="auto"/>
          <w:szCs w:val="21"/>
          <w:highlight w:val="none"/>
        </w:rPr>
      </w:pPr>
      <w:r>
        <w:rPr>
          <w:rFonts w:hint="eastAsia" w:ascii="宋体" w:hAnsi="宋体" w:cs="宋体"/>
          <w:b/>
          <w:bCs/>
          <w:color w:val="auto"/>
          <w:szCs w:val="21"/>
          <w:highlight w:val="none"/>
          <w:lang w:val="ru-RU"/>
        </w:rPr>
        <w:t>（</w:t>
      </w:r>
      <w:r>
        <w:rPr>
          <w:rFonts w:hint="eastAsia" w:ascii="宋体" w:hAnsi="宋体" w:cs="宋体"/>
          <w:b/>
          <w:bCs/>
          <w:color w:val="auto"/>
          <w:szCs w:val="21"/>
          <w:highlight w:val="none"/>
        </w:rPr>
        <w:t>1）</w:t>
      </w:r>
      <w:r>
        <w:rPr>
          <w:rFonts w:hint="eastAsia" w:ascii="宋体" w:hAnsi="宋体" w:cs="宋体"/>
          <w:b/>
          <w:bCs/>
          <w:color w:val="auto"/>
          <w:szCs w:val="21"/>
          <w:highlight w:val="none"/>
          <w:lang w:val="ru-RU"/>
        </w:rPr>
        <w:t>就业驿站运行管理服务方案分</w:t>
      </w:r>
      <w:r>
        <w:rPr>
          <w:rFonts w:hint="eastAsia" w:ascii="宋体" w:hAnsi="宋体" w:cs="宋体"/>
          <w:color w:val="auto"/>
          <w:szCs w:val="21"/>
          <w:highlight w:val="none"/>
          <w:lang w:val="ru-RU"/>
        </w:rPr>
        <w:t>…………………………………………………</w:t>
      </w:r>
      <w:r>
        <w:rPr>
          <w:rFonts w:hint="eastAsia" w:ascii="宋体" w:hAnsi="宋体" w:cs="宋体"/>
          <w:color w:val="auto"/>
          <w:szCs w:val="21"/>
          <w:highlight w:val="none"/>
          <w:lang w:val="ru-RU" w:eastAsia="zh-CN"/>
        </w:rPr>
        <w:t>…</w:t>
      </w:r>
      <w:r>
        <w:rPr>
          <w:rFonts w:hint="eastAsia" w:ascii="宋体" w:hAnsi="宋体" w:cs="宋体"/>
          <w:color w:val="auto"/>
          <w:szCs w:val="21"/>
          <w:highlight w:val="none"/>
          <w:lang w:val="ru-RU"/>
        </w:rPr>
        <w:t>……</w:t>
      </w:r>
      <w:r>
        <w:rPr>
          <w:rFonts w:hint="eastAsia" w:ascii="宋体" w:hAnsi="宋体" w:cs="宋体"/>
          <w:b/>
          <w:bCs/>
          <w:color w:val="auto"/>
          <w:szCs w:val="21"/>
          <w:highlight w:val="none"/>
          <w:lang w:val="ru-RU"/>
        </w:rPr>
        <w:t>（</w:t>
      </w:r>
      <w:r>
        <w:rPr>
          <w:rFonts w:hint="eastAsia" w:ascii="宋体" w:hAnsi="宋体" w:cs="宋体"/>
          <w:b/>
          <w:bCs/>
          <w:color w:val="auto"/>
          <w:szCs w:val="21"/>
          <w:highlight w:val="none"/>
        </w:rPr>
        <w:t>满分35 分）</w:t>
      </w:r>
    </w:p>
    <w:p w14:paraId="5854C7A5">
      <w:pPr>
        <w:kinsoku w:val="0"/>
        <w:overflowPunct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一档（0分）：</w:t>
      </w:r>
      <w:r>
        <w:rPr>
          <w:rFonts w:hint="eastAsia" w:ascii="宋体" w:hAnsi="宋体" w:cs="宋体"/>
          <w:color w:val="auto"/>
          <w:szCs w:val="21"/>
          <w:highlight w:val="none"/>
          <w:lang w:val="ru-RU"/>
        </w:rPr>
        <w:t>运行管理</w:t>
      </w:r>
      <w:r>
        <w:rPr>
          <w:rFonts w:hint="eastAsia" w:ascii="宋体" w:hAnsi="宋体" w:cs="宋体"/>
          <w:color w:val="auto"/>
          <w:szCs w:val="21"/>
          <w:highlight w:val="none"/>
        </w:rPr>
        <w:t>服务方案</w:t>
      </w:r>
      <w:r>
        <w:rPr>
          <w:rFonts w:hint="eastAsia" w:ascii="宋体" w:hAnsi="宋体" w:cs="宋体"/>
          <w:color w:val="auto"/>
          <w:szCs w:val="21"/>
          <w:highlight w:val="none"/>
          <w:lang w:val="ru-RU"/>
        </w:rPr>
        <w:t>内容不完善，不能满足本项目的基本要求。</w:t>
      </w:r>
    </w:p>
    <w:p w14:paraId="3A3AB8FF">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二档（8分）：</w:t>
      </w:r>
      <w:r>
        <w:rPr>
          <w:rFonts w:hint="eastAsia" w:ascii="宋体" w:hAnsi="宋体" w:cs="宋体"/>
          <w:color w:val="auto"/>
          <w:szCs w:val="21"/>
          <w:highlight w:val="none"/>
          <w:lang w:val="ru-RU"/>
        </w:rPr>
        <w:t>运行管理</w:t>
      </w:r>
      <w:r>
        <w:rPr>
          <w:rFonts w:hint="eastAsia" w:ascii="宋体" w:hAnsi="宋体" w:cs="宋体"/>
          <w:color w:val="auto"/>
          <w:highlight w:val="none"/>
        </w:rPr>
        <w:t>服务方案内容基本能对本项目的服务内容及功能要求有一定的理解和相应的文字阐述，但可操作性不足，基本满足</w:t>
      </w:r>
      <w:r>
        <w:rPr>
          <w:rFonts w:hint="eastAsia" w:ascii="宋体" w:hAnsi="宋体" w:cs="宋体"/>
          <w:color w:val="auto"/>
          <w:szCs w:val="21"/>
          <w:highlight w:val="none"/>
          <w:lang w:val="ru-RU"/>
        </w:rPr>
        <w:t>本项目采购需求的要求</w:t>
      </w:r>
      <w:r>
        <w:rPr>
          <w:rFonts w:hint="eastAsia" w:ascii="宋体" w:hAnsi="宋体" w:cs="宋体"/>
          <w:color w:val="auto"/>
          <w:highlight w:val="none"/>
        </w:rPr>
        <w:t>。</w:t>
      </w:r>
    </w:p>
    <w:p w14:paraId="26237078">
      <w:pPr>
        <w:spacing w:line="360" w:lineRule="exact"/>
        <w:ind w:firstLine="420" w:firstLineChars="200"/>
        <w:rPr>
          <w:rFonts w:ascii="宋体" w:hAnsi="宋体" w:cs="宋体"/>
          <w:color w:val="auto"/>
          <w:highlight w:val="none"/>
        </w:rPr>
      </w:pPr>
      <w:r>
        <w:rPr>
          <w:rFonts w:hint="eastAsia" w:ascii="宋体" w:hAnsi="宋体" w:cs="宋体"/>
          <w:color w:val="auto"/>
          <w:highlight w:val="none"/>
        </w:rPr>
        <w:t>三档（17分）：有简单的</w:t>
      </w:r>
      <w:r>
        <w:rPr>
          <w:rFonts w:hint="eastAsia" w:ascii="宋体" w:hAnsi="宋体" w:cs="宋体"/>
          <w:color w:val="auto"/>
          <w:szCs w:val="21"/>
          <w:highlight w:val="none"/>
          <w:lang w:val="ru-RU"/>
        </w:rPr>
        <w:t>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highlight w:val="none"/>
        </w:rPr>
        <w:t>能针对本项目的服务内容进行较准确、全面的分析，但整体叙述较简单和较程序化。</w:t>
      </w:r>
    </w:p>
    <w:p w14:paraId="5AC249B7">
      <w:pPr>
        <w:spacing w:line="380" w:lineRule="exact"/>
        <w:ind w:firstLine="420"/>
        <w:jc w:val="left"/>
        <w:rPr>
          <w:rFonts w:hint="eastAsia" w:ascii="宋体" w:hAnsi="宋体" w:cs="宋体"/>
          <w:color w:val="auto"/>
          <w:kern w:val="0"/>
          <w:szCs w:val="21"/>
          <w:highlight w:val="none"/>
        </w:rPr>
      </w:pPr>
      <w:r>
        <w:rPr>
          <w:rFonts w:hint="eastAsia" w:ascii="宋体" w:hAnsi="宋体" w:cs="宋体"/>
          <w:color w:val="auto"/>
          <w:highlight w:val="none"/>
        </w:rPr>
        <w:t>四档（26分）：</w:t>
      </w:r>
      <w:r>
        <w:rPr>
          <w:rFonts w:hint="eastAsia" w:ascii="宋体" w:hAnsi="宋体" w:cs="宋体"/>
          <w:color w:val="auto"/>
          <w:szCs w:val="21"/>
          <w:highlight w:val="none"/>
          <w:lang w:val="ru-RU"/>
        </w:rPr>
        <w:t>运行管理</w:t>
      </w:r>
      <w:r>
        <w:rPr>
          <w:rFonts w:hint="eastAsia" w:ascii="宋体" w:hAnsi="宋体" w:cs="宋体"/>
          <w:color w:val="auto"/>
          <w:highlight w:val="none"/>
        </w:rPr>
        <w:t>服务</w:t>
      </w:r>
      <w:r>
        <w:rPr>
          <w:rFonts w:hint="eastAsia" w:ascii="宋体" w:hAnsi="宋体" w:cs="宋体"/>
          <w:color w:val="auto"/>
          <w:szCs w:val="21"/>
          <w:highlight w:val="none"/>
        </w:rPr>
        <w:t>方案内容详细完善，</w:t>
      </w:r>
      <w:r>
        <w:rPr>
          <w:rFonts w:hint="eastAsia" w:ascii="宋体" w:hAnsi="宋体" w:cs="宋体"/>
          <w:color w:val="auto"/>
          <w:szCs w:val="21"/>
          <w:highlight w:val="none"/>
          <w:lang w:val="ru-RU"/>
        </w:rPr>
        <w:t>对本项目有清晰的理解，有较完善的运行</w:t>
      </w:r>
      <w:r>
        <w:rPr>
          <w:rFonts w:hint="eastAsia" w:ascii="宋体" w:hAnsi="宋体" w:cs="宋体"/>
          <w:color w:val="auto"/>
          <w:kern w:val="0"/>
          <w:szCs w:val="21"/>
          <w:highlight w:val="none"/>
        </w:rPr>
        <w:t>管理措施、项目实施流程、质量保证措施</w:t>
      </w:r>
      <w:r>
        <w:rPr>
          <w:rFonts w:hint="eastAsia" w:ascii="宋体" w:hAnsi="宋体" w:cs="宋体"/>
          <w:color w:val="auto"/>
          <w:szCs w:val="21"/>
          <w:highlight w:val="none"/>
          <w:lang w:val="ru-RU"/>
        </w:rPr>
        <w:t>等，</w:t>
      </w:r>
      <w:r>
        <w:rPr>
          <w:rFonts w:hint="eastAsia" w:ascii="宋体" w:hAnsi="宋体" w:cs="宋体"/>
          <w:color w:val="auto"/>
          <w:kern w:val="0"/>
          <w:szCs w:val="21"/>
          <w:highlight w:val="none"/>
        </w:rPr>
        <w:t>整体方案针对性强，能说明实施各个阶段工作安排和进度计划，可操作性较高。</w:t>
      </w:r>
    </w:p>
    <w:p w14:paraId="578A9E08">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五档（35分）：在满足四档的基础上，运行管理措施完善、可操作性强，建立有项目人力资源管理、财务管理、应急突发事件管理、质量管理制度等运营管理制度，有详细的法律咨询服务流程</w:t>
      </w:r>
      <w:r>
        <w:rPr>
          <w:rFonts w:hint="eastAsia" w:ascii="宋体" w:hAnsi="宋体" w:cs="宋体"/>
          <w:color w:val="auto"/>
          <w:highlight w:val="none"/>
          <w:lang w:eastAsia="zh-CN"/>
        </w:rPr>
        <w:t>，</w:t>
      </w:r>
      <w:r>
        <w:rPr>
          <w:rFonts w:hint="eastAsia" w:ascii="宋体" w:hAnsi="宋体" w:cs="宋体"/>
          <w:color w:val="auto"/>
          <w:highlight w:val="none"/>
        </w:rPr>
        <w:t>规章制度编制完善；具备提供政策指导、专业的法律咨询等服务的能力；项目实施保障措施可操作性强；项目实施流程叙述清晰、详尽明确，项目运作机制成熟，能够提供智能化操作服务，有合理的工作衔接措施，有明确的工作进度计划；服务方案有很强的针对性能完全满足项目需求。</w:t>
      </w:r>
    </w:p>
    <w:p w14:paraId="0FD16184">
      <w:pPr>
        <w:kinsoku w:val="0"/>
        <w:overflowPunct w:val="0"/>
        <w:spacing w:line="360" w:lineRule="exact"/>
        <w:ind w:firstLine="211" w:firstLineChars="100"/>
        <w:rPr>
          <w:rFonts w:ascii="宋体" w:hAnsi="宋体" w:cs="宋体"/>
          <w:b/>
          <w:bCs/>
          <w:color w:val="auto"/>
          <w:szCs w:val="21"/>
          <w:highlight w:val="none"/>
          <w:lang w:val="ru-RU"/>
        </w:rPr>
      </w:pPr>
      <w:bookmarkStart w:id="44" w:name="OLE_LINK1"/>
      <w:r>
        <w:rPr>
          <w:rFonts w:hint="eastAsia" w:ascii="宋体" w:hAnsi="宋体" w:cs="宋体"/>
          <w:b/>
          <w:bCs/>
          <w:color w:val="auto"/>
          <w:szCs w:val="21"/>
          <w:highlight w:val="none"/>
          <w:lang w:val="ru-RU"/>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val="ru-RU"/>
        </w:rPr>
        <w:t>）服务质量分………………………………………………………………………………（满分</w:t>
      </w:r>
      <w:r>
        <w:rPr>
          <w:rFonts w:hint="eastAsia" w:ascii="宋体" w:hAnsi="宋体" w:cs="宋体"/>
          <w:b/>
          <w:bCs/>
          <w:color w:val="auto"/>
          <w:szCs w:val="21"/>
          <w:highlight w:val="none"/>
        </w:rPr>
        <w:t>35</w:t>
      </w:r>
      <w:r>
        <w:rPr>
          <w:rFonts w:hint="eastAsia" w:ascii="宋体" w:hAnsi="宋体" w:cs="宋体"/>
          <w:b/>
          <w:bCs/>
          <w:color w:val="auto"/>
          <w:szCs w:val="21"/>
          <w:highlight w:val="none"/>
          <w:lang w:val="ru-RU"/>
        </w:rPr>
        <w:t>分）</w:t>
      </w:r>
    </w:p>
    <w:p w14:paraId="73D46690">
      <w:pPr>
        <w:kinsoku w:val="0"/>
        <w:overflowPunct w:val="0"/>
        <w:spacing w:line="360" w:lineRule="exact"/>
        <w:ind w:firstLine="420" w:firstLineChars="200"/>
        <w:rPr>
          <w:rFonts w:ascii="宋体" w:hAnsi="宋体" w:cs="宋体"/>
          <w:color w:val="auto"/>
          <w:szCs w:val="21"/>
          <w:highlight w:val="none"/>
          <w:lang w:val="ru-RU"/>
        </w:rPr>
      </w:pPr>
      <w:r>
        <w:rPr>
          <w:rFonts w:hint="eastAsia" w:ascii="宋体" w:hAnsi="宋体" w:cs="宋体"/>
          <w:color w:val="auto"/>
          <w:szCs w:val="21"/>
          <w:highlight w:val="none"/>
          <w:lang w:val="ru-RU"/>
        </w:rPr>
        <w:t>一档（</w:t>
      </w:r>
      <w:r>
        <w:rPr>
          <w:rFonts w:hint="eastAsia" w:ascii="宋体" w:hAnsi="宋体" w:cs="宋体"/>
          <w:color w:val="auto"/>
          <w:szCs w:val="21"/>
          <w:highlight w:val="none"/>
        </w:rPr>
        <w:t>0</w:t>
      </w:r>
      <w:r>
        <w:rPr>
          <w:rFonts w:hint="eastAsia" w:ascii="宋体" w:hAnsi="宋体" w:cs="宋体"/>
          <w:color w:val="auto"/>
          <w:szCs w:val="21"/>
          <w:highlight w:val="none"/>
          <w:lang w:val="ru-RU"/>
        </w:rPr>
        <w:t>分）：服务质量控制不能满足本项目的基本需求。</w:t>
      </w:r>
    </w:p>
    <w:p w14:paraId="33654DFA">
      <w:pPr>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lang w:val="ru-RU"/>
        </w:rPr>
        <w:t>二档（</w:t>
      </w:r>
      <w:r>
        <w:rPr>
          <w:rFonts w:hint="eastAsia" w:ascii="宋体" w:hAnsi="宋体" w:cs="宋体"/>
          <w:color w:val="auto"/>
          <w:szCs w:val="21"/>
          <w:highlight w:val="none"/>
        </w:rPr>
        <w:t>8</w:t>
      </w:r>
      <w:r>
        <w:rPr>
          <w:rFonts w:hint="eastAsia" w:ascii="宋体" w:hAnsi="宋体" w:cs="宋体"/>
          <w:color w:val="auto"/>
          <w:szCs w:val="21"/>
          <w:highlight w:val="none"/>
          <w:lang w:val="ru-RU"/>
        </w:rPr>
        <w:t>分）：有简单的服务质量控制措施</w:t>
      </w:r>
      <w:r>
        <w:rPr>
          <w:rFonts w:hint="eastAsia" w:ascii="宋体" w:hAnsi="宋体"/>
          <w:color w:val="auto"/>
          <w:szCs w:val="21"/>
          <w:highlight w:val="none"/>
          <w:lang w:val="ru-RU"/>
        </w:rPr>
        <w:t>，拟</w:t>
      </w:r>
      <w:r>
        <w:rPr>
          <w:rFonts w:hint="eastAsia" w:ascii="宋体" w:hAnsi="宋体" w:cs="宋体"/>
          <w:color w:val="auto"/>
          <w:szCs w:val="21"/>
          <w:highlight w:val="none"/>
          <w:lang w:val="ru-RU"/>
        </w:rPr>
        <w:t>投入的服务团队人员及设备设施基本齐全，基本符合本项目需求。</w:t>
      </w:r>
    </w:p>
    <w:p w14:paraId="2ACD2F9C">
      <w:pPr>
        <w:wordWrap w:val="0"/>
        <w:topLinePunct/>
        <w:spacing w:line="380" w:lineRule="exact"/>
        <w:ind w:firstLine="420" w:firstLineChars="200"/>
        <w:rPr>
          <w:rFonts w:ascii="宋体" w:hAnsi="宋体"/>
          <w:color w:val="auto"/>
          <w:szCs w:val="21"/>
          <w:highlight w:val="none"/>
        </w:rPr>
      </w:pPr>
      <w:r>
        <w:rPr>
          <w:rFonts w:hint="eastAsia" w:ascii="宋体" w:hAnsi="宋体" w:cs="宋体"/>
          <w:color w:val="auto"/>
          <w:szCs w:val="21"/>
          <w:highlight w:val="none"/>
          <w:lang w:val="ru-RU"/>
        </w:rPr>
        <w:t>三档（</w:t>
      </w:r>
      <w:r>
        <w:rPr>
          <w:rFonts w:hint="eastAsia" w:ascii="宋体" w:hAnsi="宋体" w:cs="宋体"/>
          <w:color w:val="auto"/>
          <w:szCs w:val="21"/>
          <w:highlight w:val="none"/>
        </w:rPr>
        <w:t>17</w:t>
      </w:r>
      <w:r>
        <w:rPr>
          <w:rFonts w:hint="eastAsia" w:ascii="宋体" w:hAnsi="宋体" w:cs="宋体"/>
          <w:color w:val="auto"/>
          <w:szCs w:val="21"/>
          <w:highlight w:val="none"/>
          <w:lang w:val="ru-RU"/>
        </w:rPr>
        <w:t>分）：</w:t>
      </w:r>
      <w:r>
        <w:rPr>
          <w:rFonts w:hint="eastAsia" w:ascii="宋体" w:hAnsi="宋体" w:cs="宋体"/>
          <w:color w:val="auto"/>
          <w:kern w:val="0"/>
          <w:szCs w:val="21"/>
          <w:highlight w:val="none"/>
        </w:rPr>
        <w:t>各项服务环节质量保证措施基本完善，</w:t>
      </w:r>
      <w:r>
        <w:rPr>
          <w:rFonts w:hint="eastAsia" w:ascii="宋体" w:hAnsi="宋体"/>
          <w:color w:val="auto"/>
          <w:szCs w:val="21"/>
          <w:highlight w:val="none"/>
          <w:lang w:val="ru-RU"/>
        </w:rPr>
        <w:t>有专门的服务质量把关措施，拟</w:t>
      </w:r>
      <w:r>
        <w:rPr>
          <w:rFonts w:hint="eastAsia" w:ascii="宋体" w:hAnsi="宋体" w:cs="宋体"/>
          <w:color w:val="auto"/>
          <w:szCs w:val="21"/>
          <w:highlight w:val="none"/>
          <w:lang w:val="ru-RU"/>
        </w:rPr>
        <w:t>投入的服务团队人员及设备设施齐全，能满足本项目的需求</w:t>
      </w:r>
      <w:r>
        <w:rPr>
          <w:rFonts w:hint="eastAsia" w:ascii="宋体" w:hAnsi="宋体"/>
          <w:color w:val="auto"/>
          <w:szCs w:val="21"/>
          <w:highlight w:val="none"/>
        </w:rPr>
        <w:t>。</w:t>
      </w:r>
    </w:p>
    <w:p w14:paraId="13D95A0A">
      <w:pPr>
        <w:kinsoku w:val="0"/>
        <w:overflowPunct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ru-RU"/>
        </w:rPr>
        <w:t>四档（</w:t>
      </w:r>
      <w:r>
        <w:rPr>
          <w:rFonts w:hint="eastAsia" w:ascii="宋体" w:hAnsi="宋体" w:cs="宋体"/>
          <w:color w:val="auto"/>
          <w:szCs w:val="21"/>
          <w:highlight w:val="none"/>
        </w:rPr>
        <w:t>26</w:t>
      </w:r>
      <w:r>
        <w:rPr>
          <w:rFonts w:hint="eastAsia" w:ascii="宋体" w:hAnsi="宋体" w:cs="宋体"/>
          <w:color w:val="auto"/>
          <w:szCs w:val="21"/>
          <w:highlight w:val="none"/>
          <w:lang w:val="ru-RU"/>
        </w:rPr>
        <w:t>分）：</w:t>
      </w:r>
      <w:r>
        <w:rPr>
          <w:rFonts w:hint="eastAsia" w:ascii="宋体" w:hAnsi="宋体" w:cs="宋体"/>
          <w:color w:val="auto"/>
          <w:kern w:val="0"/>
          <w:szCs w:val="21"/>
          <w:highlight w:val="none"/>
        </w:rPr>
        <w:t>有简单的质量管理班子和质量保证制度</w:t>
      </w:r>
      <w:r>
        <w:rPr>
          <w:rFonts w:hint="eastAsia" w:ascii="宋体" w:hAnsi="宋体" w:cs="宋体"/>
          <w:color w:val="auto"/>
          <w:szCs w:val="21"/>
          <w:highlight w:val="none"/>
        </w:rPr>
        <w:t>，团队人员配备合理、岗位分工明确；</w:t>
      </w:r>
      <w:r>
        <w:rPr>
          <w:rFonts w:hint="eastAsia" w:ascii="宋体" w:hAnsi="宋体" w:cs="宋体"/>
          <w:color w:val="auto"/>
          <w:highlight w:val="none"/>
        </w:rPr>
        <w:t>人员培训计划措施合理，人员管理方式完善，考虑周全，主体明确</w:t>
      </w:r>
      <w:r>
        <w:rPr>
          <w:rFonts w:hint="eastAsia" w:ascii="宋体" w:hAnsi="宋体" w:cs="宋体"/>
          <w:color w:val="auto"/>
          <w:highlight w:val="none"/>
          <w:lang w:eastAsia="zh-CN"/>
        </w:rPr>
        <w:t>；</w:t>
      </w:r>
      <w:r>
        <w:rPr>
          <w:rFonts w:hint="eastAsia" w:ascii="宋体" w:hAnsi="宋体" w:cs="宋体"/>
          <w:color w:val="auto"/>
          <w:kern w:val="0"/>
          <w:szCs w:val="21"/>
          <w:highlight w:val="none"/>
        </w:rPr>
        <w:t>有活动环节质量保证措施</w:t>
      </w:r>
      <w:r>
        <w:rPr>
          <w:rFonts w:hint="eastAsia" w:ascii="宋体" w:hAnsi="宋体" w:cs="宋体"/>
          <w:color w:val="auto"/>
          <w:kern w:val="0"/>
          <w:szCs w:val="21"/>
          <w:highlight w:val="none"/>
          <w:lang w:eastAsia="zh-CN"/>
        </w:rPr>
        <w:t>、保密保障措施，</w:t>
      </w:r>
      <w:r>
        <w:rPr>
          <w:rFonts w:hint="eastAsia" w:ascii="宋体" w:hAnsi="宋体"/>
          <w:color w:val="auto"/>
          <w:szCs w:val="21"/>
          <w:highlight w:val="none"/>
          <w:lang w:val="ru-RU"/>
        </w:rPr>
        <w:t>服务质量保障措施详细，有实行过程检查制度。</w:t>
      </w:r>
    </w:p>
    <w:p w14:paraId="6F1A0073">
      <w:pPr>
        <w:kinsoku w:val="0"/>
        <w:overflowPunct w:val="0"/>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五档（35分）：</w:t>
      </w:r>
      <w:r>
        <w:rPr>
          <w:rFonts w:hint="eastAsia" w:ascii="宋体" w:hAnsi="宋体" w:cs="宋体"/>
          <w:color w:val="auto"/>
          <w:kern w:val="0"/>
          <w:szCs w:val="21"/>
          <w:highlight w:val="none"/>
        </w:rPr>
        <w:t>有专门的质量管理班子和健全的质量保证制度</w:t>
      </w:r>
      <w:r>
        <w:rPr>
          <w:rFonts w:hint="eastAsia" w:ascii="宋体" w:hAnsi="宋体" w:cs="宋体"/>
          <w:color w:val="auto"/>
          <w:szCs w:val="21"/>
          <w:highlight w:val="none"/>
        </w:rPr>
        <w:t>，团队人员及设备设施配备齐全、充足，服务团队经验较丰富，能充分满足项目实施需求；</w:t>
      </w:r>
      <w:r>
        <w:rPr>
          <w:rFonts w:hint="eastAsia" w:ascii="宋体" w:hAnsi="宋体" w:cs="宋体"/>
          <w:color w:val="auto"/>
          <w:szCs w:val="21"/>
          <w:highlight w:val="none"/>
          <w:lang w:val="ru-RU"/>
        </w:rPr>
        <w:t>服务质量保障措施科学合理，</w:t>
      </w:r>
      <w:r>
        <w:rPr>
          <w:rFonts w:hint="eastAsia" w:ascii="宋体" w:hAnsi="宋体" w:cs="宋体"/>
          <w:color w:val="auto"/>
          <w:kern w:val="0"/>
          <w:szCs w:val="21"/>
          <w:highlight w:val="none"/>
        </w:rPr>
        <w:t>主要活动环节质量保证措施和手段科学；整体措施针对性强，安排合理，</w:t>
      </w:r>
      <w:r>
        <w:rPr>
          <w:rFonts w:hint="eastAsia" w:ascii="宋体" w:hAnsi="宋体" w:cs="宋体"/>
          <w:color w:val="auto"/>
          <w:szCs w:val="21"/>
          <w:highlight w:val="none"/>
        </w:rPr>
        <w:t>逻辑清晰、切合实际。</w:t>
      </w:r>
      <w:r>
        <w:rPr>
          <w:rFonts w:hint="eastAsia" w:ascii="宋体" w:hAnsi="宋体" w:cs="宋体"/>
          <w:color w:val="auto"/>
          <w:kern w:val="0"/>
          <w:szCs w:val="21"/>
          <w:highlight w:val="none"/>
        </w:rPr>
        <w:t>能够很好保证项目的质量和安全，完全符合各系列活动实际要求；能说明项目风险管理措施，方案全面、描述详细，完全准确地理解项目需求，部署科学可靠。</w:t>
      </w:r>
    </w:p>
    <w:bookmarkEnd w:id="44"/>
    <w:p w14:paraId="5B2AAF16">
      <w:pPr>
        <w:widowControl/>
        <w:spacing w:line="400" w:lineRule="exact"/>
        <w:ind w:firstLine="422" w:firstLineChars="200"/>
        <w:rPr>
          <w:rFonts w:ascii="宋体" w:hAnsi="宋体" w:cs="宋体"/>
          <w:b/>
          <w:bCs/>
          <w:color w:val="auto"/>
          <w:highlight w:val="none"/>
        </w:rPr>
      </w:pPr>
      <w:bookmarkStart w:id="45" w:name="OLE_LINK2"/>
      <w:r>
        <w:rPr>
          <w:rFonts w:hint="eastAsia" w:ascii="宋体" w:hAnsi="宋体" w:cs="宋体"/>
          <w:b/>
          <w:bCs/>
          <w:color w:val="auto"/>
          <w:highlight w:val="none"/>
        </w:rPr>
        <w:t>（3）</w:t>
      </w:r>
      <w:r>
        <w:rPr>
          <w:rFonts w:hint="eastAsia" w:hAnsi="宋体"/>
          <w:b/>
          <w:bCs/>
          <w:color w:val="auto"/>
          <w:highlight w:val="none"/>
        </w:rPr>
        <w:t>突发事件的</w:t>
      </w:r>
      <w:r>
        <w:rPr>
          <w:rFonts w:hint="eastAsia" w:hAnsi="宋体"/>
          <w:b/>
          <w:color w:val="auto"/>
          <w:highlight w:val="none"/>
        </w:rPr>
        <w:t>应急预案分</w:t>
      </w:r>
      <w:r>
        <w:rPr>
          <w:rFonts w:hint="eastAsia" w:ascii="宋体" w:hAnsi="宋体" w:cs="宋体"/>
          <w:b/>
          <w:bCs/>
          <w:color w:val="auto"/>
          <w:highlight w:val="none"/>
        </w:rPr>
        <w:t>…………………………………………………………………（满分1</w:t>
      </w:r>
      <w:r>
        <w:rPr>
          <w:rFonts w:hint="eastAsia" w:ascii="宋体" w:hAnsi="宋体" w:cs="宋体"/>
          <w:b/>
          <w:bCs/>
          <w:color w:val="auto"/>
          <w:highlight w:val="none"/>
          <w:lang w:val="en-US" w:eastAsia="zh-CN"/>
        </w:rPr>
        <w:t>4</w:t>
      </w:r>
      <w:r>
        <w:rPr>
          <w:rFonts w:hint="eastAsia" w:ascii="宋体" w:hAnsi="宋体" w:cs="宋体"/>
          <w:b/>
          <w:bCs/>
          <w:color w:val="auto"/>
          <w:highlight w:val="none"/>
        </w:rPr>
        <w:t>分）</w:t>
      </w:r>
    </w:p>
    <w:p w14:paraId="4916C182">
      <w:pPr>
        <w:pStyle w:val="15"/>
        <w:widowControl/>
        <w:adjustRightInd w:val="0"/>
        <w:snapToGrid w:val="0"/>
        <w:spacing w:line="400" w:lineRule="exact"/>
        <w:ind w:left="735" w:leftChars="200" w:hanging="315" w:hangingChars="150"/>
        <w:rPr>
          <w:rFonts w:hAnsi="宋体" w:cs="宋体"/>
          <w:bCs/>
          <w:color w:val="auto"/>
          <w:highlight w:val="none"/>
        </w:rPr>
      </w:pPr>
      <w:r>
        <w:rPr>
          <w:rFonts w:hint="eastAsia" w:hAnsi="宋体" w:cs="宋体"/>
          <w:bCs/>
          <w:color w:val="auto"/>
          <w:highlight w:val="none"/>
        </w:rPr>
        <w:t>一档（0分）：</w:t>
      </w:r>
      <w:r>
        <w:rPr>
          <w:rFonts w:hint="eastAsia" w:hAnsi="宋体" w:cs="宋体"/>
          <w:color w:val="auto"/>
          <w:highlight w:val="none"/>
        </w:rPr>
        <w:t>应急方案内容不清晰，</w:t>
      </w:r>
      <w:r>
        <w:rPr>
          <w:rFonts w:hint="eastAsia" w:hAnsi="宋体" w:cs="宋体"/>
          <w:color w:val="auto"/>
          <w:kern w:val="0"/>
          <w:highlight w:val="none"/>
        </w:rPr>
        <w:t>不能满足本项目的需求</w:t>
      </w:r>
      <w:r>
        <w:rPr>
          <w:rFonts w:hint="eastAsia" w:hAnsi="宋体" w:cs="宋体"/>
          <w:color w:val="auto"/>
          <w:highlight w:val="none"/>
        </w:rPr>
        <w:t>。</w:t>
      </w:r>
    </w:p>
    <w:p w14:paraId="0E632CE9">
      <w:pPr>
        <w:pStyle w:val="15"/>
        <w:widowControl/>
        <w:adjustRightInd w:val="0"/>
        <w:snapToGrid w:val="0"/>
        <w:spacing w:line="400" w:lineRule="exact"/>
        <w:ind w:left="735" w:leftChars="200" w:hanging="315" w:hangingChars="150"/>
        <w:rPr>
          <w:rFonts w:hAnsi="宋体" w:cs="宋体"/>
          <w:color w:val="auto"/>
          <w:highlight w:val="none"/>
        </w:rPr>
      </w:pPr>
      <w:r>
        <w:rPr>
          <w:rFonts w:hint="eastAsia" w:hAnsi="宋体" w:cs="宋体"/>
          <w:bCs/>
          <w:color w:val="auto"/>
          <w:highlight w:val="none"/>
        </w:rPr>
        <w:t>二档（5分）：</w:t>
      </w:r>
      <w:r>
        <w:rPr>
          <w:rFonts w:hint="eastAsia" w:hAnsi="宋体" w:cs="宋体"/>
          <w:color w:val="auto"/>
          <w:highlight w:val="none"/>
        </w:rPr>
        <w:t>应急方案简单，有应急处理实施计划，方案基本可行。</w:t>
      </w:r>
    </w:p>
    <w:p w14:paraId="03C10AD1">
      <w:pPr>
        <w:pStyle w:val="15"/>
        <w:widowControl/>
        <w:adjustRightInd w:val="0"/>
        <w:snapToGrid w:val="0"/>
        <w:spacing w:line="400" w:lineRule="exact"/>
        <w:ind w:firstLine="420" w:firstLineChars="200"/>
        <w:rPr>
          <w:rFonts w:hAnsi="宋体" w:cs="宋体"/>
          <w:color w:val="auto"/>
          <w:highlight w:val="none"/>
        </w:rPr>
      </w:pPr>
      <w:r>
        <w:rPr>
          <w:rFonts w:hint="eastAsia" w:hAnsi="宋体" w:cs="宋体"/>
          <w:bCs/>
          <w:color w:val="auto"/>
          <w:highlight w:val="none"/>
        </w:rPr>
        <w:t>三档（</w:t>
      </w:r>
      <w:r>
        <w:rPr>
          <w:rFonts w:hint="eastAsia" w:hAnsi="宋体" w:cs="宋体"/>
          <w:bCs/>
          <w:color w:val="auto"/>
          <w:highlight w:val="none"/>
          <w:lang w:val="en-US" w:eastAsia="zh-CN"/>
        </w:rPr>
        <w:t>9</w:t>
      </w:r>
      <w:r>
        <w:rPr>
          <w:rFonts w:hint="eastAsia" w:hAnsi="宋体" w:cs="宋体"/>
          <w:bCs/>
          <w:color w:val="auto"/>
          <w:highlight w:val="none"/>
        </w:rPr>
        <w:t>分）：</w:t>
      </w:r>
      <w:r>
        <w:rPr>
          <w:rFonts w:hint="eastAsia" w:hAnsi="宋体" w:cs="宋体"/>
          <w:color w:val="auto"/>
          <w:highlight w:val="none"/>
        </w:rPr>
        <w:t>对可能发生的</w:t>
      </w:r>
      <w:r>
        <w:rPr>
          <w:rFonts w:hint="eastAsia" w:hAnsi="宋体"/>
          <w:color w:val="auto"/>
          <w:highlight w:val="none"/>
        </w:rPr>
        <w:t>突发事件有</w:t>
      </w:r>
      <w:r>
        <w:rPr>
          <w:rFonts w:hint="eastAsia" w:hAnsi="宋体" w:cs="宋体"/>
          <w:color w:val="auto"/>
          <w:highlight w:val="none"/>
        </w:rPr>
        <w:t>基本的预测，能进行危险性分析、事故特征分析；应急处理实施计划中制订有应急组织机构与职责、风险防控措施、应急处置程序和应急保障措施。</w:t>
      </w:r>
    </w:p>
    <w:p w14:paraId="4CF19735">
      <w:pPr>
        <w:pStyle w:val="15"/>
        <w:kinsoku w:val="0"/>
        <w:overflowPunct w:val="0"/>
        <w:spacing w:line="360" w:lineRule="exact"/>
        <w:ind w:firstLine="420" w:firstLineChars="200"/>
        <w:rPr>
          <w:rFonts w:hAnsi="宋体" w:cs="宋体"/>
          <w:bCs/>
          <w:color w:val="auto"/>
          <w:highlight w:val="none"/>
        </w:rPr>
      </w:pPr>
      <w:r>
        <w:rPr>
          <w:rFonts w:hint="eastAsia" w:hAnsi="宋体" w:cs="宋体"/>
          <w:bCs/>
          <w:color w:val="auto"/>
          <w:highlight w:val="none"/>
        </w:rPr>
        <w:t>四档（1</w:t>
      </w:r>
      <w:r>
        <w:rPr>
          <w:rFonts w:hint="eastAsia" w:hAnsi="宋体" w:cs="宋体"/>
          <w:bCs/>
          <w:color w:val="auto"/>
          <w:highlight w:val="none"/>
          <w:lang w:val="en-US" w:eastAsia="zh-CN"/>
        </w:rPr>
        <w:t>4</w:t>
      </w:r>
      <w:r>
        <w:rPr>
          <w:rFonts w:hint="eastAsia" w:hAnsi="宋体" w:cs="宋体"/>
          <w:bCs/>
          <w:color w:val="auto"/>
          <w:highlight w:val="none"/>
        </w:rPr>
        <w:t>分）：</w:t>
      </w:r>
      <w:r>
        <w:rPr>
          <w:rFonts w:hint="eastAsia" w:hAnsi="宋体" w:cs="宋体"/>
          <w:color w:val="auto"/>
          <w:kern w:val="0"/>
          <w:highlight w:val="none"/>
        </w:rPr>
        <w:t>在</w:t>
      </w:r>
      <w:r>
        <w:rPr>
          <w:rFonts w:hint="eastAsia" w:hAnsi="宋体" w:cs="宋体"/>
          <w:color w:val="auto"/>
          <w:highlight w:val="none"/>
        </w:rPr>
        <w:t>满足</w:t>
      </w:r>
      <w:r>
        <w:rPr>
          <w:rFonts w:hint="eastAsia" w:hAnsi="宋体" w:cs="宋体"/>
          <w:color w:val="auto"/>
          <w:kern w:val="0"/>
          <w:highlight w:val="none"/>
        </w:rPr>
        <w:t>三档的基础上，</w:t>
      </w:r>
      <w:r>
        <w:rPr>
          <w:rFonts w:hint="eastAsia" w:hAnsi="宋体"/>
          <w:color w:val="auto"/>
          <w:highlight w:val="none"/>
        </w:rPr>
        <w:t>突发事件的应急预案描述完整、详细、合理，</w:t>
      </w:r>
      <w:r>
        <w:rPr>
          <w:rFonts w:hint="eastAsia" w:hAnsi="宋体" w:cs="宋体"/>
          <w:color w:val="auto"/>
          <w:highlight w:val="none"/>
        </w:rPr>
        <w:t>能为本项目设置应急团队，配置有具体的机动人员用于对紧急事件处理，有</w:t>
      </w:r>
      <w:r>
        <w:rPr>
          <w:rFonts w:hint="eastAsia" w:hAnsi="宋体" w:cs="宋体"/>
          <w:bCs/>
          <w:color w:val="auto"/>
          <w:highlight w:val="none"/>
        </w:rPr>
        <w:t>调配方案及相应的条件和流程等，</w:t>
      </w:r>
      <w:r>
        <w:rPr>
          <w:rFonts w:hint="eastAsia" w:hAnsi="宋体"/>
          <w:color w:val="auto"/>
          <w:highlight w:val="none"/>
        </w:rPr>
        <w:t>能够针对</w:t>
      </w:r>
      <w:r>
        <w:rPr>
          <w:rFonts w:hint="eastAsia" w:hAnsi="宋体" w:cs="宋体"/>
          <w:color w:val="auto"/>
          <w:highlight w:val="none"/>
        </w:rPr>
        <w:t>可能发生的</w:t>
      </w:r>
      <w:r>
        <w:rPr>
          <w:rFonts w:hint="eastAsia" w:hAnsi="宋体"/>
          <w:color w:val="auto"/>
          <w:highlight w:val="none"/>
        </w:rPr>
        <w:t>不同事故危害程度、影响范围和控制事态的能力进行响应分级，</w:t>
      </w:r>
      <w:r>
        <w:rPr>
          <w:rFonts w:hint="eastAsia" w:hAnsi="宋体"/>
          <w:bCs/>
          <w:color w:val="auto"/>
          <w:highlight w:val="none"/>
        </w:rPr>
        <w:t>应急预案中的</w:t>
      </w:r>
      <w:r>
        <w:rPr>
          <w:rFonts w:hint="eastAsia" w:hAnsi="宋体"/>
          <w:color w:val="auto"/>
          <w:highlight w:val="none"/>
        </w:rPr>
        <w:t>应急指挥、应急行动、资源调配、应急避险等切实可行并</w:t>
      </w:r>
      <w:r>
        <w:rPr>
          <w:rFonts w:hint="eastAsia" w:hAnsi="宋体" w:cs="宋体"/>
          <w:color w:val="auto"/>
          <w:highlight w:val="none"/>
        </w:rPr>
        <w:t>符合本项目要求与特点。</w:t>
      </w:r>
    </w:p>
    <w:bookmarkEnd w:id="45"/>
    <w:p w14:paraId="35CB17AB">
      <w:pPr>
        <w:kinsoku w:val="0"/>
        <w:overflowPunct w:val="0"/>
        <w:spacing w:line="360" w:lineRule="exact"/>
        <w:ind w:firstLine="422" w:firstLineChars="200"/>
        <w:rPr>
          <w:rFonts w:ascii="宋体" w:hAnsi="宋体" w:cs="宋体"/>
          <w:b/>
          <w:bCs/>
          <w:color w:val="auto"/>
          <w:szCs w:val="21"/>
          <w:highlight w:val="none"/>
          <w:lang w:val="ru-RU"/>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商务</w:t>
      </w:r>
      <w:r>
        <w:rPr>
          <w:rFonts w:hint="eastAsia" w:ascii="宋体" w:hAnsi="宋体" w:cs="宋体"/>
          <w:b/>
          <w:bCs/>
          <w:color w:val="auto"/>
          <w:szCs w:val="21"/>
          <w:highlight w:val="none"/>
          <w:lang w:val="ru-RU"/>
        </w:rPr>
        <w:t>分…………………………………………………………………………………</w:t>
      </w:r>
      <w:r>
        <w:rPr>
          <w:rFonts w:hint="eastAsia" w:ascii="宋体" w:hAnsi="宋体" w:cs="宋体"/>
          <w:b/>
          <w:bCs/>
          <w:color w:val="auto"/>
          <w:szCs w:val="21"/>
          <w:highlight w:val="none"/>
          <w:lang w:val="ru-RU" w:eastAsia="zh-CN"/>
        </w:rPr>
        <w:t>…</w:t>
      </w:r>
      <w:r>
        <w:rPr>
          <w:rFonts w:hint="eastAsia" w:ascii="宋体" w:hAnsi="宋体" w:cs="宋体"/>
          <w:b/>
          <w:bCs/>
          <w:color w:val="auto"/>
          <w:szCs w:val="21"/>
          <w:highlight w:val="none"/>
          <w:lang w:val="ru-RU"/>
        </w:rPr>
        <w:t>…（满分</w:t>
      </w: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lang w:val="ru-RU"/>
        </w:rPr>
        <w:t>分）</w:t>
      </w:r>
    </w:p>
    <w:p w14:paraId="6A3D9CBE">
      <w:pPr>
        <w:pStyle w:val="23"/>
        <w:widowControl w:val="0"/>
        <w:spacing w:before="0" w:beforeAutospacing="0" w:after="0" w:afterAutospacing="0" w:line="380" w:lineRule="exact"/>
        <w:ind w:firstLine="420" w:firstLineChars="200"/>
        <w:jc w:val="both"/>
        <w:outlineLvl w:val="3"/>
        <w:rPr>
          <w:rFonts w:cs="宋体" w:asciiTheme="minorEastAsia" w:hAnsiTheme="minorEastAsia" w:eastAsiaTheme="minorEastAsia"/>
          <w:color w:val="auto"/>
          <w:kern w:val="2"/>
          <w:sz w:val="21"/>
          <w:szCs w:val="21"/>
          <w:highlight w:val="none"/>
        </w:rPr>
      </w:pPr>
      <w:r>
        <w:rPr>
          <w:rFonts w:hint="eastAsia" w:cs="宋体"/>
          <w:color w:val="auto"/>
          <w:sz w:val="21"/>
          <w:szCs w:val="21"/>
          <w:highlight w:val="none"/>
        </w:rPr>
        <w:t>202</w:t>
      </w:r>
      <w:r>
        <w:rPr>
          <w:rFonts w:hint="eastAsia" w:cs="宋体"/>
          <w:color w:val="auto"/>
          <w:sz w:val="21"/>
          <w:szCs w:val="21"/>
          <w:highlight w:val="none"/>
          <w:lang w:val="en-US" w:eastAsia="zh-CN"/>
        </w:rPr>
        <w:t>2</w:t>
      </w:r>
      <w:r>
        <w:rPr>
          <w:rFonts w:hint="eastAsia" w:cs="宋体"/>
          <w:color w:val="auto"/>
          <w:sz w:val="21"/>
          <w:szCs w:val="21"/>
          <w:highlight w:val="none"/>
        </w:rPr>
        <w:t>年</w:t>
      </w:r>
      <w:r>
        <w:rPr>
          <w:rFonts w:hint="eastAsia" w:ascii="宋体" w:hAnsi="宋体" w:eastAsia="宋体" w:cs="宋体"/>
          <w:color w:val="auto"/>
          <w:sz w:val="21"/>
          <w:szCs w:val="21"/>
          <w:highlight w:val="none"/>
          <w:lang w:eastAsia="zh-CN"/>
        </w:rPr>
        <w:t>（以合同签订时间为准）</w:t>
      </w:r>
      <w:r>
        <w:rPr>
          <w:rFonts w:hint="eastAsia" w:ascii="宋体" w:hAnsi="宋体" w:eastAsia="宋体" w:cs="宋体"/>
          <w:color w:val="auto"/>
          <w:sz w:val="21"/>
          <w:szCs w:val="21"/>
          <w:highlight w:val="none"/>
        </w:rPr>
        <w:t>以来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承接过类似项目的</w:t>
      </w:r>
      <w:r>
        <w:rPr>
          <w:rFonts w:hint="eastAsia" w:cs="宋体" w:asciiTheme="minorEastAsia" w:hAnsiTheme="minorEastAsia" w:eastAsiaTheme="minorEastAsia"/>
          <w:color w:val="auto"/>
          <w:kern w:val="2"/>
          <w:sz w:val="21"/>
          <w:szCs w:val="21"/>
          <w:highlight w:val="none"/>
        </w:rPr>
        <w:t>，每有一项得2分，满分</w:t>
      </w:r>
      <w:r>
        <w:rPr>
          <w:rFonts w:hint="eastAsia" w:cs="宋体" w:asciiTheme="minorEastAsia" w:hAnsiTheme="minorEastAsia" w:eastAsiaTheme="minorEastAsia"/>
          <w:color w:val="auto"/>
          <w:kern w:val="2"/>
          <w:sz w:val="21"/>
          <w:szCs w:val="21"/>
          <w:highlight w:val="none"/>
          <w:lang w:val="en-US" w:eastAsia="zh-CN"/>
        </w:rPr>
        <w:t>6</w:t>
      </w:r>
      <w:r>
        <w:rPr>
          <w:rFonts w:hint="eastAsia" w:cs="宋体" w:asciiTheme="minorEastAsia" w:hAnsiTheme="minorEastAsia" w:eastAsiaTheme="minorEastAsia"/>
          <w:color w:val="auto"/>
          <w:kern w:val="2"/>
          <w:sz w:val="21"/>
          <w:szCs w:val="21"/>
          <w:highlight w:val="none"/>
        </w:rPr>
        <w:t>分。</w:t>
      </w:r>
    </w:p>
    <w:p w14:paraId="4DA2A318">
      <w:pPr>
        <w:pStyle w:val="23"/>
        <w:widowControl w:val="0"/>
        <w:spacing w:before="0" w:beforeAutospacing="0" w:after="0" w:afterAutospacing="0" w:line="380" w:lineRule="exact"/>
        <w:ind w:firstLine="422" w:firstLineChars="200"/>
        <w:jc w:val="both"/>
        <w:outlineLvl w:val="3"/>
        <w:rPr>
          <w:rFonts w:cs="宋体" w:asciiTheme="minorEastAsia" w:hAnsiTheme="minorEastAsia" w:eastAsiaTheme="minorEastAsia"/>
          <w:b/>
          <w:bCs/>
          <w:color w:val="auto"/>
          <w:kern w:val="2"/>
          <w:sz w:val="21"/>
          <w:szCs w:val="21"/>
          <w:highlight w:val="none"/>
        </w:rPr>
      </w:pPr>
      <w:r>
        <w:rPr>
          <w:rFonts w:hint="eastAsia" w:cs="宋体"/>
          <w:b/>
          <w:bCs/>
          <w:color w:val="auto"/>
          <w:sz w:val="21"/>
          <w:szCs w:val="21"/>
          <w:highlight w:val="none"/>
        </w:rPr>
        <w:t>注：</w:t>
      </w:r>
      <w:r>
        <w:rPr>
          <w:rFonts w:hint="eastAsia" w:cs="宋体"/>
          <w:b/>
          <w:bCs/>
          <w:color w:val="auto"/>
          <w:sz w:val="21"/>
          <w:szCs w:val="21"/>
          <w:highlight w:val="none"/>
          <w:lang w:eastAsia="zh-CN"/>
        </w:rPr>
        <w:t>供应商</w:t>
      </w:r>
      <w:r>
        <w:rPr>
          <w:rFonts w:hint="eastAsia" w:cs="宋体" w:asciiTheme="minorEastAsia" w:hAnsiTheme="minorEastAsia" w:eastAsiaTheme="minorEastAsia"/>
          <w:b/>
          <w:bCs/>
          <w:color w:val="auto"/>
          <w:kern w:val="2"/>
          <w:sz w:val="21"/>
          <w:szCs w:val="21"/>
          <w:highlight w:val="none"/>
        </w:rPr>
        <w:t>须</w:t>
      </w:r>
      <w:r>
        <w:rPr>
          <w:rFonts w:hint="eastAsia" w:cs="宋体" w:asciiTheme="minorEastAsia" w:hAnsiTheme="minorEastAsia" w:eastAsiaTheme="minorEastAsia"/>
          <w:b/>
          <w:bCs/>
          <w:color w:val="auto"/>
          <w:kern w:val="2"/>
          <w:sz w:val="21"/>
          <w:szCs w:val="21"/>
          <w:highlight w:val="none"/>
          <w:lang w:val="ru-RU"/>
        </w:rPr>
        <w:t>在响应文件中</w:t>
      </w:r>
      <w:r>
        <w:rPr>
          <w:rFonts w:hint="eastAsia" w:cs="宋体" w:asciiTheme="minorEastAsia" w:hAnsiTheme="minorEastAsia" w:eastAsiaTheme="minorEastAsia"/>
          <w:b/>
          <w:bCs/>
          <w:color w:val="auto"/>
          <w:kern w:val="2"/>
          <w:sz w:val="21"/>
          <w:szCs w:val="21"/>
          <w:highlight w:val="none"/>
        </w:rPr>
        <w:t>提供合同复印件或中标（成交）通知书复印件或任务书复印件和活动现场照片复印件</w:t>
      </w:r>
      <w:r>
        <w:rPr>
          <w:rFonts w:hint="eastAsia" w:cs="宋体"/>
          <w:b/>
          <w:bCs/>
          <w:color w:val="auto"/>
          <w:sz w:val="21"/>
          <w:szCs w:val="21"/>
          <w:highlight w:val="none"/>
        </w:rPr>
        <w:t>，没有提供或者提供不符合要求的不得分。</w:t>
      </w:r>
    </w:p>
    <w:p w14:paraId="5336C370">
      <w:pPr>
        <w:pStyle w:val="23"/>
        <w:widowControl w:val="0"/>
        <w:spacing w:before="0" w:beforeAutospacing="0" w:after="0" w:afterAutospacing="0" w:line="380" w:lineRule="exact"/>
        <w:ind w:firstLine="422" w:firstLineChars="200"/>
        <w:jc w:val="both"/>
        <w:outlineLvl w:val="3"/>
        <w:rPr>
          <w:rFonts w:hint="eastAsia" w:cs="宋体"/>
          <w:b/>
          <w:bCs/>
          <w:color w:val="auto"/>
          <w:sz w:val="21"/>
          <w:szCs w:val="21"/>
          <w:highlight w:val="none"/>
          <w:lang w:eastAsia="zh-CN"/>
        </w:rPr>
      </w:pPr>
      <w:r>
        <w:rPr>
          <w:rFonts w:hint="eastAsia" w:cs="宋体"/>
          <w:b/>
          <w:bCs/>
          <w:color w:val="auto"/>
          <w:sz w:val="21"/>
          <w:szCs w:val="21"/>
          <w:highlight w:val="none"/>
          <w:lang w:eastAsia="zh-CN"/>
        </w:rPr>
        <w:t>4.综合得分＝1+2+3</w:t>
      </w:r>
    </w:p>
    <w:p w14:paraId="7666B71E">
      <w:pPr>
        <w:pStyle w:val="15"/>
        <w:keepNext w:val="0"/>
        <w:keepLines w:val="0"/>
        <w:pageBreakBefore w:val="0"/>
        <w:widowControl w:val="0"/>
        <w:tabs>
          <w:tab w:val="left" w:pos="4214"/>
        </w:tabs>
        <w:kinsoku/>
        <w:wordWrap/>
        <w:overflowPunct/>
        <w:topLinePunct w:val="0"/>
        <w:autoSpaceDE/>
        <w:autoSpaceDN/>
        <w:bidi w:val="0"/>
        <w:adjustRightInd w:val="0"/>
        <w:spacing w:line="370" w:lineRule="exact"/>
        <w:ind w:firstLine="422" w:firstLineChars="200"/>
        <w:textAlignment w:val="auto"/>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val="en-US" w:eastAsia="zh-CN"/>
        </w:rPr>
        <w:t>5、</w:t>
      </w:r>
      <w:r>
        <w:rPr>
          <w:rFonts w:hint="eastAsia" w:cs="宋体" w:asciiTheme="minorEastAsia" w:hAnsiTheme="minorEastAsia" w:eastAsiaTheme="minorEastAsia"/>
          <w:b/>
          <w:color w:val="auto"/>
          <w:highlight w:val="none"/>
        </w:rPr>
        <w:t>推荐成交候选供应商原则</w:t>
      </w:r>
    </w:p>
    <w:p w14:paraId="0A46BC82">
      <w:pPr>
        <w:pStyle w:val="15"/>
        <w:keepNext w:val="0"/>
        <w:keepLines w:val="0"/>
        <w:pageBreakBefore w:val="0"/>
        <w:widowControl w:val="0"/>
        <w:tabs>
          <w:tab w:val="left" w:pos="4214"/>
        </w:tabs>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（一）评</w:t>
      </w:r>
      <w:r>
        <w:rPr>
          <w:rFonts w:hint="eastAsia" w:cs="宋体" w:asciiTheme="minorEastAsia" w:hAnsiTheme="minorEastAsia" w:eastAsiaTheme="minorEastAsia"/>
          <w:color w:val="auto"/>
          <w:highlight w:val="none"/>
          <w:lang w:val="en-US" w:eastAsia="zh-CN"/>
        </w:rPr>
        <w:t>审</w:t>
      </w:r>
      <w:r>
        <w:rPr>
          <w:rFonts w:hint="eastAsia" w:cs="宋体" w:asciiTheme="minorEastAsia" w:hAnsiTheme="minorEastAsia" w:eastAsiaTheme="minorEastAsia"/>
          <w:color w:val="auto"/>
          <w:highlight w:val="none"/>
        </w:rPr>
        <w:t>委员会根据综合得分由高到低排列次序，若得分相同时，以评标价由低到高顺序排列；若得分相同且评标价相同的，以投标报价由低到高顺序排列；若仍相同的，按“技术分”由高到低顺序排列并推荐前叁名为成交候选供应商。</w:t>
      </w:r>
    </w:p>
    <w:p w14:paraId="5D830CBA">
      <w:pPr>
        <w:pStyle w:val="15"/>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二）采购人应当确定评审委员会推荐排名第一的成交候选供应商为成交供应商。排名第一的成交候选供应商放弃中标、未在规定时间内签订合同、因不可抗力提出不能履行合同的，或者本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出现上述情况，采购人也可以重新开展政府采购活动。</w:t>
      </w:r>
    </w:p>
    <w:p w14:paraId="3A6A53E6">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ascii="宋体" w:hAnsi="宋体" w:eastAsia="宋体"/>
          <w:color w:val="auto"/>
          <w:szCs w:val="21"/>
          <w:highlight w:val="none"/>
        </w:rPr>
      </w:pPr>
      <w:r>
        <w:rPr>
          <w:rFonts w:hint="eastAsia" w:cs="宋体" w:asciiTheme="minorEastAsia" w:hAnsiTheme="minorEastAsia" w:eastAsiaTheme="minorEastAsia"/>
          <w:color w:val="auto"/>
          <w:szCs w:val="21"/>
          <w:highlight w:val="none"/>
        </w:rPr>
        <w:t>（三）</w:t>
      </w:r>
      <w:r>
        <w:rPr>
          <w:rFonts w:hint="eastAsia" w:ascii="宋体" w:hAnsi="宋体" w:eastAsia="宋体" w:cs="宋体"/>
          <w:color w:val="auto"/>
          <w:szCs w:val="21"/>
          <w:highlight w:val="none"/>
        </w:rPr>
        <w:t>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的报价明显低于其他通过符合性审查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的报价时，</w:t>
      </w:r>
      <w:r>
        <w:rPr>
          <w:rFonts w:hint="eastAsia" w:ascii="宋体" w:hAnsi="宋体" w:cs="宋体"/>
          <w:color w:val="auto"/>
          <w:szCs w:val="21"/>
          <w:highlight w:val="none"/>
          <w:lang w:eastAsia="zh-CN"/>
        </w:rPr>
        <w:t>评审委员会</w:t>
      </w:r>
      <w:r>
        <w:rPr>
          <w:rFonts w:hint="eastAsia" w:ascii="宋体" w:hAnsi="宋体" w:eastAsia="宋体" w:cs="宋体"/>
          <w:color w:val="auto"/>
          <w:szCs w:val="21"/>
          <w:highlight w:val="none"/>
        </w:rPr>
        <w:t>应当</w:t>
      </w:r>
      <w:r>
        <w:rPr>
          <w:rFonts w:hint="eastAsia" w:ascii="宋体" w:hAnsi="宋体" w:cs="宋体"/>
          <w:color w:val="auto"/>
          <w:szCs w:val="21"/>
          <w:highlight w:val="none"/>
          <w:lang w:eastAsia="zh-CN"/>
        </w:rPr>
        <w:t>启动异常低价审查（详见第五部分第五条评审须知第</w:t>
      </w:r>
      <w:r>
        <w:rPr>
          <w:rFonts w:hint="eastAsia" w:ascii="宋体" w:hAnsi="宋体" w:cs="宋体"/>
          <w:color w:val="auto"/>
          <w:szCs w:val="21"/>
          <w:highlight w:val="none"/>
          <w:lang w:val="en-US" w:eastAsia="zh-CN"/>
        </w:rPr>
        <w:t>3款.政府采购异常低价审查）</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pacing w:val="10"/>
          <w:sz w:val="21"/>
          <w:szCs w:val="21"/>
          <w:highlight w:val="none"/>
        </w:rPr>
        <w:t>不提供书面说明、证明材料，或者提供的书面说明、证明材料不能证明其报价合理性的，应当将其作为无效响应处理。</w:t>
      </w:r>
    </w:p>
    <w:p w14:paraId="0B04C6E1">
      <w:pPr>
        <w:keepNext w:val="0"/>
        <w:keepLines w:val="0"/>
        <w:pageBreakBefore w:val="0"/>
        <w:widowControl w:val="0"/>
        <w:kinsoku/>
        <w:wordWrap/>
        <w:overflowPunct/>
        <w:topLinePunct w:val="0"/>
        <w:autoSpaceDE/>
        <w:autoSpaceDN/>
        <w:bidi w:val="0"/>
        <w:adjustRightInd w:val="0"/>
        <w:spacing w:line="370" w:lineRule="exact"/>
        <w:ind w:firstLine="420" w:firstLineChars="200"/>
        <w:textAlignment w:val="auto"/>
        <w:rPr>
          <w:rFonts w:asciiTheme="minorEastAsia" w:hAnsiTheme="minorEastAsia" w:eastAsiaTheme="minorEastAsia"/>
          <w:color w:val="auto"/>
          <w:szCs w:val="21"/>
          <w:highlight w:val="none"/>
        </w:rPr>
      </w:pPr>
    </w:p>
    <w:p w14:paraId="32AAFEE5">
      <w:pPr>
        <w:keepNext w:val="0"/>
        <w:keepLines w:val="0"/>
        <w:pageBreakBefore w:val="0"/>
        <w:kinsoku/>
        <w:wordWrap/>
        <w:overflowPunct/>
        <w:topLinePunct w:val="0"/>
        <w:autoSpaceDE/>
        <w:autoSpaceDN/>
        <w:bidi w:val="0"/>
        <w:adjustRightInd w:val="0"/>
        <w:snapToGrid w:val="0"/>
        <w:spacing w:line="380" w:lineRule="exact"/>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二、磋商小组的组成</w:t>
      </w:r>
    </w:p>
    <w:p w14:paraId="29ACF340">
      <w:pPr>
        <w:pStyle w:val="58"/>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1.磋商小组的组成。</w:t>
      </w:r>
    </w:p>
    <w:p w14:paraId="4F949613">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由采购人代表和评审专家共3人组成，其中评审专家人数不得少于磋商小组成员总数的2/3。采购人代表不得以评审专家身份参加本部门或本单位采购项目的评审。采购代理机构人员不得参加本机构代理的采购项目的评审。</w:t>
      </w:r>
    </w:p>
    <w:p w14:paraId="087E89E6">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17144489">
      <w:pPr>
        <w:keepNext w:val="0"/>
        <w:keepLines w:val="0"/>
        <w:pageBreakBefore w:val="0"/>
        <w:kinsoku/>
        <w:wordWrap/>
        <w:overflowPunct/>
        <w:topLinePunct w:val="0"/>
        <w:autoSpaceDE/>
        <w:autoSpaceDN/>
        <w:bidi w:val="0"/>
        <w:adjustRightInd w:val="0"/>
        <w:snapToGrid w:val="0"/>
        <w:spacing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2.磋商小组的组成人员的回避。</w:t>
      </w:r>
    </w:p>
    <w:p w14:paraId="4151D6CC">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在政府采购活动中，磋商小组的组成人员与供应商有下列利害关系之一的，应当回避：</w:t>
      </w:r>
    </w:p>
    <w:p w14:paraId="13F43F8E">
      <w:pPr>
        <w:pStyle w:val="58"/>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2.1参加采购活动前3年内与供应商存在劳动关系；</w:t>
      </w:r>
    </w:p>
    <w:p w14:paraId="3A31F8C9">
      <w:pPr>
        <w:pStyle w:val="58"/>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2.2参加采购活动前3年内担任供应商的董事、监事；</w:t>
      </w:r>
    </w:p>
    <w:p w14:paraId="45591FAE">
      <w:pPr>
        <w:pStyle w:val="58"/>
        <w:keepNext w:val="0"/>
        <w:keepLines w:val="0"/>
        <w:pageBreakBefore w:val="0"/>
        <w:kinsoku/>
        <w:wordWrap/>
        <w:overflowPunct/>
        <w:topLinePunct w:val="0"/>
        <w:autoSpaceDE/>
        <w:autoSpaceDN/>
        <w:bidi w:val="0"/>
        <w:adjustRightInd w:val="0"/>
        <w:spacing w:before="0" w:line="338" w:lineRule="exact"/>
        <w:ind w:firstLine="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2.3参加采购活动前3年内是供应商的控股股东或者实际控制人；</w:t>
      </w:r>
    </w:p>
    <w:p w14:paraId="3A9E0FB7">
      <w:pPr>
        <w:pStyle w:val="58"/>
        <w:keepNext w:val="0"/>
        <w:keepLines w:val="0"/>
        <w:pageBreakBefore w:val="0"/>
        <w:kinsoku/>
        <w:wordWrap/>
        <w:overflowPunct/>
        <w:topLinePunct w:val="0"/>
        <w:autoSpaceDE/>
        <w:autoSpaceDN/>
        <w:bidi w:val="0"/>
        <w:adjustRightInd w:val="0"/>
        <w:spacing w:before="0" w:line="338"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2.4与供应商的法定代表人或者负责人有夫妻、直系血亲、三代以内旁系血亲或者近姻亲关系；</w:t>
      </w:r>
    </w:p>
    <w:p w14:paraId="13F8F6D9">
      <w:pPr>
        <w:pStyle w:val="58"/>
        <w:keepNext w:val="0"/>
        <w:keepLines w:val="0"/>
        <w:pageBreakBefore w:val="0"/>
        <w:kinsoku/>
        <w:wordWrap/>
        <w:overflowPunct/>
        <w:topLinePunct w:val="0"/>
        <w:autoSpaceDE/>
        <w:autoSpaceDN/>
        <w:bidi w:val="0"/>
        <w:adjustRightInd w:val="0"/>
        <w:spacing w:before="0" w:line="338" w:lineRule="exact"/>
        <w:ind w:firstLine="480" w:firstLineChars="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2.5与供应商有其他可能影响政府采购活动公平、公正进行的关系。</w:t>
      </w:r>
    </w:p>
    <w:p w14:paraId="26D4780C">
      <w:pPr>
        <w:keepNext w:val="0"/>
        <w:keepLines w:val="0"/>
        <w:pageBreakBefore w:val="0"/>
        <w:kinsoku/>
        <w:wordWrap/>
        <w:overflowPunct/>
        <w:topLinePunct w:val="0"/>
        <w:autoSpaceDE/>
        <w:autoSpaceDN/>
        <w:bidi w:val="0"/>
        <w:adjustRightInd w:val="0"/>
        <w:snapToGrid w:val="0"/>
        <w:spacing w:line="338" w:lineRule="exact"/>
        <w:jc w:val="center"/>
        <w:textAlignment w:val="auto"/>
        <w:outlineLvl w:val="1"/>
        <w:rPr>
          <w:rFonts w:hint="eastAsia" w:ascii="宋体" w:hAnsi="宋体" w:eastAsia="宋体" w:cs="宋体"/>
          <w:b/>
          <w:color w:val="auto"/>
          <w:sz w:val="28"/>
          <w:szCs w:val="28"/>
          <w:highlight w:val="none"/>
        </w:rPr>
      </w:pPr>
    </w:p>
    <w:p w14:paraId="0369CDB4">
      <w:pPr>
        <w:keepNext w:val="0"/>
        <w:keepLines w:val="0"/>
        <w:pageBreakBefore w:val="0"/>
        <w:kinsoku/>
        <w:wordWrap/>
        <w:overflowPunct/>
        <w:topLinePunct w:val="0"/>
        <w:autoSpaceDE/>
        <w:autoSpaceDN/>
        <w:bidi w:val="0"/>
        <w:adjustRightInd w:val="0"/>
        <w:snapToGrid w:val="0"/>
        <w:spacing w:line="338" w:lineRule="exact"/>
        <w:jc w:val="center"/>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三、磋商小组的职责</w:t>
      </w:r>
    </w:p>
    <w:p w14:paraId="7B4CDB1A">
      <w:pPr>
        <w:pStyle w:val="58"/>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1.磋商小组负责具体评审事务，并独立履行下列职责：</w:t>
      </w:r>
    </w:p>
    <w:p w14:paraId="5DD7AAFA">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1.1对供应商的资格进行审查；对响应文件的有效性、完整性和响应程度进行审查；</w:t>
      </w:r>
    </w:p>
    <w:p w14:paraId="4D6204E6">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1.2审查、评价响应文件是否符合磋商文件的商务、技术等实质性要求；</w:t>
      </w:r>
    </w:p>
    <w:p w14:paraId="58C83F9D">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1.3要求供应商对响应文件有关事项作出澄清、说明或者更正；</w:t>
      </w:r>
    </w:p>
    <w:p w14:paraId="7A7A97FE">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1.4磋商小组集中与单一供应商分别进行磋商；</w:t>
      </w:r>
    </w:p>
    <w:p w14:paraId="6E5C58FD">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1.5确定磋商文件的变动情况，并确定提交最后报价的供应商；</w:t>
      </w:r>
    </w:p>
    <w:p w14:paraId="05290C50">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1.6根据磋商文件确定的评审办法及评审标准对提交最后报价的供应商的响应文件和最后报价采用综合评分法进行综合评分；</w:t>
      </w:r>
    </w:p>
    <w:p w14:paraId="5F30BDD0">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1.7编制评审报告，确定成交候选</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名单，以及根据采购人委托直接确定成交</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rPr>
        <w:t>；</w:t>
      </w:r>
    </w:p>
    <w:p w14:paraId="5516A1FD">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1.8向采购人、采购代理机构或者有关部门报告评审中发现的违法行为；</w:t>
      </w:r>
    </w:p>
    <w:p w14:paraId="7FA4012D">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1.9法律、法规、规章、磋商文件等规定的其它事项。</w:t>
      </w:r>
    </w:p>
    <w:p w14:paraId="4FB9863F">
      <w:pPr>
        <w:pStyle w:val="58"/>
        <w:keepNext w:val="0"/>
        <w:keepLines w:val="0"/>
        <w:pageBreakBefore w:val="0"/>
        <w:kinsoku/>
        <w:wordWrap/>
        <w:overflowPunct/>
        <w:topLinePunct w:val="0"/>
        <w:autoSpaceDE/>
        <w:autoSpaceDN/>
        <w:bidi w:val="0"/>
        <w:adjustRightInd w:val="0"/>
        <w:spacing w:before="0" w:line="338" w:lineRule="exact"/>
        <w:ind w:firstLine="422" w:firstLineChars="200"/>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2.磋商小组及其成员不得有下列行为：</w:t>
      </w:r>
    </w:p>
    <w:p w14:paraId="78BA4BCD">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2.1确定参与本项目至评审结束前私自接触供应商；</w:t>
      </w:r>
    </w:p>
    <w:p w14:paraId="03612955">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2.2接受供应商提出的“超出响应文件的范围或者改变响应文件的实质性内容”的澄清、说明或者更正； </w:t>
      </w:r>
    </w:p>
    <w:p w14:paraId="25A8D85E">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2.3违反评审纪律发表倾向性意见或者征询采购人的倾向性意见；</w:t>
      </w:r>
    </w:p>
    <w:p w14:paraId="06E5BA13">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2.4对需要专业判断的主观评审因素协商评分；</w:t>
      </w:r>
    </w:p>
    <w:p w14:paraId="4744B452">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2.5在评审过程中擅离职守，影响评审程序正常进行的；</w:t>
      </w:r>
    </w:p>
    <w:p w14:paraId="60C04586">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2.6记录、复制或者带走任何评审资料；</w:t>
      </w:r>
    </w:p>
    <w:p w14:paraId="1FE59A49">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2.7其他不遵守评审纪律的行为。</w:t>
      </w:r>
    </w:p>
    <w:p w14:paraId="2DE3EED8">
      <w:pPr>
        <w:pStyle w:val="58"/>
        <w:keepNext w:val="0"/>
        <w:keepLines w:val="0"/>
        <w:pageBreakBefore w:val="0"/>
        <w:kinsoku/>
        <w:wordWrap/>
        <w:overflowPunct/>
        <w:topLinePunct w:val="0"/>
        <w:autoSpaceDE/>
        <w:autoSpaceDN/>
        <w:bidi w:val="0"/>
        <w:adjustRightInd w:val="0"/>
        <w:spacing w:before="0" w:line="338" w:lineRule="exact"/>
        <w:ind w:firstLine="48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磋商小组成员有2.1-2.5行为之一的，其评审意见无效，并不得获取评审劳务报酬和报销异地评审差旅费。</w:t>
      </w:r>
    </w:p>
    <w:p w14:paraId="1E9893E6">
      <w:pPr>
        <w:pStyle w:val="58"/>
        <w:keepNext w:val="0"/>
        <w:keepLines w:val="0"/>
        <w:pageBreakBefore w:val="0"/>
        <w:kinsoku/>
        <w:wordWrap/>
        <w:overflowPunct/>
        <w:topLinePunct w:val="0"/>
        <w:autoSpaceDE/>
        <w:autoSpaceDN/>
        <w:bidi w:val="0"/>
        <w:adjustRightInd w:val="0"/>
        <w:spacing w:before="0" w:line="338"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四、评审程序</w:t>
      </w:r>
    </w:p>
    <w:p w14:paraId="38AC9FD6">
      <w:pPr>
        <w:pStyle w:val="58"/>
        <w:keepNext w:val="0"/>
        <w:keepLines w:val="0"/>
        <w:pageBreakBefore w:val="0"/>
        <w:kinsoku/>
        <w:wordWrap/>
        <w:overflowPunct/>
        <w:topLinePunct w:val="0"/>
        <w:autoSpaceDE/>
        <w:autoSpaceDN/>
        <w:bidi w:val="0"/>
        <w:adjustRightInd w:val="0"/>
        <w:spacing w:before="0" w:line="338" w:lineRule="exact"/>
        <w:ind w:firstLine="413" w:firstLineChars="19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详见磋商文件“第二部分 竞争性磋商流程”。</w:t>
      </w:r>
    </w:p>
    <w:p w14:paraId="04E73EF0">
      <w:pPr>
        <w:pStyle w:val="58"/>
        <w:keepNext w:val="0"/>
        <w:keepLines w:val="0"/>
        <w:pageBreakBefore w:val="0"/>
        <w:kinsoku/>
        <w:wordWrap/>
        <w:overflowPunct/>
        <w:topLinePunct w:val="0"/>
        <w:autoSpaceDE/>
        <w:autoSpaceDN/>
        <w:bidi w:val="0"/>
        <w:adjustRightInd w:val="0"/>
        <w:spacing w:before="0" w:line="338"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p>
    <w:p w14:paraId="0E1873DB">
      <w:pPr>
        <w:pStyle w:val="58"/>
        <w:keepNext w:val="0"/>
        <w:keepLines w:val="0"/>
        <w:pageBreakBefore w:val="0"/>
        <w:kinsoku/>
        <w:wordWrap/>
        <w:overflowPunct/>
        <w:topLinePunct w:val="0"/>
        <w:autoSpaceDE/>
        <w:autoSpaceDN/>
        <w:bidi w:val="0"/>
        <w:adjustRightInd w:val="0"/>
        <w:spacing w:before="0" w:line="338" w:lineRule="exact"/>
        <w:ind w:firstLine="0" w:firstLineChars="0"/>
        <w:jc w:val="center"/>
        <w:textAlignment w:val="auto"/>
        <w:outlineLvl w:val="1"/>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五、评审须知</w:t>
      </w:r>
    </w:p>
    <w:p w14:paraId="22AE7E45">
      <w:pPr>
        <w:pStyle w:val="58"/>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响应文件的澄清</w:t>
      </w:r>
    </w:p>
    <w:p w14:paraId="367CB018">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7D79A9F5">
      <w:pPr>
        <w:pStyle w:val="58"/>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2.报价</w:t>
      </w:r>
      <w:r>
        <w:rPr>
          <w:rFonts w:hint="eastAsia" w:ascii="宋体" w:hAnsi="宋体" w:cs="宋体"/>
          <w:b/>
          <w:color w:val="auto"/>
          <w:sz w:val="21"/>
          <w:szCs w:val="21"/>
          <w:highlight w:val="none"/>
          <w:lang w:eastAsia="zh-CN"/>
        </w:rPr>
        <w:t>（包括每次报价及最后报价）</w:t>
      </w:r>
      <w:r>
        <w:rPr>
          <w:rFonts w:hint="eastAsia" w:ascii="宋体" w:hAnsi="宋体" w:eastAsia="宋体" w:cs="宋体"/>
          <w:b/>
          <w:color w:val="auto"/>
          <w:sz w:val="21"/>
          <w:szCs w:val="21"/>
          <w:highlight w:val="none"/>
        </w:rPr>
        <w:t>的修正原则</w:t>
      </w:r>
    </w:p>
    <w:p w14:paraId="3AF2BB3F">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磋商小组对响应文件的报价进行审核，对发现计算、书写等错误的，按以下原则进行修正：</w:t>
      </w:r>
    </w:p>
    <w:p w14:paraId="45DFA74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内容与响应文件中响应内容不一致的，以报价</w:t>
      </w:r>
      <w:r>
        <w:rPr>
          <w:rFonts w:hint="eastAsia" w:ascii="宋体" w:hAnsi="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2D239CB5">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2.2大写金额和小写金额不一致的，以大写金额为准;</w:t>
      </w:r>
    </w:p>
    <w:p w14:paraId="714D6F8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2.3单价金额小数点或者百分比有明显错位的，以报价的总价为准，并修改单价;</w:t>
      </w:r>
    </w:p>
    <w:p w14:paraId="7638B593">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2.4总价金额与按单价汇总金额不一致的，以单价金额计算结果为准。</w:t>
      </w:r>
    </w:p>
    <w:p w14:paraId="3EE8939F">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2.5同时出现两种以上不一致的，按照前款规定的顺序修正。</w:t>
      </w:r>
    </w:p>
    <w:p w14:paraId="0FA8F8B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2.6以修正后的总价作为</w:t>
      </w:r>
      <w:r>
        <w:rPr>
          <w:rFonts w:hint="eastAsia" w:ascii="宋体" w:hAnsi="宋体" w:cs="宋体"/>
          <w:color w:val="auto"/>
          <w:sz w:val="21"/>
          <w:szCs w:val="21"/>
          <w:highlight w:val="none"/>
          <w:lang w:eastAsia="zh-CN"/>
        </w:rPr>
        <w:t>该次的</w:t>
      </w:r>
      <w:r>
        <w:rPr>
          <w:rFonts w:hint="eastAsia" w:ascii="宋体" w:hAnsi="宋体" w:eastAsia="宋体" w:cs="宋体"/>
          <w:color w:val="auto"/>
          <w:sz w:val="21"/>
          <w:szCs w:val="21"/>
          <w:highlight w:val="none"/>
        </w:rPr>
        <w:t>报价。</w:t>
      </w:r>
    </w:p>
    <w:p w14:paraId="318E44A7">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bCs/>
          <w:color w:val="auto"/>
          <w:sz w:val="21"/>
          <w:szCs w:val="21"/>
          <w:highlight w:val="none"/>
        </w:rPr>
        <w:t>供应商对根据修正原则修正后的最后报价不确认的，响应无效。</w:t>
      </w:r>
    </w:p>
    <w:p w14:paraId="0B25739A">
      <w:pPr>
        <w:pStyle w:val="58"/>
        <w:keepLines w:val="0"/>
        <w:pageBreakBefore w:val="0"/>
        <w:numPr>
          <w:ilvl w:val="0"/>
          <w:numId w:val="0"/>
        </w:numPr>
        <w:kinsoku/>
        <w:wordWrap/>
        <w:overflowPunct/>
        <w:topLinePunct w:val="0"/>
        <w:autoSpaceDE/>
        <w:autoSpaceDN/>
        <w:bidi w:val="0"/>
        <w:adjustRightInd w:val="0"/>
        <w:spacing w:before="0" w:line="360" w:lineRule="exact"/>
        <w:ind w:firstLine="422" w:firstLineChars="200"/>
        <w:textAlignment w:val="auto"/>
        <w:rPr>
          <w:rFonts w:hint="eastAsia" w:ascii="宋体" w:hAnsi="宋体" w:cs="宋体"/>
          <w:b/>
          <w:color w:val="auto"/>
          <w:spacing w:val="0"/>
          <w:sz w:val="21"/>
          <w:szCs w:val="21"/>
          <w:highlight w:val="none"/>
          <w:lang w:val="en-US" w:eastAsia="zh-CN"/>
        </w:rPr>
      </w:pPr>
      <w:r>
        <w:rPr>
          <w:rFonts w:hint="eastAsia" w:ascii="宋体" w:hAnsi="宋体" w:eastAsia="宋体" w:cs="宋体"/>
          <w:b/>
          <w:color w:val="auto"/>
          <w:spacing w:val="0"/>
          <w:kern w:val="2"/>
          <w:sz w:val="21"/>
          <w:szCs w:val="21"/>
          <w:highlight w:val="none"/>
          <w:lang w:val="en-US" w:eastAsia="zh-CN" w:bidi="ar-SA"/>
        </w:rPr>
        <w:t>3.</w:t>
      </w:r>
      <w:r>
        <w:rPr>
          <w:rFonts w:hint="eastAsia" w:ascii="宋体" w:hAnsi="宋体" w:cs="宋体"/>
          <w:b/>
          <w:color w:val="auto"/>
          <w:spacing w:val="0"/>
          <w:sz w:val="21"/>
          <w:szCs w:val="21"/>
          <w:highlight w:val="none"/>
          <w:lang w:val="en-US" w:eastAsia="zh-CN"/>
        </w:rPr>
        <w:t>政府采购异常低价审查：</w:t>
      </w:r>
    </w:p>
    <w:p w14:paraId="4758ED1F">
      <w:pPr>
        <w:pStyle w:val="58"/>
        <w:keepLines w:val="0"/>
        <w:pageBreakBefore w:val="0"/>
        <w:numPr>
          <w:ilvl w:val="0"/>
          <w:numId w:val="0"/>
        </w:numPr>
        <w:kinsoku/>
        <w:wordWrap/>
        <w:overflowPunct/>
        <w:topLinePunct w:val="0"/>
        <w:autoSpaceDE/>
        <w:autoSpaceDN/>
        <w:bidi w:val="0"/>
        <w:adjustRightInd w:val="0"/>
        <w:spacing w:before="0" w:line="360" w:lineRule="exact"/>
        <w:ind w:firstLine="424"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color w:val="auto"/>
          <w:spacing w:val="1"/>
          <w:sz w:val="21"/>
          <w:szCs w:val="21"/>
          <w:highlight w:val="none"/>
          <w:lang w:val="en-US" w:eastAsia="zh-CN"/>
        </w:rPr>
        <w:t>3.1异常低价响应审查的有关内容</w:t>
      </w:r>
      <w:r>
        <w:rPr>
          <w:rFonts w:hint="eastAsia" w:ascii="宋体" w:hAnsi="宋体" w:eastAsia="宋体" w:cs="宋体"/>
          <w:color w:val="auto"/>
          <w:spacing w:val="1"/>
          <w:sz w:val="21"/>
          <w:szCs w:val="21"/>
          <w:highlight w:val="none"/>
        </w:rPr>
        <w:t>主要包括：政府采</w:t>
      </w:r>
      <w:r>
        <w:rPr>
          <w:rFonts w:hint="eastAsia" w:ascii="宋体" w:hAnsi="宋体" w:eastAsia="宋体" w:cs="宋体"/>
          <w:color w:val="auto"/>
          <w:spacing w:val="6"/>
          <w:sz w:val="21"/>
          <w:szCs w:val="21"/>
          <w:highlight w:val="none"/>
        </w:rPr>
        <w:t>购评审中出现下列情形之一的，评审委员</w:t>
      </w:r>
      <w:r>
        <w:rPr>
          <w:rFonts w:hint="eastAsia" w:ascii="宋体" w:hAnsi="宋体" w:eastAsia="宋体" w:cs="宋体"/>
          <w:b w:val="0"/>
          <w:bCs/>
          <w:color w:val="auto"/>
          <w:spacing w:val="0"/>
          <w:sz w:val="21"/>
          <w:szCs w:val="21"/>
          <w:highlight w:val="none"/>
        </w:rPr>
        <w:t>会应当启动异常低价响应审查程序:</w:t>
      </w:r>
    </w:p>
    <w:p w14:paraId="38EA951C">
      <w:pPr>
        <w:pStyle w:val="58"/>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3.1.1</w:t>
      </w:r>
      <w:r>
        <w:rPr>
          <w:rFonts w:hint="eastAsia" w:ascii="宋体" w:hAnsi="宋体" w:eastAsia="宋体" w:cs="宋体"/>
          <w:b w:val="0"/>
          <w:bCs/>
          <w:color w:val="auto"/>
          <w:spacing w:val="0"/>
          <w:sz w:val="21"/>
          <w:szCs w:val="21"/>
          <w:highlight w:val="none"/>
        </w:rPr>
        <w:t>响应报价低于全部通过符合性审查供应商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报价平均值50%的，即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报价&lt;全部通过符合性审查供应商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报价平均值 × 50%；</w:t>
      </w:r>
    </w:p>
    <w:p w14:paraId="235B4D87">
      <w:pPr>
        <w:pStyle w:val="58"/>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3.1.2</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 xml:space="preserve">报价50%的， 即 </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报价&lt;通过符合性审查且报价次低供应商</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 × 50%；</w:t>
      </w:r>
    </w:p>
    <w:p w14:paraId="515C1D9A">
      <w:pPr>
        <w:pStyle w:val="58"/>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3.1.3</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报价低于采购项目最高限价45%的，即</w:t>
      </w:r>
      <w:r>
        <w:rPr>
          <w:rFonts w:hint="eastAsia" w:ascii="宋体" w:hAnsi="宋体" w:eastAsia="宋体" w:cs="宋体"/>
          <w:b w:val="0"/>
          <w:bCs/>
          <w:color w:val="auto"/>
          <w:spacing w:val="0"/>
          <w:sz w:val="21"/>
          <w:szCs w:val="21"/>
          <w:highlight w:val="none"/>
          <w:lang w:eastAsia="zh-CN"/>
        </w:rPr>
        <w:t>磋商</w:t>
      </w:r>
      <w:r>
        <w:rPr>
          <w:rFonts w:hint="eastAsia" w:ascii="宋体" w:hAnsi="宋体" w:eastAsia="宋体" w:cs="宋体"/>
          <w:b w:val="0"/>
          <w:bCs/>
          <w:color w:val="auto"/>
          <w:spacing w:val="0"/>
          <w:sz w:val="21"/>
          <w:szCs w:val="21"/>
          <w:highlight w:val="none"/>
        </w:rPr>
        <w:t>报价&lt;采购项目最高限价×45%；</w:t>
      </w:r>
    </w:p>
    <w:p w14:paraId="340C44DE">
      <w:pPr>
        <w:pStyle w:val="58"/>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pacing w:val="0"/>
          <w:sz w:val="21"/>
          <w:szCs w:val="21"/>
          <w:highlight w:val="none"/>
          <w:lang w:val="en-US" w:eastAsia="zh-CN"/>
        </w:rPr>
        <w:t>3.1.4</w:t>
      </w:r>
      <w:r>
        <w:rPr>
          <w:rFonts w:hint="eastAsia" w:ascii="宋体" w:hAnsi="宋体" w:eastAsia="宋体" w:cs="宋体"/>
          <w:b w:val="0"/>
          <w:bCs/>
          <w:color w:val="auto"/>
          <w:spacing w:val="0"/>
          <w:sz w:val="21"/>
          <w:szCs w:val="21"/>
          <w:highlight w:val="none"/>
        </w:rPr>
        <w:t>其他评审委员会认为供应商报价过低，有可能影响产品质量或者不能诚信履约的情形。</w:t>
      </w:r>
    </w:p>
    <w:p w14:paraId="0BBA0917">
      <w:pPr>
        <w:pStyle w:val="58"/>
        <w:keepLines w:val="0"/>
        <w:pageBreakBefore w:val="0"/>
        <w:numPr>
          <w:ilvl w:val="0"/>
          <w:numId w:val="0"/>
        </w:numPr>
        <w:kinsoku/>
        <w:wordWrap/>
        <w:overflowPunct/>
        <w:topLinePunct w:val="0"/>
        <w:autoSpaceDE/>
        <w:autoSpaceDN/>
        <w:bidi w:val="0"/>
        <w:adjustRightInd w:val="0"/>
        <w:spacing w:before="0"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pacing w:val="0"/>
          <w:sz w:val="21"/>
          <w:szCs w:val="21"/>
          <w:highlight w:val="none"/>
          <w:lang w:val="en-US" w:eastAsia="zh-CN"/>
        </w:rPr>
        <w:t>3.</w:t>
      </w:r>
      <w:r>
        <w:rPr>
          <w:rFonts w:hint="eastAsia" w:ascii="宋体" w:hAnsi="宋体" w:eastAsia="宋体" w:cs="宋体"/>
          <w:b w:val="0"/>
          <w:bCs/>
          <w:color w:val="auto"/>
          <w:spacing w:val="0"/>
          <w:sz w:val="21"/>
          <w:szCs w:val="21"/>
          <w:highlight w:val="none"/>
        </w:rPr>
        <w:t>2.审查工作流程</w:t>
      </w:r>
      <w:r>
        <w:rPr>
          <w:rFonts w:hint="eastAsia" w:ascii="宋体" w:hAnsi="宋体" w:eastAsia="宋体" w:cs="宋体"/>
          <w:b w:val="0"/>
          <w:bCs/>
          <w:color w:val="auto"/>
          <w:spacing w:val="0"/>
          <w:sz w:val="21"/>
          <w:szCs w:val="21"/>
          <w:highlight w:val="none"/>
          <w:lang w:eastAsia="zh-CN"/>
        </w:rPr>
        <w:t>：</w:t>
      </w:r>
      <w:r>
        <w:rPr>
          <w:rFonts w:hint="eastAsia" w:ascii="宋体" w:hAnsi="宋体" w:eastAsia="宋体" w:cs="宋体"/>
          <w:b w:val="0"/>
          <w:bCs/>
          <w:color w:val="auto"/>
          <w:spacing w:val="0"/>
          <w:sz w:val="21"/>
          <w:szCs w:val="21"/>
          <w:highlight w:val="none"/>
        </w:rPr>
        <w:t>评审委员会严格按照评审现场说明、综合评估研判和出具处理结</w:t>
      </w:r>
      <w:r>
        <w:rPr>
          <w:rFonts w:hint="eastAsia" w:ascii="宋体" w:hAnsi="宋体" w:eastAsia="宋体" w:cs="宋体"/>
          <w:color w:val="auto"/>
          <w:spacing w:val="7"/>
          <w:sz w:val="21"/>
          <w:szCs w:val="21"/>
          <w:highlight w:val="none"/>
        </w:rPr>
        <w:t>果三个步骤开展审查流程。</w:t>
      </w:r>
    </w:p>
    <w:p w14:paraId="00F7B415">
      <w:pPr>
        <w:pStyle w:val="4"/>
        <w:keepLines w:val="0"/>
        <w:pageBreakBefore w:val="0"/>
        <w:kinsoku/>
        <w:wordWrap/>
        <w:overflowPunct/>
        <w:topLinePunct w:val="0"/>
        <w:autoSpaceDE/>
        <w:autoSpaceDN/>
        <w:bidi w:val="0"/>
        <w:spacing w:before="3" w:line="360" w:lineRule="exact"/>
        <w:ind w:left="0" w:right="0" w:firstLine="404"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4"/>
          <w:sz w:val="21"/>
          <w:szCs w:val="21"/>
          <w:highlight w:val="none"/>
          <w:lang w:val="en-US" w:eastAsia="zh-CN"/>
        </w:rPr>
        <w:t>3.2.1</w:t>
      </w:r>
      <w:r>
        <w:rPr>
          <w:rFonts w:hint="eastAsia" w:ascii="宋体" w:hAnsi="宋体" w:eastAsia="宋体" w:cs="宋体"/>
          <w:color w:val="auto"/>
          <w:spacing w:val="-4"/>
          <w:sz w:val="21"/>
          <w:szCs w:val="21"/>
          <w:highlight w:val="none"/>
        </w:rPr>
        <w:t>评审现场说明</w:t>
      </w:r>
      <w:r>
        <w:rPr>
          <w:rFonts w:hint="eastAsia" w:ascii="宋体" w:hAnsi="宋体" w:eastAsia="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评审委员会启动异常低</w:t>
      </w:r>
      <w:r>
        <w:rPr>
          <w:rFonts w:hint="eastAsia" w:ascii="宋体" w:hAnsi="宋体" w:eastAsia="宋体" w:cs="宋体"/>
          <w:color w:val="auto"/>
          <w:spacing w:val="-5"/>
          <w:sz w:val="21"/>
          <w:szCs w:val="21"/>
          <w:highlight w:val="none"/>
        </w:rPr>
        <w:t>价响应</w:t>
      </w:r>
      <w:r>
        <w:rPr>
          <w:rFonts w:hint="eastAsia" w:ascii="宋体" w:hAnsi="宋体" w:eastAsia="宋体" w:cs="宋体"/>
          <w:color w:val="auto"/>
          <w:spacing w:val="2"/>
          <w:sz w:val="21"/>
          <w:szCs w:val="21"/>
          <w:highlight w:val="none"/>
        </w:rPr>
        <w:t>审查后，应当要求相关供应商在评审现场合理</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2"/>
          <w:sz w:val="21"/>
          <w:szCs w:val="21"/>
          <w:highlight w:val="none"/>
        </w:rPr>
        <w:t>的时</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2"/>
          <w:sz w:val="21"/>
          <w:szCs w:val="21"/>
          <w:highlight w:val="none"/>
        </w:rPr>
        <w:t>间内</w:t>
      </w:r>
      <w:r>
        <w:rPr>
          <w:rFonts w:hint="eastAsia" w:ascii="宋体" w:hAnsi="宋体" w:eastAsia="宋体" w:cs="宋体"/>
          <w:color w:val="auto"/>
          <w:spacing w:val="-90"/>
          <w:sz w:val="21"/>
          <w:szCs w:val="21"/>
          <w:highlight w:val="none"/>
        </w:rPr>
        <w:t xml:space="preserve"> </w:t>
      </w:r>
      <w:r>
        <w:rPr>
          <w:rFonts w:hint="eastAsia" w:ascii="宋体" w:hAnsi="宋体" w:eastAsia="宋体" w:cs="宋体"/>
          <w:color w:val="auto"/>
          <w:spacing w:val="2"/>
          <w:sz w:val="21"/>
          <w:szCs w:val="21"/>
          <w:highlight w:val="none"/>
        </w:rPr>
        <w:t>提供</w:t>
      </w:r>
      <w:r>
        <w:rPr>
          <w:rFonts w:hint="eastAsia" w:ascii="宋体" w:hAnsi="宋体" w:eastAsia="宋体" w:cs="宋体"/>
          <w:color w:val="auto"/>
          <w:spacing w:val="-93"/>
          <w:sz w:val="21"/>
          <w:szCs w:val="21"/>
          <w:highlight w:val="none"/>
        </w:rPr>
        <w:t xml:space="preserve"> </w:t>
      </w:r>
      <w:r>
        <w:rPr>
          <w:rFonts w:hint="eastAsia" w:ascii="宋体" w:hAnsi="宋体" w:eastAsia="宋体" w:cs="宋体"/>
          <w:color w:val="auto"/>
          <w:spacing w:val="2"/>
          <w:sz w:val="21"/>
          <w:szCs w:val="21"/>
          <w:highlight w:val="none"/>
        </w:rPr>
        <w:t>书</w:t>
      </w:r>
      <w:r>
        <w:rPr>
          <w:rFonts w:hint="eastAsia" w:ascii="宋体" w:hAnsi="宋体" w:eastAsia="宋体" w:cs="宋体"/>
          <w:color w:val="auto"/>
          <w:spacing w:val="10"/>
          <w:sz w:val="21"/>
          <w:szCs w:val="21"/>
          <w:highlight w:val="none"/>
        </w:rPr>
        <w:t>面说明及必要的证明材料，对响应</w:t>
      </w:r>
      <w:r>
        <w:rPr>
          <w:rFonts w:hint="eastAsia" w:ascii="宋体" w:hAnsi="宋体" w:eastAsia="宋体" w:cs="宋体"/>
          <w:color w:val="auto"/>
          <w:spacing w:val="9"/>
          <w:sz w:val="21"/>
          <w:szCs w:val="21"/>
          <w:highlight w:val="none"/>
        </w:rPr>
        <w:t>价格作出解释。</w:t>
      </w:r>
      <w:r>
        <w:rPr>
          <w:rFonts w:hint="eastAsia" w:ascii="宋体" w:hAnsi="宋体" w:eastAsia="宋体" w:cs="宋体"/>
          <w:b/>
          <w:bCs/>
          <w:color w:val="auto"/>
          <w:spacing w:val="9"/>
          <w:sz w:val="21"/>
          <w:szCs w:val="21"/>
          <w:highlight w:val="none"/>
        </w:rPr>
        <w:t>书</w:t>
      </w:r>
      <w:r>
        <w:rPr>
          <w:rFonts w:hint="eastAsia" w:ascii="宋体" w:hAnsi="宋体" w:eastAsia="宋体" w:cs="宋体"/>
          <w:b/>
          <w:bCs/>
          <w:color w:val="auto"/>
          <w:spacing w:val="12"/>
          <w:sz w:val="21"/>
          <w:szCs w:val="21"/>
          <w:highlight w:val="none"/>
        </w:rPr>
        <w:t>面说明、证明材料</w:t>
      </w:r>
      <w:r>
        <w:rPr>
          <w:rFonts w:hint="eastAsia" w:ascii="宋体" w:hAnsi="宋体" w:eastAsia="宋体" w:cs="宋体"/>
          <w:b w:val="0"/>
          <w:bCs w:val="0"/>
          <w:color w:val="auto"/>
          <w:spacing w:val="10"/>
          <w:sz w:val="21"/>
          <w:szCs w:val="21"/>
          <w:highlight w:val="none"/>
        </w:rPr>
        <w:t>主要是项目具体成本测算等与报价合理性相关的说明、材料。</w:t>
      </w:r>
    </w:p>
    <w:p w14:paraId="3786C997">
      <w:pPr>
        <w:pStyle w:val="4"/>
        <w:keepLines w:val="0"/>
        <w:pageBreakBefore w:val="0"/>
        <w:kinsoku/>
        <w:wordWrap/>
        <w:overflowPunct/>
        <w:topLinePunct w:val="0"/>
        <w:autoSpaceDE/>
        <w:autoSpaceDN/>
        <w:bidi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3.2.2</w:t>
      </w:r>
      <w:r>
        <w:rPr>
          <w:rFonts w:hint="eastAsia" w:ascii="宋体" w:hAnsi="宋体" w:eastAsia="宋体" w:cs="宋体"/>
          <w:color w:val="auto"/>
          <w:spacing w:val="10"/>
          <w:sz w:val="21"/>
          <w:szCs w:val="21"/>
          <w:highlight w:val="none"/>
        </w:rPr>
        <w:t>综合评估研判。评审委员会应当结合同类产品在主要 电商平台的价格、该行业当地薪资水平等情况，依据专业经验对报价合理性进行判断。对异常低价存在争议的，应当按照少数服从多数的原则作出结论。</w:t>
      </w:r>
    </w:p>
    <w:p w14:paraId="37BBC461">
      <w:pPr>
        <w:pStyle w:val="4"/>
        <w:keepLines w:val="0"/>
        <w:pageBreakBefore w:val="0"/>
        <w:kinsoku/>
        <w:wordWrap/>
        <w:overflowPunct/>
        <w:topLinePunct w:val="0"/>
        <w:autoSpaceDE/>
        <w:autoSpaceDN/>
        <w:bidi w:val="0"/>
        <w:spacing w:before="3" w:line="360" w:lineRule="exact"/>
        <w:ind w:left="0" w:right="0" w:firstLine="460" w:firstLineChars="200"/>
        <w:jc w:val="left"/>
        <w:textAlignment w:val="auto"/>
        <w:rPr>
          <w:rFonts w:hint="eastAsia" w:ascii="宋体" w:hAnsi="宋体" w:eastAsia="宋体" w:cs="宋体"/>
          <w:color w:val="auto"/>
          <w:spacing w:val="10"/>
          <w:sz w:val="21"/>
          <w:szCs w:val="21"/>
          <w:highlight w:val="none"/>
        </w:rPr>
      </w:pPr>
      <w:r>
        <w:rPr>
          <w:rFonts w:hint="eastAsia" w:ascii="宋体" w:hAnsi="宋体" w:eastAsia="宋体" w:cs="宋体"/>
          <w:color w:val="auto"/>
          <w:spacing w:val="10"/>
          <w:sz w:val="21"/>
          <w:szCs w:val="21"/>
          <w:highlight w:val="none"/>
          <w:lang w:val="en-US" w:eastAsia="zh-CN"/>
        </w:rPr>
        <w:t>3.2.3</w:t>
      </w:r>
      <w:r>
        <w:rPr>
          <w:rFonts w:hint="eastAsia" w:ascii="宋体" w:hAnsi="宋体" w:eastAsia="宋体" w:cs="宋体"/>
          <w:color w:val="auto"/>
          <w:spacing w:val="10"/>
          <w:sz w:val="21"/>
          <w:szCs w:val="21"/>
          <w:highlight w:val="none"/>
        </w:rPr>
        <w:t>出具处理结果。如果投标（响应）供应商不提供书面说明、证明材料，或者提供的书面说明、证明材料不能证明其报价合理性的，应当将其作为无效投标（响应）处理。审查相关情况应当在评审报告中记录。</w:t>
      </w:r>
    </w:p>
    <w:p w14:paraId="448B9361">
      <w:pPr>
        <w:pStyle w:val="58"/>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pacing w:val="0"/>
          <w:sz w:val="21"/>
          <w:szCs w:val="21"/>
          <w:highlight w:val="none"/>
          <w:lang w:val="en-US" w:eastAsia="zh-CN"/>
        </w:rPr>
        <w:t>4</w:t>
      </w:r>
      <w:r>
        <w:rPr>
          <w:rFonts w:hint="eastAsia" w:ascii="宋体" w:hAnsi="宋体" w:eastAsia="宋体" w:cs="宋体"/>
          <w:b/>
          <w:color w:val="auto"/>
          <w:spacing w:val="0"/>
          <w:sz w:val="21"/>
          <w:szCs w:val="21"/>
          <w:highlight w:val="none"/>
        </w:rPr>
        <w:t>.响应无效</w:t>
      </w:r>
    </w:p>
    <w:p w14:paraId="39AD3E0A">
      <w:pPr>
        <w:pStyle w:val="3"/>
        <w:keepNext w:val="0"/>
        <w:keepLines w:val="0"/>
        <w:pageBreakBefore w:val="0"/>
        <w:widowControl w:val="0"/>
        <w:kinsoku/>
        <w:wordWrap/>
        <w:overflowPunct/>
        <w:topLinePunct w:val="0"/>
        <w:autoSpaceDE/>
        <w:autoSpaceDN/>
        <w:bidi w:val="0"/>
        <w:adjustRightInd w:val="0"/>
        <w:spacing w:line="360" w:lineRule="exact"/>
        <w:ind w:firstLine="525" w:firstLineChars="2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有下列情况之一的，响应无效：</w:t>
      </w:r>
    </w:p>
    <w:p w14:paraId="36D0B1D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.1单位负责人为同一人或者存在直接控股、管理关系的不同供应商参加同一合同项下的政府采购活动的（均无效）；</w:t>
      </w:r>
    </w:p>
    <w:p w14:paraId="1D4D0BAD">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.2为采购项目提供整体设计、规范编制或者项目管理、监理、检测等服务的供应商再参加该采购项目的其他采购活动的； </w:t>
      </w:r>
    </w:p>
    <w:p w14:paraId="7E41B9C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.3供应商不具备磋商文件中规定的资格要求的（供应商未提供有效的资格证明文件的，视为供应商不具备磋商文件中规定的资格要求）；</w:t>
      </w:r>
    </w:p>
    <w:p w14:paraId="248291AE">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.4如以联合体形式参加政府采购活动的，联合协议不符合磋商文件规定的联合协议要求的；</w:t>
      </w:r>
    </w:p>
    <w:p w14:paraId="565BD87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.5响应文件未按磋商文件的澄清、修改的内容编制，又不符合实质性要求的；</w:t>
      </w:r>
    </w:p>
    <w:p w14:paraId="100D8C0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.6响应文件组成漏项，内容不全或内容字迹模糊辨认不清的；</w:t>
      </w:r>
    </w:p>
    <w:p w14:paraId="3F71ADFC">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.7响应文件中法人授权书所载内容与本项目内容有异的；</w:t>
      </w:r>
    </w:p>
    <w:p w14:paraId="3759F09B">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.8响应文件未按照磋商文件要求签署、盖章的；</w:t>
      </w:r>
    </w:p>
    <w:p w14:paraId="799E1B6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.9</w:t>
      </w:r>
      <w:r>
        <w:rPr>
          <w:rFonts w:hint="eastAsia" w:ascii="宋体" w:hAnsi="宋体" w:eastAsia="宋体" w:cs="宋体"/>
          <w:color w:val="auto"/>
          <w:kern w:val="0"/>
          <w:sz w:val="21"/>
          <w:szCs w:val="21"/>
          <w:highlight w:val="none"/>
        </w:rPr>
        <w:t>采购人拟采购的产品属于政府强制采购的节能产品品目清单范围的，供应商相应的响应产品未获得国家确定的认证机构出具的、处于有效期之内的节能产品认证证书的；</w:t>
      </w:r>
    </w:p>
    <w:p w14:paraId="66014575">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.10响应文件含有采购人不能接受的附加条件的；</w:t>
      </w:r>
    </w:p>
    <w:p w14:paraId="534CBCA5">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.11响应文件中承诺的响应有效期少于磋商文件中载明的响应有效期的；</w:t>
      </w:r>
    </w:p>
    <w:p w14:paraId="72DAA37B">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.12供应商所投内容不符合磋商文件中实质性要求的；</w:t>
      </w:r>
    </w:p>
    <w:p w14:paraId="292BC41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.13所提交的</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出现不是唯一的、有选择性的报价的;</w:t>
      </w:r>
    </w:p>
    <w:p w14:paraId="4060EF6F">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.14最后报价高于本项目采购预算或者最高限价的;</w:t>
      </w:r>
    </w:p>
    <w:p w14:paraId="42B29EA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eastAsia="zh-CN"/>
        </w:rPr>
        <w:t>报价</w:t>
      </w:r>
      <w:r>
        <w:rPr>
          <w:rFonts w:hint="eastAsia" w:ascii="宋体" w:hAnsi="宋体" w:eastAsia="宋体" w:cs="宋体"/>
          <w:color w:val="auto"/>
          <w:sz w:val="21"/>
          <w:szCs w:val="21"/>
          <w:highlight w:val="none"/>
        </w:rPr>
        <w:t>填写不完整或字迹不能辨认或有漏项的；</w:t>
      </w:r>
    </w:p>
    <w:p w14:paraId="7ACA7CF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16供应商对根据修正原则修正后的报价不确认的；</w:t>
      </w:r>
    </w:p>
    <w:p w14:paraId="318042D2">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.17供应商提供虚假材料响应的（包括但不限于以下情节）；</w:t>
      </w:r>
    </w:p>
    <w:p w14:paraId="2FDD1287">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.17.1使用伪造、变造的许可证件；</w:t>
      </w:r>
    </w:p>
    <w:p w14:paraId="59E229AD">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.17.2提供虚假的财务状况或者业绩；</w:t>
      </w:r>
    </w:p>
    <w:p w14:paraId="56DCF1DA">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.17.3提供虚假的项目负责人或者主要技术人员简历、劳动关系证明；</w:t>
      </w:r>
    </w:p>
    <w:p w14:paraId="220EE81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.17.4提供虚假的信用状况；</w:t>
      </w:r>
    </w:p>
    <w:p w14:paraId="284DD09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.17.5其他弄虚作假的行为。</w:t>
      </w:r>
    </w:p>
    <w:p w14:paraId="16DC9EB8">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.18供应商有恶意串通、妨碍其他供应商的竞争行为、损害采购人或者其他供应商的合法权益情形的。</w:t>
      </w:r>
    </w:p>
    <w:p w14:paraId="5D2B2319">
      <w:pPr>
        <w:keepNext w:val="0"/>
        <w:keepLines w:val="0"/>
        <w:pageBreakBefore w:val="0"/>
        <w:widowControl w:val="0"/>
        <w:kinsoku/>
        <w:wordWrap/>
        <w:overflowPunct/>
        <w:topLinePunct w:val="0"/>
        <w:autoSpaceDE/>
        <w:autoSpaceDN/>
        <w:bidi w:val="0"/>
        <w:adjustRightInd w:val="0"/>
        <w:spacing w:line="360" w:lineRule="exact"/>
        <w:ind w:firstLine="48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有下列情形之一的，属于或视为恶意串通，其响应无效：</w:t>
      </w:r>
    </w:p>
    <w:p w14:paraId="0D0B9F6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.18.1供应商直接或者间接从采购人或者采购代理机构处获得其他供应商的相关情况并修改其响应文件；</w:t>
      </w:r>
    </w:p>
    <w:p w14:paraId="376E887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.18.2供应商按照采购人或者采购代理机构的授意撤换、修改投标文件或者响应文件；</w:t>
      </w:r>
    </w:p>
    <w:p w14:paraId="7A930B1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.18.3供应商之间协商报价、技术方案等投标文件或者响应文件的实质性内容；</w:t>
      </w:r>
    </w:p>
    <w:p w14:paraId="65EC0F60">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.18.4属于同一集团、协会、商会等组织成员的供应商按照该组织要求协同参加政府采购活动；</w:t>
      </w:r>
    </w:p>
    <w:p w14:paraId="442407EE">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.18.5供应商之间事先约定由某一特定供应商中标、成交；</w:t>
      </w:r>
    </w:p>
    <w:p w14:paraId="6CA9C87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.18.6供应商之间商定部分供应商放弃参加政府采购活动或者放弃中标、成交；</w:t>
      </w:r>
    </w:p>
    <w:p w14:paraId="1BFABB03">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.18.7供应商与采购人或者采购代理机构之间、供应商相互之间，为谋求特定供应商中标、成交或者排斥其他供应商的其他串通行为。</w:t>
      </w:r>
    </w:p>
    <w:p w14:paraId="37C44B8B">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.18.8不同供应商的响应文件由同一单位或者个人编制；</w:t>
      </w:r>
    </w:p>
    <w:p w14:paraId="78C4D75E">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.18.9不同供应商委托同一单位或者个人办理响应事宜；</w:t>
      </w:r>
    </w:p>
    <w:p w14:paraId="1BD9254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.18.10不同供应商的响应文件载明的项目管理成员或者联系人员为同一人；</w:t>
      </w:r>
    </w:p>
    <w:p w14:paraId="1FA7696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.18.11不同供应商的响应文件异常一致或者最后报价呈规律性差异。</w:t>
      </w:r>
    </w:p>
    <w:p w14:paraId="3238E29D">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w:t>
      </w:r>
      <w:r>
        <w:rPr>
          <w:rFonts w:hint="eastAsia" w:ascii="宋体" w:hAnsi="宋体" w:cs="宋体"/>
          <w:color w:val="auto"/>
          <w:sz w:val="21"/>
          <w:szCs w:val="21"/>
          <w:highlight w:val="none"/>
          <w:lang w:val="en-US" w:eastAsia="zh-CN"/>
        </w:rPr>
        <w:t>2不同供应商的电子投标（响应）文件上传计算机的网卡 MAC 地址或硬盘序列号等硬件信息相同的；</w:t>
      </w:r>
    </w:p>
    <w:p w14:paraId="1198447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w:t>
      </w:r>
      <w:r>
        <w:rPr>
          <w:rFonts w:hint="eastAsia" w:ascii="宋体" w:hAnsi="宋体" w:cs="宋体"/>
          <w:color w:val="auto"/>
          <w:sz w:val="21"/>
          <w:szCs w:val="21"/>
          <w:highlight w:val="none"/>
          <w:lang w:val="en-US" w:eastAsia="zh-CN"/>
        </w:rPr>
        <w:t>3上传的电子投标（响应）文件若出现使用本项目其他投标（响应）供应商的数字证书加密的，或者加盖本项目其他投标（响应）供应商的电子印章的；</w:t>
      </w:r>
    </w:p>
    <w:p w14:paraId="4B972B09">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w:t>
      </w:r>
      <w:r>
        <w:rPr>
          <w:rFonts w:hint="eastAsia" w:ascii="宋体" w:hAnsi="宋体" w:cs="宋体"/>
          <w:color w:val="auto"/>
          <w:sz w:val="21"/>
          <w:szCs w:val="21"/>
          <w:highlight w:val="none"/>
          <w:lang w:val="en-US" w:eastAsia="zh-CN"/>
        </w:rPr>
        <w:t>4不同供应商的投标（响应）文件的内容存在 3 处（含）以上错误一致的；</w:t>
      </w:r>
    </w:p>
    <w:p w14:paraId="52C5C956">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.18.1</w:t>
      </w:r>
      <w:r>
        <w:rPr>
          <w:rFonts w:hint="eastAsia" w:ascii="宋体" w:hAnsi="宋体" w:cs="宋体"/>
          <w:color w:val="auto"/>
          <w:sz w:val="21"/>
          <w:szCs w:val="21"/>
          <w:highlight w:val="none"/>
          <w:lang w:val="en-US" w:eastAsia="zh-CN"/>
        </w:rPr>
        <w:t>5不同供应商联系人为同一人或不同联系人的联系电话一致的。</w:t>
      </w:r>
    </w:p>
    <w:p w14:paraId="122ADC4C">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.19供应商仅提交备份响应文件，没有在电子交易平台传输提交响应文件的，响应无效；</w:t>
      </w:r>
    </w:p>
    <w:p w14:paraId="0F42FAF1">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.20法律、法规、规章（适用本市的）及省级以上规范性文件（适用本市的）规定的其他无效情形。</w:t>
      </w:r>
    </w:p>
    <w:p w14:paraId="189C8496">
      <w:pPr>
        <w:pStyle w:val="58"/>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 重新开展采购活动</w:t>
      </w:r>
    </w:p>
    <w:p w14:paraId="37A05B52">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出现下列情形之一的，采购代理机构应当终止竞争性磋商采购活动，通过电子交易平台发布项目终止公告并说明原因，重新开展采购活动：</w:t>
      </w:r>
    </w:p>
    <w:p w14:paraId="03AFE972">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（1）因情况变化，不再符合规定的竞争性磋商采购方式适用情形的；</w:t>
      </w:r>
    </w:p>
    <w:p w14:paraId="0E750E42">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（2）出现影响采购公正的违法、违规行为的；</w:t>
      </w:r>
    </w:p>
    <w:p w14:paraId="2F40B0D7">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（3）在采购过程中符合要求的供应商或者最后报价未超过采购预算的供应商不足3家的（有特殊规定的从其规定）。</w:t>
      </w:r>
    </w:p>
    <w:p w14:paraId="5E7CA05B">
      <w:pPr>
        <w:pStyle w:val="58"/>
        <w:keepNext w:val="0"/>
        <w:keepLines w:val="0"/>
        <w:pageBreakBefore w:val="0"/>
        <w:widowControl w:val="0"/>
        <w:kinsoku/>
        <w:wordWrap/>
        <w:overflowPunct/>
        <w:topLinePunct w:val="0"/>
        <w:autoSpaceDE/>
        <w:autoSpaceDN/>
        <w:bidi w:val="0"/>
        <w:adjustRightInd w:val="0"/>
        <w:spacing w:before="0"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 终止采购活动</w:t>
      </w:r>
    </w:p>
    <w:p w14:paraId="3AAEAD13">
      <w:pPr>
        <w:keepNext w:val="0"/>
        <w:keepLines w:val="0"/>
        <w:pageBreakBefore w:val="0"/>
        <w:widowControl w:val="0"/>
        <w:kinsoku/>
        <w:wordWrap/>
        <w:overflowPunct/>
        <w:topLinePunct w:val="0"/>
        <w:autoSpaceDE/>
        <w:autoSpaceDN/>
        <w:bidi w:val="0"/>
        <w:adjustRightInd w:val="0"/>
        <w:spacing w:line="360" w:lineRule="exact"/>
        <w:ind w:firstLine="407" w:firstLineChars="1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6601A6E4">
      <w:pPr>
        <w:keepNext w:val="0"/>
        <w:keepLines w:val="0"/>
        <w:pageBreakBefore w:val="0"/>
        <w:widowControl w:val="0"/>
        <w:kinsoku/>
        <w:wordWrap/>
        <w:overflowPunct/>
        <w:topLinePunct w:val="0"/>
        <w:autoSpaceDE/>
        <w:autoSpaceDN/>
        <w:bidi w:val="0"/>
        <w:adjustRightInd w:val="0"/>
        <w:spacing w:line="360" w:lineRule="exact"/>
        <w:ind w:firstLine="422" w:firstLineChars="200"/>
        <w:textAlignment w:val="auto"/>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 采购代理机构有权对磋商小组各成员的评分情况和评审意见进行合理性和合规性审查</w:t>
      </w:r>
      <w:r>
        <w:rPr>
          <w:rFonts w:hint="eastAsia" w:ascii="宋体" w:hAnsi="宋体" w:eastAsia="宋体" w:cs="宋体"/>
          <w:color w:val="auto"/>
          <w:sz w:val="21"/>
          <w:szCs w:val="21"/>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7DC1FF3B">
      <w:pPr>
        <w:keepNext w:val="0"/>
        <w:keepLines w:val="0"/>
        <w:pageBreakBefore w:val="0"/>
        <w:kinsoku/>
        <w:wordWrap/>
        <w:overflowPunct/>
        <w:topLinePunct w:val="0"/>
        <w:autoSpaceDE/>
        <w:autoSpaceDN/>
        <w:bidi w:val="0"/>
        <w:adjustRightInd w:val="0"/>
        <w:snapToGrid w:val="0"/>
        <w:spacing w:line="338" w:lineRule="exact"/>
        <w:ind w:left="120" w:leftChars="57" w:firstLine="422" w:firstLineChars="150"/>
        <w:jc w:val="center"/>
        <w:textAlignment w:val="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六、评审过程的保密与录像</w:t>
      </w:r>
    </w:p>
    <w:p w14:paraId="05916DA4">
      <w:pPr>
        <w:keepNext w:val="0"/>
        <w:keepLines w:val="0"/>
        <w:pageBreakBefore w:val="0"/>
        <w:widowControl/>
        <w:kinsoku/>
        <w:wordWrap/>
        <w:overflowPunct/>
        <w:topLinePunct w:val="0"/>
        <w:autoSpaceDE/>
        <w:autoSpaceDN/>
        <w:bidi w:val="0"/>
        <w:adjustRightInd w:val="0"/>
        <w:spacing w:line="338"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1.保密。</w:t>
      </w:r>
      <w:r>
        <w:rPr>
          <w:rFonts w:hint="eastAsia" w:ascii="宋体" w:hAnsi="宋体" w:eastAsia="宋体" w:cs="宋体"/>
          <w:color w:val="auto"/>
          <w:sz w:val="21"/>
          <w:szCs w:val="21"/>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57CD43EA">
      <w:pPr>
        <w:keepNext w:val="0"/>
        <w:keepLines w:val="0"/>
        <w:pageBreakBefore w:val="0"/>
        <w:widowControl/>
        <w:kinsoku/>
        <w:wordWrap/>
        <w:overflowPunct/>
        <w:topLinePunct w:val="0"/>
        <w:autoSpaceDE/>
        <w:autoSpaceDN/>
        <w:bidi w:val="0"/>
        <w:adjustRightInd w:val="0"/>
        <w:spacing w:line="338"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2.录音录像。</w:t>
      </w:r>
      <w:r>
        <w:rPr>
          <w:rFonts w:hint="eastAsia" w:ascii="宋体" w:hAnsi="宋体" w:eastAsia="宋体" w:cs="宋体"/>
          <w:color w:val="auto"/>
          <w:sz w:val="21"/>
          <w:szCs w:val="21"/>
          <w:highlight w:val="none"/>
        </w:rPr>
        <w:t>采购代理机构对评审工作现场进行全过程录音录像，录音录像资料作为采购项目文件随其他文件一并存档。</w:t>
      </w:r>
    </w:p>
    <w:p w14:paraId="3365C65C">
      <w:pPr>
        <w:pStyle w:val="4"/>
        <w:rPr>
          <w:color w:val="auto"/>
          <w:highlight w:val="none"/>
        </w:rPr>
      </w:pPr>
    </w:p>
    <w:p w14:paraId="51691D9B">
      <w:pPr>
        <w:rPr>
          <w:color w:val="auto"/>
          <w:highlight w:val="none"/>
        </w:rPr>
      </w:pPr>
    </w:p>
    <w:p w14:paraId="537F9045">
      <w:pPr>
        <w:pStyle w:val="18"/>
        <w:rPr>
          <w:color w:val="auto"/>
          <w:highlight w:val="none"/>
        </w:rPr>
      </w:pPr>
    </w:p>
    <w:p w14:paraId="3CC2D686">
      <w:pPr>
        <w:rPr>
          <w:color w:val="auto"/>
          <w:highlight w:val="none"/>
        </w:rPr>
      </w:pPr>
    </w:p>
    <w:p w14:paraId="412F2953">
      <w:pPr>
        <w:pStyle w:val="18"/>
        <w:rPr>
          <w:color w:val="auto"/>
          <w:highlight w:val="none"/>
        </w:rPr>
      </w:pPr>
    </w:p>
    <w:p w14:paraId="7B81C5DF">
      <w:pPr>
        <w:rPr>
          <w:color w:val="auto"/>
          <w:highlight w:val="none"/>
        </w:rPr>
      </w:pPr>
    </w:p>
    <w:p w14:paraId="34C61C39">
      <w:pPr>
        <w:pStyle w:val="18"/>
        <w:rPr>
          <w:color w:val="auto"/>
          <w:highlight w:val="none"/>
        </w:rPr>
      </w:pPr>
    </w:p>
    <w:p w14:paraId="2D0156D7">
      <w:pPr>
        <w:rPr>
          <w:color w:val="auto"/>
          <w:highlight w:val="none"/>
        </w:rPr>
      </w:pPr>
    </w:p>
    <w:p w14:paraId="3501AAD1">
      <w:pPr>
        <w:pStyle w:val="18"/>
        <w:rPr>
          <w:color w:val="auto"/>
          <w:highlight w:val="none"/>
        </w:rPr>
      </w:pPr>
    </w:p>
    <w:p w14:paraId="73922A0E">
      <w:pPr>
        <w:rPr>
          <w:color w:val="auto"/>
          <w:highlight w:val="none"/>
        </w:rPr>
      </w:pPr>
    </w:p>
    <w:p w14:paraId="1D284610">
      <w:pPr>
        <w:pStyle w:val="18"/>
        <w:rPr>
          <w:color w:val="auto"/>
          <w:highlight w:val="none"/>
        </w:rPr>
      </w:pPr>
    </w:p>
    <w:p w14:paraId="198F5CBD">
      <w:pPr>
        <w:rPr>
          <w:color w:val="auto"/>
          <w:highlight w:val="none"/>
        </w:rPr>
      </w:pPr>
    </w:p>
    <w:p w14:paraId="2FC237FF">
      <w:pPr>
        <w:pStyle w:val="18"/>
        <w:rPr>
          <w:color w:val="auto"/>
          <w:highlight w:val="none"/>
        </w:rPr>
      </w:pPr>
    </w:p>
    <w:p w14:paraId="5423BA88">
      <w:pPr>
        <w:rPr>
          <w:color w:val="auto"/>
          <w:highlight w:val="none"/>
        </w:rPr>
      </w:pPr>
    </w:p>
    <w:p w14:paraId="71575F3B">
      <w:pPr>
        <w:pStyle w:val="18"/>
        <w:rPr>
          <w:color w:val="auto"/>
          <w:highlight w:val="none"/>
        </w:rPr>
      </w:pPr>
    </w:p>
    <w:p w14:paraId="18768AD6">
      <w:pPr>
        <w:rPr>
          <w:color w:val="auto"/>
          <w:highlight w:val="none"/>
        </w:rPr>
      </w:pPr>
    </w:p>
    <w:p w14:paraId="68967888">
      <w:pPr>
        <w:pStyle w:val="18"/>
        <w:rPr>
          <w:color w:val="auto"/>
          <w:highlight w:val="none"/>
        </w:rPr>
      </w:pPr>
    </w:p>
    <w:p w14:paraId="72CC2536">
      <w:pPr>
        <w:rPr>
          <w:color w:val="auto"/>
          <w:highlight w:val="none"/>
        </w:rPr>
      </w:pPr>
    </w:p>
    <w:p w14:paraId="73E95210">
      <w:pPr>
        <w:pStyle w:val="18"/>
        <w:rPr>
          <w:color w:val="auto"/>
          <w:highlight w:val="none"/>
        </w:rPr>
      </w:pPr>
    </w:p>
    <w:p w14:paraId="0BD3DA0C">
      <w:pPr>
        <w:rPr>
          <w:color w:val="auto"/>
          <w:highlight w:val="none"/>
        </w:rPr>
      </w:pPr>
    </w:p>
    <w:p w14:paraId="68213A15">
      <w:pPr>
        <w:pStyle w:val="18"/>
        <w:rPr>
          <w:color w:val="auto"/>
          <w:highlight w:val="none"/>
        </w:rPr>
      </w:pPr>
    </w:p>
    <w:p w14:paraId="2B4933AD">
      <w:pPr>
        <w:rPr>
          <w:color w:val="auto"/>
          <w:highlight w:val="none"/>
        </w:rPr>
      </w:pPr>
    </w:p>
    <w:p w14:paraId="2DFC9070">
      <w:pPr>
        <w:pStyle w:val="18"/>
        <w:rPr>
          <w:color w:val="auto"/>
          <w:highlight w:val="none"/>
        </w:rPr>
      </w:pPr>
    </w:p>
    <w:p w14:paraId="2B7DD294">
      <w:pPr>
        <w:rPr>
          <w:color w:val="auto"/>
          <w:highlight w:val="none"/>
        </w:rPr>
      </w:pPr>
    </w:p>
    <w:p w14:paraId="7AA75088">
      <w:pPr>
        <w:pStyle w:val="18"/>
        <w:rPr>
          <w:color w:val="auto"/>
          <w:highlight w:val="none"/>
        </w:rPr>
      </w:pPr>
    </w:p>
    <w:p w14:paraId="770AB7E6">
      <w:pPr>
        <w:rPr>
          <w:color w:val="auto"/>
          <w:highlight w:val="none"/>
        </w:rPr>
      </w:pPr>
    </w:p>
    <w:p w14:paraId="0CAAF28E">
      <w:pPr>
        <w:pStyle w:val="18"/>
        <w:rPr>
          <w:color w:val="auto"/>
          <w:highlight w:val="none"/>
        </w:rPr>
      </w:pPr>
    </w:p>
    <w:p w14:paraId="6B70096E">
      <w:pPr>
        <w:rPr>
          <w:color w:val="auto"/>
          <w:highlight w:val="none"/>
        </w:rPr>
      </w:pPr>
    </w:p>
    <w:p w14:paraId="39BF2650">
      <w:pPr>
        <w:pStyle w:val="18"/>
        <w:rPr>
          <w:color w:val="auto"/>
          <w:highlight w:val="none"/>
        </w:rPr>
      </w:pPr>
    </w:p>
    <w:p w14:paraId="6ACF4713">
      <w:pPr>
        <w:rPr>
          <w:color w:val="auto"/>
          <w:highlight w:val="none"/>
        </w:rPr>
      </w:pPr>
    </w:p>
    <w:p w14:paraId="254FE77F">
      <w:pPr>
        <w:pStyle w:val="18"/>
        <w:rPr>
          <w:color w:val="auto"/>
          <w:highlight w:val="none"/>
        </w:rPr>
      </w:pPr>
    </w:p>
    <w:p w14:paraId="06DCCACF">
      <w:pPr>
        <w:rPr>
          <w:color w:val="auto"/>
          <w:highlight w:val="none"/>
        </w:rPr>
      </w:pPr>
    </w:p>
    <w:p w14:paraId="7E7EC9C9">
      <w:pPr>
        <w:pStyle w:val="18"/>
        <w:rPr>
          <w:color w:val="auto"/>
          <w:highlight w:val="none"/>
        </w:rPr>
      </w:pPr>
    </w:p>
    <w:p w14:paraId="627981DB">
      <w:pPr>
        <w:rPr>
          <w:color w:val="auto"/>
          <w:highlight w:val="none"/>
        </w:rPr>
      </w:pPr>
    </w:p>
    <w:p w14:paraId="76A7C0CE">
      <w:pPr>
        <w:pStyle w:val="18"/>
        <w:rPr>
          <w:color w:val="auto"/>
          <w:highlight w:val="none"/>
        </w:rPr>
      </w:pPr>
    </w:p>
    <w:p w14:paraId="51B05D00">
      <w:pPr>
        <w:rPr>
          <w:color w:val="auto"/>
          <w:highlight w:val="none"/>
        </w:rPr>
      </w:pPr>
    </w:p>
    <w:p w14:paraId="6F94B2F4">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ascii="宋体" w:hAnsi="宋体" w:cs="宋体"/>
          <w:b/>
          <w:bCs/>
          <w:color w:val="auto"/>
          <w:kern w:val="0"/>
          <w:sz w:val="36"/>
          <w:szCs w:val="36"/>
          <w:highlight w:val="none"/>
        </w:rPr>
        <w:t>第</w:t>
      </w:r>
      <w:r>
        <w:rPr>
          <w:rFonts w:hint="eastAsia" w:ascii="宋体" w:hAnsi="宋体" w:cs="宋体"/>
          <w:b/>
          <w:bCs/>
          <w:color w:val="auto"/>
          <w:kern w:val="0"/>
          <w:sz w:val="36"/>
          <w:szCs w:val="36"/>
          <w:highlight w:val="none"/>
          <w:lang w:eastAsia="zh-CN"/>
        </w:rPr>
        <w:t>六部分</w:t>
      </w:r>
      <w:r>
        <w:rPr>
          <w:rFonts w:hint="eastAsia" w:ascii="宋体" w:hAnsi="宋体" w:cs="宋体"/>
          <w:b/>
          <w:bCs/>
          <w:color w:val="auto"/>
          <w:kern w:val="0"/>
          <w:sz w:val="36"/>
          <w:szCs w:val="36"/>
          <w:highlight w:val="none"/>
        </w:rPr>
        <w:t xml:space="preserve">  </w:t>
      </w:r>
      <w:r>
        <w:rPr>
          <w:rFonts w:hint="eastAsia" w:cs="仿宋_GB2312" w:asciiTheme="minorEastAsia" w:hAnsiTheme="minorEastAsia" w:eastAsiaTheme="minorEastAsia"/>
          <w:b/>
          <w:color w:val="auto"/>
          <w:sz w:val="32"/>
          <w:szCs w:val="32"/>
          <w:highlight w:val="none"/>
        </w:rPr>
        <w:t>拟签订的合同文本</w:t>
      </w:r>
    </w:p>
    <w:p w14:paraId="779AAB2E">
      <w:pPr>
        <w:autoSpaceDE w:val="0"/>
        <w:autoSpaceDN w:val="0"/>
        <w:adjustRightInd w:val="0"/>
        <w:snapToGrid w:val="0"/>
        <w:spacing w:line="600" w:lineRule="exact"/>
        <w:jc w:val="center"/>
        <w:rPr>
          <w:rFonts w:hint="eastAsia" w:ascii="宋体" w:hAnsi="宋体" w:eastAsia="宋体" w:cs="宋体"/>
          <w:b/>
          <w:bCs/>
          <w:color w:val="auto"/>
          <w:kern w:val="0"/>
          <w:sz w:val="36"/>
          <w:szCs w:val="36"/>
          <w:highlight w:val="none"/>
          <w:lang w:eastAsia="zh-CN"/>
        </w:rPr>
      </w:pPr>
    </w:p>
    <w:p w14:paraId="628244B5">
      <w:pPr>
        <w:pStyle w:val="5"/>
        <w:keepNext w:val="0"/>
        <w:keepLines w:val="0"/>
        <w:tabs>
          <w:tab w:val="left" w:pos="2646"/>
        </w:tabs>
        <w:spacing w:before="0" w:after="0" w:line="600" w:lineRule="exact"/>
        <w:jc w:val="left"/>
        <w:rPr>
          <w:rFonts w:hint="eastAsia" w:ascii="宋体" w:hAnsi="宋体" w:eastAsia="宋体" w:cs="宋体"/>
          <w:b w:val="0"/>
          <w:color w:val="auto"/>
          <w:kern w:val="0"/>
          <w:highlight w:val="none"/>
          <w:lang w:eastAsia="zh-CN"/>
        </w:rPr>
      </w:pPr>
      <w:r>
        <w:rPr>
          <w:rFonts w:hint="eastAsia" w:ascii="宋体" w:hAnsi="宋体" w:cs="宋体"/>
          <w:b w:val="0"/>
          <w:color w:val="auto"/>
          <w:kern w:val="0"/>
          <w:highlight w:val="none"/>
          <w:lang w:eastAsia="zh-CN"/>
        </w:rPr>
        <w:tab/>
      </w:r>
    </w:p>
    <w:p w14:paraId="4C33F7B1">
      <w:pPr>
        <w:pStyle w:val="5"/>
        <w:keepNext w:val="0"/>
        <w:keepLines w:val="0"/>
        <w:spacing w:before="0" w:after="0" w:line="600" w:lineRule="exact"/>
        <w:jc w:val="center"/>
        <w:rPr>
          <w:rFonts w:ascii="宋体" w:hAnsi="宋体" w:cs="宋体"/>
          <w:b w:val="0"/>
          <w:color w:val="auto"/>
          <w:kern w:val="0"/>
          <w:highlight w:val="none"/>
        </w:rPr>
      </w:pPr>
    </w:p>
    <w:p w14:paraId="07D179B4">
      <w:pPr>
        <w:pStyle w:val="5"/>
        <w:keepNext w:val="0"/>
        <w:keepLines w:val="0"/>
        <w:spacing w:before="0" w:after="0" w:line="600" w:lineRule="exact"/>
        <w:jc w:val="center"/>
        <w:rPr>
          <w:rFonts w:ascii="宋体" w:hAnsi="宋体" w:cs="宋体"/>
          <w:b w:val="0"/>
          <w:color w:val="auto"/>
          <w:kern w:val="0"/>
          <w:highlight w:val="none"/>
        </w:rPr>
      </w:pPr>
    </w:p>
    <w:p w14:paraId="4C229924">
      <w:pPr>
        <w:pStyle w:val="5"/>
        <w:spacing w:line="600" w:lineRule="exact"/>
        <w:jc w:val="center"/>
        <w:rPr>
          <w:rFonts w:hint="eastAsia" w:ascii="宋体" w:hAnsi="宋体" w:cs="宋体"/>
          <w:bCs w:val="0"/>
          <w:color w:val="auto"/>
          <w:kern w:val="0"/>
          <w:highlight w:val="none"/>
        </w:rPr>
      </w:pPr>
      <w:r>
        <w:rPr>
          <w:rFonts w:hint="eastAsia" w:ascii="宋体" w:hAnsi="宋体" w:cs="宋体"/>
          <w:bCs w:val="0"/>
          <w:color w:val="auto"/>
          <w:kern w:val="0"/>
          <w:highlight w:val="none"/>
        </w:rPr>
        <w:t>政府采购合同</w:t>
      </w:r>
    </w:p>
    <w:p w14:paraId="41309D00">
      <w:pPr>
        <w:jc w:val="center"/>
        <w:rPr>
          <w:color w:val="auto"/>
          <w:highlight w:val="none"/>
        </w:rPr>
      </w:pPr>
      <w:r>
        <w:rPr>
          <w:rFonts w:hint="eastAsia" w:ascii="宋体" w:hAnsi="宋体" w:cs="宋体"/>
          <w:b/>
          <w:color w:val="auto"/>
          <w:sz w:val="36"/>
          <w:szCs w:val="36"/>
          <w:highlight w:val="none"/>
        </w:rPr>
        <w:t>（服务类）</w:t>
      </w:r>
    </w:p>
    <w:p w14:paraId="35108B55">
      <w:pPr>
        <w:pStyle w:val="15"/>
        <w:spacing w:line="600" w:lineRule="exact"/>
        <w:rPr>
          <w:rFonts w:hAnsi="宋体" w:cs="宋体"/>
          <w:color w:val="auto"/>
          <w:highlight w:val="none"/>
        </w:rPr>
      </w:pPr>
    </w:p>
    <w:p w14:paraId="5992D3D2">
      <w:pPr>
        <w:pStyle w:val="15"/>
        <w:spacing w:line="600" w:lineRule="exact"/>
        <w:rPr>
          <w:rFonts w:hAnsi="宋体" w:cs="宋体"/>
          <w:color w:val="auto"/>
          <w:highlight w:val="none"/>
        </w:rPr>
      </w:pPr>
    </w:p>
    <w:p w14:paraId="4C946453">
      <w:pPr>
        <w:pStyle w:val="15"/>
        <w:tabs>
          <w:tab w:val="left" w:pos="6300"/>
        </w:tabs>
        <w:spacing w:line="700" w:lineRule="exact"/>
        <w:ind w:firstLine="1405" w:firstLineChars="500"/>
        <w:rPr>
          <w:rFonts w:hAnsi="宋体" w:cs="宋体"/>
          <w:b/>
          <w:color w:val="auto"/>
          <w:sz w:val="28"/>
          <w:szCs w:val="28"/>
          <w:highlight w:val="none"/>
          <w:u w:val="single"/>
        </w:rPr>
      </w:pPr>
      <w:r>
        <w:rPr>
          <w:rFonts w:hint="eastAsia" w:hAnsi="宋体" w:cs="宋体"/>
          <w:b/>
          <w:color w:val="auto"/>
          <w:sz w:val="28"/>
          <w:szCs w:val="28"/>
          <w:highlight w:val="none"/>
        </w:rPr>
        <w:t>合同名称：</w:t>
      </w:r>
      <w:r>
        <w:rPr>
          <w:rFonts w:hint="eastAsia" w:hAnsi="宋体" w:cs="宋体"/>
          <w:b/>
          <w:color w:val="auto"/>
          <w:sz w:val="28"/>
          <w:szCs w:val="28"/>
          <w:highlight w:val="none"/>
          <w:u w:val="single"/>
        </w:rPr>
        <w:t xml:space="preserve">北海市就业驿站运行管理服务合同书  </w:t>
      </w:r>
    </w:p>
    <w:p w14:paraId="726D63A6">
      <w:pPr>
        <w:pStyle w:val="15"/>
        <w:spacing w:line="700" w:lineRule="exact"/>
        <w:ind w:firstLine="1405" w:firstLineChars="500"/>
        <w:rPr>
          <w:rFonts w:hint="default" w:hAnsi="宋体" w:eastAsia="宋体" w:cs="宋体"/>
          <w:b/>
          <w:color w:val="auto"/>
          <w:sz w:val="28"/>
          <w:szCs w:val="28"/>
          <w:highlight w:val="none"/>
          <w:lang w:val="en-US" w:eastAsia="zh-CN"/>
        </w:rPr>
      </w:pPr>
      <w:r>
        <w:rPr>
          <w:rFonts w:hint="eastAsia" w:hAnsi="宋体" w:cs="宋体"/>
          <w:b/>
          <w:color w:val="auto"/>
          <w:sz w:val="28"/>
          <w:szCs w:val="28"/>
          <w:highlight w:val="none"/>
        </w:rPr>
        <w:t>合同编号：</w:t>
      </w:r>
      <w:r>
        <w:rPr>
          <w:rFonts w:hint="eastAsia" w:hAnsi="宋体" w:cs="宋体"/>
          <w:b/>
          <w:color w:val="auto"/>
          <w:sz w:val="28"/>
          <w:szCs w:val="28"/>
          <w:highlight w:val="none"/>
          <w:u w:val="single"/>
          <w:lang w:val="en-US" w:eastAsia="zh-CN"/>
        </w:rPr>
        <w:t xml:space="preserve">                                     </w:t>
      </w:r>
    </w:p>
    <w:p w14:paraId="4BEB5DDD">
      <w:pPr>
        <w:pStyle w:val="15"/>
        <w:spacing w:line="700" w:lineRule="exact"/>
        <w:ind w:firstLine="1799" w:firstLineChars="640"/>
        <w:rPr>
          <w:rFonts w:hAnsi="宋体" w:cs="宋体"/>
          <w:b/>
          <w:color w:val="auto"/>
          <w:sz w:val="28"/>
          <w:szCs w:val="28"/>
          <w:highlight w:val="none"/>
        </w:rPr>
      </w:pPr>
    </w:p>
    <w:p w14:paraId="36D0A639">
      <w:pPr>
        <w:pStyle w:val="15"/>
        <w:spacing w:line="700" w:lineRule="exact"/>
        <w:ind w:firstLine="1405" w:firstLineChars="500"/>
        <w:rPr>
          <w:rFonts w:hAnsi="宋体" w:cs="宋体"/>
          <w:b/>
          <w:color w:val="auto"/>
          <w:sz w:val="28"/>
          <w:szCs w:val="28"/>
          <w:highlight w:val="none"/>
        </w:rPr>
      </w:pPr>
      <w:r>
        <w:rPr>
          <w:rFonts w:hint="eastAsia" w:hAnsi="宋体" w:cs="宋体"/>
          <w:b/>
          <w:color w:val="auto"/>
          <w:sz w:val="28"/>
          <w:szCs w:val="28"/>
          <w:highlight w:val="none"/>
        </w:rPr>
        <w:t>委托方（甲方）</w:t>
      </w:r>
      <w:r>
        <w:rPr>
          <w:rFonts w:hint="eastAsia" w:hAnsi="宋体" w:cs="宋体"/>
          <w:b/>
          <w:color w:val="auto"/>
          <w:sz w:val="28"/>
          <w:szCs w:val="28"/>
          <w:highlight w:val="none"/>
          <w:lang w:eastAsia="zh-CN"/>
        </w:rPr>
        <w:t>：</w:t>
      </w:r>
      <w:r>
        <w:rPr>
          <w:rFonts w:hint="eastAsia" w:hAnsi="宋体" w:cs="宋体"/>
          <w:b/>
          <w:color w:val="auto"/>
          <w:sz w:val="28"/>
          <w:szCs w:val="28"/>
          <w:highlight w:val="none"/>
          <w:u w:val="single"/>
        </w:rPr>
        <w:t>北海市公共就业和人才服务中心</w:t>
      </w:r>
    </w:p>
    <w:p w14:paraId="0899B657">
      <w:pPr>
        <w:pStyle w:val="15"/>
        <w:spacing w:line="700" w:lineRule="exact"/>
        <w:ind w:firstLine="1405" w:firstLineChars="500"/>
        <w:rPr>
          <w:rFonts w:hint="eastAsia" w:hAnsi="宋体" w:eastAsia="宋体" w:cs="宋体"/>
          <w:b/>
          <w:color w:val="auto"/>
          <w:sz w:val="28"/>
          <w:szCs w:val="28"/>
          <w:highlight w:val="none"/>
          <w:lang w:val="en-US" w:eastAsia="zh-CN"/>
        </w:rPr>
      </w:pPr>
      <w:r>
        <w:rPr>
          <w:rFonts w:hint="eastAsia" w:hAnsi="宋体" w:cs="宋体"/>
          <w:b/>
          <w:color w:val="auto"/>
          <w:sz w:val="28"/>
          <w:szCs w:val="28"/>
          <w:highlight w:val="none"/>
        </w:rPr>
        <w:t>受托方（乙方）</w:t>
      </w:r>
      <w:r>
        <w:rPr>
          <w:rFonts w:hint="eastAsia" w:hAnsi="宋体" w:cs="宋体"/>
          <w:b/>
          <w:color w:val="auto"/>
          <w:sz w:val="28"/>
          <w:szCs w:val="28"/>
          <w:highlight w:val="none"/>
          <w:lang w:eastAsia="zh-CN"/>
        </w:rPr>
        <w:t>：</w:t>
      </w:r>
      <w:r>
        <w:rPr>
          <w:rFonts w:hint="eastAsia" w:hAnsi="宋体" w:cs="宋体"/>
          <w:b/>
          <w:color w:val="auto"/>
          <w:sz w:val="28"/>
          <w:szCs w:val="28"/>
          <w:highlight w:val="none"/>
          <w:u w:val="single"/>
          <w:lang w:val="en-US" w:eastAsia="zh-CN"/>
        </w:rPr>
        <w:t xml:space="preserve">                             </w:t>
      </w:r>
    </w:p>
    <w:p w14:paraId="6E11BBA6">
      <w:pPr>
        <w:pStyle w:val="15"/>
        <w:spacing w:line="700" w:lineRule="exact"/>
        <w:ind w:firstLine="1405" w:firstLineChars="500"/>
        <w:rPr>
          <w:rFonts w:hAnsi="宋体" w:cs="宋体"/>
          <w:b/>
          <w:color w:val="auto"/>
          <w:sz w:val="28"/>
          <w:szCs w:val="28"/>
          <w:highlight w:val="none"/>
          <w:u w:val="single"/>
        </w:rPr>
      </w:pPr>
      <w:r>
        <w:rPr>
          <w:rFonts w:hint="eastAsia" w:hAnsi="宋体" w:cs="宋体"/>
          <w:b/>
          <w:color w:val="auto"/>
          <w:sz w:val="28"/>
          <w:szCs w:val="28"/>
          <w:highlight w:val="none"/>
        </w:rPr>
        <w:t>签订合同地点：</w:t>
      </w:r>
      <w:r>
        <w:rPr>
          <w:rFonts w:hint="eastAsia" w:hAnsi="宋体" w:cs="宋体"/>
          <w:b/>
          <w:color w:val="auto"/>
          <w:sz w:val="28"/>
          <w:szCs w:val="28"/>
          <w:highlight w:val="none"/>
          <w:u w:val="single"/>
          <w:lang w:val="en-US" w:eastAsia="zh-CN"/>
        </w:rPr>
        <w:t xml:space="preserve">                               </w:t>
      </w:r>
    </w:p>
    <w:p w14:paraId="67AA1BD5">
      <w:pPr>
        <w:pStyle w:val="15"/>
        <w:spacing w:line="700" w:lineRule="exact"/>
        <w:ind w:firstLine="1405" w:firstLineChars="500"/>
        <w:rPr>
          <w:rFonts w:hAnsi="宋体" w:cs="宋体"/>
          <w:b/>
          <w:color w:val="auto"/>
          <w:sz w:val="28"/>
          <w:szCs w:val="28"/>
          <w:highlight w:val="none"/>
        </w:rPr>
      </w:pPr>
      <w:r>
        <w:rPr>
          <w:rFonts w:hint="eastAsia" w:hAnsi="宋体" w:cs="宋体"/>
          <w:b/>
          <w:color w:val="auto"/>
          <w:sz w:val="28"/>
          <w:szCs w:val="28"/>
          <w:highlight w:val="none"/>
        </w:rPr>
        <w:t>签订合同时间：</w:t>
      </w:r>
      <w:r>
        <w:rPr>
          <w:rFonts w:hint="eastAsia" w:hAnsi="宋体" w:cs="宋体"/>
          <w:b/>
          <w:color w:val="auto"/>
          <w:sz w:val="28"/>
          <w:szCs w:val="28"/>
          <w:highlight w:val="none"/>
          <w:u w:val="single"/>
          <w:lang w:val="en-US" w:eastAsia="zh-CN"/>
        </w:rPr>
        <w:t xml:space="preserve">                               </w:t>
      </w:r>
    </w:p>
    <w:p w14:paraId="450845BE">
      <w:pPr>
        <w:pStyle w:val="15"/>
        <w:jc w:val="center"/>
        <w:rPr>
          <w:rFonts w:hAnsi="宋体" w:cs="宋体"/>
          <w:color w:val="auto"/>
          <w:highlight w:val="none"/>
        </w:rPr>
      </w:pPr>
    </w:p>
    <w:p w14:paraId="5A8D8AFC">
      <w:pPr>
        <w:pStyle w:val="8"/>
        <w:rPr>
          <w:rFonts w:ascii="宋体" w:hAnsi="宋体" w:cs="宋体"/>
          <w:color w:val="auto"/>
          <w:highlight w:val="none"/>
        </w:rPr>
      </w:pPr>
    </w:p>
    <w:p w14:paraId="0FDDE968">
      <w:pPr>
        <w:rPr>
          <w:rFonts w:ascii="宋体" w:hAnsi="宋体" w:cs="宋体"/>
          <w:color w:val="auto"/>
          <w:highlight w:val="none"/>
        </w:rPr>
      </w:pPr>
    </w:p>
    <w:p w14:paraId="3AD48514">
      <w:pPr>
        <w:pStyle w:val="10"/>
        <w:rPr>
          <w:rFonts w:ascii="宋体" w:hAnsi="宋体" w:cs="宋体"/>
          <w:color w:val="auto"/>
          <w:highlight w:val="none"/>
        </w:rPr>
      </w:pPr>
    </w:p>
    <w:p w14:paraId="75441660">
      <w:pPr>
        <w:pStyle w:val="10"/>
        <w:rPr>
          <w:rFonts w:ascii="宋体" w:hAnsi="宋体" w:cs="宋体"/>
          <w:color w:val="auto"/>
          <w:highlight w:val="none"/>
        </w:rPr>
      </w:pPr>
    </w:p>
    <w:p w14:paraId="15BE254C">
      <w:pPr>
        <w:pStyle w:val="15"/>
        <w:rPr>
          <w:rFonts w:hAnsi="宋体" w:cs="宋体"/>
          <w:b/>
          <w:color w:val="auto"/>
          <w:sz w:val="52"/>
          <w:szCs w:val="52"/>
          <w:highlight w:val="none"/>
        </w:rPr>
      </w:pPr>
    </w:p>
    <w:p w14:paraId="37097B86">
      <w:pPr>
        <w:pStyle w:val="15"/>
        <w:snapToGrid w:val="0"/>
        <w:spacing w:line="600" w:lineRule="exact"/>
        <w:jc w:val="center"/>
        <w:rPr>
          <w:rFonts w:hint="eastAsia" w:hAnsi="宋体" w:eastAsia="宋体" w:cs="宋体"/>
          <w:b/>
          <w:color w:val="auto"/>
          <w:sz w:val="36"/>
          <w:szCs w:val="36"/>
          <w:highlight w:val="none"/>
          <w:lang w:eastAsia="zh-CN"/>
        </w:rPr>
      </w:pPr>
      <w:r>
        <w:rPr>
          <w:rFonts w:hint="eastAsia" w:hAnsi="宋体" w:cs="宋体"/>
          <w:b/>
          <w:color w:val="auto"/>
          <w:sz w:val="36"/>
          <w:szCs w:val="36"/>
          <w:highlight w:val="none"/>
        </w:rPr>
        <w:t>政府采购合同</w:t>
      </w:r>
      <w:r>
        <w:rPr>
          <w:rFonts w:hint="eastAsia" w:hAnsi="宋体" w:cs="宋体"/>
          <w:b/>
          <w:color w:val="auto"/>
          <w:sz w:val="36"/>
          <w:szCs w:val="36"/>
          <w:highlight w:val="none"/>
          <w:lang w:eastAsia="zh-CN"/>
        </w:rPr>
        <w:t>（格式）</w:t>
      </w:r>
    </w:p>
    <w:p w14:paraId="55BB17DA">
      <w:pPr>
        <w:kinsoku w:val="0"/>
        <w:overflowPunct w:val="0"/>
        <w:adjustRightInd w:val="0"/>
        <w:snapToGrid w:val="0"/>
        <w:spacing w:line="360" w:lineRule="exact"/>
        <w:rPr>
          <w:rFonts w:ascii="宋体" w:hAnsi="宋体" w:cs="宋体"/>
          <w:color w:val="auto"/>
          <w:szCs w:val="21"/>
          <w:highlight w:val="none"/>
        </w:rPr>
      </w:pPr>
    </w:p>
    <w:p w14:paraId="41FBCBC1">
      <w:pPr>
        <w:kinsoku w:val="0"/>
        <w:overflowPunct w:val="0"/>
        <w:adjustRightInd w:val="0"/>
        <w:snapToGrid w:val="0"/>
        <w:spacing w:line="340" w:lineRule="exact"/>
        <w:rPr>
          <w:rFonts w:ascii="宋体" w:hAnsi="宋体" w:cs="宋体"/>
          <w:color w:val="auto"/>
          <w:szCs w:val="21"/>
          <w:highlight w:val="none"/>
          <w:u w:val="singl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北海市公共就业和人才服务中心</w:t>
      </w:r>
    </w:p>
    <w:p w14:paraId="5D2EFE6E">
      <w:pPr>
        <w:kinsoku w:val="0"/>
        <w:overflowPunct w:val="0"/>
        <w:adjustRightInd w:val="0"/>
        <w:snapToGrid w:val="0"/>
        <w:spacing w:line="340" w:lineRule="exact"/>
        <w:rPr>
          <w:rFonts w:ascii="宋体" w:hAnsi="宋体" w:cs="宋体"/>
          <w:color w:val="auto"/>
          <w:szCs w:val="21"/>
          <w:highlight w:val="none"/>
          <w:u w:val="single"/>
        </w:rPr>
      </w:pPr>
      <w:r>
        <w:rPr>
          <w:rFonts w:hint="eastAsia" w:ascii="宋体" w:hAnsi="宋体" w:cs="宋体"/>
          <w:color w:val="auto"/>
          <w:szCs w:val="21"/>
          <w:highlight w:val="none"/>
        </w:rPr>
        <w:t>供应商（乙方）：</w:t>
      </w:r>
      <w:r>
        <w:rPr>
          <w:rFonts w:hint="eastAsia" w:ascii="宋体" w:hAnsi="宋体" w:cs="宋体"/>
          <w:color w:val="auto"/>
          <w:szCs w:val="21"/>
          <w:highlight w:val="none"/>
          <w:u w:val="single"/>
          <w:lang w:val="en-US" w:eastAsia="zh-CN"/>
        </w:rPr>
        <w:t xml:space="preserve">                             </w:t>
      </w:r>
    </w:p>
    <w:p w14:paraId="5277B3EF">
      <w:pPr>
        <w:kinsoku w:val="0"/>
        <w:overflowPunct w:val="0"/>
        <w:adjustRightInd w:val="0"/>
        <w:snapToGrid w:val="0"/>
        <w:spacing w:line="340" w:lineRule="exact"/>
        <w:rPr>
          <w:rFonts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北海市就业驿站运行管理服务</w:t>
      </w:r>
    </w:p>
    <w:p w14:paraId="34AB20FA">
      <w:pPr>
        <w:kinsoku w:val="0"/>
        <w:overflowPunct w:val="0"/>
        <w:adjustRightInd w:val="0"/>
        <w:snapToGrid w:val="0"/>
        <w:spacing w:line="340" w:lineRule="exact"/>
        <w:rPr>
          <w:rFonts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lang w:val="en-US" w:eastAsia="zh-CN"/>
        </w:rPr>
        <w:t xml:space="preserve">                             </w:t>
      </w:r>
    </w:p>
    <w:p w14:paraId="4D139843">
      <w:pPr>
        <w:pStyle w:val="37"/>
        <w:kinsoku w:val="0"/>
        <w:overflowPunct w:val="0"/>
        <w:spacing w:line="340" w:lineRule="exact"/>
        <w:ind w:firstLine="0" w:firstLineChars="0"/>
        <w:rPr>
          <w:rFonts w:ascii="宋体" w:hAnsi="宋体" w:cs="宋体"/>
          <w:color w:val="auto"/>
          <w:highlight w:val="none"/>
        </w:rPr>
      </w:pPr>
      <w:r>
        <w:rPr>
          <w:rFonts w:hint="eastAsia" w:ascii="宋体" w:hAnsi="宋体" w:cs="宋体"/>
          <w:color w:val="auto"/>
          <w:szCs w:val="21"/>
          <w:highlight w:val="none"/>
        </w:rPr>
        <w:t>采购计划编号：</w:t>
      </w:r>
      <w:r>
        <w:rPr>
          <w:rFonts w:hint="eastAsia" w:ascii="宋体" w:hAnsi="宋体" w:cs="宋体"/>
          <w:color w:val="auto"/>
          <w:szCs w:val="21"/>
          <w:highlight w:val="none"/>
          <w:u w:val="single"/>
          <w:lang w:val="en-US" w:eastAsia="zh-CN"/>
        </w:rPr>
        <w:t xml:space="preserve">                             </w:t>
      </w:r>
    </w:p>
    <w:p w14:paraId="54885550">
      <w:pPr>
        <w:wordWrap w:val="0"/>
        <w:adjustRightInd w:val="0"/>
        <w:snapToGrid w:val="0"/>
        <w:spacing w:line="35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根据《中华人民共和国政府采购法》、《中华人民共和国民法典》等法律、法规规定，按照竞争性磋商文件（以下简称“磋商文件”）规定条款和成交供应商的响应文件及其承诺，甲乙双方签订本合同。</w:t>
      </w:r>
    </w:p>
    <w:p w14:paraId="3F87BD30">
      <w:pPr>
        <w:kinsoku w:val="0"/>
        <w:overflowPunct w:val="0"/>
        <w:adjustRightInd w:val="0"/>
        <w:snapToGrid w:val="0"/>
        <w:spacing w:line="33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第一条　合同标的</w:t>
      </w:r>
    </w:p>
    <w:p w14:paraId="76C87F51">
      <w:pPr>
        <w:kinsoku w:val="0"/>
        <w:overflowPunct w:val="0"/>
        <w:adjustRightInd w:val="0"/>
        <w:snapToGrid w:val="0"/>
        <w:spacing w:line="330" w:lineRule="exact"/>
        <w:ind w:right="420" w:firstLine="420"/>
        <w:rPr>
          <w:rFonts w:ascii="宋体" w:hAnsi="宋体" w:cs="宋体"/>
          <w:color w:val="auto"/>
          <w:spacing w:val="-4"/>
          <w:szCs w:val="21"/>
          <w:highlight w:val="none"/>
          <w:u w:val="single"/>
        </w:rPr>
      </w:pPr>
      <w:r>
        <w:rPr>
          <w:rFonts w:hint="eastAsia" w:ascii="宋体" w:hAnsi="宋体" w:cs="宋体"/>
          <w:color w:val="auto"/>
          <w:szCs w:val="21"/>
          <w:highlight w:val="none"/>
        </w:rPr>
        <w:t>1.服务内容：</w:t>
      </w:r>
      <w:r>
        <w:rPr>
          <w:rFonts w:hint="eastAsia" w:ascii="宋体" w:hAnsi="宋体" w:cs="宋体"/>
          <w:color w:val="auto"/>
          <w:szCs w:val="21"/>
          <w:highlight w:val="none"/>
          <w:u w:val="single"/>
          <w:lang w:val="en-US" w:eastAsia="zh-CN"/>
        </w:rPr>
        <w:t xml:space="preserve">                             </w:t>
      </w:r>
    </w:p>
    <w:p w14:paraId="7B5A8501">
      <w:pPr>
        <w:kinsoku w:val="0"/>
        <w:overflowPunct w:val="0"/>
        <w:adjustRightInd w:val="0"/>
        <w:snapToGrid w:val="0"/>
        <w:spacing w:line="330" w:lineRule="exact"/>
        <w:ind w:right="420" w:firstLine="420"/>
        <w:rPr>
          <w:rFonts w:ascii="宋体" w:hAnsi="宋体" w:cs="宋体"/>
          <w:color w:val="auto"/>
          <w:spacing w:val="-4"/>
          <w:szCs w:val="21"/>
          <w:highlight w:val="none"/>
          <w:u w:val="single"/>
        </w:rPr>
      </w:pPr>
      <w:r>
        <w:rPr>
          <w:rFonts w:hint="eastAsia" w:ascii="宋体" w:hAnsi="宋体" w:cs="宋体"/>
          <w:color w:val="auto"/>
          <w:szCs w:val="21"/>
          <w:highlight w:val="none"/>
        </w:rPr>
        <w:t>2.服务地点：</w:t>
      </w:r>
      <w:r>
        <w:rPr>
          <w:rFonts w:hint="eastAsia" w:ascii="宋体" w:hAnsi="宋体" w:cs="宋体"/>
          <w:color w:val="auto"/>
          <w:szCs w:val="21"/>
          <w:highlight w:val="none"/>
          <w:u w:val="single"/>
          <w:lang w:val="en-US" w:eastAsia="zh-CN"/>
        </w:rPr>
        <w:t xml:space="preserve">                             </w:t>
      </w:r>
    </w:p>
    <w:p w14:paraId="2DBCF360">
      <w:pPr>
        <w:kinsoku w:val="0"/>
        <w:overflowPunct w:val="0"/>
        <w:adjustRightInd w:val="0"/>
        <w:snapToGrid w:val="0"/>
        <w:spacing w:line="330" w:lineRule="exact"/>
        <w:ind w:right="420" w:firstLine="420"/>
        <w:rPr>
          <w:rFonts w:ascii="宋体" w:hAnsi="宋体" w:cs="宋体"/>
          <w:color w:val="auto"/>
          <w:szCs w:val="21"/>
          <w:highlight w:val="none"/>
        </w:rPr>
      </w:pPr>
      <w:r>
        <w:rPr>
          <w:rFonts w:hint="eastAsia" w:ascii="宋体" w:hAnsi="宋体" w:cs="宋体"/>
          <w:color w:val="auto"/>
          <w:szCs w:val="21"/>
          <w:highlight w:val="none"/>
        </w:rPr>
        <w:t>3.服务期限：</w:t>
      </w:r>
      <w:r>
        <w:rPr>
          <w:rFonts w:hint="eastAsia" w:ascii="宋体" w:hAnsi="宋体" w:cs="宋体"/>
          <w:color w:val="auto"/>
          <w:szCs w:val="21"/>
          <w:highlight w:val="none"/>
          <w:u w:val="single"/>
          <w:lang w:val="en-US" w:eastAsia="zh-CN"/>
        </w:rPr>
        <w:t xml:space="preserve">                             </w:t>
      </w:r>
    </w:p>
    <w:p w14:paraId="7C9DB794">
      <w:pPr>
        <w:kinsoku w:val="0"/>
        <w:overflowPunct w:val="0"/>
        <w:adjustRightInd w:val="0"/>
        <w:snapToGrid w:val="0"/>
        <w:spacing w:line="330" w:lineRule="exact"/>
        <w:ind w:right="420"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服务费用</w:t>
      </w:r>
      <w:r>
        <w:rPr>
          <w:rFonts w:hint="eastAsia" w:ascii="宋体" w:hAnsi="宋体" w:cs="宋体"/>
          <w:color w:val="auto"/>
          <w:szCs w:val="21"/>
          <w:highlight w:val="none"/>
        </w:rPr>
        <w:t>：</w:t>
      </w:r>
    </w:p>
    <w:p w14:paraId="796D30EF">
      <w:pPr>
        <w:kinsoku w:val="0"/>
        <w:overflowPunct w:val="0"/>
        <w:adjustRightInd w:val="0"/>
        <w:snapToGrid w:val="0"/>
        <w:spacing w:line="330" w:lineRule="exact"/>
        <w:ind w:right="420" w:firstLine="420"/>
        <w:rPr>
          <w:rFonts w:hint="eastAsia" w:ascii="宋体" w:hAnsi="宋体" w:cs="宋体"/>
          <w:color w:val="auto"/>
          <w:szCs w:val="21"/>
          <w:highlight w:val="none"/>
        </w:rPr>
      </w:pPr>
      <w:r>
        <w:rPr>
          <w:rFonts w:hint="eastAsia" w:ascii="宋体" w:hAnsi="宋体" w:cs="宋体"/>
          <w:color w:val="auto"/>
          <w:szCs w:val="21"/>
          <w:highlight w:val="none"/>
        </w:rPr>
        <w:t>4.1本项目采用固定总价合同方式，合同总价：</w:t>
      </w:r>
      <w:r>
        <w:rPr>
          <w:rFonts w:hint="eastAsia" w:cs="宋体" w:asciiTheme="minorEastAsia" w:hAnsiTheme="minorEastAsia" w:eastAsiaTheme="minorEastAsia"/>
          <w:bCs/>
          <w:color w:val="auto"/>
          <w:szCs w:val="21"/>
          <w:highlight w:val="none"/>
          <w:u w:val="single"/>
          <w:lang w:val="en-US" w:eastAsia="zh-CN" w:bidi="ar"/>
        </w:rPr>
        <w:t xml:space="preserve">           </w:t>
      </w:r>
      <w:r>
        <w:rPr>
          <w:rFonts w:hint="eastAsia" w:cs="宋体" w:asciiTheme="minorEastAsia" w:hAnsiTheme="minorEastAsia" w:eastAsiaTheme="minorEastAsia"/>
          <w:bCs/>
          <w:color w:val="auto"/>
          <w:szCs w:val="21"/>
          <w:highlight w:val="none"/>
          <w:u w:val="single"/>
          <w:lang w:bidi="ar"/>
        </w:rPr>
        <w:t>（¥</w:t>
      </w:r>
      <w:r>
        <w:rPr>
          <w:rFonts w:hint="eastAsia" w:ascii="宋体" w:hAnsi="宋体" w:cs="宋体"/>
          <w:color w:val="auto"/>
          <w:kern w:val="2"/>
          <w:sz w:val="21"/>
          <w:szCs w:val="21"/>
          <w:highlight w:val="none"/>
          <w:u w:val="single"/>
          <w:lang w:val="en-US" w:eastAsia="zh-CN" w:bidi="ar-SA"/>
        </w:rPr>
        <w:t xml:space="preserve">        </w:t>
      </w:r>
      <w:r>
        <w:rPr>
          <w:rFonts w:hint="eastAsia" w:cs="宋体" w:asciiTheme="minorEastAsia" w:hAnsiTheme="minorEastAsia" w:eastAsiaTheme="minorEastAsia"/>
          <w:bCs/>
          <w:color w:val="auto"/>
          <w:szCs w:val="21"/>
          <w:highlight w:val="none"/>
          <w:u w:val="single"/>
          <w:lang w:bidi="ar"/>
        </w:rPr>
        <w:t>）</w:t>
      </w:r>
      <w:r>
        <w:rPr>
          <w:rFonts w:hint="eastAsia" w:cs="宋体" w:asciiTheme="minorEastAsia" w:hAnsiTheme="minorEastAsia" w:eastAsiaTheme="minorEastAsia"/>
          <w:bCs/>
          <w:color w:val="auto"/>
          <w:szCs w:val="21"/>
          <w:highlight w:val="none"/>
          <w:lang w:bidi="ar"/>
        </w:rPr>
        <w:t>。</w:t>
      </w:r>
      <w:r>
        <w:rPr>
          <w:rFonts w:hint="eastAsia" w:ascii="宋体" w:hAnsi="宋体" w:cs="宋体"/>
          <w:color w:val="auto"/>
          <w:szCs w:val="21"/>
          <w:highlight w:val="none"/>
        </w:rPr>
        <w:t xml:space="preserve">    </w:t>
      </w:r>
    </w:p>
    <w:p w14:paraId="0822E3AD">
      <w:pPr>
        <w:keepNext w:val="0"/>
        <w:keepLines w:val="0"/>
        <w:pageBreakBefore w:val="0"/>
        <w:widowControl w:val="0"/>
        <w:kinsoku w:val="0"/>
        <w:wordWrap w:val="0"/>
        <w:overflowPunct w:val="0"/>
        <w:topLinePunct/>
        <w:autoSpaceDE/>
        <w:autoSpaceDN/>
        <w:bidi w:val="0"/>
        <w:adjustRightInd w:val="0"/>
        <w:snapToGrid w:val="0"/>
        <w:spacing w:line="330" w:lineRule="exact"/>
        <w:ind w:right="0"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4.2合同总价金额指：本项目实行费用包干制，本合同价款包含但不限于服务费、人工劳务费、</w:t>
      </w:r>
      <w:r>
        <w:rPr>
          <w:rFonts w:hint="eastAsia" w:ascii="宋体" w:hAnsi="宋体" w:cs="宋体"/>
          <w:color w:val="auto"/>
          <w:szCs w:val="21"/>
          <w:highlight w:val="none"/>
          <w:lang w:eastAsia="zh-CN"/>
        </w:rPr>
        <w:t>管理费、</w:t>
      </w:r>
      <w:r>
        <w:rPr>
          <w:rFonts w:hint="eastAsia" w:ascii="宋体" w:hAnsi="宋体" w:cs="宋体"/>
          <w:color w:val="auto"/>
          <w:szCs w:val="21"/>
          <w:highlight w:val="none"/>
        </w:rPr>
        <w:t>材料费、配套设备的货款、运输、</w:t>
      </w:r>
      <w:r>
        <w:rPr>
          <w:rFonts w:hint="eastAsia" w:ascii="宋体" w:hAnsi="宋体" w:cs="宋体"/>
          <w:color w:val="auto"/>
          <w:szCs w:val="21"/>
          <w:highlight w:val="none"/>
          <w:lang w:eastAsia="zh-CN"/>
        </w:rPr>
        <w:t>设备采购及</w:t>
      </w:r>
      <w:r>
        <w:rPr>
          <w:rFonts w:hint="eastAsia" w:ascii="宋体" w:hAnsi="宋体" w:cs="宋体"/>
          <w:color w:val="auto"/>
          <w:szCs w:val="21"/>
          <w:highlight w:val="none"/>
        </w:rPr>
        <w:t>安装、 调试、印刷、广告宣传、利润、必要的保险费用和各项税金、组织、策划、</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代理服务费等完成本项目采购的可预见及不可预见的所有成本及费用的总和，除合同价款及甲方认可的特殊情况外，甲方不再为本项目另付其他任何费用给乙方。</w:t>
      </w:r>
    </w:p>
    <w:p w14:paraId="546F4CE4">
      <w:pPr>
        <w:kinsoku w:val="0"/>
        <w:overflowPunct w:val="0"/>
        <w:adjustRightInd w:val="0"/>
        <w:snapToGrid w:val="0"/>
        <w:spacing w:line="330" w:lineRule="exact"/>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第二条  付款方式</w:t>
      </w:r>
    </w:p>
    <w:p w14:paraId="1206A03C">
      <w:pPr>
        <w:kinsoku w:val="0"/>
        <w:overflowPunct w:val="0"/>
        <w:adjustRightInd w:val="0"/>
        <w:snapToGrid w:val="0"/>
        <w:spacing w:line="33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1.资金性质：</w:t>
      </w:r>
      <w:r>
        <w:rPr>
          <w:rFonts w:hint="eastAsia" w:ascii="宋体" w:hAnsi="宋体" w:cs="宋体"/>
          <w:color w:val="auto"/>
          <w:szCs w:val="21"/>
          <w:highlight w:val="none"/>
          <w:u w:val="single"/>
        </w:rPr>
        <w:t>财政资金</w:t>
      </w:r>
      <w:r>
        <w:rPr>
          <w:rFonts w:hint="eastAsia" w:ascii="宋体" w:hAnsi="宋体" w:cs="宋体"/>
          <w:color w:val="auto"/>
          <w:szCs w:val="21"/>
          <w:highlight w:val="none"/>
        </w:rPr>
        <w:t>。</w:t>
      </w:r>
    </w:p>
    <w:p w14:paraId="122E9DC7">
      <w:pPr>
        <w:kinsoku w:val="0"/>
        <w:overflowPunct w:val="0"/>
        <w:adjustRightInd w:val="0"/>
        <w:snapToGrid w:val="0"/>
        <w:spacing w:line="330" w:lineRule="exact"/>
        <w:ind w:right="33" w:firstLine="420" w:firstLineChars="200"/>
        <w:rPr>
          <w:rFonts w:ascii="宋体" w:hAnsi="宋体" w:cs="宋体"/>
          <w:color w:val="auto"/>
          <w:szCs w:val="21"/>
          <w:highlight w:val="none"/>
        </w:rPr>
      </w:pPr>
      <w:r>
        <w:rPr>
          <w:rFonts w:hint="eastAsia" w:ascii="宋体" w:hAnsi="宋体" w:cs="宋体"/>
          <w:color w:val="auto"/>
          <w:szCs w:val="21"/>
          <w:highlight w:val="none"/>
        </w:rPr>
        <w:t>2.付款方式：</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 xml:space="preserve">                    </w:t>
      </w:r>
    </w:p>
    <w:p w14:paraId="7EB8EF90">
      <w:pPr>
        <w:kinsoku w:val="0"/>
        <w:overflowPunct w:val="0"/>
        <w:adjustRightInd w:val="0"/>
        <w:snapToGrid w:val="0"/>
        <w:spacing w:line="33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第三条　服务保证</w:t>
      </w:r>
    </w:p>
    <w:p w14:paraId="762F8996">
      <w:pPr>
        <w:kinsoku w:val="0"/>
        <w:overflowPunct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乙方所提供的服务内容、范围、质量及乙方对本项目商务要求的实际响应必须与磋商文件的要求及乙方响应文件的承诺相一致。（内容详见附件）</w:t>
      </w:r>
    </w:p>
    <w:p w14:paraId="1FDD9C16">
      <w:pPr>
        <w:kinsoku w:val="0"/>
        <w:overflowPunct w:val="0"/>
        <w:adjustRightInd w:val="0"/>
        <w:snapToGrid w:val="0"/>
        <w:spacing w:line="33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第四条　验收</w:t>
      </w:r>
    </w:p>
    <w:p w14:paraId="26A145F4">
      <w:pPr>
        <w:kinsoku w:val="0"/>
        <w:overflowPunct w:val="0"/>
        <w:adjustRightInd w:val="0"/>
        <w:snapToGrid w:val="0"/>
        <w:spacing w:line="330" w:lineRule="exact"/>
        <w:ind w:left="-61" w:leftChars="-29" w:firstLine="525" w:firstLineChars="250"/>
        <w:rPr>
          <w:rFonts w:ascii="宋体" w:hAnsi="宋体" w:cs="宋体"/>
          <w:color w:val="auto"/>
          <w:szCs w:val="21"/>
          <w:highlight w:val="none"/>
        </w:rPr>
      </w:pPr>
      <w:r>
        <w:rPr>
          <w:rFonts w:hint="eastAsia" w:ascii="宋体" w:hAnsi="宋体" w:cs="宋体"/>
          <w:color w:val="auto"/>
          <w:szCs w:val="21"/>
          <w:highlight w:val="none"/>
        </w:rPr>
        <w:t>1.乙方必须按时、按要求完成本项目的各项服务内容；</w:t>
      </w:r>
    </w:p>
    <w:p w14:paraId="0E3F9B96">
      <w:pPr>
        <w:kinsoku w:val="0"/>
        <w:overflowPunct w:val="0"/>
        <w:adjustRightInd w:val="0"/>
        <w:snapToGrid w:val="0"/>
        <w:spacing w:line="330" w:lineRule="exact"/>
        <w:ind w:left="-61" w:leftChars="-29" w:firstLine="525" w:firstLineChars="250"/>
        <w:rPr>
          <w:rFonts w:ascii="宋体" w:hAnsi="宋体" w:cs="宋体"/>
          <w:color w:val="auto"/>
          <w:szCs w:val="21"/>
          <w:highlight w:val="none"/>
        </w:rPr>
      </w:pPr>
      <w:r>
        <w:rPr>
          <w:rFonts w:hint="eastAsia" w:ascii="宋体" w:hAnsi="宋体" w:cs="宋体"/>
          <w:color w:val="auto"/>
          <w:szCs w:val="21"/>
          <w:highlight w:val="none"/>
        </w:rPr>
        <w:t>2.本项目服务工作完成后应及时通知甲方进行验收，并提出验收方案供甲方参考，经甲乙双方修改确认后可作为最终验收标准的依据。甲方或其委托机构负责本合同内容的验收。验收时乙方必须派员在场。</w:t>
      </w:r>
    </w:p>
    <w:p w14:paraId="2CE98E18">
      <w:pPr>
        <w:kinsoku w:val="0"/>
        <w:overflowPunct w:val="0"/>
        <w:adjustRightInd w:val="0"/>
        <w:snapToGrid w:val="0"/>
        <w:spacing w:line="330" w:lineRule="exact"/>
        <w:ind w:left="-61" w:leftChars="-29" w:firstLine="525" w:firstLineChars="250"/>
        <w:rPr>
          <w:rFonts w:ascii="宋体" w:hAnsi="宋体" w:cs="宋体"/>
          <w:color w:val="auto"/>
          <w:szCs w:val="21"/>
          <w:highlight w:val="none"/>
        </w:rPr>
      </w:pPr>
      <w:r>
        <w:rPr>
          <w:rFonts w:hint="eastAsia" w:ascii="宋体" w:hAnsi="宋体" w:cs="宋体"/>
          <w:color w:val="auto"/>
          <w:szCs w:val="21"/>
          <w:highlight w:val="none"/>
        </w:rPr>
        <w:t>3.甲方应在乙方提出验收要求后</w:t>
      </w:r>
      <w:r>
        <w:rPr>
          <w:rFonts w:hint="eastAsia" w:ascii="宋体" w:hAnsi="宋体" w:cs="宋体"/>
          <w:color w:val="auto"/>
          <w:szCs w:val="21"/>
          <w:highlight w:val="none"/>
          <w:u w:val="single"/>
        </w:rPr>
        <w:t xml:space="preserve"> 5 </w:t>
      </w:r>
      <w:r>
        <w:rPr>
          <w:rFonts w:hint="eastAsia" w:ascii="宋体" w:hAnsi="宋体" w:cs="宋体"/>
          <w:color w:val="auto"/>
          <w:szCs w:val="21"/>
          <w:highlight w:val="none"/>
        </w:rPr>
        <w:t>个工作日内组织由甲方人员或聘请的专家的验收小组，对乙方提供的服务和服务成果进行验收。</w:t>
      </w:r>
    </w:p>
    <w:p w14:paraId="4464DAB7">
      <w:pPr>
        <w:kinsoku w:val="0"/>
        <w:overflowPunct w:val="0"/>
        <w:adjustRightInd w:val="0"/>
        <w:snapToGrid w:val="0"/>
        <w:spacing w:line="330" w:lineRule="exact"/>
        <w:ind w:left="-61" w:leftChars="-29" w:firstLine="525" w:firstLineChars="250"/>
        <w:rPr>
          <w:rFonts w:ascii="宋体" w:hAnsi="宋体" w:cs="宋体"/>
          <w:color w:val="auto"/>
          <w:szCs w:val="21"/>
          <w:highlight w:val="none"/>
        </w:rPr>
      </w:pPr>
      <w:r>
        <w:rPr>
          <w:rFonts w:hint="eastAsia" w:ascii="宋体" w:hAnsi="宋体" w:cs="宋体"/>
          <w:color w:val="auto"/>
          <w:szCs w:val="21"/>
          <w:highlight w:val="none"/>
        </w:rPr>
        <w:t>4.如果服务成果验收不合格，乙方应按甲方要求在规定时间内整改完毕，并再次提请甲方验收。如果再次验收仍不合格，甲方有权对此进行罚款，罚款额按每追加验收一次为该项目应付合同款项的3%计收。</w:t>
      </w:r>
    </w:p>
    <w:p w14:paraId="69DA2C91">
      <w:pPr>
        <w:kinsoku w:val="0"/>
        <w:overflowPunct w:val="0"/>
        <w:adjustRightInd w:val="0"/>
        <w:snapToGrid w:val="0"/>
        <w:spacing w:line="330" w:lineRule="exact"/>
        <w:ind w:left="-61" w:leftChars="-29" w:firstLine="422" w:firstLineChars="200"/>
        <w:rPr>
          <w:rFonts w:ascii="宋体" w:hAnsi="宋体" w:cs="宋体"/>
          <w:b/>
          <w:color w:val="auto"/>
          <w:szCs w:val="21"/>
          <w:highlight w:val="none"/>
        </w:rPr>
      </w:pPr>
      <w:r>
        <w:rPr>
          <w:rFonts w:hint="eastAsia" w:ascii="宋体" w:hAnsi="宋体" w:cs="宋体"/>
          <w:b/>
          <w:color w:val="auto"/>
          <w:szCs w:val="21"/>
          <w:highlight w:val="none"/>
        </w:rPr>
        <w:t>第五条　</w:t>
      </w:r>
      <w:r>
        <w:rPr>
          <w:rFonts w:hint="eastAsia" w:ascii="宋体" w:hAnsi="宋体" w:cs="宋体"/>
          <w:b/>
          <w:color w:val="auto"/>
          <w:highlight w:val="none"/>
        </w:rPr>
        <w:t>双方的权利和义务</w:t>
      </w:r>
    </w:p>
    <w:p w14:paraId="3B9A2CFD">
      <w:pPr>
        <w:pStyle w:val="41"/>
        <w:widowControl w:val="0"/>
        <w:shd w:val="clear" w:color="auto" w:fill="FCFCFC"/>
        <w:wordWrap w:val="0"/>
        <w:spacing w:before="0" w:beforeAutospacing="0" w:after="0" w:afterAutospacing="0" w:line="330" w:lineRule="exact"/>
        <w:ind w:firstLine="422" w:firstLineChars="200"/>
        <w:rPr>
          <w:b/>
          <w:bCs/>
          <w:color w:val="auto"/>
          <w:sz w:val="21"/>
          <w:szCs w:val="21"/>
          <w:highlight w:val="none"/>
        </w:rPr>
      </w:pPr>
      <w:r>
        <w:rPr>
          <w:rFonts w:hint="eastAsia"/>
          <w:b/>
          <w:bCs/>
          <w:color w:val="auto"/>
          <w:sz w:val="21"/>
          <w:szCs w:val="21"/>
          <w:highlight w:val="none"/>
        </w:rPr>
        <w:t>1.甲方的权利和义务</w:t>
      </w:r>
    </w:p>
    <w:p w14:paraId="5EACB5BB">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 xml:space="preserve">1.1甲方有权随时检查乙方的服务履行情况，并向乙方提出修改意见。  </w:t>
      </w:r>
    </w:p>
    <w:p w14:paraId="779C5052">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 xml:space="preserve">1.2当发生乙方服务违约时，则甲方有权按本合同第八条的规定，在支付乙方服务款项中进行扣款。  </w:t>
      </w:r>
    </w:p>
    <w:p w14:paraId="17F8F89D">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1.3</w:t>
      </w:r>
      <w:r>
        <w:rPr>
          <w:rFonts w:hint="eastAsia"/>
          <w:bCs/>
          <w:color w:val="auto"/>
          <w:sz w:val="21"/>
          <w:szCs w:val="21"/>
          <w:highlight w:val="none"/>
        </w:rPr>
        <w:t>乙方提供不符合磋商文件、响应文件和本合同规定的服务，甲方有权拒绝接受。</w:t>
      </w:r>
    </w:p>
    <w:p w14:paraId="6CDF74C0">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1.4甲方应按合同规定及时向乙方支付服务费用。</w:t>
      </w:r>
    </w:p>
    <w:p w14:paraId="0354C3CC">
      <w:pPr>
        <w:pStyle w:val="42"/>
        <w:widowControl w:val="0"/>
        <w:shd w:val="clear" w:color="auto" w:fill="FCFCFC"/>
        <w:wordWrap w:val="0"/>
        <w:spacing w:before="0" w:beforeAutospacing="0" w:after="0" w:afterAutospacing="0" w:line="330" w:lineRule="exact"/>
        <w:ind w:firstLine="422" w:firstLineChars="200"/>
        <w:rPr>
          <w:color w:val="auto"/>
          <w:sz w:val="21"/>
          <w:szCs w:val="21"/>
          <w:highlight w:val="none"/>
        </w:rPr>
      </w:pPr>
      <w:r>
        <w:rPr>
          <w:rFonts w:hint="eastAsia"/>
          <w:b/>
          <w:bCs/>
          <w:color w:val="auto"/>
          <w:sz w:val="21"/>
          <w:szCs w:val="21"/>
          <w:highlight w:val="none"/>
        </w:rPr>
        <w:t>2.乙方的权利和义务</w:t>
      </w:r>
      <w:r>
        <w:rPr>
          <w:rFonts w:hint="eastAsia"/>
          <w:color w:val="auto"/>
          <w:sz w:val="21"/>
          <w:szCs w:val="21"/>
          <w:highlight w:val="none"/>
        </w:rPr>
        <w:t xml:space="preserve">  </w:t>
      </w:r>
    </w:p>
    <w:p w14:paraId="5E2A36DB">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2.1乙方的合同义务不得转让或以其他方式形成实质转移，必须自行履行合同义务。</w:t>
      </w:r>
    </w:p>
    <w:p w14:paraId="45ED3A3C">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2.2乙方保证使用的图片和文字不侵犯任何第三方的知识产权或其他权利，符合中华人民共和国的法律规定，对因违反相关法律规定而产生的相关责任，由乙方负责。</w:t>
      </w:r>
    </w:p>
    <w:p w14:paraId="06EAE0C1">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2.3在合同范围内为甲方提供良好的配套服务。</w:t>
      </w:r>
    </w:p>
    <w:p w14:paraId="34F9AAB7">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 xml:space="preserve">2.4乙方必须严格按甲方的要求及乙方响应文件的承诺保质保量地完成本项目磋商文件中规定的各项服务内容，并按甲方的要求对项目实施过程中出现的问题及时进行整改。如由于乙方原因造成失误，甲方有权追究乙方相应责任。  </w:t>
      </w:r>
    </w:p>
    <w:p w14:paraId="043491DC">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2.5乙方对项目负有保密义务，未经甲方允许，不得外泄项目任何信息；因乙方擅自外泄项目信息，而造成不良影响或损失的，乙方承担相应责任。</w:t>
      </w:r>
    </w:p>
    <w:p w14:paraId="62627B0E">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2.6乙方有权要求甲方按时支付服务费用。如甲方不按时支付乙方有权按本合同第八条的规定要求甲方支付滞纳金。</w:t>
      </w:r>
    </w:p>
    <w:p w14:paraId="34B9D17D">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2.7在合同期内做好后勤保障及安全保障工作，自行承担由本项目实施期间所引发的全部安全责任。 2.8在合同期内，由于乙方原因造成的一切纠纷，概与甲方无关。</w:t>
      </w:r>
    </w:p>
    <w:p w14:paraId="05692762">
      <w:pPr>
        <w:pStyle w:val="41"/>
        <w:widowControl w:val="0"/>
        <w:shd w:val="clear" w:color="auto" w:fill="FCFCFC"/>
        <w:wordWrap w:val="0"/>
        <w:spacing w:before="0" w:beforeAutospacing="0" w:after="0" w:afterAutospacing="0" w:line="330" w:lineRule="exact"/>
        <w:ind w:firstLine="420" w:firstLineChars="200"/>
        <w:rPr>
          <w:color w:val="auto"/>
          <w:sz w:val="21"/>
          <w:szCs w:val="21"/>
          <w:highlight w:val="none"/>
        </w:rPr>
      </w:pPr>
      <w:r>
        <w:rPr>
          <w:rFonts w:hint="eastAsia"/>
          <w:color w:val="auto"/>
          <w:sz w:val="21"/>
          <w:szCs w:val="21"/>
          <w:highlight w:val="none"/>
        </w:rPr>
        <w:t>2.9乙方发生任何服务的变更均须向甲方提出交书面报审报告。</w:t>
      </w:r>
    </w:p>
    <w:p w14:paraId="08FE4324">
      <w:pPr>
        <w:pStyle w:val="41"/>
        <w:widowControl w:val="0"/>
        <w:shd w:val="clear" w:color="auto" w:fill="FCFCFC"/>
        <w:wordWrap w:val="0"/>
        <w:spacing w:before="0" w:beforeAutospacing="0" w:after="0" w:afterAutospacing="0" w:line="330" w:lineRule="exact"/>
        <w:ind w:left="525" w:leftChars="200" w:hanging="105" w:hangingChars="50"/>
        <w:rPr>
          <w:color w:val="auto"/>
          <w:sz w:val="21"/>
          <w:szCs w:val="21"/>
          <w:highlight w:val="none"/>
        </w:rPr>
      </w:pPr>
      <w:r>
        <w:rPr>
          <w:rFonts w:hint="eastAsia"/>
          <w:color w:val="auto"/>
          <w:sz w:val="21"/>
          <w:szCs w:val="21"/>
          <w:highlight w:val="none"/>
        </w:rPr>
        <w:t>2.10对本项目的相关成果资料负有保密责任，不得泄露给第三者，也不得超越合同范围使用或转让。</w:t>
      </w:r>
    </w:p>
    <w:p w14:paraId="48808F17">
      <w:pPr>
        <w:pStyle w:val="41"/>
        <w:widowControl w:val="0"/>
        <w:shd w:val="clear" w:color="auto" w:fill="FCFCFC"/>
        <w:wordWrap w:val="0"/>
        <w:spacing w:before="0" w:beforeAutospacing="0" w:after="0" w:afterAutospacing="0" w:line="330" w:lineRule="exact"/>
        <w:ind w:left="525" w:leftChars="200" w:hanging="105" w:hangingChars="50"/>
        <w:rPr>
          <w:color w:val="auto"/>
          <w:sz w:val="21"/>
          <w:szCs w:val="21"/>
          <w:highlight w:val="none"/>
        </w:rPr>
      </w:pPr>
      <w:r>
        <w:rPr>
          <w:rFonts w:hint="eastAsia"/>
          <w:color w:val="auto"/>
          <w:sz w:val="21"/>
          <w:szCs w:val="21"/>
          <w:highlight w:val="none"/>
        </w:rPr>
        <w:t>2.11乙方在本项目中应承担的责任及义务详见本项目磋商文件第</w:t>
      </w:r>
      <w:r>
        <w:rPr>
          <w:rFonts w:hint="eastAsia"/>
          <w:color w:val="auto"/>
          <w:sz w:val="21"/>
          <w:szCs w:val="21"/>
          <w:highlight w:val="none"/>
          <w:lang w:eastAsia="zh-CN"/>
        </w:rPr>
        <w:t>四部分</w:t>
      </w:r>
      <w:r>
        <w:rPr>
          <w:rFonts w:hint="eastAsia"/>
          <w:color w:val="auto"/>
          <w:sz w:val="21"/>
          <w:szCs w:val="21"/>
          <w:highlight w:val="none"/>
        </w:rPr>
        <w:t>《采购项目需求》。</w:t>
      </w:r>
    </w:p>
    <w:p w14:paraId="70E098E8">
      <w:pPr>
        <w:wordWrap w:val="0"/>
        <w:adjustRightInd w:val="0"/>
        <w:snapToGrid w:val="0"/>
        <w:spacing w:line="33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第六条税费  </w:t>
      </w:r>
    </w:p>
    <w:p w14:paraId="06685639">
      <w:pPr>
        <w:wordWrap w:val="0"/>
        <w:adjustRightInd w:val="0"/>
        <w:snapToGrid w:val="0"/>
        <w:spacing w:line="330" w:lineRule="exact"/>
        <w:ind w:firstLine="420" w:firstLineChars="200"/>
        <w:rPr>
          <w:rFonts w:ascii="宋体" w:hAnsi="宋体" w:cs="宋体"/>
          <w:b/>
          <w:color w:val="auto"/>
          <w:highlight w:val="none"/>
        </w:rPr>
      </w:pPr>
      <w:r>
        <w:rPr>
          <w:rFonts w:hint="eastAsia" w:ascii="宋体" w:hAnsi="宋体" w:cs="宋体"/>
          <w:color w:val="auto"/>
          <w:szCs w:val="21"/>
          <w:highlight w:val="none"/>
        </w:rPr>
        <w:t>本合同执行中相关的一切税</w:t>
      </w:r>
      <w:r>
        <w:rPr>
          <w:rFonts w:hint="eastAsia" w:ascii="宋体" w:hAnsi="宋体" w:cs="宋体"/>
          <w:color w:val="auto"/>
          <w:highlight w:val="none"/>
        </w:rPr>
        <w:t>费均由乙方负担。</w:t>
      </w:r>
    </w:p>
    <w:p w14:paraId="285F57A0">
      <w:pPr>
        <w:wordWrap w:val="0"/>
        <w:adjustRightInd w:val="0"/>
        <w:snapToGrid w:val="0"/>
        <w:spacing w:line="330" w:lineRule="exact"/>
        <w:ind w:firstLine="422" w:firstLineChars="200"/>
        <w:rPr>
          <w:rFonts w:ascii="宋体" w:hAnsi="宋体" w:cs="宋体"/>
          <w:b/>
          <w:color w:val="auto"/>
          <w:szCs w:val="21"/>
          <w:highlight w:val="none"/>
        </w:rPr>
      </w:pPr>
      <w:r>
        <w:rPr>
          <w:rFonts w:hint="eastAsia" w:ascii="宋体" w:hAnsi="宋体" w:cs="宋体"/>
          <w:b/>
          <w:color w:val="auto"/>
          <w:highlight w:val="none"/>
        </w:rPr>
        <w:t>第七条　违约责任</w:t>
      </w:r>
    </w:p>
    <w:p w14:paraId="7B211D1C">
      <w:pPr>
        <w:wordWrap w:val="0"/>
        <w:adjustRightInd w:val="0"/>
        <w:snapToGrid w:val="0"/>
        <w:spacing w:line="330" w:lineRule="exact"/>
        <w:ind w:firstLine="420" w:firstLineChars="200"/>
        <w:rPr>
          <w:rFonts w:ascii="宋体" w:hAnsi="宋体" w:cs="宋体"/>
          <w:color w:val="auto"/>
          <w:spacing w:val="-4"/>
          <w:szCs w:val="21"/>
          <w:highlight w:val="none"/>
        </w:rPr>
      </w:pPr>
      <w:r>
        <w:rPr>
          <w:rFonts w:hint="eastAsia" w:ascii="宋体" w:hAnsi="宋体" w:cs="宋体"/>
          <w:color w:val="auto"/>
          <w:szCs w:val="21"/>
          <w:highlight w:val="none"/>
        </w:rPr>
        <w:t>1. 在合同履行期间，甲方要求终止或解除合同，乙方未开始服务工作的，不退还甲方已付的预付款；已开始服务服务工作的，甲方应根据乙方已进行的实际工作量，不足一半时，按该阶段服务费的一半支付；超过一半时，按该阶段服务费的全部支付。</w:t>
      </w:r>
    </w:p>
    <w:p w14:paraId="322CB0BD">
      <w:pPr>
        <w:wordWrap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2.甲方应按本合同规定的金额和时间向乙方支付服务费，每逾期支付一天，应承担支付金额千分之二的逾期违约金。逾期超过30天以上时，乙方有权暂停履行下阶段工作，并书面通知甲方。</w:t>
      </w:r>
    </w:p>
    <w:p w14:paraId="7A3B37F7">
      <w:pPr>
        <w:wordWrap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乙方对服务出现的遗漏或错误负责修改或补充。由于乙方人员错误造成服务质量事故损失，乙方除负责采取补救措施外，应免收直接受损失部分的服务费。损失严重的根据损失的程度和乙方责任大小向甲方支付赔偿金，给甲方造成的损失超过违约金额的，乙方应给甲方高出违约金的部分予以赔偿。赔偿金可从乙方履约保证金或服务费中扣除，不足部分由乙方另行补足。</w:t>
      </w:r>
    </w:p>
    <w:p w14:paraId="364CAC43">
      <w:pPr>
        <w:wordWrap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4.乙方应按甲方的要求提供服务，确保相关服务成果通过甲方的验收。如乙方服务质量不高，由此造成返工的，由乙方自行承担由此产生的费用。造成延期提交成果的按本合同第八条第3款处理。</w:t>
      </w:r>
    </w:p>
    <w:p w14:paraId="18D648E7">
      <w:pPr>
        <w:wordWrap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5.乙方逾期交付服务的，每逾期一天乙方应按逾期提供合同价款的1% 向甲方支付违约金，由甲方从待付服务费中扣除。逾期超过</w:t>
      </w:r>
      <w:r>
        <w:rPr>
          <w:rFonts w:hint="eastAsia" w:ascii="宋体" w:hAnsi="宋体" w:cs="宋体"/>
          <w:color w:val="auto"/>
          <w:szCs w:val="21"/>
          <w:highlight w:val="none"/>
          <w:u w:val="single"/>
        </w:rPr>
        <w:t xml:space="preserve">5 </w:t>
      </w:r>
      <w:r>
        <w:rPr>
          <w:rFonts w:hint="eastAsia" w:ascii="宋体" w:hAnsi="宋体" w:cs="宋体"/>
          <w:color w:val="auto"/>
          <w:szCs w:val="21"/>
          <w:highlight w:val="none"/>
        </w:rPr>
        <w:t>个工作日不能提供服务成果的，甲方有权单方面终止本合同，乙方已收取的费用应退回甲方。乙方因逾期提交服务成果或因其他违约行为导致甲方终止合同的，乙方应向甲方支付合同价款总值10％的违约金，如造成甲方损失超过违约金的，超出部分由乙方继续承担赔偿责任。</w:t>
      </w:r>
    </w:p>
    <w:p w14:paraId="16C2475B">
      <w:pPr>
        <w:wordWrap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6.乙方延迟履约、不完全履约或提供的服务不符合磋商文件和响应文件要求的。除支付</w:t>
      </w:r>
      <w:r>
        <w:rPr>
          <w:rFonts w:hint="eastAsia" w:ascii="宋体" w:hAnsi="宋体" w:cs="宋体"/>
          <w:color w:val="auto"/>
          <w:highlight w:val="none"/>
        </w:rPr>
        <w:t>违约金外，仍需继续履行合同或重新提供符合要求的服务。</w:t>
      </w:r>
    </w:p>
    <w:p w14:paraId="3B371653">
      <w:pPr>
        <w:wordWrap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7.合同生效后，乙方要求终止或解除合同，乙方应双倍返还预付款。</w:t>
      </w:r>
    </w:p>
    <w:p w14:paraId="0C55654D">
      <w:pPr>
        <w:wordWrap w:val="0"/>
        <w:adjustRightInd w:val="0"/>
        <w:snapToGrid w:val="0"/>
        <w:spacing w:line="33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第八条  保密条款</w:t>
      </w:r>
    </w:p>
    <w:p w14:paraId="1E5AFADF">
      <w:pPr>
        <w:wordWrap w:val="0"/>
        <w:adjustRightInd w:val="0"/>
        <w:snapToGrid w:val="0"/>
        <w:spacing w:line="33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除本合同另有约定外，在本合同订立前、履行中、终止后，如有甲方书面特别要求保密的，未甲方书面同意，乙方对甲方该项要求提供的资料、信息（包括但不限于商业秘密、技术资料、图纸、数据、以及与业务有关的客户的信息及其他信息等）负保密责任。</w:t>
      </w:r>
    </w:p>
    <w:p w14:paraId="5ED631D2">
      <w:pPr>
        <w:wordWrap w:val="0"/>
        <w:adjustRightInd w:val="0"/>
        <w:snapToGrid w:val="0"/>
        <w:spacing w:line="33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2.如乙方违反上述约定的，乙方应按本合同服务费总额的2%向甲方支付违约金。</w:t>
      </w:r>
    </w:p>
    <w:p w14:paraId="6E185317">
      <w:pPr>
        <w:pStyle w:val="15"/>
        <w:wordWrap w:val="0"/>
        <w:adjustRightInd w:val="0"/>
        <w:snapToGrid w:val="0"/>
        <w:spacing w:line="330" w:lineRule="exact"/>
        <w:ind w:firstLine="420" w:firstLineChars="200"/>
        <w:rPr>
          <w:rFonts w:hAnsi="宋体" w:cs="宋体"/>
          <w:b/>
          <w:color w:val="auto"/>
          <w:highlight w:val="none"/>
        </w:rPr>
      </w:pPr>
      <w:r>
        <w:rPr>
          <w:rFonts w:hint="eastAsia" w:hAnsi="宋体" w:cs="宋体"/>
          <w:bCs/>
          <w:color w:val="auto"/>
          <w:highlight w:val="none"/>
        </w:rPr>
        <w:t>3.本保密条款具有独立性，不受本合同的终止或解除的影响。</w:t>
      </w:r>
    </w:p>
    <w:p w14:paraId="63D3E209">
      <w:pPr>
        <w:pStyle w:val="15"/>
        <w:kinsoku w:val="0"/>
        <w:overflowPunct w:val="0"/>
        <w:adjustRightInd w:val="0"/>
        <w:snapToGrid w:val="0"/>
        <w:spacing w:line="330" w:lineRule="exact"/>
        <w:ind w:firstLine="422" w:firstLineChars="200"/>
        <w:rPr>
          <w:rFonts w:hAnsi="宋体" w:cs="宋体"/>
          <w:b/>
          <w:color w:val="auto"/>
          <w:highlight w:val="none"/>
        </w:rPr>
      </w:pPr>
      <w:r>
        <w:rPr>
          <w:rFonts w:hint="eastAsia" w:hAnsi="宋体" w:cs="宋体"/>
          <w:b/>
          <w:color w:val="auto"/>
          <w:highlight w:val="none"/>
        </w:rPr>
        <w:t>第九条  不可抗力事件处理</w:t>
      </w:r>
    </w:p>
    <w:p w14:paraId="652B7C6E">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1.在合同有效期内，任何一方因不可抗力事件导致不能履行合同，则合同履行期可延长，其延长期与不可抗力影响期相同。</w:t>
      </w:r>
    </w:p>
    <w:p w14:paraId="537EAD11">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2.不可抗力事件发生后，应立即通知对方，并寄送有关权威机构出具的证明。</w:t>
      </w:r>
    </w:p>
    <w:p w14:paraId="157B504E">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3.不可抗力事件延续一百二十天以上，双方应通过友好协商，确定是否继续履行合同。</w:t>
      </w:r>
    </w:p>
    <w:p w14:paraId="6247C057">
      <w:pPr>
        <w:kinsoku w:val="0"/>
        <w:overflowPunct w:val="0"/>
        <w:adjustRightInd w:val="0"/>
        <w:snapToGrid w:val="0"/>
        <w:spacing w:line="33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第十条  合同争议解决</w:t>
      </w:r>
    </w:p>
    <w:p w14:paraId="7212AA71">
      <w:pPr>
        <w:kinsoku w:val="0"/>
        <w:overflowPunct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1.因服务问题发生争议的，应邀请国家认可的质量检测机构对服务质量进行鉴定。服务符合标准或要求的，鉴定费由甲方承担；服务不符合标准或要求的，鉴定费由乙方承担。</w:t>
      </w:r>
    </w:p>
    <w:p w14:paraId="02962108">
      <w:pPr>
        <w:kinsoku w:val="0"/>
        <w:overflowPunct w:val="0"/>
        <w:adjustRightInd w:val="0"/>
        <w:snapToGrid w:val="0"/>
        <w:spacing w:line="330" w:lineRule="exact"/>
        <w:ind w:firstLine="420" w:firstLineChars="200"/>
        <w:rPr>
          <w:rFonts w:ascii="宋体" w:hAnsi="宋体" w:cs="宋体"/>
          <w:b/>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双方在执行合同中所发生的一切争议，应通过协商解决。</w:t>
      </w:r>
      <w:r>
        <w:rPr>
          <w:rFonts w:hint="eastAsia" w:ascii="宋体" w:hAnsi="宋体" w:cs="宋体"/>
          <w:color w:val="auto"/>
          <w:spacing w:val="4"/>
          <w:szCs w:val="21"/>
          <w:highlight w:val="none"/>
        </w:rPr>
        <w:t>如果协商不能解决，可向甲方所在地的</w:t>
      </w:r>
      <w:r>
        <w:rPr>
          <w:rFonts w:hint="eastAsia" w:ascii="宋体" w:hAnsi="宋体" w:cs="宋体"/>
          <w:color w:val="auto"/>
          <w:spacing w:val="4"/>
          <w:szCs w:val="21"/>
          <w:highlight w:val="none"/>
          <w:u w:val="single"/>
        </w:rPr>
        <w:t>仲裁委员会申请仲裁或</w:t>
      </w:r>
      <w:r>
        <w:rPr>
          <w:rFonts w:hint="eastAsia" w:ascii="宋体" w:hAnsi="宋体" w:cs="宋体"/>
          <w:color w:val="auto"/>
          <w:highlight w:val="none"/>
          <w:u w:val="single"/>
        </w:rPr>
        <w:t>人民法院提起诉讼</w:t>
      </w:r>
      <w:r>
        <w:rPr>
          <w:rFonts w:hint="eastAsia" w:ascii="宋体" w:hAnsi="宋体" w:cs="宋体"/>
          <w:color w:val="auto"/>
          <w:szCs w:val="21"/>
          <w:highlight w:val="none"/>
        </w:rPr>
        <w:t>。</w:t>
      </w:r>
    </w:p>
    <w:p w14:paraId="6C81AB7F">
      <w:pPr>
        <w:kinsoku w:val="0"/>
        <w:overflowPunct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3.仲裁或诉讼期间，本合同继续履行。</w:t>
      </w:r>
    </w:p>
    <w:p w14:paraId="60FF12F5">
      <w:pPr>
        <w:pStyle w:val="15"/>
        <w:kinsoku w:val="0"/>
        <w:overflowPunct w:val="0"/>
        <w:adjustRightInd w:val="0"/>
        <w:snapToGrid w:val="0"/>
        <w:spacing w:line="330" w:lineRule="exact"/>
        <w:ind w:firstLine="422" w:firstLineChars="200"/>
        <w:rPr>
          <w:rFonts w:hAnsi="宋体" w:cs="宋体"/>
          <w:b/>
          <w:color w:val="auto"/>
          <w:highlight w:val="none"/>
        </w:rPr>
      </w:pPr>
      <w:r>
        <w:rPr>
          <w:rFonts w:hint="eastAsia" w:hAnsi="宋体" w:cs="宋体"/>
          <w:b/>
          <w:color w:val="auto"/>
          <w:highlight w:val="none"/>
        </w:rPr>
        <w:t>第十一条 合同生效及其它</w:t>
      </w:r>
    </w:p>
    <w:p w14:paraId="34044250">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1.合同经双方法定代表人（负责人）或授权代表（委托代理人）签字并加盖单位公章后生效。</w:t>
      </w:r>
    </w:p>
    <w:p w14:paraId="68599516">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2.合同执行中涉及采购资金和采购内容修改或补充的，须经采购监督部门审批，方可作为主合同不可分割的一部分。</w:t>
      </w:r>
    </w:p>
    <w:p w14:paraId="09A2E9DA">
      <w:pPr>
        <w:pStyle w:val="15"/>
        <w:kinsoku w:val="0"/>
        <w:overflowPunct w:val="0"/>
        <w:adjustRightInd w:val="0"/>
        <w:snapToGrid w:val="0"/>
        <w:spacing w:line="330" w:lineRule="exact"/>
        <w:ind w:firstLine="420" w:firstLineChars="200"/>
        <w:rPr>
          <w:rFonts w:hAnsi="宋体" w:cs="宋体"/>
          <w:color w:val="auto"/>
          <w:highlight w:val="none"/>
        </w:rPr>
      </w:pPr>
      <w:r>
        <w:rPr>
          <w:rFonts w:hint="eastAsia" w:hAnsi="宋体" w:cs="宋体"/>
          <w:color w:val="auto"/>
          <w:highlight w:val="none"/>
        </w:rPr>
        <w:t>3.本合同未尽事宜，遵照《中华人民共和国合同法》有关条文执行。</w:t>
      </w:r>
    </w:p>
    <w:p w14:paraId="0AAEC895">
      <w:pPr>
        <w:kinsoku w:val="0"/>
        <w:overflowPunct w:val="0"/>
        <w:adjustRightInd w:val="0"/>
        <w:snapToGrid w:val="0"/>
        <w:spacing w:line="33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第十二条　合同的变更、终止与转让</w:t>
      </w:r>
    </w:p>
    <w:p w14:paraId="6FBB8C65">
      <w:pPr>
        <w:kinsoku w:val="0"/>
        <w:overflowPunct w:val="0"/>
        <w:adjustRightInd w:val="0"/>
        <w:snapToGrid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1.除《中华人民共和国政府采购法》第五十条规定的情形外，本合同一经签订，甲乙双方不得擅自变更、中止或终止。</w:t>
      </w:r>
    </w:p>
    <w:p w14:paraId="70F50A5A">
      <w:pPr>
        <w:pStyle w:val="15"/>
        <w:kinsoku w:val="0"/>
        <w:overflowPunct w:val="0"/>
        <w:adjustRightInd w:val="0"/>
        <w:snapToGrid w:val="0"/>
        <w:spacing w:line="330" w:lineRule="exact"/>
        <w:ind w:firstLine="420" w:firstLineChars="200"/>
        <w:rPr>
          <w:rFonts w:hAnsi="宋体" w:cs="宋体"/>
          <w:b/>
          <w:color w:val="auto"/>
          <w:highlight w:val="none"/>
        </w:rPr>
      </w:pPr>
      <w:r>
        <w:rPr>
          <w:rFonts w:hint="eastAsia" w:hAnsi="宋体" w:cs="宋体"/>
          <w:color w:val="auto"/>
          <w:highlight w:val="none"/>
        </w:rPr>
        <w:t>2.乙方不得擅自转让其应履行的合同义务。</w:t>
      </w:r>
    </w:p>
    <w:p w14:paraId="7943760A">
      <w:pPr>
        <w:kinsoku w:val="0"/>
        <w:overflowPunct w:val="0"/>
        <w:spacing w:line="33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第十三条下列合同附件作为本合同不可分割的组成部分并与本合同具有同等效力（优先顺序如下）</w:t>
      </w:r>
      <w:r>
        <w:rPr>
          <w:rFonts w:hint="eastAsia" w:ascii="宋体" w:hAnsi="宋体" w:cs="宋体"/>
          <w:color w:val="auto"/>
          <w:szCs w:val="21"/>
          <w:highlight w:val="none"/>
        </w:rPr>
        <w:t>：</w:t>
      </w:r>
    </w:p>
    <w:p w14:paraId="033F20E9">
      <w:pPr>
        <w:kinsoku w:val="0"/>
        <w:overflowPunct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（1）成交通知书；</w:t>
      </w:r>
    </w:p>
    <w:p w14:paraId="11C1B4B4">
      <w:pPr>
        <w:kinsoku w:val="0"/>
        <w:overflowPunct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（2）乙方的最终报价；</w:t>
      </w:r>
    </w:p>
    <w:p w14:paraId="0357285D">
      <w:pPr>
        <w:kinsoku w:val="0"/>
        <w:overflowPunct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（3）甲、乙双方商定的补充协议；</w:t>
      </w:r>
    </w:p>
    <w:p w14:paraId="3226DA5A">
      <w:pPr>
        <w:kinsoku w:val="0"/>
        <w:overflowPunct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（4）本项目竞争性磋商文件；</w:t>
      </w:r>
    </w:p>
    <w:p w14:paraId="2E671A78">
      <w:pPr>
        <w:kinsoku w:val="0"/>
        <w:overflowPunct w:val="0"/>
        <w:spacing w:line="33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（5）乙方的响应文件；</w:t>
      </w:r>
    </w:p>
    <w:p w14:paraId="30176F7D">
      <w:pPr>
        <w:kinsoku w:val="0"/>
        <w:overflowPunct w:val="0"/>
        <w:adjustRightInd w:val="0"/>
        <w:snapToGrid w:val="0"/>
        <w:spacing w:line="33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（6）其他与本合同相关的资料。</w:t>
      </w:r>
    </w:p>
    <w:p w14:paraId="7A8675B2">
      <w:pPr>
        <w:pStyle w:val="38"/>
        <w:kinsoku w:val="0"/>
        <w:overflowPunct w:val="0"/>
        <w:spacing w:line="330" w:lineRule="exact"/>
        <w:ind w:firstLine="422"/>
        <w:rPr>
          <w:rFonts w:ascii="宋体" w:hAnsi="宋体" w:cs="宋体"/>
          <w:b/>
          <w:bCs/>
          <w:color w:val="auto"/>
          <w:szCs w:val="21"/>
          <w:highlight w:val="none"/>
        </w:rPr>
      </w:pPr>
      <w:r>
        <w:rPr>
          <w:rFonts w:hint="eastAsia" w:ascii="宋体" w:hAnsi="宋体" w:cs="宋体"/>
          <w:b/>
          <w:bCs/>
          <w:color w:val="auto"/>
          <w:szCs w:val="21"/>
          <w:highlight w:val="none"/>
        </w:rPr>
        <w:t xml:space="preserve">第十四条　本合同一式陆份，具有同等法律效力，甲、乙双方及采购代理机构各执两份，具有同等法律效力。（可根据需要另增加）。     </w:t>
      </w:r>
    </w:p>
    <w:tbl>
      <w:tblPr>
        <w:tblStyle w:val="28"/>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8"/>
        <w:gridCol w:w="4881"/>
      </w:tblGrid>
      <w:tr w14:paraId="259A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4618" w:type="dxa"/>
            <w:vAlign w:val="center"/>
          </w:tcPr>
          <w:p w14:paraId="616177C0">
            <w:pPr>
              <w:kinsoku w:val="0"/>
              <w:overflowPunct w:val="0"/>
              <w:adjustRightInd w:val="0"/>
              <w:snapToGrid w:val="0"/>
              <w:spacing w:line="350" w:lineRule="exact"/>
              <w:jc w:val="left"/>
              <w:rPr>
                <w:rFonts w:ascii="宋体" w:hAnsi="宋体" w:cs="宋体"/>
                <w:color w:val="auto"/>
                <w:szCs w:val="21"/>
                <w:highlight w:val="none"/>
              </w:rPr>
            </w:pPr>
            <w:r>
              <w:rPr>
                <w:rFonts w:hint="eastAsia" w:ascii="宋体" w:hAnsi="宋体" w:cs="宋体"/>
                <w:color w:val="auto"/>
                <w:szCs w:val="21"/>
                <w:highlight w:val="none"/>
              </w:rPr>
              <w:t>甲方（公章）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113DDC60">
            <w:pPr>
              <w:pStyle w:val="10"/>
              <w:rPr>
                <w:rFonts w:ascii="宋体" w:hAnsi="宋体" w:cs="宋体"/>
                <w:color w:val="auto"/>
                <w:highlight w:val="none"/>
              </w:rPr>
            </w:pPr>
          </w:p>
          <w:p w14:paraId="07666DF6">
            <w:pPr>
              <w:kinsoku w:val="0"/>
              <w:overflowPunct w:val="0"/>
              <w:adjustRightInd w:val="0"/>
              <w:snapToGrid w:val="0"/>
              <w:spacing w:line="350" w:lineRule="exact"/>
              <w:ind w:firstLine="945" w:firstLineChars="450"/>
              <w:jc w:val="right"/>
              <w:rPr>
                <w:rFonts w:ascii="宋体" w:hAnsi="宋体" w:cs="宋体"/>
                <w:color w:val="auto"/>
                <w:szCs w:val="21"/>
                <w:highlight w:val="none"/>
              </w:rPr>
            </w:pPr>
            <w:r>
              <w:rPr>
                <w:rFonts w:hint="eastAsia" w:ascii="宋体" w:hAnsi="宋体" w:cs="宋体"/>
                <w:color w:val="auto"/>
                <w:szCs w:val="21"/>
                <w:highlight w:val="none"/>
              </w:rPr>
              <w:t>年   月   日</w:t>
            </w:r>
          </w:p>
        </w:tc>
        <w:tc>
          <w:tcPr>
            <w:tcW w:w="4881" w:type="dxa"/>
            <w:vAlign w:val="center"/>
          </w:tcPr>
          <w:p w14:paraId="30A1E2C0">
            <w:pPr>
              <w:kinsoku w:val="0"/>
              <w:overflowPunct w:val="0"/>
              <w:adjustRightInd w:val="0"/>
              <w:snapToGrid w:val="0"/>
              <w:spacing w:line="350" w:lineRule="exact"/>
              <w:jc w:val="left"/>
              <w:rPr>
                <w:rFonts w:ascii="宋体" w:hAnsi="宋体" w:cs="宋体"/>
                <w:color w:val="auto"/>
                <w:szCs w:val="21"/>
                <w:highlight w:val="none"/>
              </w:rPr>
            </w:pPr>
            <w:r>
              <w:rPr>
                <w:rFonts w:hint="eastAsia" w:ascii="宋体" w:hAnsi="宋体" w:cs="宋体"/>
                <w:color w:val="auto"/>
                <w:szCs w:val="21"/>
                <w:highlight w:val="none"/>
              </w:rPr>
              <w:t>乙方（公章）</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           </w:t>
            </w:r>
          </w:p>
          <w:p w14:paraId="1E8E5DF2">
            <w:pPr>
              <w:pStyle w:val="10"/>
              <w:ind w:firstLine="0"/>
              <w:rPr>
                <w:rFonts w:ascii="宋体" w:hAnsi="宋体" w:cs="宋体"/>
                <w:color w:val="auto"/>
                <w:highlight w:val="none"/>
              </w:rPr>
            </w:pPr>
          </w:p>
          <w:p w14:paraId="229BA264">
            <w:pPr>
              <w:kinsoku w:val="0"/>
              <w:overflowPunct w:val="0"/>
              <w:adjustRightInd w:val="0"/>
              <w:snapToGrid w:val="0"/>
              <w:spacing w:line="350" w:lineRule="exact"/>
              <w:jc w:val="right"/>
              <w:rPr>
                <w:rFonts w:ascii="宋体" w:hAnsi="宋体" w:cs="宋体"/>
                <w:color w:val="auto"/>
                <w:szCs w:val="21"/>
                <w:highlight w:val="none"/>
              </w:rPr>
            </w:pPr>
            <w:r>
              <w:rPr>
                <w:rFonts w:hint="eastAsia" w:ascii="宋体" w:hAnsi="宋体" w:cs="宋体"/>
                <w:color w:val="auto"/>
                <w:szCs w:val="21"/>
                <w:highlight w:val="none"/>
              </w:rPr>
              <w:t xml:space="preserve"> 年   月   日</w:t>
            </w:r>
          </w:p>
        </w:tc>
      </w:tr>
      <w:tr w14:paraId="3B7B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4618" w:type="dxa"/>
          </w:tcPr>
          <w:p w14:paraId="79CECCB7">
            <w:pPr>
              <w:pStyle w:val="39"/>
              <w:widowControl w:val="0"/>
              <w:kinsoku w:val="0"/>
              <w:overflowPunct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统一信用代码：</w:t>
            </w:r>
          </w:p>
        </w:tc>
        <w:tc>
          <w:tcPr>
            <w:tcW w:w="4881" w:type="dxa"/>
          </w:tcPr>
          <w:p w14:paraId="4AC19C75">
            <w:pPr>
              <w:pStyle w:val="39"/>
              <w:widowControl w:val="0"/>
              <w:kinsoku w:val="0"/>
              <w:overflowPunct w:val="0"/>
              <w:spacing w:line="400" w:lineRule="exact"/>
              <w:ind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统一信用代码：</w:t>
            </w:r>
          </w:p>
        </w:tc>
      </w:tr>
      <w:tr w14:paraId="037CD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exact"/>
          <w:jc w:val="center"/>
        </w:trPr>
        <w:tc>
          <w:tcPr>
            <w:tcW w:w="4618" w:type="dxa"/>
            <w:vAlign w:val="center"/>
          </w:tcPr>
          <w:p w14:paraId="7500096B">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单位地址：</w:t>
            </w:r>
          </w:p>
        </w:tc>
        <w:tc>
          <w:tcPr>
            <w:tcW w:w="4881" w:type="dxa"/>
            <w:vAlign w:val="center"/>
          </w:tcPr>
          <w:p w14:paraId="7A3A5A98">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单位地址：</w:t>
            </w:r>
          </w:p>
        </w:tc>
      </w:tr>
      <w:tr w14:paraId="0552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618" w:type="dxa"/>
            <w:vAlign w:val="center"/>
          </w:tcPr>
          <w:p w14:paraId="7CB1DCA1">
            <w:pPr>
              <w:kinsoku w:val="0"/>
              <w:overflowPunct w:val="0"/>
              <w:adjustRightInd w:val="0"/>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法定代表人：</w:t>
            </w:r>
          </w:p>
          <w:p w14:paraId="2B210DCB">
            <w:pPr>
              <w:kinsoku w:val="0"/>
              <w:overflowPunct w:val="0"/>
              <w:adjustRightInd w:val="0"/>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或委托代理人：</w:t>
            </w:r>
          </w:p>
        </w:tc>
        <w:tc>
          <w:tcPr>
            <w:tcW w:w="4881" w:type="dxa"/>
            <w:vAlign w:val="center"/>
          </w:tcPr>
          <w:p w14:paraId="1D101435">
            <w:pPr>
              <w:kinsoku w:val="0"/>
              <w:overflowPunct w:val="0"/>
              <w:adjustRightInd w:val="0"/>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法定代表人(或其他组织负责人或自然人)：</w:t>
            </w:r>
          </w:p>
          <w:p w14:paraId="5A5B0FA9">
            <w:pPr>
              <w:kinsoku w:val="0"/>
              <w:overflowPunct w:val="0"/>
              <w:adjustRightInd w:val="0"/>
              <w:snapToGrid w:val="0"/>
              <w:spacing w:line="300" w:lineRule="exact"/>
              <w:rPr>
                <w:rFonts w:ascii="宋体" w:hAnsi="宋体" w:cs="宋体"/>
                <w:color w:val="auto"/>
                <w:szCs w:val="21"/>
                <w:highlight w:val="none"/>
              </w:rPr>
            </w:pPr>
            <w:r>
              <w:rPr>
                <w:rFonts w:hint="eastAsia" w:ascii="宋体" w:hAnsi="宋体" w:cs="宋体"/>
                <w:color w:val="auto"/>
                <w:szCs w:val="21"/>
                <w:highlight w:val="none"/>
              </w:rPr>
              <w:t>或委托代理人</w:t>
            </w:r>
          </w:p>
        </w:tc>
      </w:tr>
      <w:tr w14:paraId="69A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4618" w:type="dxa"/>
            <w:vAlign w:val="center"/>
          </w:tcPr>
          <w:p w14:paraId="48E2AA0F">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电话：</w:t>
            </w:r>
          </w:p>
        </w:tc>
        <w:tc>
          <w:tcPr>
            <w:tcW w:w="4881" w:type="dxa"/>
            <w:vAlign w:val="center"/>
          </w:tcPr>
          <w:p w14:paraId="02A56018">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电话：</w:t>
            </w:r>
          </w:p>
        </w:tc>
      </w:tr>
      <w:tr w14:paraId="7783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exact"/>
          <w:jc w:val="center"/>
        </w:trPr>
        <w:tc>
          <w:tcPr>
            <w:tcW w:w="4618" w:type="dxa"/>
            <w:vAlign w:val="center"/>
          </w:tcPr>
          <w:p w14:paraId="4B7E126E">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电子邮箱：</w:t>
            </w:r>
          </w:p>
        </w:tc>
        <w:tc>
          <w:tcPr>
            <w:tcW w:w="4881" w:type="dxa"/>
            <w:vAlign w:val="center"/>
          </w:tcPr>
          <w:p w14:paraId="4CD187C5">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电子邮箱：</w:t>
            </w:r>
          </w:p>
        </w:tc>
      </w:tr>
      <w:tr w14:paraId="0AA0E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4618" w:type="dxa"/>
            <w:vAlign w:val="center"/>
          </w:tcPr>
          <w:p w14:paraId="13E64AA6">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开户银行：</w:t>
            </w:r>
          </w:p>
        </w:tc>
        <w:tc>
          <w:tcPr>
            <w:tcW w:w="4881" w:type="dxa"/>
            <w:vAlign w:val="center"/>
          </w:tcPr>
          <w:p w14:paraId="0A15AA66">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开户银行：</w:t>
            </w:r>
          </w:p>
        </w:tc>
      </w:tr>
      <w:tr w14:paraId="5A07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jc w:val="center"/>
        </w:trPr>
        <w:tc>
          <w:tcPr>
            <w:tcW w:w="4618" w:type="dxa"/>
            <w:vAlign w:val="center"/>
          </w:tcPr>
          <w:p w14:paraId="7B48734B">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账号：</w:t>
            </w:r>
          </w:p>
        </w:tc>
        <w:tc>
          <w:tcPr>
            <w:tcW w:w="4881" w:type="dxa"/>
            <w:vAlign w:val="center"/>
          </w:tcPr>
          <w:p w14:paraId="2FDBBFB4">
            <w:pPr>
              <w:kinsoku w:val="0"/>
              <w:overflowPunct w:val="0"/>
              <w:adjustRightInd w:val="0"/>
              <w:snapToGrid w:val="0"/>
              <w:spacing w:line="350" w:lineRule="exact"/>
              <w:rPr>
                <w:rFonts w:ascii="宋体" w:hAnsi="宋体" w:cs="宋体"/>
                <w:color w:val="auto"/>
                <w:szCs w:val="21"/>
                <w:highlight w:val="none"/>
              </w:rPr>
            </w:pPr>
            <w:r>
              <w:rPr>
                <w:rFonts w:hint="eastAsia" w:ascii="宋体" w:hAnsi="宋体" w:cs="宋体"/>
                <w:color w:val="auto"/>
                <w:szCs w:val="21"/>
                <w:highlight w:val="none"/>
              </w:rPr>
              <w:t>账号：</w:t>
            </w:r>
          </w:p>
        </w:tc>
      </w:tr>
    </w:tbl>
    <w:p w14:paraId="07C44CC9">
      <w:pPr>
        <w:kinsoku w:val="0"/>
        <w:overflowPunct w:val="0"/>
        <w:snapToGrid w:val="0"/>
        <w:spacing w:line="300" w:lineRule="exact"/>
        <w:rPr>
          <w:rFonts w:ascii="宋体" w:hAnsi="宋体" w:cs="宋体"/>
          <w:b/>
          <w:color w:val="auto"/>
          <w:szCs w:val="21"/>
          <w:highlight w:val="none"/>
        </w:rPr>
      </w:pPr>
      <w:bookmarkStart w:id="46" w:name="_Toc293302171"/>
      <w:r>
        <w:rPr>
          <w:rFonts w:hint="eastAsia" w:ascii="宋体" w:hAnsi="宋体" w:cs="宋体"/>
          <w:b/>
          <w:color w:val="auto"/>
          <w:szCs w:val="21"/>
          <w:highlight w:val="none"/>
        </w:rPr>
        <w:t>注：1.非法定代表人签署本合同时，需附法定代表人授权委托书。</w:t>
      </w:r>
    </w:p>
    <w:p w14:paraId="057D619B">
      <w:pPr>
        <w:kinsoku w:val="0"/>
        <w:overflowPunct w:val="0"/>
        <w:snapToGrid w:val="0"/>
        <w:spacing w:line="30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    2.本合同中已注明处、合同骑缝处及合同封面均需加盖单位公章。</w:t>
      </w:r>
    </w:p>
    <w:bookmarkEnd w:id="46"/>
    <w:p w14:paraId="692D827E">
      <w:pPr>
        <w:pStyle w:val="5"/>
        <w:keepNext w:val="0"/>
        <w:keepLines w:val="0"/>
        <w:kinsoku w:val="0"/>
        <w:overflowPunct w:val="0"/>
        <w:spacing w:before="0" w:after="0" w:line="400" w:lineRule="exact"/>
        <w:jc w:val="center"/>
        <w:rPr>
          <w:rFonts w:ascii="宋体" w:hAnsi="宋体" w:cs="宋体"/>
          <w:bCs w:val="0"/>
          <w:color w:val="auto"/>
          <w:sz w:val="36"/>
          <w:szCs w:val="36"/>
          <w:highlight w:val="none"/>
        </w:rPr>
      </w:pPr>
    </w:p>
    <w:p w14:paraId="02740385">
      <w:pPr>
        <w:pStyle w:val="5"/>
        <w:keepNext w:val="0"/>
        <w:keepLines w:val="0"/>
        <w:kinsoku w:val="0"/>
        <w:overflowPunct w:val="0"/>
        <w:spacing w:before="0" w:after="0" w:line="400" w:lineRule="exact"/>
        <w:jc w:val="center"/>
        <w:rPr>
          <w:rFonts w:hint="eastAsia" w:ascii="宋体" w:hAnsi="宋体" w:cs="宋体"/>
          <w:bCs w:val="0"/>
          <w:color w:val="auto"/>
          <w:sz w:val="36"/>
          <w:szCs w:val="36"/>
          <w:highlight w:val="none"/>
        </w:rPr>
      </w:pPr>
    </w:p>
    <w:p w14:paraId="7EDDE0E6">
      <w:pPr>
        <w:rPr>
          <w:rFonts w:hint="eastAsia"/>
          <w:color w:val="auto"/>
          <w:highlight w:val="none"/>
        </w:rPr>
      </w:pPr>
    </w:p>
    <w:p w14:paraId="5E35433B">
      <w:pPr>
        <w:pStyle w:val="5"/>
        <w:keepNext w:val="0"/>
        <w:keepLines w:val="0"/>
        <w:kinsoku w:val="0"/>
        <w:overflowPunct w:val="0"/>
        <w:spacing w:before="0" w:after="0" w:line="400" w:lineRule="exact"/>
        <w:jc w:val="center"/>
        <w:rPr>
          <w:rFonts w:hint="eastAsia" w:ascii="宋体" w:hAnsi="宋体" w:cs="宋体"/>
          <w:bCs w:val="0"/>
          <w:color w:val="auto"/>
          <w:sz w:val="36"/>
          <w:szCs w:val="36"/>
          <w:highlight w:val="none"/>
        </w:rPr>
      </w:pPr>
    </w:p>
    <w:p w14:paraId="6F676F27">
      <w:pPr>
        <w:adjustRightInd/>
        <w:spacing w:line="360" w:lineRule="auto"/>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第七部分  应提交的有关格式范例</w:t>
      </w:r>
    </w:p>
    <w:p w14:paraId="2727DA94">
      <w:pPr>
        <w:pStyle w:val="18"/>
        <w:rPr>
          <w:color w:val="auto"/>
          <w:highlight w:val="none"/>
        </w:rPr>
      </w:pPr>
    </w:p>
    <w:p w14:paraId="43BD610D">
      <w:pPr>
        <w:snapToGrid w:val="0"/>
        <w:spacing w:beforeLines="50" w:after="50" w:line="360" w:lineRule="exact"/>
        <w:jc w:val="center"/>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电子备份</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文件外包装封面及</w:t>
      </w:r>
      <w:r>
        <w:rPr>
          <w:rFonts w:hint="eastAsia" w:ascii="宋体" w:hAnsi="宋体" w:cs="宋体"/>
          <w:b/>
          <w:bCs/>
          <w:color w:val="auto"/>
          <w:sz w:val="28"/>
          <w:szCs w:val="28"/>
          <w:highlight w:val="none"/>
          <w:lang w:eastAsia="zh-CN"/>
        </w:rPr>
        <w:t>响应</w:t>
      </w:r>
      <w:r>
        <w:rPr>
          <w:rFonts w:hint="eastAsia" w:ascii="宋体" w:hAnsi="宋体" w:cs="宋体"/>
          <w:b/>
          <w:bCs/>
          <w:color w:val="auto"/>
          <w:sz w:val="28"/>
          <w:szCs w:val="28"/>
          <w:highlight w:val="none"/>
        </w:rPr>
        <w:t>文件封面格式</w:t>
      </w:r>
    </w:p>
    <w:p w14:paraId="0A5373BC">
      <w:pPr>
        <w:snapToGrid w:val="0"/>
        <w:spacing w:before="156" w:beforeLines="50" w:after="50" w:line="360" w:lineRule="exact"/>
        <w:jc w:val="center"/>
        <w:outlineLvl w:val="1"/>
        <w:rPr>
          <w:rFonts w:hint="eastAsia" w:ascii="宋体" w:hAnsi="宋体" w:cs="宋体"/>
          <w:b/>
          <w:bCs/>
          <w:color w:val="auto"/>
          <w:sz w:val="28"/>
          <w:szCs w:val="28"/>
          <w:highlight w:val="none"/>
        </w:rPr>
      </w:pPr>
    </w:p>
    <w:p w14:paraId="2FBCCC87">
      <w:pPr>
        <w:snapToGrid w:val="0"/>
        <w:spacing w:before="156" w:beforeLines="50" w:after="50" w:line="360" w:lineRule="exact"/>
        <w:ind w:firstLine="422" w:firstLineChars="200"/>
        <w:rPr>
          <w:rFonts w:hint="eastAsia" w:ascii="宋体" w:hAnsi="宋体" w:cs="宋体"/>
          <w:b/>
          <w:color w:val="auto"/>
          <w:szCs w:val="21"/>
          <w:highlight w:val="none"/>
        </w:rPr>
      </w:pPr>
    </w:p>
    <w:p w14:paraId="5478A5F0">
      <w:pPr>
        <w:snapToGrid w:val="0"/>
        <w:spacing w:before="156" w:beforeLines="50" w:after="50" w:line="360" w:lineRule="exact"/>
        <w:jc w:val="center"/>
        <w:rPr>
          <w:rFonts w:hint="eastAsia" w:ascii="宋体" w:hAnsi="宋体" w:cs="宋体"/>
          <w:b/>
          <w:bCs/>
          <w:color w:val="auto"/>
          <w:sz w:val="24"/>
          <w:highlight w:val="none"/>
        </w:rPr>
      </w:pPr>
      <w:r>
        <w:rPr>
          <w:rFonts w:hint="eastAsia" w:ascii="宋体" w:hAnsi="宋体" w:cs="宋体"/>
          <w:b/>
          <w:bCs/>
          <w:color w:val="auto"/>
          <w:sz w:val="24"/>
          <w:highlight w:val="none"/>
        </w:rPr>
        <w:t>（一）竞争性</w:t>
      </w:r>
      <w:r>
        <w:rPr>
          <w:rFonts w:hint="eastAsia" w:ascii="宋体" w:hAnsi="宋体" w:cs="宋体"/>
          <w:b/>
          <w:bCs/>
          <w:color w:val="auto"/>
          <w:sz w:val="24"/>
          <w:highlight w:val="none"/>
          <w:lang w:eastAsia="zh-CN"/>
        </w:rPr>
        <w:t>磋商</w:t>
      </w:r>
      <w:r>
        <w:rPr>
          <w:rFonts w:hint="eastAsia" w:ascii="宋体" w:hAnsi="宋体" w:cs="宋体"/>
          <w:b/>
          <w:bCs/>
          <w:color w:val="auto"/>
          <w:sz w:val="24"/>
          <w:highlight w:val="none"/>
        </w:rPr>
        <w:t>响应文件的外包装封面格式</w:t>
      </w:r>
    </w:p>
    <w:p w14:paraId="3D6814AF">
      <w:pPr>
        <w:snapToGrid w:val="0"/>
        <w:spacing w:before="156" w:beforeLines="50" w:after="50" w:line="360" w:lineRule="exact"/>
        <w:rPr>
          <w:rFonts w:hint="eastAsia" w:ascii="宋体" w:hAnsi="宋体" w:cs="宋体"/>
          <w:color w:val="auto"/>
          <w:szCs w:val="21"/>
          <w:highlight w:val="none"/>
        </w:rPr>
      </w:pPr>
    </w:p>
    <w:p w14:paraId="24FDABFD">
      <w:pPr>
        <w:snapToGrid w:val="0"/>
        <w:spacing w:before="156" w:beforeLines="50" w:after="50" w:line="36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竞争性磋商响应文件</w:t>
      </w:r>
    </w:p>
    <w:p w14:paraId="61A54148">
      <w:pPr>
        <w:snapToGrid w:val="0"/>
        <w:spacing w:before="156" w:beforeLines="50" w:after="50" w:line="360" w:lineRule="exact"/>
        <w:ind w:firstLine="840" w:firstLineChars="400"/>
        <w:rPr>
          <w:rFonts w:hint="eastAsia" w:ascii="宋体" w:hAnsi="宋体" w:cs="宋体"/>
          <w:bCs/>
          <w:color w:val="auto"/>
          <w:szCs w:val="21"/>
          <w:highlight w:val="none"/>
          <w:lang w:val="en-US"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 xml:space="preserve">                      </w:t>
      </w:r>
    </w:p>
    <w:p w14:paraId="66EFD2CF">
      <w:pPr>
        <w:snapToGrid w:val="0"/>
        <w:spacing w:before="156" w:beforeLines="50" w:after="50" w:line="360" w:lineRule="exact"/>
        <w:ind w:firstLine="840" w:firstLineChars="400"/>
        <w:rPr>
          <w:rFonts w:hint="eastAsia" w:ascii="宋体" w:hAnsi="宋体" w:cs="宋体"/>
          <w:bCs/>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bCs/>
          <w:color w:val="auto"/>
          <w:szCs w:val="21"/>
          <w:highlight w:val="none"/>
        </w:rPr>
        <w:t>：</w:t>
      </w:r>
      <w:r>
        <w:rPr>
          <w:rFonts w:hint="eastAsia" w:ascii="宋体" w:hAnsi="宋体" w:cs="宋体"/>
          <w:bCs/>
          <w:color w:val="auto"/>
          <w:szCs w:val="21"/>
          <w:highlight w:val="none"/>
          <w:u w:val="single"/>
        </w:rPr>
        <w:t xml:space="preserve">                         </w:t>
      </w:r>
    </w:p>
    <w:p w14:paraId="0783AC9C">
      <w:pPr>
        <w:snapToGrid w:val="0"/>
        <w:spacing w:beforeLines="50" w:after="50" w:line="360" w:lineRule="exact"/>
        <w:ind w:firstLine="843" w:firstLineChars="400"/>
        <w:rPr>
          <w:rFonts w:hint="eastAsia" w:ascii="宋体" w:hAnsi="宋体" w:cs="宋体"/>
          <w:bCs/>
          <w:color w:val="auto"/>
          <w:szCs w:val="21"/>
          <w:highlight w:val="none"/>
        </w:rPr>
      </w:pPr>
      <w:r>
        <w:rPr>
          <w:rFonts w:hint="eastAsia" w:ascii="宋体" w:hAnsi="宋体" w:eastAsia="宋体" w:cs="宋体"/>
          <w:b/>
          <w:bCs/>
          <w:color w:val="auto"/>
          <w:szCs w:val="21"/>
          <w:highlight w:val="none"/>
        </w:rPr>
        <w:t>响应文件名称：</w:t>
      </w:r>
      <w:r>
        <w:rPr>
          <w:rFonts w:hint="eastAsia" w:ascii="宋体" w:hAnsi="宋体" w:eastAsia="宋体" w:cs="宋体"/>
          <w:b/>
          <w:bCs/>
          <w:color w:val="auto"/>
          <w:szCs w:val="21"/>
          <w:highlight w:val="none"/>
          <w:u w:val="single"/>
        </w:rPr>
        <w:t>电子备份</w:t>
      </w:r>
      <w:r>
        <w:rPr>
          <w:rFonts w:hint="eastAsia" w:ascii="宋体" w:hAnsi="宋体" w:eastAsia="宋体" w:cs="宋体"/>
          <w:b/>
          <w:bCs/>
          <w:color w:val="auto"/>
          <w:szCs w:val="21"/>
          <w:highlight w:val="none"/>
          <w:u w:val="single"/>
          <w:lang w:eastAsia="zh-CN"/>
        </w:rPr>
        <w:t>响应</w:t>
      </w:r>
      <w:r>
        <w:rPr>
          <w:rFonts w:hint="eastAsia" w:ascii="宋体" w:hAnsi="宋体" w:eastAsia="宋体" w:cs="宋体"/>
          <w:b/>
          <w:bCs/>
          <w:color w:val="auto"/>
          <w:szCs w:val="21"/>
          <w:highlight w:val="none"/>
          <w:u w:val="single"/>
        </w:rPr>
        <w:t>文件</w:t>
      </w:r>
      <w:r>
        <w:rPr>
          <w:rFonts w:hint="eastAsia" w:ascii="宋体" w:hAnsi="宋体" w:eastAsia="宋体" w:cs="宋体"/>
          <w:b/>
          <w:bCs/>
          <w:color w:val="auto"/>
          <w:szCs w:val="21"/>
          <w:highlight w:val="none"/>
        </w:rPr>
        <w:t xml:space="preserve">  </w:t>
      </w:r>
    </w:p>
    <w:p w14:paraId="06C3D0B9">
      <w:pPr>
        <w:snapToGrid w:val="0"/>
        <w:spacing w:before="156" w:beforeLines="50" w:after="50" w:line="360" w:lineRule="exact"/>
        <w:ind w:firstLine="840" w:firstLineChars="400"/>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名称：（盖章）</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p>
    <w:p w14:paraId="2F940837">
      <w:pPr>
        <w:snapToGrid w:val="0"/>
        <w:spacing w:before="156" w:beforeLines="50" w:after="50" w:line="360" w:lineRule="exact"/>
        <w:ind w:firstLine="840" w:firstLineChars="4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地址：</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2BEF3C09">
      <w:pPr>
        <w:snapToGrid w:val="0"/>
        <w:spacing w:before="156" w:beforeLines="50" w:after="50" w:line="360" w:lineRule="exact"/>
        <w:ind w:firstLine="840" w:firstLineChars="400"/>
        <w:rPr>
          <w:rFonts w:hint="eastAsia" w:ascii="宋体" w:hAnsi="宋体" w:cs="宋体"/>
          <w:color w:val="auto"/>
          <w:szCs w:val="21"/>
          <w:highlight w:val="none"/>
        </w:rPr>
      </w:pPr>
      <w:r>
        <w:rPr>
          <w:rFonts w:hint="eastAsia" w:ascii="宋体" w:hAnsi="宋体" w:cs="宋体"/>
          <w:color w:val="auto"/>
          <w:szCs w:val="21"/>
          <w:highlight w:val="none"/>
        </w:rPr>
        <w:t>（响应文件开启会开始时才能启封）</w:t>
      </w:r>
    </w:p>
    <w:p w14:paraId="171C1355">
      <w:pPr>
        <w:pStyle w:val="10"/>
        <w:snapToGrid w:val="0"/>
        <w:spacing w:before="50" w:after="50" w:line="360" w:lineRule="exact"/>
        <w:ind w:firstLine="0"/>
        <w:jc w:val="left"/>
        <w:rPr>
          <w:rFonts w:hint="eastAsia" w:ascii="宋体" w:hAnsi="宋体" w:cs="宋体"/>
          <w:bCs/>
          <w:color w:val="auto"/>
          <w:szCs w:val="21"/>
          <w:highlight w:val="none"/>
        </w:rPr>
      </w:pPr>
    </w:p>
    <w:p w14:paraId="2C5EF1B0">
      <w:pPr>
        <w:snapToGrid w:val="0"/>
        <w:spacing w:after="50" w:line="360" w:lineRule="exact"/>
        <w:rPr>
          <w:rFonts w:hint="default" w:ascii="宋体" w:hAnsi="宋体" w:eastAsia="宋体" w:cs="宋体"/>
          <w:b/>
          <w:color w:val="auto"/>
          <w:sz w:val="24"/>
          <w:highlight w:val="none"/>
          <w:lang w:val="en-US"/>
        </w:rPr>
      </w:pP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val="single"/>
          <w:lang w:val="en-US" w:eastAsia="zh-CN"/>
        </w:rPr>
        <w:t xml:space="preserve">                                                                                                 </w:t>
      </w:r>
    </w:p>
    <w:p w14:paraId="6CE6FB17">
      <w:pPr>
        <w:snapToGrid w:val="0"/>
        <w:spacing w:after="50" w:line="360" w:lineRule="exact"/>
        <w:ind w:firstLine="3614" w:firstLineChars="1500"/>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（二）电子备份</w:t>
      </w:r>
      <w:r>
        <w:rPr>
          <w:rFonts w:hint="eastAsia" w:ascii="宋体" w:hAnsi="宋体" w:cs="宋体"/>
          <w:b/>
          <w:color w:val="auto"/>
          <w:sz w:val="24"/>
          <w:highlight w:val="none"/>
          <w:lang w:eastAsia="zh-CN"/>
        </w:rPr>
        <w:t>响应文件</w:t>
      </w:r>
      <w:r>
        <w:rPr>
          <w:rFonts w:hint="eastAsia" w:ascii="宋体" w:hAnsi="宋体" w:eastAsia="宋体" w:cs="宋体"/>
          <w:b/>
          <w:color w:val="auto"/>
          <w:sz w:val="24"/>
          <w:highlight w:val="none"/>
        </w:rPr>
        <w:t>封面格式</w:t>
      </w:r>
    </w:p>
    <w:p w14:paraId="1838F449">
      <w:pPr>
        <w:snapToGrid w:val="0"/>
        <w:spacing w:beforeLines="50" w:after="50" w:line="360" w:lineRule="exact"/>
        <w:jc w:val="center"/>
        <w:outlineLvl w:val="1"/>
        <w:rPr>
          <w:rFonts w:hint="eastAsia" w:ascii="宋体" w:hAnsi="宋体"/>
          <w:b/>
          <w:color w:val="auto"/>
          <w:sz w:val="36"/>
          <w:szCs w:val="36"/>
          <w:highlight w:val="none"/>
        </w:rPr>
      </w:pPr>
    </w:p>
    <w:p w14:paraId="03495272">
      <w:pPr>
        <w:snapToGrid w:val="0"/>
        <w:spacing w:beforeLines="50" w:after="50" w:line="36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响应文件</w:t>
      </w:r>
    </w:p>
    <w:p w14:paraId="2D27712B">
      <w:pPr>
        <w:snapToGrid w:val="0"/>
        <w:spacing w:after="50" w:line="360" w:lineRule="exact"/>
        <w:jc w:val="center"/>
        <w:rPr>
          <w:rFonts w:ascii="宋体"/>
          <w:b/>
          <w:color w:val="auto"/>
          <w:sz w:val="28"/>
          <w:szCs w:val="28"/>
          <w:highlight w:val="none"/>
        </w:rPr>
      </w:pPr>
    </w:p>
    <w:p w14:paraId="5C5B3832">
      <w:pPr>
        <w:snapToGrid w:val="0"/>
        <w:spacing w:after="50" w:line="360" w:lineRule="exact"/>
        <w:jc w:val="center"/>
        <w:rPr>
          <w:rFonts w:ascii="宋体"/>
          <w:b/>
          <w:color w:val="auto"/>
          <w:sz w:val="28"/>
          <w:szCs w:val="28"/>
          <w:highlight w:val="none"/>
        </w:rPr>
      </w:pPr>
      <w:r>
        <w:rPr>
          <w:rFonts w:ascii="宋体" w:hAnsi="宋体"/>
          <w:b/>
          <w:color w:val="auto"/>
          <w:sz w:val="28"/>
          <w:szCs w:val="28"/>
          <w:highlight w:val="none"/>
        </w:rPr>
        <w:t>(</w:t>
      </w:r>
      <w:r>
        <w:rPr>
          <w:rFonts w:hint="eastAsia" w:ascii="宋体" w:hAnsi="宋体"/>
          <w:b/>
          <w:color w:val="auto"/>
          <w:sz w:val="28"/>
          <w:szCs w:val="28"/>
          <w:highlight w:val="none"/>
        </w:rPr>
        <w:t>资格文件</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商务技术文件</w:t>
      </w:r>
      <w:r>
        <w:rPr>
          <w:rFonts w:hint="eastAsia" w:ascii="宋体" w:hAnsi="宋体"/>
          <w:b/>
          <w:color w:val="auto"/>
          <w:sz w:val="28"/>
          <w:szCs w:val="28"/>
          <w:highlight w:val="none"/>
          <w:lang w:eastAsia="zh-CN"/>
        </w:rPr>
        <w:t>、报价</w:t>
      </w:r>
      <w:r>
        <w:rPr>
          <w:rFonts w:hint="eastAsia" w:ascii="宋体" w:hAnsi="宋体"/>
          <w:b/>
          <w:color w:val="auto"/>
          <w:sz w:val="28"/>
          <w:szCs w:val="28"/>
          <w:highlight w:val="none"/>
        </w:rPr>
        <w:t>文件</w:t>
      </w:r>
      <w:r>
        <w:rPr>
          <w:rFonts w:ascii="宋体" w:hAnsi="宋体"/>
          <w:b/>
          <w:color w:val="auto"/>
          <w:sz w:val="28"/>
          <w:szCs w:val="28"/>
          <w:highlight w:val="none"/>
        </w:rPr>
        <w:t>)</w:t>
      </w:r>
    </w:p>
    <w:p w14:paraId="5C14B414">
      <w:pPr>
        <w:snapToGrid w:val="0"/>
        <w:spacing w:after="50" w:line="360" w:lineRule="exact"/>
        <w:jc w:val="center"/>
        <w:rPr>
          <w:rFonts w:ascii="宋体"/>
          <w:bCs/>
          <w:color w:val="auto"/>
          <w:sz w:val="24"/>
          <w:highlight w:val="none"/>
        </w:rPr>
      </w:pPr>
    </w:p>
    <w:p w14:paraId="0D90CF5A">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项目名称：</w:t>
      </w:r>
    </w:p>
    <w:p w14:paraId="53EABB0F">
      <w:pPr>
        <w:snapToGrid w:val="0"/>
        <w:spacing w:after="50" w:line="360" w:lineRule="exact"/>
        <w:ind w:firstLine="630" w:firstLineChars="300"/>
        <w:rPr>
          <w:rFonts w:ascii="宋体"/>
          <w:bCs/>
          <w:color w:val="auto"/>
          <w:szCs w:val="21"/>
          <w:highlight w:val="none"/>
        </w:rPr>
      </w:pPr>
      <w:r>
        <w:rPr>
          <w:rFonts w:hint="eastAsia" w:ascii="宋体" w:hAnsi="宋体"/>
          <w:bCs/>
          <w:color w:val="auto"/>
          <w:szCs w:val="21"/>
          <w:highlight w:val="none"/>
        </w:rPr>
        <w:t>项目编号：</w:t>
      </w:r>
    </w:p>
    <w:p w14:paraId="2E25CED8">
      <w:pPr>
        <w:snapToGrid w:val="0"/>
        <w:spacing w:after="50" w:line="360" w:lineRule="exact"/>
        <w:ind w:firstLine="630" w:firstLineChars="300"/>
        <w:rPr>
          <w:rFonts w:ascii="宋体"/>
          <w:bCs/>
          <w:color w:val="auto"/>
          <w:szCs w:val="21"/>
          <w:highlight w:val="none"/>
        </w:rPr>
      </w:pPr>
      <w:r>
        <w:rPr>
          <w:rFonts w:hint="eastAsia" w:ascii="宋体" w:hAnsi="宋体"/>
          <w:color w:val="auto"/>
          <w:szCs w:val="21"/>
          <w:highlight w:val="none"/>
        </w:rPr>
        <w:t>供应商</w:t>
      </w:r>
      <w:r>
        <w:rPr>
          <w:rFonts w:hint="eastAsia" w:ascii="宋体" w:hAnsi="宋体"/>
          <w:bCs/>
          <w:color w:val="auto"/>
          <w:szCs w:val="21"/>
          <w:highlight w:val="none"/>
        </w:rPr>
        <w:t>名称：</w:t>
      </w:r>
    </w:p>
    <w:p w14:paraId="330DAA86">
      <w:pPr>
        <w:snapToGrid w:val="0"/>
        <w:spacing w:after="50" w:line="360" w:lineRule="exact"/>
        <w:ind w:firstLine="6930" w:firstLineChars="3300"/>
        <w:outlineLvl w:val="1"/>
        <w:rPr>
          <w:rFonts w:asci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年</w:t>
      </w:r>
      <w:r>
        <w:rPr>
          <w:rFonts w:ascii="宋体" w:hAnsi="宋体"/>
          <w:color w:val="auto"/>
          <w:szCs w:val="21"/>
          <w:highlight w:val="none"/>
        </w:rPr>
        <w:t xml:space="preserve">  </w:t>
      </w:r>
      <w:r>
        <w:rPr>
          <w:rFonts w:hint="eastAsia" w:ascii="宋体" w:hAnsi="宋体"/>
          <w:color w:val="auto"/>
          <w:szCs w:val="21"/>
          <w:highlight w:val="none"/>
        </w:rPr>
        <w:t>月</w:t>
      </w:r>
      <w:r>
        <w:rPr>
          <w:rFonts w:ascii="宋体" w:hAnsi="宋体"/>
          <w:color w:val="auto"/>
          <w:szCs w:val="21"/>
          <w:highlight w:val="none"/>
        </w:rPr>
        <w:t xml:space="preserve">  </w:t>
      </w:r>
      <w:r>
        <w:rPr>
          <w:rFonts w:hint="eastAsia" w:ascii="宋体" w:hAnsi="宋体"/>
          <w:color w:val="auto"/>
          <w:szCs w:val="21"/>
          <w:highlight w:val="none"/>
        </w:rPr>
        <w:t>日</w:t>
      </w:r>
    </w:p>
    <w:p w14:paraId="2523CE71">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7BBCB61B">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65FDBAE1">
      <w:pPr>
        <w:spacing w:line="360" w:lineRule="auto"/>
        <w:ind w:firstLine="422" w:firstLineChars="200"/>
        <w:rPr>
          <w:rFonts w:hint="eastAsia" w:cs="仿宋_GB2312" w:asciiTheme="minorEastAsia" w:hAnsiTheme="minorEastAsia" w:eastAsiaTheme="minorEastAsia"/>
          <w:b/>
          <w:bCs/>
          <w:color w:val="auto"/>
          <w:sz w:val="21"/>
          <w:szCs w:val="21"/>
          <w:highlight w:val="none"/>
        </w:rPr>
      </w:pPr>
    </w:p>
    <w:p w14:paraId="4358D44A">
      <w:pPr>
        <w:spacing w:line="360" w:lineRule="auto"/>
        <w:ind w:firstLine="422"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bCs/>
          <w:color w:val="auto"/>
          <w:sz w:val="21"/>
          <w:szCs w:val="21"/>
          <w:highlight w:val="none"/>
        </w:rPr>
        <w:t>供应商</w:t>
      </w:r>
      <w:r>
        <w:rPr>
          <w:rFonts w:hint="eastAsia" w:cs="仿宋_GB2312" w:asciiTheme="minorEastAsia" w:hAnsiTheme="minorEastAsia" w:eastAsiaTheme="minorEastAsia"/>
          <w:b/>
          <w:bCs/>
          <w:color w:val="auto"/>
          <w:sz w:val="21"/>
          <w:szCs w:val="21"/>
          <w:highlight w:val="none"/>
          <w:lang w:eastAsia="zh-CN"/>
        </w:rPr>
        <w:t>须</w:t>
      </w:r>
      <w:r>
        <w:rPr>
          <w:rFonts w:hint="eastAsia" w:cs="仿宋_GB2312" w:asciiTheme="minorEastAsia" w:hAnsiTheme="minorEastAsia" w:eastAsiaTheme="minorEastAsia"/>
          <w:b/>
          <w:bCs/>
          <w:color w:val="auto"/>
          <w:sz w:val="21"/>
          <w:szCs w:val="21"/>
          <w:highlight w:val="none"/>
        </w:rPr>
        <w:t>按照以下格式编制响应文件。</w:t>
      </w:r>
    </w:p>
    <w:p w14:paraId="2ECB742A">
      <w:pPr>
        <w:spacing w:line="520" w:lineRule="exact"/>
        <w:jc w:val="center"/>
        <w:rPr>
          <w:rFonts w:ascii="宋体" w:hAnsi="宋体" w:cs="宋体"/>
          <w:b/>
          <w:color w:val="auto"/>
          <w:sz w:val="28"/>
          <w:szCs w:val="28"/>
          <w:highlight w:val="none"/>
        </w:rPr>
      </w:pPr>
    </w:p>
    <w:p w14:paraId="29F1B521">
      <w:pPr>
        <w:widowControl/>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eastAsia="zh-CN"/>
        </w:rPr>
        <w:t>一</w:t>
      </w:r>
      <w:r>
        <w:rPr>
          <w:rFonts w:hint="eastAsia" w:cs="仿宋_GB2312" w:asciiTheme="minorEastAsia" w:hAnsiTheme="minorEastAsia" w:eastAsiaTheme="minorEastAsia"/>
          <w:b/>
          <w:color w:val="auto"/>
          <w:kern w:val="0"/>
          <w:sz w:val="32"/>
          <w:szCs w:val="32"/>
          <w:highlight w:val="none"/>
          <w:lang w:val="zh-CN"/>
        </w:rPr>
        <w:t>、资格文件</w:t>
      </w:r>
    </w:p>
    <w:p w14:paraId="6EA323E6">
      <w:pPr>
        <w:pStyle w:val="18"/>
        <w:rPr>
          <w:rFonts w:cs="仿宋_GB2312" w:asciiTheme="minorEastAsia" w:hAnsiTheme="minorEastAsia" w:eastAsiaTheme="minorEastAsia"/>
          <w:b/>
          <w:color w:val="auto"/>
          <w:sz w:val="32"/>
          <w:szCs w:val="32"/>
          <w:highlight w:val="none"/>
        </w:rPr>
      </w:pPr>
    </w:p>
    <w:p w14:paraId="5A774D0E">
      <w:pPr>
        <w:jc w:val="center"/>
        <w:rPr>
          <w:rFonts w:ascii="宋体" w:hAnsi="宋体" w:cs="宋体"/>
          <w:b/>
          <w:color w:val="auto"/>
          <w:spacing w:val="-11"/>
          <w:kern w:val="0"/>
          <w:sz w:val="32"/>
          <w:szCs w:val="32"/>
          <w:highlight w:val="none"/>
          <w:lang w:val="zh-CN"/>
        </w:rPr>
      </w:pPr>
      <w:r>
        <w:rPr>
          <w:rFonts w:hint="eastAsia" w:ascii="宋体" w:hAnsi="宋体" w:cs="宋体"/>
          <w:b/>
          <w:color w:val="auto"/>
          <w:kern w:val="0"/>
          <w:sz w:val="32"/>
          <w:szCs w:val="32"/>
          <w:highlight w:val="none"/>
          <w:lang w:val="en-US" w:eastAsia="zh-CN"/>
        </w:rPr>
        <w:t>1</w:t>
      </w:r>
      <w:r>
        <w:rPr>
          <w:rFonts w:hint="eastAsia" w:ascii="宋体" w:hAnsi="宋体" w:cs="宋体"/>
          <w:b/>
          <w:color w:val="auto"/>
          <w:spacing w:val="-11"/>
          <w:kern w:val="0"/>
          <w:sz w:val="32"/>
          <w:szCs w:val="32"/>
          <w:highlight w:val="none"/>
          <w:lang w:val="en-US" w:eastAsia="zh-CN"/>
        </w:rPr>
        <w:t>.</w:t>
      </w:r>
      <w:r>
        <w:rPr>
          <w:rFonts w:hint="eastAsia" w:ascii="宋体" w:hAnsi="宋体" w:cs="宋体"/>
          <w:b/>
          <w:color w:val="auto"/>
          <w:spacing w:val="-11"/>
          <w:kern w:val="0"/>
          <w:sz w:val="32"/>
          <w:szCs w:val="32"/>
          <w:highlight w:val="none"/>
          <w:lang w:val="zh-CN"/>
        </w:rPr>
        <w:t>授权委托书或法定代表人（单位负责人、自然人本人）身份证明</w:t>
      </w:r>
    </w:p>
    <w:p w14:paraId="52BDA66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364A10D9">
      <w:pPr>
        <w:snapToGrid w:val="0"/>
        <w:spacing w:line="360" w:lineRule="auto"/>
        <w:jc w:val="center"/>
        <w:rPr>
          <w:rFonts w:ascii="宋体" w:hAnsi="宋体" w:cs="宋体"/>
          <w:color w:val="auto"/>
          <w:highlight w:val="none"/>
        </w:rPr>
      </w:pPr>
      <w:r>
        <w:rPr>
          <w:rFonts w:hint="eastAsia" w:ascii="宋体" w:hAnsi="宋体" w:cs="宋体"/>
          <w:b/>
          <w:color w:val="auto"/>
          <w:kern w:val="0"/>
          <w:sz w:val="30"/>
          <w:szCs w:val="30"/>
          <w:highlight w:val="none"/>
          <w:lang w:val="zh-CN"/>
        </w:rPr>
        <w:t>授权委托书</w:t>
      </w:r>
    </w:p>
    <w:p w14:paraId="29E26BB2">
      <w:pPr>
        <w:snapToGrid w:val="0"/>
        <w:spacing w:line="360" w:lineRule="auto"/>
        <w:rPr>
          <w:rFonts w:ascii="宋体" w:hAnsi="宋体" w:cs="宋体"/>
          <w:color w:val="auto"/>
          <w:kern w:val="0"/>
          <w:sz w:val="21"/>
          <w:szCs w:val="21"/>
          <w:highlight w:val="none"/>
        </w:rPr>
      </w:pPr>
      <w:r>
        <w:rPr>
          <w:rFonts w:hint="eastAsia" w:ascii="宋体" w:hAnsi="宋体" w:cs="宋体"/>
          <w:color w:val="auto"/>
          <w:sz w:val="21"/>
          <w:szCs w:val="21"/>
          <w:highlight w:val="none"/>
        </w:rPr>
        <w:t>（采购人）、（采购代理机构）</w:t>
      </w:r>
      <w:r>
        <w:rPr>
          <w:rFonts w:hint="eastAsia" w:ascii="宋体" w:hAnsi="宋体" w:cs="宋体"/>
          <w:color w:val="auto"/>
          <w:kern w:val="0"/>
          <w:sz w:val="21"/>
          <w:szCs w:val="21"/>
          <w:highlight w:val="none"/>
          <w:lang w:val="zh-CN"/>
        </w:rPr>
        <w:t>：</w:t>
      </w:r>
    </w:p>
    <w:p w14:paraId="4BEBEDE8">
      <w:pPr>
        <w:snapToGrid w:val="0"/>
        <w:spacing w:line="360" w:lineRule="auto"/>
        <w:ind w:firstLine="576"/>
        <w:rPr>
          <w:rFonts w:ascii="宋体" w:hAnsi="宋体" w:cs="宋体"/>
          <w:color w:val="auto"/>
          <w:kern w:val="0"/>
          <w:sz w:val="21"/>
          <w:szCs w:val="21"/>
          <w:highlight w:val="none"/>
        </w:rPr>
      </w:pPr>
      <w:r>
        <w:rPr>
          <w:rFonts w:hint="eastAsia" w:ascii="宋体" w:hAnsi="宋体" w:cs="宋体"/>
          <w:color w:val="auto"/>
          <w:kern w:val="0"/>
          <w:sz w:val="21"/>
          <w:szCs w:val="21"/>
          <w:highlight w:val="none"/>
        </w:rPr>
        <w:t>现</w:t>
      </w:r>
      <w:r>
        <w:rPr>
          <w:rFonts w:hint="eastAsia" w:ascii="宋体" w:hAnsi="宋体" w:cs="宋体"/>
          <w:color w:val="auto"/>
          <w:kern w:val="0"/>
          <w:sz w:val="21"/>
          <w:szCs w:val="21"/>
          <w:highlight w:val="none"/>
          <w:lang w:val="zh-CN"/>
        </w:rPr>
        <w:t>委托</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（姓名）为我方代理人（身份证号码：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），以我方名义处理</w:t>
      </w:r>
      <w:r>
        <w:rPr>
          <w:rFonts w:hint="eastAsia" w:ascii="宋体" w:hAnsi="宋体" w:eastAsia="宋体" w:cs="宋体"/>
          <w:color w:val="auto"/>
          <w:sz w:val="21"/>
          <w:szCs w:val="21"/>
          <w:highlight w:val="none"/>
          <w:u w:val="single"/>
        </w:rPr>
        <w:t>（项目名称、项目编号）</w:t>
      </w:r>
      <w:r>
        <w:rPr>
          <w:rFonts w:hint="eastAsia" w:ascii="宋体" w:hAnsi="宋体" w:cs="宋体"/>
          <w:color w:val="auto"/>
          <w:kern w:val="0"/>
          <w:sz w:val="21"/>
          <w:szCs w:val="21"/>
          <w:highlight w:val="none"/>
          <w:lang w:val="zh-CN"/>
        </w:rPr>
        <w:t>政府采购磋商的一切事项，其法律后果由我方承担。</w:t>
      </w:r>
    </w:p>
    <w:p w14:paraId="7D385A2F">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委托期限</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zh-CN"/>
        </w:rPr>
        <w:t>自</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日起至</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年</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月</w:t>
      </w: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日止。</w:t>
      </w:r>
    </w:p>
    <w:p w14:paraId="71623BD8">
      <w:pPr>
        <w:snapToGrid w:val="0"/>
        <w:spacing w:line="360" w:lineRule="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    </w:t>
      </w:r>
      <w:r>
        <w:rPr>
          <w:rFonts w:hint="eastAsia" w:ascii="宋体" w:hAnsi="宋体" w:cs="宋体"/>
          <w:color w:val="auto"/>
          <w:kern w:val="0"/>
          <w:sz w:val="21"/>
          <w:szCs w:val="21"/>
          <w:highlight w:val="none"/>
          <w:lang w:val="zh-CN"/>
        </w:rPr>
        <w:t>特此告知。</w:t>
      </w:r>
    </w:p>
    <w:p w14:paraId="16CE3447">
      <w:pPr>
        <w:spacing w:line="360" w:lineRule="auto"/>
        <w:ind w:left="4649" w:leftChars="2214" w:firstLine="3150" w:firstLineChars="1500"/>
        <w:rPr>
          <w:rFonts w:ascii="宋体" w:hAnsi="宋体" w:cs="宋体"/>
          <w:color w:val="auto"/>
          <w:sz w:val="21"/>
          <w:szCs w:val="21"/>
          <w:highlight w:val="none"/>
        </w:rPr>
      </w:pPr>
      <w:r>
        <w:rPr>
          <w:rFonts w:hint="eastAsia" w:ascii="宋体" w:hAnsi="宋体" w:cs="宋体"/>
          <w:color w:val="auto"/>
          <w:kern w:val="0"/>
          <w:sz w:val="21"/>
          <w:szCs w:val="21"/>
          <w:highlight w:val="none"/>
          <w:lang w:val="zh-CN"/>
        </w:rPr>
        <w:t xml:space="preserve">                                                 </w:t>
      </w:r>
      <w:r>
        <w:rPr>
          <w:rFonts w:hint="eastAsia" w:ascii="宋体" w:hAnsi="宋体" w:cs="宋体"/>
          <w:color w:val="auto"/>
          <w:sz w:val="21"/>
          <w:szCs w:val="21"/>
          <w:highlight w:val="none"/>
        </w:rPr>
        <w:t>磋商供应商名称（公章）：</w:t>
      </w:r>
    </w:p>
    <w:p w14:paraId="75742565">
      <w:pPr>
        <w:snapToGrid w:val="0"/>
        <w:spacing w:line="360" w:lineRule="auto"/>
        <w:ind w:left="4649" w:leftChars="2214"/>
        <w:rPr>
          <w:rFonts w:ascii="宋体" w:hAnsi="宋体" w:cs="宋体"/>
          <w:color w:val="auto"/>
          <w:kern w:val="0"/>
          <w:sz w:val="21"/>
          <w:szCs w:val="21"/>
          <w:highlight w:val="none"/>
        </w:rPr>
      </w:pPr>
      <w:r>
        <w:rPr>
          <w:rFonts w:hint="eastAsia" w:ascii="宋体" w:hAnsi="宋体" w:cs="宋体"/>
          <w:color w:val="auto"/>
          <w:sz w:val="21"/>
          <w:szCs w:val="21"/>
          <w:highlight w:val="none"/>
        </w:rPr>
        <w:t>法定代表人（负责人） (签名)：</w:t>
      </w:r>
    </w:p>
    <w:p w14:paraId="6FD427B0">
      <w:pPr>
        <w:snapToGrid w:val="0"/>
        <w:spacing w:line="360" w:lineRule="auto"/>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 xml:space="preserve">                                       签发日期：  年  月   日</w:t>
      </w:r>
    </w:p>
    <w:p w14:paraId="6B44CB68">
      <w:pPr>
        <w:adjustRightInd/>
        <w:spacing w:line="360" w:lineRule="auto"/>
        <w:rPr>
          <w:rFonts w:ascii="宋体" w:hAnsi="宋体"/>
          <w:color w:val="auto"/>
          <w:sz w:val="21"/>
          <w:szCs w:val="21"/>
          <w:highlight w:val="none"/>
        </w:rPr>
      </w:pPr>
    </w:p>
    <w:p w14:paraId="668D588F">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委托代理人和法定代表人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0"/>
      </w:tblGrid>
      <w:tr w14:paraId="7572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jc w:val="center"/>
        </w:trPr>
        <w:tc>
          <w:tcPr>
            <w:tcW w:w="9660" w:type="dxa"/>
          </w:tcPr>
          <w:p w14:paraId="73FDE172">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6B214FE7">
            <w:pPr>
              <w:spacing w:line="360" w:lineRule="auto"/>
              <w:rPr>
                <w:rFonts w:ascii="宋体" w:hAnsi="宋体" w:cs="宋体"/>
                <w:bCs/>
                <w:color w:val="auto"/>
                <w:sz w:val="21"/>
                <w:szCs w:val="21"/>
                <w:highlight w:val="none"/>
              </w:rPr>
            </w:pPr>
          </w:p>
          <w:p w14:paraId="402680BA">
            <w:pPr>
              <w:spacing w:line="360" w:lineRule="auto"/>
              <w:rPr>
                <w:rFonts w:ascii="宋体" w:hAnsi="宋体" w:cs="宋体"/>
                <w:bCs/>
                <w:color w:val="auto"/>
                <w:sz w:val="21"/>
                <w:szCs w:val="21"/>
                <w:highlight w:val="none"/>
              </w:rPr>
            </w:pPr>
          </w:p>
          <w:p w14:paraId="6FED2127">
            <w:pPr>
              <w:spacing w:line="360" w:lineRule="auto"/>
              <w:rPr>
                <w:rFonts w:ascii="宋体" w:hAnsi="宋体" w:cs="宋体"/>
                <w:bCs/>
                <w:color w:val="auto"/>
                <w:sz w:val="21"/>
                <w:szCs w:val="21"/>
                <w:highlight w:val="none"/>
              </w:rPr>
            </w:pPr>
          </w:p>
          <w:p w14:paraId="6C5D5D9F">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46C69FA4">
            <w:pPr>
              <w:spacing w:line="360" w:lineRule="auto"/>
              <w:rPr>
                <w:rFonts w:ascii="宋体" w:hAnsi="宋体" w:cs="宋体"/>
                <w:bCs/>
                <w:color w:val="auto"/>
                <w:sz w:val="21"/>
                <w:szCs w:val="21"/>
                <w:highlight w:val="none"/>
              </w:rPr>
            </w:pPr>
          </w:p>
        </w:tc>
      </w:tr>
    </w:tbl>
    <w:p w14:paraId="4826AEC8">
      <w:pPr>
        <w:pStyle w:val="18"/>
        <w:rPr>
          <w:rFonts w:hint="eastAsia"/>
          <w:color w:val="auto"/>
          <w:sz w:val="21"/>
          <w:szCs w:val="21"/>
          <w:highlight w:val="none"/>
          <w:lang w:val="zh-CN"/>
        </w:rPr>
      </w:pPr>
    </w:p>
    <w:p w14:paraId="3E3D349F">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5AA9AD54">
      <w:pPr>
        <w:autoSpaceDE w:val="0"/>
        <w:autoSpaceDN w:val="0"/>
        <w:spacing w:line="360" w:lineRule="auto"/>
        <w:jc w:val="center"/>
        <w:rPr>
          <w:rFonts w:hint="eastAsia" w:ascii="宋体" w:hAnsi="宋体" w:cs="宋体"/>
          <w:b/>
          <w:color w:val="auto"/>
          <w:kern w:val="0"/>
          <w:sz w:val="32"/>
          <w:szCs w:val="32"/>
          <w:highlight w:val="none"/>
          <w:lang w:val="zh-CN"/>
        </w:rPr>
      </w:pPr>
    </w:p>
    <w:p w14:paraId="0821EE99">
      <w:pPr>
        <w:autoSpaceDE w:val="0"/>
        <w:autoSpaceDN w:val="0"/>
        <w:spacing w:line="360" w:lineRule="auto"/>
        <w:jc w:val="center"/>
        <w:rPr>
          <w:rFonts w:hint="eastAsia" w:ascii="宋体" w:hAnsi="宋体" w:cs="宋体"/>
          <w:b/>
          <w:color w:val="auto"/>
          <w:kern w:val="0"/>
          <w:sz w:val="32"/>
          <w:szCs w:val="32"/>
          <w:highlight w:val="none"/>
          <w:lang w:val="zh-CN"/>
        </w:rPr>
      </w:pPr>
    </w:p>
    <w:p w14:paraId="2F21CD72">
      <w:pPr>
        <w:autoSpaceDE w:val="0"/>
        <w:autoSpaceDN w:val="0"/>
        <w:spacing w:line="360" w:lineRule="auto"/>
        <w:jc w:val="center"/>
        <w:rPr>
          <w:rFonts w:hint="eastAsia" w:ascii="宋体" w:hAnsi="宋体" w:cs="宋体"/>
          <w:b/>
          <w:color w:val="auto"/>
          <w:kern w:val="0"/>
          <w:sz w:val="32"/>
          <w:szCs w:val="32"/>
          <w:highlight w:val="none"/>
          <w:lang w:val="zh-CN"/>
        </w:rPr>
      </w:pPr>
    </w:p>
    <w:p w14:paraId="1F7DA6AF">
      <w:pPr>
        <w:autoSpaceDE w:val="0"/>
        <w:autoSpaceDN w:val="0"/>
        <w:spacing w:line="360" w:lineRule="auto"/>
        <w:jc w:val="center"/>
        <w:rPr>
          <w:rFonts w:hint="eastAsia" w:ascii="宋体" w:hAnsi="宋体" w:cs="宋体"/>
          <w:b/>
          <w:color w:val="auto"/>
          <w:kern w:val="0"/>
          <w:sz w:val="32"/>
          <w:szCs w:val="32"/>
          <w:highlight w:val="none"/>
          <w:lang w:val="zh-CN"/>
        </w:rPr>
      </w:pPr>
    </w:p>
    <w:p w14:paraId="59122E42">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的身份证明（适用于法定代表人、单位负责人或者自然人本人代表磋商供应商参加</w:t>
      </w:r>
      <w:r>
        <w:rPr>
          <w:rFonts w:hint="eastAsia" w:ascii="宋体" w:hAnsi="宋体" w:cs="宋体"/>
          <w:b/>
          <w:color w:val="auto"/>
          <w:sz w:val="30"/>
          <w:szCs w:val="30"/>
          <w:highlight w:val="none"/>
          <w:lang w:eastAsia="zh-CN"/>
        </w:rPr>
        <w:t>磋商</w:t>
      </w:r>
      <w:r>
        <w:rPr>
          <w:rFonts w:hint="eastAsia" w:ascii="宋体" w:hAnsi="宋体" w:cs="宋体"/>
          <w:b/>
          <w:color w:val="auto"/>
          <w:sz w:val="30"/>
          <w:szCs w:val="30"/>
          <w:highlight w:val="none"/>
        </w:rPr>
        <w:t>）</w:t>
      </w:r>
    </w:p>
    <w:p w14:paraId="049A9BBB">
      <w:pPr>
        <w:adjustRightInd/>
        <w:spacing w:line="360" w:lineRule="auto"/>
        <w:rPr>
          <w:rFonts w:ascii="宋体" w:hAnsi="宋体" w:cs="宋体"/>
          <w:bCs/>
          <w:color w:val="auto"/>
          <w:sz w:val="24"/>
          <w:szCs w:val="21"/>
          <w:highlight w:val="none"/>
        </w:rPr>
      </w:pPr>
    </w:p>
    <w:p w14:paraId="765DF478">
      <w:pPr>
        <w:adjustRightInd/>
        <w:snapToGrid w:val="0"/>
        <w:spacing w:before="120" w:beforeLines="50" w:after="50" w:line="600" w:lineRule="exact"/>
        <w:jc w:val="center"/>
        <w:rPr>
          <w:rFonts w:ascii="宋体" w:hAnsi="宋体"/>
          <w:b/>
          <w:color w:val="auto"/>
          <w:sz w:val="30"/>
          <w:szCs w:val="30"/>
          <w:highlight w:val="none"/>
        </w:rPr>
      </w:pPr>
      <w:r>
        <w:rPr>
          <w:rFonts w:hint="eastAsia" w:ascii="宋体" w:hAnsi="宋体"/>
          <w:b/>
          <w:color w:val="auto"/>
          <w:sz w:val="30"/>
          <w:szCs w:val="30"/>
          <w:highlight w:val="none"/>
        </w:rPr>
        <w:t>法定代表人、单位负责人或自然人身份证明书</w:t>
      </w:r>
    </w:p>
    <w:p w14:paraId="1B391526">
      <w:pPr>
        <w:snapToGrid w:val="0"/>
        <w:spacing w:line="276" w:lineRule="auto"/>
        <w:ind w:firstLine="960" w:firstLineChars="400"/>
        <w:rPr>
          <w:rFonts w:ascii="宋体" w:hAnsi="宋体"/>
          <w:color w:val="auto"/>
          <w:sz w:val="24"/>
          <w:highlight w:val="none"/>
          <w:u w:val="single"/>
        </w:rPr>
      </w:pPr>
    </w:p>
    <w:p w14:paraId="78AB8339">
      <w:pPr>
        <w:snapToGrid w:val="0"/>
        <w:spacing w:line="720" w:lineRule="exact"/>
        <w:ind w:firstLine="840" w:firstLineChars="400"/>
        <w:rPr>
          <w:rFonts w:ascii="宋体" w:hAnsi="宋体"/>
          <w:color w:val="auto"/>
          <w:sz w:val="21"/>
          <w:szCs w:val="21"/>
          <w:highlight w:val="none"/>
        </w:rPr>
      </w:pP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（姓名）（身份证号码：</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，手机：</w:t>
      </w:r>
      <w:r>
        <w:rPr>
          <w:rFonts w:hint="eastAsia" w:ascii="宋体" w:hAnsi="宋体" w:cs="宋体"/>
          <w:color w:val="auto"/>
          <w:kern w:val="0"/>
          <w:sz w:val="21"/>
          <w:szCs w:val="21"/>
          <w:highlight w:val="none"/>
          <w:u w:val="single"/>
          <w:lang w:val="zh-CN"/>
        </w:rPr>
        <w:t xml:space="preserve">          </w:t>
      </w:r>
      <w:r>
        <w:rPr>
          <w:rFonts w:hint="eastAsia" w:ascii="宋体" w:hAnsi="宋体" w:cs="宋体"/>
          <w:color w:val="auto"/>
          <w:kern w:val="0"/>
          <w:sz w:val="21"/>
          <w:szCs w:val="21"/>
          <w:highlight w:val="none"/>
          <w:lang w:val="zh-CN"/>
        </w:rPr>
        <w:t>）</w:t>
      </w:r>
      <w:r>
        <w:rPr>
          <w:rFonts w:hint="eastAsia" w:ascii="宋体" w:hAnsi="宋体"/>
          <w:color w:val="auto"/>
          <w:sz w:val="21"/>
          <w:szCs w:val="21"/>
          <w:highlight w:val="none"/>
        </w:rPr>
        <w:t>在我公司（单位）任</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职务，是我公司（单位）</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的法定代表人</w:t>
      </w:r>
      <w:r>
        <w:rPr>
          <w:rFonts w:hint="eastAsia" w:ascii="宋体" w:hAnsi="宋体" w:cs="宋体"/>
          <w:color w:val="auto"/>
          <w:kern w:val="0"/>
          <w:sz w:val="21"/>
          <w:szCs w:val="21"/>
          <w:highlight w:val="none"/>
        </w:rPr>
        <w:t>（负责人）</w:t>
      </w:r>
      <w:r>
        <w:rPr>
          <w:rFonts w:hint="eastAsia" w:ascii="宋体" w:hAnsi="宋体"/>
          <w:color w:val="auto"/>
          <w:sz w:val="21"/>
          <w:szCs w:val="21"/>
          <w:highlight w:val="none"/>
        </w:rPr>
        <w:t>。</w:t>
      </w:r>
    </w:p>
    <w:p w14:paraId="7CA815E8">
      <w:pPr>
        <w:snapToGrid w:val="0"/>
        <w:spacing w:line="720" w:lineRule="exact"/>
        <w:ind w:firstLine="735" w:firstLineChars="350"/>
        <w:rPr>
          <w:rFonts w:ascii="宋体" w:hAnsi="宋体"/>
          <w:color w:val="auto"/>
          <w:sz w:val="21"/>
          <w:szCs w:val="21"/>
          <w:highlight w:val="none"/>
        </w:rPr>
      </w:pPr>
      <w:r>
        <w:rPr>
          <w:rFonts w:hint="eastAsia" w:ascii="宋体" w:hAnsi="宋体"/>
          <w:color w:val="auto"/>
          <w:sz w:val="21"/>
          <w:szCs w:val="21"/>
          <w:highlight w:val="none"/>
        </w:rPr>
        <w:t>特此证明。</w:t>
      </w:r>
    </w:p>
    <w:p w14:paraId="5C7B5AC9">
      <w:pPr>
        <w:snapToGrid w:val="0"/>
        <w:spacing w:line="276" w:lineRule="auto"/>
        <w:rPr>
          <w:rFonts w:ascii="宋体" w:hAnsi="宋体"/>
          <w:color w:val="auto"/>
          <w:sz w:val="21"/>
          <w:szCs w:val="21"/>
          <w:highlight w:val="none"/>
        </w:rPr>
      </w:pPr>
    </w:p>
    <w:p w14:paraId="60B97A3B">
      <w:pPr>
        <w:snapToGrid w:val="0"/>
        <w:spacing w:line="276" w:lineRule="auto"/>
        <w:rPr>
          <w:rFonts w:ascii="宋体" w:hAnsi="宋体"/>
          <w:color w:val="auto"/>
          <w:sz w:val="21"/>
          <w:szCs w:val="21"/>
          <w:highlight w:val="none"/>
        </w:rPr>
      </w:pPr>
      <w:r>
        <w:rPr>
          <w:rFonts w:hint="eastAsia" w:ascii="宋体" w:hAnsi="宋体"/>
          <w:color w:val="auto"/>
          <w:sz w:val="21"/>
          <w:szCs w:val="21"/>
          <w:highlight w:val="none"/>
        </w:rPr>
        <w:t xml:space="preserve">                        </w:t>
      </w:r>
    </w:p>
    <w:p w14:paraId="1A312002">
      <w:pPr>
        <w:snapToGrid w:val="0"/>
        <w:spacing w:line="276" w:lineRule="auto"/>
        <w:rPr>
          <w:rFonts w:ascii="宋体" w:hAnsi="宋体"/>
          <w:color w:val="auto"/>
          <w:sz w:val="21"/>
          <w:szCs w:val="21"/>
          <w:highlight w:val="none"/>
        </w:rPr>
      </w:pPr>
    </w:p>
    <w:p w14:paraId="1B1705E8">
      <w:pPr>
        <w:snapToGrid w:val="0"/>
        <w:spacing w:line="360" w:lineRule="auto"/>
        <w:ind w:firstLine="576"/>
        <w:jc w:val="center"/>
        <w:rPr>
          <w:rFonts w:ascii="宋体" w:hAnsi="宋体" w:cs="宋体"/>
          <w:color w:val="auto"/>
          <w:kern w:val="0"/>
          <w:sz w:val="21"/>
          <w:szCs w:val="21"/>
          <w:highlight w:val="none"/>
          <w:lang w:val="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磋商供应商名称</w:t>
      </w:r>
      <w:r>
        <w:rPr>
          <w:rFonts w:hint="eastAsia" w:ascii="宋体" w:hAnsi="宋体" w:cs="宋体"/>
          <w:color w:val="auto"/>
          <w:kern w:val="0"/>
          <w:sz w:val="21"/>
          <w:szCs w:val="21"/>
          <w:highlight w:val="none"/>
          <w:lang w:val="zh-CN"/>
        </w:rPr>
        <w:t xml:space="preserve">(公章)：                              </w:t>
      </w:r>
    </w:p>
    <w:p w14:paraId="29261AF6">
      <w:pPr>
        <w:adjustRightInd/>
        <w:spacing w:line="360" w:lineRule="auto"/>
        <w:rPr>
          <w:rFonts w:ascii="宋体" w:hAnsi="宋体" w:cs="宋体"/>
          <w:bCs/>
          <w:color w:val="auto"/>
          <w:sz w:val="21"/>
          <w:szCs w:val="21"/>
          <w:highlight w:val="none"/>
        </w:rPr>
      </w:pPr>
      <w:r>
        <w:rPr>
          <w:rFonts w:hint="eastAsia" w:ascii="宋体" w:hAnsi="宋体" w:cs="宋体"/>
          <w:color w:val="auto"/>
          <w:kern w:val="0"/>
          <w:sz w:val="21"/>
          <w:szCs w:val="21"/>
          <w:highlight w:val="none"/>
          <w:lang w:val="zh-CN"/>
        </w:rPr>
        <w:t xml:space="preserve">                               日</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lang w:val="zh-CN"/>
        </w:rPr>
        <w:t>期：  年  月  日</w:t>
      </w:r>
    </w:p>
    <w:p w14:paraId="4DEEAEBE">
      <w:pPr>
        <w:adjustRightInd/>
        <w:spacing w:line="360" w:lineRule="auto"/>
        <w:rPr>
          <w:rFonts w:ascii="宋体" w:hAnsi="宋体" w:cs="宋体"/>
          <w:bCs/>
          <w:color w:val="auto"/>
          <w:sz w:val="21"/>
          <w:szCs w:val="21"/>
          <w:highlight w:val="none"/>
        </w:rPr>
      </w:pPr>
    </w:p>
    <w:p w14:paraId="4A6DF106">
      <w:pPr>
        <w:adjustRightInd/>
        <w:spacing w:line="360" w:lineRule="auto"/>
        <w:rPr>
          <w:rFonts w:ascii="宋体" w:hAnsi="宋体" w:cs="宋体"/>
          <w:bCs/>
          <w:color w:val="auto"/>
          <w:sz w:val="21"/>
          <w:szCs w:val="21"/>
          <w:highlight w:val="none"/>
        </w:rPr>
      </w:pPr>
      <w:r>
        <w:rPr>
          <w:rFonts w:hint="eastAsia" w:ascii="宋体" w:hAnsi="宋体"/>
          <w:color w:val="auto"/>
          <w:sz w:val="21"/>
          <w:szCs w:val="21"/>
          <w:highlight w:val="none"/>
        </w:rPr>
        <w:t>法定代表人</w:t>
      </w:r>
      <w:r>
        <w:rPr>
          <w:rFonts w:hint="eastAsia" w:ascii="宋体" w:hAnsi="宋体" w:cs="宋体"/>
          <w:color w:val="auto"/>
          <w:kern w:val="0"/>
          <w:sz w:val="21"/>
          <w:szCs w:val="21"/>
          <w:highlight w:val="none"/>
        </w:rPr>
        <w:t>（负责人）</w:t>
      </w:r>
      <w:r>
        <w:rPr>
          <w:rFonts w:hint="eastAsia" w:ascii="宋体" w:hAnsi="宋体" w:cs="宋体"/>
          <w:bCs/>
          <w:color w:val="auto"/>
          <w:sz w:val="21"/>
          <w:szCs w:val="21"/>
          <w:highlight w:val="none"/>
        </w:rPr>
        <w:t>身份证件扫描件：</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72B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14:paraId="621A2E99">
            <w:pPr>
              <w:spacing w:line="360" w:lineRule="auto"/>
              <w:rPr>
                <w:rFonts w:ascii="宋体" w:hAnsi="宋体" w:cs="宋体"/>
                <w:bCs/>
                <w:color w:val="auto"/>
                <w:sz w:val="21"/>
                <w:szCs w:val="21"/>
                <w:highlight w:val="none"/>
              </w:rPr>
            </w:pPr>
            <w:r>
              <w:rPr>
                <w:rFonts w:hint="eastAsia" w:ascii="宋体" w:hAnsi="宋体" w:cs="宋体"/>
                <w:bCs/>
                <w:color w:val="auto"/>
                <w:sz w:val="21"/>
                <w:szCs w:val="21"/>
                <w:highlight w:val="none"/>
              </w:rPr>
              <w:t>正面：                                 反面：</w:t>
            </w:r>
          </w:p>
          <w:p w14:paraId="1954FD7F">
            <w:pPr>
              <w:spacing w:line="360" w:lineRule="auto"/>
              <w:rPr>
                <w:rFonts w:ascii="宋体" w:hAnsi="宋体" w:cs="宋体"/>
                <w:bCs/>
                <w:color w:val="auto"/>
                <w:sz w:val="21"/>
                <w:szCs w:val="21"/>
                <w:highlight w:val="none"/>
              </w:rPr>
            </w:pPr>
          </w:p>
        </w:tc>
      </w:tr>
    </w:tbl>
    <w:p w14:paraId="662DAE9B">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789407C1">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50613212">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5A22D27A">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3EAE8D45">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2CC60043">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57F9E045">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43873133">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21"/>
          <w:szCs w:val="21"/>
          <w:highlight w:val="none"/>
        </w:rPr>
      </w:pPr>
    </w:p>
    <w:p w14:paraId="4D9874C4">
      <w:pPr>
        <w:pStyle w:val="38"/>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highlight w:val="none"/>
        </w:rPr>
      </w:pPr>
    </w:p>
    <w:p w14:paraId="50CFEFC5">
      <w:pPr>
        <w:numPr>
          <w:ilvl w:val="0"/>
          <w:numId w:val="0"/>
        </w:numPr>
        <w:snapToGrid w:val="0"/>
        <w:spacing w:line="360" w:lineRule="auto"/>
        <w:ind w:right="480" w:rightChars="0"/>
        <w:jc w:val="center"/>
        <w:rPr>
          <w:rFonts w:hint="eastAsia" w:cs="宋体" w:asciiTheme="minorEastAsia" w:hAnsiTheme="minorEastAsia" w:eastAsiaTheme="minorEastAsia"/>
          <w:b/>
          <w:color w:val="auto"/>
          <w:kern w:val="0"/>
          <w:sz w:val="32"/>
          <w:szCs w:val="32"/>
          <w:highlight w:val="none"/>
          <w:lang w:val="en-US" w:eastAsia="zh-CN"/>
        </w:rPr>
      </w:pPr>
    </w:p>
    <w:p w14:paraId="1DBA6BB2">
      <w:pPr>
        <w:numPr>
          <w:ilvl w:val="0"/>
          <w:numId w:val="0"/>
        </w:numPr>
        <w:snapToGrid w:val="0"/>
        <w:spacing w:line="360" w:lineRule="auto"/>
        <w:ind w:right="480" w:rightChars="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val="en-US" w:eastAsia="zh-CN"/>
        </w:rPr>
        <w:t>2.符</w:t>
      </w:r>
      <w:r>
        <w:rPr>
          <w:rFonts w:hint="eastAsia" w:cs="宋体" w:asciiTheme="minorEastAsia" w:hAnsiTheme="minorEastAsia" w:eastAsiaTheme="minorEastAsia"/>
          <w:b/>
          <w:color w:val="auto"/>
          <w:kern w:val="0"/>
          <w:sz w:val="32"/>
          <w:szCs w:val="32"/>
          <w:highlight w:val="none"/>
        </w:rPr>
        <w:t>合参加政府采购活动应当具备的一般条件的承诺函</w:t>
      </w:r>
    </w:p>
    <w:p w14:paraId="2FAF89CA">
      <w:pPr>
        <w:snapToGrid w:val="0"/>
        <w:spacing w:line="360" w:lineRule="auto"/>
        <w:ind w:right="480"/>
        <w:jc w:val="center"/>
        <w:rPr>
          <w:rFonts w:ascii="宋体" w:hAnsi="宋体" w:cs="宋体"/>
          <w:color w:val="auto"/>
          <w:sz w:val="24"/>
          <w:highlight w:val="none"/>
        </w:rPr>
      </w:pPr>
    </w:p>
    <w:p w14:paraId="5585741F">
      <w:pPr>
        <w:snapToGrid w:val="0"/>
        <w:spacing w:line="360" w:lineRule="auto"/>
        <w:ind w:right="480"/>
        <w:jc w:val="center"/>
        <w:rPr>
          <w:rFonts w:ascii="宋体" w:hAnsi="宋体" w:cs="宋体"/>
          <w:color w:val="auto"/>
          <w:sz w:val="30"/>
          <w:szCs w:val="30"/>
          <w:highlight w:val="none"/>
        </w:rPr>
      </w:pPr>
      <w:r>
        <w:rPr>
          <w:rFonts w:hint="eastAsia" w:ascii="宋体" w:hAnsi="宋体" w:cs="宋体"/>
          <w:color w:val="auto"/>
          <w:sz w:val="30"/>
          <w:szCs w:val="30"/>
          <w:highlight w:val="none"/>
        </w:rPr>
        <w:t>北海市政府采购供应商信用承诺函（格式）</w:t>
      </w:r>
    </w:p>
    <w:p w14:paraId="60F7CC9F">
      <w:pPr>
        <w:snapToGrid w:val="0"/>
        <w:spacing w:line="360" w:lineRule="auto"/>
        <w:rPr>
          <w:rFonts w:ascii="宋体" w:hAnsi="宋体" w:cs="宋体"/>
          <w:color w:val="auto"/>
          <w:sz w:val="24"/>
          <w:highlight w:val="none"/>
        </w:rPr>
      </w:pPr>
    </w:p>
    <w:p w14:paraId="417ECA4D">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4"/>
          <w:highlight w:val="none"/>
        </w:rPr>
        <w:t>（</w:t>
      </w:r>
      <w:r>
        <w:rPr>
          <w:rFonts w:hint="eastAsia" w:ascii="宋体" w:hAnsi="宋体" w:cs="宋体"/>
          <w:color w:val="auto"/>
          <w:sz w:val="21"/>
          <w:szCs w:val="21"/>
          <w:highlight w:val="none"/>
        </w:rPr>
        <w:t>采购人）、（采购代理机构） ：</w:t>
      </w:r>
    </w:p>
    <w:p w14:paraId="10411510">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供应商名称：</w:t>
      </w:r>
    </w:p>
    <w:p w14:paraId="699C7976">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统一社会信用代码：</w:t>
      </w:r>
    </w:p>
    <w:p w14:paraId="70134AD0">
      <w:pPr>
        <w:snapToGrid w:val="0"/>
        <w:spacing w:line="360" w:lineRule="auto"/>
        <w:ind w:right="480"/>
        <w:rPr>
          <w:rFonts w:ascii="宋体" w:hAnsi="宋体" w:cs="宋体"/>
          <w:color w:val="auto"/>
          <w:sz w:val="21"/>
          <w:szCs w:val="21"/>
          <w:highlight w:val="none"/>
        </w:rPr>
      </w:pPr>
      <w:r>
        <w:rPr>
          <w:rFonts w:hint="eastAsia" w:ascii="宋体" w:hAnsi="宋体" w:cs="宋体"/>
          <w:color w:val="auto"/>
          <w:sz w:val="21"/>
          <w:szCs w:val="21"/>
          <w:highlight w:val="none"/>
        </w:rPr>
        <w:t>供应商地址：</w:t>
      </w:r>
    </w:p>
    <w:p w14:paraId="78F4A99F">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8A9E359">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4D11167C">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1CD0D8E9">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50C6E511">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23AD91B8">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7F604B3">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41AB057F">
      <w:pPr>
        <w:snapToGrid w:val="0"/>
        <w:spacing w:line="360" w:lineRule="auto"/>
        <w:ind w:right="480"/>
        <w:rPr>
          <w:rFonts w:ascii="宋体" w:hAnsi="宋体" w:cs="宋体"/>
          <w:color w:val="auto"/>
          <w:sz w:val="21"/>
          <w:szCs w:val="21"/>
          <w:highlight w:val="none"/>
        </w:rPr>
      </w:pPr>
    </w:p>
    <w:p w14:paraId="308B8B0D">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32B0CEED">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2F1465EB">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69FAE210">
      <w:pPr>
        <w:snapToGrid w:val="0"/>
        <w:spacing w:line="360" w:lineRule="auto"/>
        <w:ind w:right="480"/>
        <w:rPr>
          <w:rFonts w:ascii="宋体" w:hAnsi="宋体" w:cs="宋体"/>
          <w:color w:val="auto"/>
          <w:sz w:val="24"/>
          <w:highlight w:val="none"/>
        </w:rPr>
      </w:pPr>
    </w:p>
    <w:p w14:paraId="2120D2CA">
      <w:pPr>
        <w:spacing w:line="360" w:lineRule="auto"/>
        <w:jc w:val="center"/>
        <w:rPr>
          <w:rFonts w:hint="eastAsia" w:cs="仿宋_GB2312" w:asciiTheme="minorEastAsia" w:hAnsiTheme="minorEastAsia" w:eastAsiaTheme="minorEastAsia"/>
          <w:b/>
          <w:color w:val="auto"/>
          <w:sz w:val="32"/>
          <w:szCs w:val="32"/>
          <w:highlight w:val="none"/>
        </w:rPr>
      </w:pPr>
    </w:p>
    <w:p w14:paraId="1A6E1432">
      <w:pPr>
        <w:spacing w:line="360" w:lineRule="auto"/>
        <w:jc w:val="center"/>
        <w:rPr>
          <w:rFonts w:hint="eastAsia" w:cs="仿宋_GB2312" w:asciiTheme="minorEastAsia" w:hAnsiTheme="minorEastAsia" w:eastAsiaTheme="minorEastAsia"/>
          <w:b/>
          <w:color w:val="auto"/>
          <w:sz w:val="32"/>
          <w:szCs w:val="32"/>
          <w:highlight w:val="none"/>
        </w:rPr>
      </w:pPr>
    </w:p>
    <w:p w14:paraId="5DF464BF">
      <w:pPr>
        <w:pStyle w:val="18"/>
        <w:rPr>
          <w:rFonts w:hint="eastAsia" w:cs="仿宋_GB2312" w:asciiTheme="minorEastAsia" w:hAnsiTheme="minorEastAsia" w:eastAsiaTheme="minorEastAsia"/>
          <w:b/>
          <w:color w:val="auto"/>
          <w:sz w:val="32"/>
          <w:szCs w:val="32"/>
          <w:highlight w:val="none"/>
        </w:rPr>
      </w:pPr>
    </w:p>
    <w:p w14:paraId="770562C4">
      <w:pPr>
        <w:rPr>
          <w:rFonts w:hint="eastAsia" w:cs="仿宋_GB2312" w:asciiTheme="minorEastAsia" w:hAnsiTheme="minorEastAsia" w:eastAsiaTheme="minorEastAsia"/>
          <w:b/>
          <w:color w:val="auto"/>
          <w:sz w:val="32"/>
          <w:szCs w:val="32"/>
          <w:highlight w:val="none"/>
        </w:rPr>
      </w:pPr>
    </w:p>
    <w:p w14:paraId="06841509">
      <w:pPr>
        <w:pStyle w:val="2"/>
        <w:rPr>
          <w:rFonts w:hint="eastAsia" w:cs="仿宋_GB2312" w:asciiTheme="minorEastAsia" w:hAnsiTheme="minorEastAsia" w:eastAsiaTheme="minorEastAsia"/>
          <w:b/>
          <w:color w:val="auto"/>
          <w:sz w:val="32"/>
          <w:szCs w:val="32"/>
          <w:highlight w:val="none"/>
        </w:rPr>
      </w:pPr>
    </w:p>
    <w:p w14:paraId="66A61446">
      <w:pPr>
        <w:pStyle w:val="4"/>
        <w:rPr>
          <w:rFonts w:hint="eastAsia" w:cs="仿宋_GB2312" w:asciiTheme="minorEastAsia" w:hAnsiTheme="minorEastAsia" w:eastAsiaTheme="minorEastAsia"/>
          <w:b/>
          <w:color w:val="auto"/>
          <w:sz w:val="32"/>
          <w:szCs w:val="32"/>
          <w:highlight w:val="none"/>
        </w:rPr>
      </w:pPr>
    </w:p>
    <w:p w14:paraId="5C7498AC">
      <w:pPr>
        <w:rPr>
          <w:rFonts w:hint="eastAsia"/>
          <w:color w:val="auto"/>
          <w:highlight w:val="none"/>
        </w:rPr>
      </w:pPr>
    </w:p>
    <w:p w14:paraId="0F118492">
      <w:pPr>
        <w:pStyle w:val="18"/>
        <w:rPr>
          <w:rFonts w:hint="eastAsia" w:cs="仿宋_GB2312" w:asciiTheme="minorEastAsia" w:hAnsiTheme="minorEastAsia" w:eastAsiaTheme="minorEastAsia"/>
          <w:b/>
          <w:color w:val="auto"/>
          <w:sz w:val="32"/>
          <w:szCs w:val="32"/>
          <w:highlight w:val="none"/>
        </w:rPr>
      </w:pPr>
    </w:p>
    <w:p w14:paraId="00D149D2">
      <w:pPr>
        <w:numPr>
          <w:ilvl w:val="0"/>
          <w:numId w:val="0"/>
        </w:numPr>
        <w:snapToGrid w:val="0"/>
        <w:spacing w:line="360" w:lineRule="auto"/>
        <w:ind w:leftChars="0" w:right="480" w:rightChars="0"/>
        <w:jc w:val="center"/>
        <w:rPr>
          <w:rFonts w:hint="eastAsia" w:cs="宋体" w:asciiTheme="minorEastAsia" w:hAnsiTheme="minorEastAsia" w:eastAsiaTheme="minorEastAsia"/>
          <w:b/>
          <w:color w:val="auto"/>
          <w:kern w:val="0"/>
          <w:sz w:val="32"/>
          <w:szCs w:val="32"/>
          <w:highlight w:val="none"/>
          <w:lang w:val="en-US" w:eastAsia="zh-CN"/>
        </w:rPr>
      </w:pPr>
    </w:p>
    <w:p w14:paraId="0EAA1CE0">
      <w:pPr>
        <w:numPr>
          <w:ilvl w:val="0"/>
          <w:numId w:val="0"/>
        </w:numPr>
        <w:snapToGrid w:val="0"/>
        <w:spacing w:line="360" w:lineRule="auto"/>
        <w:ind w:leftChars="0" w:right="480" w:rightChars="0"/>
        <w:jc w:val="center"/>
        <w:rPr>
          <w:rFonts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lang w:val="en-US" w:eastAsia="zh-CN"/>
        </w:rPr>
        <w:t>3.</w:t>
      </w:r>
      <w:r>
        <w:rPr>
          <w:rFonts w:hint="eastAsia" w:cs="宋体" w:asciiTheme="minorEastAsia" w:hAnsiTheme="minorEastAsia" w:eastAsiaTheme="minorEastAsia"/>
          <w:b/>
          <w:color w:val="auto"/>
          <w:kern w:val="0"/>
          <w:sz w:val="32"/>
          <w:szCs w:val="32"/>
          <w:highlight w:val="none"/>
        </w:rPr>
        <w:t>落实政府采购政策需满足的资格要求</w:t>
      </w:r>
    </w:p>
    <w:p w14:paraId="5CAFFF7C">
      <w:pPr>
        <w:keepNext w:val="0"/>
        <w:keepLines w:val="0"/>
        <w:pageBreakBefore w:val="0"/>
        <w:kinsoku/>
        <w:wordWrap/>
        <w:overflowPunct/>
        <w:topLinePunct w:val="0"/>
        <w:autoSpaceDE/>
        <w:autoSpaceDN/>
        <w:bidi w:val="0"/>
        <w:adjustRightInd/>
        <w:spacing w:line="34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 xml:space="preserve">.1 </w:t>
      </w:r>
      <w:r>
        <w:rPr>
          <w:rFonts w:hint="eastAsia" w:ascii="宋体" w:hAnsi="宋体" w:eastAsia="宋体" w:cs="宋体"/>
          <w:b/>
          <w:bCs/>
          <w:color w:val="auto"/>
          <w:sz w:val="21"/>
          <w:szCs w:val="21"/>
          <w:highlight w:val="none"/>
          <w:lang w:val="en-US" w:eastAsia="zh-CN"/>
        </w:rPr>
        <w:t>说明：</w:t>
      </w:r>
      <w:r>
        <w:rPr>
          <w:rFonts w:hint="eastAsia" w:ascii="宋体" w:hAnsi="宋体" w:eastAsia="宋体" w:cs="宋体"/>
          <w:color w:val="auto"/>
          <w:sz w:val="21"/>
          <w:szCs w:val="21"/>
          <w:highlight w:val="none"/>
        </w:rPr>
        <w:t>根据</w:t>
      </w:r>
      <w:r>
        <w:rPr>
          <w:rFonts w:hint="eastAsia" w:ascii="宋体" w:hAnsi="宋体" w:eastAsia="宋体" w:cs="宋体"/>
          <w:b/>
          <w:bCs/>
          <w:color w:val="auto"/>
          <w:sz w:val="21"/>
          <w:szCs w:val="21"/>
          <w:highlight w:val="none"/>
        </w:rPr>
        <w:t>磋商文件第</w:t>
      </w:r>
      <w:r>
        <w:rPr>
          <w:rFonts w:hint="eastAsia" w:ascii="宋体" w:hAnsi="宋体" w:eastAsia="宋体" w:cs="宋体"/>
          <w:b/>
          <w:bCs/>
          <w:color w:val="auto"/>
          <w:sz w:val="21"/>
          <w:szCs w:val="21"/>
          <w:highlight w:val="none"/>
          <w:lang w:eastAsia="zh-CN"/>
        </w:rPr>
        <w:t>一部分</w:t>
      </w:r>
      <w:r>
        <w:rPr>
          <w:rFonts w:hint="eastAsia" w:ascii="宋体" w:hAnsi="宋体" w:eastAsia="宋体" w:cs="宋体"/>
          <w:b/>
          <w:bCs/>
          <w:color w:val="auto"/>
          <w:sz w:val="21"/>
          <w:szCs w:val="21"/>
          <w:highlight w:val="none"/>
        </w:rPr>
        <w:t>竞争性磋商公告</w:t>
      </w:r>
      <w:r>
        <w:rPr>
          <w:rFonts w:hint="eastAsia" w:ascii="宋体" w:hAnsi="宋体" w:eastAsia="宋体" w:cs="宋体"/>
          <w:color w:val="auto"/>
          <w:sz w:val="21"/>
          <w:szCs w:val="21"/>
          <w:highlight w:val="none"/>
        </w:rPr>
        <w:t>落实政府采购政策需满足的资格要求选择提供相应的材料</w:t>
      </w:r>
      <w:r>
        <w:rPr>
          <w:rFonts w:hint="eastAsia" w:ascii="宋体" w:hAnsi="宋体" w:eastAsia="宋体" w:cs="宋体"/>
          <w:color w:val="auto"/>
          <w:sz w:val="21"/>
          <w:szCs w:val="21"/>
          <w:highlight w:val="none"/>
          <w:lang w:eastAsia="zh-CN"/>
        </w:rPr>
        <w:t>。</w:t>
      </w:r>
    </w:p>
    <w:p w14:paraId="1C817EC5">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填写要求：①“标的名称”、“</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文件中明确的所属行业”依据磋商文件第</w:t>
      </w:r>
      <w:r>
        <w:rPr>
          <w:rFonts w:hint="eastAsia" w:ascii="宋体" w:hAnsi="宋体" w:cs="宋体"/>
          <w:color w:val="auto"/>
          <w:sz w:val="21"/>
          <w:szCs w:val="21"/>
          <w:highlight w:val="none"/>
          <w:lang w:eastAsia="zh-CN"/>
        </w:rPr>
        <w:t>四部分</w:t>
      </w:r>
      <w:r>
        <w:rPr>
          <w:rFonts w:hint="eastAsia" w:ascii="宋体" w:hAnsi="宋体" w:eastAsia="宋体" w:cs="宋体"/>
          <w:color w:val="auto"/>
          <w:sz w:val="21"/>
          <w:szCs w:val="21"/>
          <w:highlight w:val="none"/>
        </w:rPr>
        <w:t>附</w:t>
      </w:r>
      <w:r>
        <w:rPr>
          <w:rFonts w:hint="eastAsia" w:ascii="宋体" w:hAnsi="宋体" w:eastAsia="宋体" w:cs="宋体"/>
          <w:color w:val="auto"/>
          <w:sz w:val="21"/>
          <w:szCs w:val="21"/>
          <w:highlight w:val="none"/>
          <w:lang w:eastAsia="zh-CN"/>
        </w:rPr>
        <w:t>件</w:t>
      </w:r>
      <w:r>
        <w:rPr>
          <w:rFonts w:hint="eastAsia" w:ascii="宋体" w:hAnsi="宋体" w:eastAsia="宋体" w:cs="宋体"/>
          <w:color w:val="auto"/>
          <w:sz w:val="21"/>
          <w:szCs w:val="21"/>
          <w:highlight w:val="none"/>
        </w:rPr>
        <w:t>“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5E417121">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符合《关于促进残疾人就业政府采购政策的通知》（财库〔2017〕141号）规定的条件并提供《残疾人福利性单位声明函》的残疾人福利性单位视同小型、微型企业；</w:t>
      </w:r>
    </w:p>
    <w:p w14:paraId="29F91458">
      <w:pPr>
        <w:keepNext w:val="0"/>
        <w:keepLines w:val="0"/>
        <w:pageBreakBefore w:val="0"/>
        <w:widowControl w:val="0"/>
        <w:kinsoku/>
        <w:wordWrap/>
        <w:overflowPunct/>
        <w:topLinePunct w:val="0"/>
        <w:autoSpaceDE/>
        <w:autoSpaceDN/>
        <w:bidi w:val="0"/>
        <w:adjustRightInd w:val="0"/>
        <w:snapToGrid/>
        <w:spacing w:line="340" w:lineRule="exact"/>
        <w:ind w:right="420"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3.4</w:t>
      </w:r>
      <w:r>
        <w:rPr>
          <w:rFonts w:hint="eastAsia" w:ascii="宋体" w:hAnsi="宋体" w:eastAsia="宋体" w:cs="宋体"/>
          <w:color w:val="auto"/>
          <w:sz w:val="21"/>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59C48DD">
      <w:pPr>
        <w:keepNext w:val="0"/>
        <w:keepLines w:val="0"/>
        <w:pageBreakBefore w:val="0"/>
        <w:kinsoku/>
        <w:wordWrap/>
        <w:overflowPunct/>
        <w:topLinePunct w:val="0"/>
        <w:autoSpaceDE/>
        <w:autoSpaceDN/>
        <w:bidi w:val="0"/>
        <w:adjustRightInd/>
        <w:spacing w:line="340" w:lineRule="exact"/>
        <w:textAlignment w:val="auto"/>
        <w:rPr>
          <w:rFonts w:hint="eastAsia" w:cs="宋体" w:asciiTheme="minorEastAsia" w:hAnsiTheme="minorEastAsia" w:eastAsiaTheme="minorEastAsia"/>
          <w:color w:val="auto"/>
          <w:sz w:val="21"/>
          <w:szCs w:val="21"/>
          <w:highlight w:val="none"/>
          <w:lang w:eastAsia="zh-CN"/>
        </w:rPr>
      </w:pPr>
    </w:p>
    <w:p w14:paraId="7E84A037">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仿宋_GB2312" w:asciiTheme="minorEastAsia" w:hAnsiTheme="minorEastAsia" w:eastAsiaTheme="minorEastAsia"/>
          <w:b/>
          <w:color w:val="auto"/>
          <w:sz w:val="30"/>
          <w:szCs w:val="30"/>
          <w:highlight w:val="none"/>
        </w:rPr>
      </w:pPr>
    </w:p>
    <w:p w14:paraId="7CF83CCF">
      <w:pPr>
        <w:adjustRightInd/>
        <w:spacing w:line="360" w:lineRule="auto"/>
        <w:jc w:val="center"/>
        <w:rPr>
          <w:rFonts w:cs="宋体"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30"/>
          <w:szCs w:val="30"/>
          <w:highlight w:val="none"/>
        </w:rPr>
        <w:t>中小企业声明函（服务）</w:t>
      </w:r>
    </w:p>
    <w:p w14:paraId="3D7D4A4A">
      <w:pPr>
        <w:keepNext w:val="0"/>
        <w:keepLines w:val="0"/>
        <w:pageBreakBefore w:val="0"/>
        <w:widowControl w:val="0"/>
        <w:kinsoku/>
        <w:wordWrap/>
        <w:overflowPunct/>
        <w:topLinePunct w:val="0"/>
        <w:autoSpaceDE/>
        <w:autoSpaceDN/>
        <w:bidi w:val="0"/>
        <w:adjustRightInd w:val="0"/>
        <w:snapToGrid/>
        <w:spacing w:line="340" w:lineRule="exact"/>
        <w:ind w:firstLine="315" w:firstLineChars="15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本公司郑重声明，根据《政府采购促进中小企业发展管理办法》（财库﹝2020﹞46 号）的规定，本公司参加 </w:t>
      </w:r>
      <w:r>
        <w:rPr>
          <w:rFonts w:hint="eastAsia" w:cs="宋体" w:asciiTheme="minorEastAsia" w:hAnsiTheme="minorEastAsia" w:eastAsiaTheme="minorEastAsia"/>
          <w:color w:val="auto"/>
          <w:sz w:val="21"/>
          <w:szCs w:val="21"/>
          <w:highlight w:val="none"/>
          <w:u w:val="single"/>
        </w:rPr>
        <w:t xml:space="preserve">（采购人） </w:t>
      </w:r>
      <w:r>
        <w:rPr>
          <w:rFonts w:hint="eastAsia" w:cs="宋体" w:asciiTheme="minorEastAsia" w:hAnsiTheme="minorEastAsia" w:eastAsiaTheme="minorEastAsia"/>
          <w:color w:val="auto"/>
          <w:sz w:val="21"/>
          <w:szCs w:val="21"/>
          <w:highlight w:val="none"/>
        </w:rPr>
        <w:t>的</w:t>
      </w:r>
      <w:r>
        <w:rPr>
          <w:rFonts w:cs="宋体" w:asciiTheme="minorEastAsia" w:hAnsiTheme="minorEastAsia" w:eastAsiaTheme="minorEastAsia"/>
          <w:color w:val="auto"/>
          <w:sz w:val="21"/>
          <w:szCs w:val="21"/>
          <w:highlight w:val="none"/>
          <w:u w:val="single"/>
        </w:rPr>
        <w:t xml:space="preserve"> （项目</w:t>
      </w:r>
      <w:r>
        <w:rPr>
          <w:rFonts w:hint="eastAsia" w:cs="宋体" w:asciiTheme="minorEastAsia" w:hAnsiTheme="minorEastAsia" w:eastAsiaTheme="minorEastAsia"/>
          <w:color w:val="auto"/>
          <w:sz w:val="21"/>
          <w:szCs w:val="21"/>
          <w:highlight w:val="none"/>
          <w:u w:val="single"/>
        </w:rPr>
        <w:t xml:space="preserve">名称） </w:t>
      </w:r>
      <w:r>
        <w:rPr>
          <w:rFonts w:hint="eastAsia" w:cs="宋体" w:asciiTheme="minorEastAsia" w:hAnsiTheme="minorEastAsia" w:eastAsiaTheme="minorEastAsia"/>
          <w:color w:val="auto"/>
          <w:sz w:val="21"/>
          <w:szCs w:val="21"/>
          <w:highlight w:val="none"/>
        </w:rPr>
        <w:t>采购活动，工程的施工单位全部为符合政策要求的中小企业（或者：服务全部由符合政策要求的中小企业承接）。相关企业的具体情况如下：</w:t>
      </w:r>
    </w:p>
    <w:p w14:paraId="40105719">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1.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ascii="宋体" w:hAnsi="宋体" w:cs="宋体"/>
          <w:b/>
          <w:bCs/>
          <w:color w:val="auto"/>
          <w:szCs w:val="21"/>
          <w:highlight w:val="none"/>
          <w:u w:val="single"/>
        </w:rPr>
        <w:t>其他未列明行业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37E5389A">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 xml:space="preserve">2. </w:t>
      </w:r>
      <w:r>
        <w:rPr>
          <w:rFonts w:hint="eastAsia" w:cs="宋体" w:asciiTheme="minorEastAsia" w:hAnsiTheme="minorEastAsia" w:eastAsiaTheme="minorEastAsia"/>
          <w:color w:val="auto"/>
          <w:sz w:val="21"/>
          <w:szCs w:val="21"/>
          <w:highlight w:val="none"/>
          <w:u w:val="single"/>
        </w:rPr>
        <w:t>（标的名称）</w:t>
      </w:r>
      <w:r>
        <w:rPr>
          <w:rFonts w:hint="eastAsia" w:cs="宋体" w:asciiTheme="minorEastAsia" w:hAnsiTheme="minorEastAsia" w:eastAsiaTheme="minorEastAsia"/>
          <w:color w:val="auto"/>
          <w:sz w:val="21"/>
          <w:szCs w:val="21"/>
          <w:highlight w:val="none"/>
        </w:rPr>
        <w:t xml:space="preserve">，属于 </w:t>
      </w:r>
      <w:r>
        <w:rPr>
          <w:rFonts w:hint="eastAsia" w:cs="宋体" w:asciiTheme="minorEastAsia" w:hAnsiTheme="minorEastAsia" w:eastAsiaTheme="minorEastAsia"/>
          <w:color w:val="auto"/>
          <w:sz w:val="21"/>
          <w:szCs w:val="21"/>
          <w:highlight w:val="none"/>
          <w:u w:val="single"/>
        </w:rPr>
        <w:t>（采购文件中明确的所属行业）</w:t>
      </w:r>
      <w:r>
        <w:rPr>
          <w:rFonts w:hint="eastAsia" w:cs="宋体" w:asciiTheme="minorEastAsia" w:hAnsiTheme="minorEastAsia" w:eastAsiaTheme="minorEastAsia"/>
          <w:color w:val="auto"/>
          <w:sz w:val="21"/>
          <w:szCs w:val="21"/>
          <w:highlight w:val="none"/>
        </w:rPr>
        <w:t xml:space="preserve"> ；承建（承接）企业为 </w:t>
      </w:r>
      <w:r>
        <w:rPr>
          <w:rFonts w:hint="eastAsia" w:cs="宋体" w:asciiTheme="minorEastAsia" w:hAnsiTheme="minorEastAsia" w:eastAsiaTheme="minorEastAsia"/>
          <w:color w:val="auto"/>
          <w:sz w:val="21"/>
          <w:szCs w:val="21"/>
          <w:highlight w:val="none"/>
          <w:u w:val="single"/>
        </w:rPr>
        <w:t>（企业名称）</w:t>
      </w:r>
      <w:r>
        <w:rPr>
          <w:rFonts w:hint="eastAsia" w:cs="宋体" w:asciiTheme="minorEastAsia" w:hAnsiTheme="minorEastAsia" w:eastAsiaTheme="minorEastAsia"/>
          <w:color w:val="auto"/>
          <w:sz w:val="21"/>
          <w:szCs w:val="21"/>
          <w:highlight w:val="none"/>
        </w:rPr>
        <w:t xml:space="preserve"> ，从业人员</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人，营业收入为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万元，资产总额为</w:t>
      </w:r>
      <w:r>
        <w:rPr>
          <w:rFonts w:hint="eastAsia" w:cs="宋体" w:asciiTheme="minorEastAsia" w:hAnsiTheme="minorEastAsia" w:eastAsiaTheme="minorEastAsia"/>
          <w:color w:val="auto"/>
          <w:sz w:val="21"/>
          <w:szCs w:val="21"/>
          <w:highlight w:val="none"/>
          <w:u w:val="single"/>
        </w:rPr>
        <w:t xml:space="preserve">   </w:t>
      </w:r>
      <w:r>
        <w:rPr>
          <w:rFonts w:hint="eastAsia" w:cs="宋体" w:asciiTheme="minorEastAsia" w:hAnsiTheme="minorEastAsia" w:eastAsiaTheme="minorEastAsia"/>
          <w:color w:val="auto"/>
          <w:sz w:val="21"/>
          <w:szCs w:val="21"/>
          <w:highlight w:val="none"/>
        </w:rPr>
        <w:t>万元属于</w:t>
      </w:r>
      <w:r>
        <w:rPr>
          <w:rFonts w:hint="eastAsia" w:cs="宋体" w:asciiTheme="minorEastAsia" w:hAnsiTheme="minorEastAsia" w:eastAsiaTheme="minorEastAsia"/>
          <w:color w:val="auto"/>
          <w:sz w:val="21"/>
          <w:szCs w:val="21"/>
          <w:highlight w:val="none"/>
          <w:u w:val="single"/>
        </w:rPr>
        <w:t xml:space="preserve"> （中型企业、小型企业、微型企业） </w:t>
      </w:r>
      <w:r>
        <w:rPr>
          <w:rFonts w:hint="eastAsia" w:cs="宋体" w:asciiTheme="minorEastAsia" w:hAnsiTheme="minorEastAsia" w:eastAsiaTheme="minorEastAsia"/>
          <w:color w:val="auto"/>
          <w:sz w:val="21"/>
          <w:szCs w:val="21"/>
          <w:highlight w:val="none"/>
        </w:rPr>
        <w:t>；</w:t>
      </w:r>
    </w:p>
    <w:p w14:paraId="38CB4F01">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w:t>
      </w:r>
    </w:p>
    <w:p w14:paraId="5668836B">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以上企业，不属于大企业的分支机构，不存在控股股东为大企业的情形，也不存在与大企业的负责人为同一人的情形。</w:t>
      </w:r>
    </w:p>
    <w:p w14:paraId="2E24D7C7">
      <w:pPr>
        <w:keepNext w:val="0"/>
        <w:keepLines w:val="0"/>
        <w:pageBreakBefore w:val="0"/>
        <w:widowControl w:val="0"/>
        <w:kinsoku/>
        <w:wordWrap/>
        <w:overflowPunct/>
        <w:topLinePunct w:val="0"/>
        <w:autoSpaceDE/>
        <w:autoSpaceDN/>
        <w:bidi w:val="0"/>
        <w:adjustRightInd w:val="0"/>
        <w:snapToGrid/>
        <w:spacing w:line="340" w:lineRule="exact"/>
        <w:ind w:firstLine="420" w:firstLineChars="200"/>
        <w:jc w:val="lef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本企业对上述声明内容的真实性负责。如有虚假，将依法承担相应责任。</w:t>
      </w:r>
    </w:p>
    <w:p w14:paraId="4700EAF6">
      <w:pPr>
        <w:keepNext w:val="0"/>
        <w:keepLines w:val="0"/>
        <w:pageBreakBefore w:val="0"/>
        <w:widowControl w:val="0"/>
        <w:kinsoku/>
        <w:wordWrap/>
        <w:overflowPunct/>
        <w:topLinePunct w:val="0"/>
        <w:autoSpaceDE/>
        <w:autoSpaceDN/>
        <w:bidi w:val="0"/>
        <w:adjustRightInd w:val="0"/>
        <w:snapToGrid/>
        <w:spacing w:line="340" w:lineRule="exact"/>
        <w:ind w:right="1760"/>
        <w:jc w:val="right"/>
        <w:textAlignment w:val="auto"/>
        <w:rPr>
          <w:rFonts w:hint="eastAsia" w:cs="仿宋_GB2312" w:asciiTheme="minorEastAsia" w:hAnsiTheme="minorEastAsia" w:eastAsiaTheme="minorEastAsia"/>
          <w:color w:val="auto"/>
          <w:kern w:val="0"/>
          <w:sz w:val="21"/>
          <w:szCs w:val="21"/>
          <w:highlight w:val="none"/>
          <w:lang w:val="zh-CN"/>
        </w:rPr>
      </w:pPr>
    </w:p>
    <w:p w14:paraId="105A5DC2">
      <w:pPr>
        <w:pStyle w:val="18"/>
        <w:rPr>
          <w:rFonts w:hint="eastAsia" w:cs="仿宋_GB2312" w:asciiTheme="minorEastAsia" w:hAnsiTheme="minorEastAsia" w:eastAsiaTheme="minorEastAsia"/>
          <w:color w:val="auto"/>
          <w:kern w:val="0"/>
          <w:sz w:val="21"/>
          <w:szCs w:val="21"/>
          <w:highlight w:val="none"/>
          <w:lang w:val="zh-CN"/>
        </w:rPr>
      </w:pPr>
    </w:p>
    <w:p w14:paraId="13C6C109">
      <w:pPr>
        <w:rPr>
          <w:rFonts w:hint="eastAsia" w:cs="仿宋_GB2312" w:asciiTheme="minorEastAsia" w:hAnsiTheme="minorEastAsia" w:eastAsiaTheme="minorEastAsia"/>
          <w:color w:val="auto"/>
          <w:kern w:val="0"/>
          <w:sz w:val="21"/>
          <w:szCs w:val="21"/>
          <w:highlight w:val="none"/>
          <w:lang w:val="zh-CN"/>
        </w:rPr>
      </w:pPr>
    </w:p>
    <w:p w14:paraId="386990E3">
      <w:pPr>
        <w:pStyle w:val="18"/>
        <w:rPr>
          <w:rFonts w:hint="eastAsia" w:cs="仿宋_GB2312" w:asciiTheme="minorEastAsia" w:hAnsiTheme="minorEastAsia" w:eastAsiaTheme="minorEastAsia"/>
          <w:color w:val="auto"/>
          <w:kern w:val="0"/>
          <w:sz w:val="21"/>
          <w:szCs w:val="21"/>
          <w:highlight w:val="none"/>
          <w:lang w:val="zh-CN"/>
        </w:rPr>
      </w:pPr>
    </w:p>
    <w:p w14:paraId="5043F00C">
      <w:pPr>
        <w:rPr>
          <w:rFonts w:hint="eastAsia"/>
          <w:color w:val="auto"/>
          <w:highlight w:val="none"/>
          <w:lang w:val="zh-CN"/>
        </w:rPr>
      </w:pPr>
    </w:p>
    <w:p w14:paraId="726EFC65">
      <w:pPr>
        <w:keepNext w:val="0"/>
        <w:keepLines w:val="0"/>
        <w:pageBreakBefore w:val="0"/>
        <w:widowControl w:val="0"/>
        <w:kinsoku/>
        <w:wordWrap/>
        <w:overflowPunct/>
        <w:topLinePunct w:val="0"/>
        <w:autoSpaceDE/>
        <w:autoSpaceDN/>
        <w:bidi w:val="0"/>
        <w:adjustRightInd w:val="0"/>
        <w:snapToGrid/>
        <w:spacing w:line="340" w:lineRule="exact"/>
        <w:ind w:right="1760"/>
        <w:jc w:val="center"/>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en-US" w:eastAsia="zh-CN"/>
        </w:rPr>
        <w:t xml:space="preserve">                                              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宋体" w:asciiTheme="minorEastAsia" w:hAnsiTheme="minorEastAsia" w:eastAsiaTheme="minorEastAsia"/>
          <w:color w:val="auto"/>
          <w:sz w:val="21"/>
          <w:szCs w:val="21"/>
          <w:highlight w:val="none"/>
        </w:rPr>
        <w:t>：</w:t>
      </w:r>
    </w:p>
    <w:p w14:paraId="0BCA1670">
      <w:pPr>
        <w:keepNext w:val="0"/>
        <w:keepLines w:val="0"/>
        <w:pageBreakBefore w:val="0"/>
        <w:widowControl w:val="0"/>
        <w:kinsoku/>
        <w:wordWrap/>
        <w:overflowPunct/>
        <w:topLinePunct w:val="0"/>
        <w:autoSpaceDE/>
        <w:autoSpaceDN/>
        <w:bidi w:val="0"/>
        <w:adjustRightInd w:val="0"/>
        <w:snapToGrid/>
        <w:spacing w:line="340" w:lineRule="exact"/>
        <w:ind w:right="1120" w:firstLine="5145" w:firstLineChars="245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 期：</w:t>
      </w:r>
    </w:p>
    <w:p w14:paraId="4298B782">
      <w:pPr>
        <w:pStyle w:val="10"/>
        <w:rPr>
          <w:rFonts w:hint="eastAsia"/>
          <w:color w:val="auto"/>
          <w:highlight w:val="none"/>
        </w:rPr>
      </w:pPr>
    </w:p>
    <w:p w14:paraId="07D0D44A">
      <w:pPr>
        <w:spacing w:line="360" w:lineRule="auto"/>
        <w:jc w:val="center"/>
        <w:rPr>
          <w:rFonts w:hint="eastAsia" w:asciiTheme="minorEastAsia" w:hAnsiTheme="minorEastAsia" w:eastAsiaTheme="minorEastAsia"/>
          <w:b/>
          <w:color w:val="auto"/>
          <w:spacing w:val="6"/>
          <w:sz w:val="30"/>
          <w:szCs w:val="30"/>
          <w:highlight w:val="none"/>
        </w:rPr>
      </w:pPr>
    </w:p>
    <w:p w14:paraId="291C4787">
      <w:pPr>
        <w:rPr>
          <w:rFonts w:hint="eastAsia"/>
          <w:color w:val="auto"/>
          <w:highlight w:val="none"/>
        </w:rPr>
      </w:pPr>
    </w:p>
    <w:p w14:paraId="0991BD42">
      <w:pPr>
        <w:rPr>
          <w:rFonts w:hint="eastAsia"/>
          <w:color w:val="auto"/>
          <w:highlight w:val="none"/>
        </w:rPr>
      </w:pPr>
    </w:p>
    <w:p w14:paraId="0809B03E">
      <w:pPr>
        <w:pStyle w:val="2"/>
        <w:rPr>
          <w:rFonts w:hint="eastAsia"/>
          <w:color w:val="auto"/>
          <w:highlight w:val="none"/>
        </w:rPr>
      </w:pPr>
    </w:p>
    <w:p w14:paraId="19EA2907">
      <w:pPr>
        <w:spacing w:line="360" w:lineRule="auto"/>
        <w:jc w:val="center"/>
        <w:rPr>
          <w:rFonts w:asciiTheme="minorEastAsia" w:hAnsiTheme="minorEastAsia" w:eastAsiaTheme="minorEastAsia"/>
          <w:b/>
          <w:color w:val="auto"/>
          <w:spacing w:val="6"/>
          <w:sz w:val="30"/>
          <w:szCs w:val="30"/>
          <w:highlight w:val="none"/>
        </w:rPr>
      </w:pPr>
      <w:r>
        <w:rPr>
          <w:rFonts w:hint="eastAsia" w:asciiTheme="minorEastAsia" w:hAnsiTheme="minorEastAsia" w:eastAsiaTheme="minorEastAsia"/>
          <w:b/>
          <w:color w:val="auto"/>
          <w:spacing w:val="6"/>
          <w:sz w:val="30"/>
          <w:szCs w:val="30"/>
          <w:highlight w:val="none"/>
        </w:rPr>
        <w:t>残疾人福利性单位声明函</w:t>
      </w:r>
    </w:p>
    <w:p w14:paraId="416D6A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1"/>
          <w:szCs w:val="21"/>
          <w:highlight w:val="none"/>
          <w:u w:val="single"/>
        </w:rPr>
        <w:t xml:space="preserve">   （采购人）    </w:t>
      </w:r>
      <w:r>
        <w:rPr>
          <w:rFonts w:hint="eastAsia" w:cs="仿宋_GB2312" w:asciiTheme="minorEastAsia" w:hAnsiTheme="minorEastAsia" w:eastAsiaTheme="minorEastAsia"/>
          <w:color w:val="auto"/>
          <w:sz w:val="21"/>
          <w:szCs w:val="21"/>
          <w:highlight w:val="none"/>
        </w:rPr>
        <w:t>单位的</w:t>
      </w:r>
      <w:r>
        <w:rPr>
          <w:rFonts w:hint="eastAsia" w:cs="仿宋_GB2312" w:asciiTheme="minorEastAsia" w:hAnsiTheme="minorEastAsia" w:eastAsiaTheme="minorEastAsia"/>
          <w:color w:val="auto"/>
          <w:sz w:val="21"/>
          <w:szCs w:val="21"/>
          <w:highlight w:val="none"/>
          <w:u w:val="single"/>
        </w:rPr>
        <w:t xml:space="preserve">     （项目名称）    </w:t>
      </w:r>
      <w:r>
        <w:rPr>
          <w:rFonts w:hint="eastAsia" w:cs="仿宋_GB2312" w:asciiTheme="minorEastAsia" w:hAnsiTheme="minorEastAsia" w:eastAsiaTheme="minorEastAsia"/>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1331684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本单位对上述声明的真实性负责。如有虚假，将依法承担相应责任。</w:t>
      </w:r>
    </w:p>
    <w:p w14:paraId="20E6CE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1095F2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cs="仿宋_GB2312" w:asciiTheme="minorEastAsia" w:hAnsiTheme="minorEastAsia" w:eastAsiaTheme="minorEastAsia"/>
          <w:color w:val="auto"/>
          <w:sz w:val="21"/>
          <w:szCs w:val="21"/>
          <w:highlight w:val="none"/>
        </w:rPr>
      </w:pPr>
    </w:p>
    <w:p w14:paraId="2C43FEB2">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磋商</w:t>
      </w:r>
      <w:r>
        <w:rPr>
          <w:rFonts w:hint="eastAsia" w:cs="仿宋_GB2312" w:asciiTheme="minorEastAsia" w:hAnsiTheme="minorEastAsia" w:eastAsiaTheme="minorEastAsia"/>
          <w:color w:val="auto"/>
          <w:kern w:val="0"/>
          <w:sz w:val="21"/>
          <w:szCs w:val="21"/>
          <w:highlight w:val="none"/>
          <w:lang w:val="zh-CN"/>
        </w:rPr>
        <w:t>供应商名称(公章)</w:t>
      </w:r>
      <w:r>
        <w:rPr>
          <w:rFonts w:hint="eastAsia" w:cs="仿宋_GB2312" w:asciiTheme="minorEastAsia" w:hAnsiTheme="minorEastAsia" w:eastAsiaTheme="minorEastAsia"/>
          <w:color w:val="auto"/>
          <w:sz w:val="21"/>
          <w:szCs w:val="21"/>
          <w:highlight w:val="none"/>
        </w:rPr>
        <w:t xml:space="preserve">：    </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 xml:space="preserve">                  </w:t>
      </w:r>
    </w:p>
    <w:p w14:paraId="53CBD377">
      <w:pPr>
        <w:keepNext w:val="0"/>
        <w:keepLines w:val="0"/>
        <w:pageBreakBefore w:val="0"/>
        <w:widowControl w:val="0"/>
        <w:tabs>
          <w:tab w:val="left" w:pos="4860"/>
        </w:tabs>
        <w:kinsoku/>
        <w:wordWrap/>
        <w:overflowPunct/>
        <w:topLinePunct w:val="0"/>
        <w:autoSpaceDE/>
        <w:autoSpaceDN/>
        <w:bidi w:val="0"/>
        <w:adjustRightInd/>
        <w:snapToGrid/>
        <w:spacing w:line="360" w:lineRule="exact"/>
        <w:ind w:right="1560" w:firstLine="420" w:firstLineChars="200"/>
        <w:jc w:val="center"/>
        <w:textAlignment w:val="auto"/>
        <w:rPr>
          <w:rFonts w:hint="eastAsia"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日</w:t>
      </w:r>
      <w:r>
        <w:rPr>
          <w:rFonts w:hint="eastAsia" w:cs="仿宋_GB2312" w:asciiTheme="minorEastAsia" w:hAnsiTheme="minorEastAsia" w:eastAsiaTheme="minorEastAsia"/>
          <w:color w:val="auto"/>
          <w:sz w:val="21"/>
          <w:szCs w:val="21"/>
          <w:highlight w:val="none"/>
          <w:lang w:val="en-US" w:eastAsia="zh-CN"/>
        </w:rPr>
        <w:t xml:space="preserve">  </w:t>
      </w:r>
      <w:r>
        <w:rPr>
          <w:rFonts w:hint="eastAsia" w:cs="仿宋_GB2312" w:asciiTheme="minorEastAsia" w:hAnsiTheme="minorEastAsia" w:eastAsiaTheme="minorEastAsia"/>
          <w:color w:val="auto"/>
          <w:sz w:val="21"/>
          <w:szCs w:val="21"/>
          <w:highlight w:val="none"/>
        </w:rPr>
        <w:t>期：</w:t>
      </w:r>
    </w:p>
    <w:p w14:paraId="4573D072">
      <w:pPr>
        <w:tabs>
          <w:tab w:val="left" w:pos="4860"/>
        </w:tabs>
        <w:spacing w:line="360" w:lineRule="auto"/>
        <w:ind w:right="1560" w:firstLine="420" w:firstLineChars="200"/>
        <w:jc w:val="center"/>
        <w:rPr>
          <w:rFonts w:hint="eastAsia" w:cs="仿宋_GB2312" w:asciiTheme="minorEastAsia" w:hAnsiTheme="minorEastAsia" w:eastAsiaTheme="minorEastAsia"/>
          <w:color w:val="auto"/>
          <w:sz w:val="21"/>
          <w:szCs w:val="21"/>
          <w:highlight w:val="none"/>
        </w:rPr>
      </w:pPr>
    </w:p>
    <w:p w14:paraId="659D5FBD">
      <w:pPr>
        <w:pStyle w:val="18"/>
        <w:rPr>
          <w:rFonts w:hint="eastAsia" w:cs="仿宋_GB2312" w:asciiTheme="minorEastAsia" w:hAnsiTheme="minorEastAsia" w:eastAsiaTheme="minorEastAsia"/>
          <w:color w:val="auto"/>
          <w:sz w:val="21"/>
          <w:szCs w:val="21"/>
          <w:highlight w:val="none"/>
        </w:rPr>
      </w:pPr>
    </w:p>
    <w:p w14:paraId="046B1AB1">
      <w:pPr>
        <w:rPr>
          <w:rFonts w:hint="eastAsia"/>
          <w:color w:val="auto"/>
          <w:highlight w:val="none"/>
        </w:rPr>
      </w:pPr>
    </w:p>
    <w:p w14:paraId="105889CA">
      <w:pPr>
        <w:pStyle w:val="18"/>
        <w:rPr>
          <w:rFonts w:hint="eastAsia"/>
          <w:color w:val="auto"/>
          <w:highlight w:val="none"/>
        </w:rPr>
      </w:pPr>
    </w:p>
    <w:p w14:paraId="7AA72CE4">
      <w:pPr>
        <w:tabs>
          <w:tab w:val="left" w:pos="4860"/>
        </w:tabs>
        <w:spacing w:line="360" w:lineRule="auto"/>
        <w:ind w:right="1560"/>
        <w:jc w:val="center"/>
        <w:rPr>
          <w:rFonts w:ascii="仿宋_GB2312" w:eastAsia="仿宋_GB2312"/>
          <w:b/>
          <w:color w:val="auto"/>
          <w:spacing w:val="6"/>
          <w:sz w:val="30"/>
          <w:szCs w:val="30"/>
          <w:highlight w:val="none"/>
        </w:rPr>
      </w:pPr>
      <w:r>
        <w:rPr>
          <w:rFonts w:hint="eastAsia" w:cs="Times New Roman" w:asciiTheme="minorEastAsia" w:hAnsiTheme="minorEastAsia" w:eastAsiaTheme="minorEastAsia"/>
          <w:b/>
          <w:color w:val="auto"/>
          <w:spacing w:val="6"/>
          <w:sz w:val="30"/>
          <w:szCs w:val="30"/>
          <w:highlight w:val="none"/>
          <w:lang w:val="en-US" w:eastAsia="zh-CN"/>
        </w:rPr>
        <w:t xml:space="preserve">        </w:t>
      </w:r>
      <w:r>
        <w:rPr>
          <w:rFonts w:hint="eastAsia" w:cs="Times New Roman" w:asciiTheme="minorEastAsia" w:hAnsiTheme="minorEastAsia" w:eastAsiaTheme="minorEastAsia"/>
          <w:b/>
          <w:color w:val="auto"/>
          <w:spacing w:val="6"/>
          <w:sz w:val="30"/>
          <w:szCs w:val="30"/>
          <w:highlight w:val="none"/>
        </w:rPr>
        <w:t>监狱企业证明文件</w:t>
      </w:r>
    </w:p>
    <w:p w14:paraId="501F4FEF">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郑重声明，本单位为省级以上监狱管理局、戒毒管理局(含新疆生产建设兵团)认定的监狱企业，本单位参加______单位的______项目采购活动提供本单位制造的货物（由本单位承担工程/提供服务），或者提供其他监狱制造的货物。</w:t>
      </w:r>
    </w:p>
    <w:p w14:paraId="374A9E32">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本单位对提供的证明材料的真实性负责。如有虚假，将依法承担相应责任。</w:t>
      </w:r>
    </w:p>
    <w:p w14:paraId="70823D6D">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p>
    <w:p w14:paraId="6388FF12">
      <w:pPr>
        <w:keepNext/>
        <w:keepLines/>
        <w:pageBreakBefore w:val="0"/>
        <w:widowControl/>
        <w:kinsoku/>
        <w:wordWrap/>
        <w:overflowPunct/>
        <w:topLinePunct w:val="0"/>
        <w:autoSpaceDE/>
        <w:autoSpaceDN/>
        <w:bidi w:val="0"/>
        <w:adjustRightInd w:val="0"/>
        <w:snapToGrid/>
        <w:spacing w:line="360" w:lineRule="exact"/>
        <w:ind w:firstLine="444" w:firstLineChars="200"/>
        <w:textAlignment w:val="auto"/>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附件：省级以上监狱管理局、戒毒管理局(含新疆生产建设兵团)出具的属于监狱企业的证明文件</w:t>
      </w:r>
    </w:p>
    <w:p w14:paraId="5BDA4E54">
      <w:pPr>
        <w:pStyle w:val="18"/>
        <w:rPr>
          <w:rFonts w:hint="eastAsia" w:ascii="宋体" w:hAnsi="宋体" w:eastAsia="宋体" w:cs="宋体"/>
          <w:color w:val="auto"/>
          <w:spacing w:val="6"/>
          <w:sz w:val="21"/>
          <w:szCs w:val="21"/>
          <w:highlight w:val="none"/>
        </w:rPr>
      </w:pPr>
    </w:p>
    <w:p w14:paraId="427A954B">
      <w:pPr>
        <w:rPr>
          <w:rFonts w:hint="eastAsia" w:ascii="宋体" w:hAnsi="宋体" w:eastAsia="宋体" w:cs="宋体"/>
          <w:color w:val="auto"/>
          <w:spacing w:val="6"/>
          <w:sz w:val="21"/>
          <w:szCs w:val="21"/>
          <w:highlight w:val="none"/>
        </w:rPr>
      </w:pPr>
    </w:p>
    <w:p w14:paraId="319E7A40">
      <w:pPr>
        <w:pStyle w:val="18"/>
        <w:rPr>
          <w:rFonts w:hint="eastAsia"/>
          <w:color w:val="auto"/>
          <w:highlight w:val="none"/>
        </w:rPr>
      </w:pPr>
    </w:p>
    <w:p w14:paraId="33FE7E72">
      <w:pPr>
        <w:keepNext/>
        <w:keepLines/>
        <w:pageBreakBefore w:val="0"/>
        <w:widowControl/>
        <w:tabs>
          <w:tab w:val="left" w:pos="4860"/>
          <w:tab w:val="left" w:pos="7560"/>
          <w:tab w:val="left" w:pos="904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w:t>
      </w:r>
      <w:r>
        <w:rPr>
          <w:rFonts w:hint="eastAsia" w:ascii="宋体" w:hAnsi="宋体" w:eastAsia="宋体" w:cs="宋体"/>
          <w:color w:val="auto"/>
          <w:sz w:val="21"/>
          <w:szCs w:val="21"/>
          <w:highlight w:val="none"/>
        </w:rPr>
        <w:t>名称（盖章）：</w:t>
      </w:r>
    </w:p>
    <w:p w14:paraId="7C2939F0">
      <w:pPr>
        <w:keepNext/>
        <w:keepLines/>
        <w:pageBreakBefore w:val="0"/>
        <w:widowControl/>
        <w:tabs>
          <w:tab w:val="left" w:pos="4860"/>
        </w:tabs>
        <w:kinsoku/>
        <w:wordWrap/>
        <w:overflowPunct/>
        <w:topLinePunct w:val="0"/>
        <w:autoSpaceDE/>
        <w:autoSpaceDN/>
        <w:bidi w:val="0"/>
        <w:adjustRightInd w:val="0"/>
        <w:snapToGrid/>
        <w:spacing w:line="360" w:lineRule="exact"/>
        <w:ind w:right="1560" w:firstLine="3570" w:firstLineChars="17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p>
    <w:p w14:paraId="017EF74C">
      <w:pPr>
        <w:pStyle w:val="18"/>
        <w:rPr>
          <w:rFonts w:hint="eastAsia" w:ascii="宋体" w:hAnsi="宋体" w:eastAsia="宋体" w:cs="宋体"/>
          <w:color w:val="auto"/>
          <w:sz w:val="21"/>
          <w:szCs w:val="21"/>
          <w:highlight w:val="none"/>
        </w:rPr>
      </w:pPr>
    </w:p>
    <w:p w14:paraId="6328C071">
      <w:pPr>
        <w:rPr>
          <w:rFonts w:hint="eastAsia"/>
          <w:color w:val="auto"/>
          <w:highlight w:val="none"/>
        </w:rPr>
      </w:pPr>
    </w:p>
    <w:p w14:paraId="65E7F698">
      <w:pPr>
        <w:keepNext/>
        <w:keepLines/>
        <w:pageBreakBefore w:val="0"/>
        <w:widowControl/>
        <w:kinsoku/>
        <w:wordWrap/>
        <w:overflowPunct/>
        <w:topLinePunct w:val="0"/>
        <w:autoSpaceDE/>
        <w:autoSpaceDN/>
        <w:bidi w:val="0"/>
        <w:adjustRightInd w:val="0"/>
        <w:snapToGrid/>
        <w:spacing w:line="360" w:lineRule="exact"/>
        <w:textAlignment w:val="auto"/>
        <w:rPr>
          <w:rFonts w:hint="eastAsia" w:ascii="宋体" w:hAnsi="宋体" w:eastAsia="宋体" w:cs="宋体"/>
          <w:color w:val="auto"/>
          <w:sz w:val="21"/>
          <w:szCs w:val="21"/>
          <w:highlight w:val="none"/>
        </w:rPr>
      </w:pPr>
    </w:p>
    <w:p w14:paraId="2D056DD4">
      <w:pPr>
        <w:pageBreakBefore w:val="0"/>
        <w:kinsoku/>
        <w:wordWrap/>
        <w:overflowPunct/>
        <w:topLinePunct w:val="0"/>
        <w:autoSpaceDE/>
        <w:autoSpaceDN/>
        <w:bidi w:val="0"/>
        <w:snapToGrid/>
        <w:spacing w:line="360" w:lineRule="exact"/>
        <w:ind w:firstLine="420" w:firstLineChars="200"/>
        <w:jc w:val="left"/>
        <w:textAlignment w:val="auto"/>
        <w:rPr>
          <w:rFonts w:cs="仿宋_GB2312" w:asciiTheme="minorEastAsia" w:hAnsiTheme="minorEastAsia" w:eastAsiaTheme="minorEastAsia"/>
          <w:b/>
          <w:color w:val="auto"/>
          <w:sz w:val="32"/>
          <w:szCs w:val="32"/>
          <w:highlight w:val="none"/>
        </w:rPr>
      </w:pPr>
      <w:r>
        <w:rPr>
          <w:rFonts w:hint="eastAsia" w:ascii="宋体" w:hAnsi="宋体" w:eastAsia="宋体" w:cs="宋体"/>
          <w:b w:val="0"/>
          <w:color w:val="auto"/>
          <w:sz w:val="21"/>
          <w:szCs w:val="21"/>
          <w:highlight w:val="none"/>
        </w:rPr>
        <w:t>注：请根据自己的真实情况出具《监狱企业证明文件》。依法享受中小企业扶持政策的，</w:t>
      </w:r>
      <w:r>
        <w:rPr>
          <w:rFonts w:hint="eastAsia" w:ascii="宋体" w:hAnsi="宋体" w:cs="宋体"/>
          <w:b w:val="0"/>
          <w:color w:val="auto"/>
          <w:sz w:val="21"/>
          <w:szCs w:val="21"/>
          <w:highlight w:val="none"/>
          <w:lang w:eastAsia="zh-CN"/>
        </w:rPr>
        <w:t>采购</w:t>
      </w:r>
      <w:r>
        <w:rPr>
          <w:rFonts w:hint="eastAsia" w:ascii="宋体" w:hAnsi="宋体" w:eastAsia="宋体" w:cs="宋体"/>
          <w:b w:val="0"/>
          <w:color w:val="auto"/>
          <w:sz w:val="21"/>
          <w:szCs w:val="21"/>
          <w:highlight w:val="none"/>
        </w:rPr>
        <w:t>人或采购代理机构在公告中标结果时，同时公告其省级以上监狱管理局、戒毒管理局(含新疆生产建设兵团)出具的属于监狱企业的证明文件，接受社会监督。</w:t>
      </w:r>
    </w:p>
    <w:p w14:paraId="0986DB8F">
      <w:pPr>
        <w:spacing w:line="360" w:lineRule="auto"/>
        <w:jc w:val="both"/>
        <w:rPr>
          <w:rFonts w:cs="仿宋_GB2312" w:asciiTheme="minorEastAsia" w:hAnsiTheme="minorEastAsia" w:eastAsiaTheme="minorEastAsia"/>
          <w:b/>
          <w:color w:val="auto"/>
          <w:sz w:val="32"/>
          <w:szCs w:val="32"/>
          <w:highlight w:val="none"/>
        </w:rPr>
      </w:pPr>
    </w:p>
    <w:p w14:paraId="773E6C7C">
      <w:pPr>
        <w:pStyle w:val="18"/>
        <w:rPr>
          <w:color w:val="auto"/>
          <w:highlight w:val="none"/>
        </w:rPr>
      </w:pPr>
    </w:p>
    <w:p w14:paraId="537C19C2">
      <w:pPr>
        <w:rPr>
          <w:color w:val="auto"/>
          <w:highlight w:val="none"/>
        </w:rPr>
      </w:pPr>
    </w:p>
    <w:p w14:paraId="51E2F898">
      <w:pPr>
        <w:pStyle w:val="6"/>
        <w:numPr>
          <w:ilvl w:val="0"/>
          <w:numId w:val="0"/>
        </w:numPr>
        <w:ind w:leftChars="0"/>
        <w:rPr>
          <w:color w:val="auto"/>
          <w:highlight w:val="none"/>
        </w:rPr>
      </w:pPr>
    </w:p>
    <w:p w14:paraId="6CB76924">
      <w:pPr>
        <w:spacing w:line="360" w:lineRule="auto"/>
        <w:jc w:val="both"/>
        <w:rPr>
          <w:rFonts w:hint="eastAsia" w:cs="仿宋_GB2312" w:asciiTheme="minorEastAsia" w:hAnsiTheme="minorEastAsia" w:eastAsiaTheme="minorEastAsia"/>
          <w:b/>
          <w:color w:val="auto"/>
          <w:kern w:val="0"/>
          <w:sz w:val="32"/>
          <w:szCs w:val="32"/>
          <w:highlight w:val="none"/>
        </w:rPr>
      </w:pPr>
    </w:p>
    <w:p w14:paraId="7E5B902B">
      <w:pPr>
        <w:pStyle w:val="4"/>
        <w:rPr>
          <w:rFonts w:hint="eastAsia"/>
          <w:color w:val="auto"/>
          <w:highlight w:val="none"/>
          <w:lang w:val="zh-CN"/>
        </w:rPr>
      </w:pPr>
    </w:p>
    <w:p w14:paraId="5422B4F9">
      <w:pPr>
        <w:numPr>
          <w:ilvl w:val="0"/>
          <w:numId w:val="4"/>
        </w:num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商务技术文件</w:t>
      </w:r>
    </w:p>
    <w:p w14:paraId="2D381D91">
      <w:pPr>
        <w:pStyle w:val="18"/>
        <w:jc w:val="center"/>
        <w:rPr>
          <w:color w:val="auto"/>
          <w:highlight w:val="none"/>
        </w:rPr>
      </w:pPr>
      <w:r>
        <w:rPr>
          <w:rFonts w:hint="eastAsia" w:cs="仿宋_GB2312" w:asciiTheme="minorEastAsia" w:hAnsiTheme="minorEastAsia" w:eastAsiaTheme="minorEastAsia"/>
          <w:b/>
          <w:color w:val="auto"/>
          <w:kern w:val="0"/>
          <w:sz w:val="32"/>
          <w:szCs w:val="32"/>
          <w:highlight w:val="none"/>
          <w:lang w:val="en-US" w:eastAsia="zh-CN"/>
        </w:rPr>
        <w:t>1.</w:t>
      </w:r>
      <w:r>
        <w:rPr>
          <w:rFonts w:hint="eastAsia" w:cs="仿宋_GB2312" w:asciiTheme="minorEastAsia" w:hAnsiTheme="minorEastAsia" w:eastAsiaTheme="minorEastAsia"/>
          <w:b/>
          <w:color w:val="auto"/>
          <w:kern w:val="0"/>
          <w:sz w:val="32"/>
          <w:szCs w:val="32"/>
          <w:highlight w:val="none"/>
        </w:rPr>
        <w:t>响应</w:t>
      </w:r>
      <w:r>
        <w:rPr>
          <w:rFonts w:hint="eastAsia" w:cs="仿宋_GB2312" w:asciiTheme="minorEastAsia" w:hAnsiTheme="minorEastAsia" w:eastAsiaTheme="minorEastAsia"/>
          <w:b/>
          <w:color w:val="auto"/>
          <w:sz w:val="32"/>
          <w:szCs w:val="32"/>
          <w:highlight w:val="none"/>
        </w:rPr>
        <w:t>函</w:t>
      </w:r>
    </w:p>
    <w:p w14:paraId="0DBA9B86">
      <w:pPr>
        <w:rPr>
          <w:color w:val="auto"/>
          <w:highlight w:val="none"/>
        </w:rPr>
      </w:pPr>
    </w:p>
    <w:p w14:paraId="7495EA24">
      <w:pPr>
        <w:pStyle w:val="18"/>
        <w:rPr>
          <w:color w:val="auto"/>
          <w:highlight w:val="none"/>
        </w:rPr>
      </w:pPr>
    </w:p>
    <w:p w14:paraId="69802AA2">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（采购人）、（采购代理机构）：</w:t>
      </w:r>
    </w:p>
    <w:p w14:paraId="2E0FA74E">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(供应商全称)授权</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u w:val="single"/>
        </w:rPr>
        <w:t>(全权代表姓名)</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(职务、职称)</w:t>
      </w:r>
      <w:r>
        <w:rPr>
          <w:rFonts w:hint="eastAsia" w:ascii="宋体" w:hAnsi="宋体" w:eastAsia="宋体" w:cs="宋体"/>
          <w:color w:val="auto"/>
          <w:kern w:val="0"/>
          <w:sz w:val="21"/>
          <w:szCs w:val="21"/>
          <w:highlight w:val="none"/>
          <w:u w:val="single"/>
          <w:lang w:val="zh-CN"/>
        </w:rPr>
        <w:t xml:space="preserve"> </w:t>
      </w:r>
      <w:r>
        <w:rPr>
          <w:rFonts w:hint="eastAsia" w:ascii="宋体" w:hAnsi="宋体" w:eastAsia="宋体" w:cs="宋体"/>
          <w:color w:val="auto"/>
          <w:sz w:val="21"/>
          <w:szCs w:val="21"/>
          <w:highlight w:val="none"/>
        </w:rPr>
        <w:t>为全权代表，参加贵方组织的</w:t>
      </w:r>
      <w:r>
        <w:rPr>
          <w:rFonts w:hint="eastAsia" w:ascii="宋体" w:hAnsi="宋体" w:eastAsia="宋体" w:cs="宋体"/>
          <w:color w:val="auto"/>
          <w:sz w:val="21"/>
          <w:szCs w:val="21"/>
          <w:highlight w:val="none"/>
          <w:u w:val="single"/>
        </w:rPr>
        <w:t>（项目名称、项目编号）</w:t>
      </w:r>
      <w:r>
        <w:rPr>
          <w:rFonts w:hint="eastAsia" w:ascii="宋体" w:hAnsi="宋体" w:eastAsia="宋体" w:cs="宋体"/>
          <w:color w:val="auto"/>
          <w:sz w:val="21"/>
          <w:szCs w:val="21"/>
          <w:highlight w:val="none"/>
        </w:rPr>
        <w:t>的有关活动，并对此项目进行响应。为此：</w:t>
      </w:r>
    </w:p>
    <w:p w14:paraId="439C4BFD">
      <w:pPr>
        <w:pStyle w:val="38"/>
        <w:keepNext w:val="0"/>
        <w:keepLines w:val="0"/>
        <w:pageBreakBefore w:val="0"/>
        <w:widowControl w:val="0"/>
        <w:numPr>
          <w:ilvl w:val="0"/>
          <w:numId w:val="5"/>
        </w:numPr>
        <w:kinsoku/>
        <w:wordWrap/>
        <w:overflowPunct/>
        <w:topLinePunct w:val="0"/>
        <w:autoSpaceDE/>
        <w:autoSpaceDN/>
        <w:bidi w:val="0"/>
        <w:adjustRightInd/>
        <w:snapToGrid w:val="0"/>
        <w:spacing w:line="460" w:lineRule="exact"/>
        <w:ind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我方承诺响应有效期从提交响应文件的截止之日起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天，（不少于60天），本响应文件在响应有效期满之前均具有约束力。</w:t>
      </w:r>
    </w:p>
    <w:p w14:paraId="65DD204F">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w:t>
      </w:r>
      <w:r>
        <w:rPr>
          <w:rFonts w:hint="eastAsia" w:ascii="宋体" w:hAnsi="宋体" w:eastAsia="宋体" w:cs="宋体"/>
          <w:bCs/>
          <w:color w:val="auto"/>
          <w:kern w:val="44"/>
          <w:sz w:val="21"/>
          <w:szCs w:val="21"/>
          <w:highlight w:val="none"/>
        </w:rPr>
        <w:t>磋商文件中</w:t>
      </w:r>
      <w:r>
        <w:rPr>
          <w:rFonts w:hint="eastAsia" w:ascii="宋体" w:hAnsi="宋体" w:eastAsia="宋体" w:cs="宋体"/>
          <w:color w:val="auto"/>
          <w:sz w:val="21"/>
          <w:szCs w:val="21"/>
          <w:highlight w:val="none"/>
        </w:rPr>
        <w:t>规定的全部响应文件。</w:t>
      </w:r>
    </w:p>
    <w:p w14:paraId="4D3B9E72">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我方承诺除响应文件列出的偏离外，我方响应磋商文件的全部要求。</w:t>
      </w:r>
    </w:p>
    <w:p w14:paraId="6D8A4E24">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保证遵守磋商文件中的其他有关规定。</w:t>
      </w:r>
    </w:p>
    <w:p w14:paraId="023BE741">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我方愿意向贵方提供任何与该项目响应有关的数据、情况和技术资料。若贵方需要，我方愿意提供我方作出的一切承诺的证明材料。</w:t>
      </w:r>
    </w:p>
    <w:p w14:paraId="7149811F">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我方已详细阅读全部磋商文件，包括磋商文件“更正（延期）公告”（如果有）、参考资料及有关附件，确认无误。</w:t>
      </w:r>
    </w:p>
    <w:p w14:paraId="3CDF5C2D">
      <w:pPr>
        <w:keepNext w:val="0"/>
        <w:keepLines w:val="0"/>
        <w:pageBreakBefore w:val="0"/>
        <w:widowControl w:val="0"/>
        <w:numPr>
          <w:ilvl w:val="0"/>
          <w:numId w:val="5"/>
        </w:numPr>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如我方成交，我方承诺：</w:t>
      </w:r>
    </w:p>
    <w:p w14:paraId="78A88A7F">
      <w:pPr>
        <w:keepNext w:val="0"/>
        <w:keepLines w:val="0"/>
        <w:pageBreakBefore w:val="0"/>
        <w:widowControl w:val="0"/>
        <w:kinsoku/>
        <w:wordWrap/>
        <w:overflowPunct/>
        <w:topLinePunct w:val="0"/>
        <w:autoSpaceDE/>
        <w:autoSpaceDN/>
        <w:bidi w:val="0"/>
        <w:adjustRightInd/>
        <w:snapToGrid w:val="0"/>
        <w:spacing w:line="460" w:lineRule="exact"/>
        <w:ind w:left="210" w:leftChars="1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7.1在收到成交通知书后，在成交通知书规定的期限内与你方签订合同； </w:t>
      </w:r>
    </w:p>
    <w:p w14:paraId="6B6D0B4F">
      <w:pPr>
        <w:keepNext w:val="0"/>
        <w:keepLines w:val="0"/>
        <w:pageBreakBefore w:val="0"/>
        <w:widowControl w:val="0"/>
        <w:kinsoku/>
        <w:wordWrap/>
        <w:overflowPunct/>
        <w:topLinePunct w:val="0"/>
        <w:autoSpaceDE/>
        <w:autoSpaceDN/>
        <w:bidi w:val="0"/>
        <w:adjustRightInd/>
        <w:snapToGrid w:val="0"/>
        <w:spacing w:line="460" w:lineRule="exact"/>
        <w:ind w:left="210" w:leftChars="1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7.2在签订合同时不向你方提出附加条件； </w:t>
      </w:r>
    </w:p>
    <w:p w14:paraId="38163C4C">
      <w:pPr>
        <w:keepNext w:val="0"/>
        <w:keepLines w:val="0"/>
        <w:pageBreakBefore w:val="0"/>
        <w:widowControl w:val="0"/>
        <w:kinsoku/>
        <w:wordWrap/>
        <w:overflowPunct/>
        <w:topLinePunct w:val="0"/>
        <w:autoSpaceDE/>
        <w:autoSpaceDN/>
        <w:bidi w:val="0"/>
        <w:adjustRightInd/>
        <w:snapToGrid w:val="0"/>
        <w:spacing w:line="460" w:lineRule="exact"/>
        <w:ind w:left="210" w:leftChars="10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7.3在合同约定的期限内完成合同规定的全部义务。 </w:t>
      </w:r>
    </w:p>
    <w:p w14:paraId="4676E898">
      <w:pPr>
        <w:keepNext w:val="0"/>
        <w:keepLines w:val="0"/>
        <w:pageBreakBefore w:val="0"/>
        <w:widowControl w:val="0"/>
        <w:kinsoku/>
        <w:wordWrap/>
        <w:overflowPunct/>
        <w:topLinePunct w:val="0"/>
        <w:autoSpaceDE/>
        <w:autoSpaceDN/>
        <w:bidi w:val="0"/>
        <w:adjustRightInd/>
        <w:snapToGrid w:val="0"/>
        <w:spacing w:line="46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其他补充说明:  与本磋商有关的一切正式往来信函请寄：</w:t>
      </w:r>
    </w:p>
    <w:p w14:paraId="301E1760">
      <w:pPr>
        <w:numPr>
          <w:ilvl w:val="0"/>
          <w:numId w:val="0"/>
        </w:numPr>
        <w:adjustRightInd/>
        <w:spacing w:line="360" w:lineRule="auto"/>
        <w:ind w:left="480" w:leftChars="0" w:firstLine="210" w:firstLineChars="1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 xml:space="preserve">地址：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邮政编码：</w:t>
      </w:r>
    </w:p>
    <w:p w14:paraId="6B1DEFFA">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w:t>
      </w:r>
      <w:r>
        <w:rPr>
          <w:rFonts w:hint="eastAsia" w:ascii="宋体" w:hAnsi="宋体" w:cs="宋体"/>
          <w:color w:val="auto"/>
          <w:sz w:val="21"/>
          <w:szCs w:val="21"/>
          <w:highlight w:val="none"/>
          <w:lang w:eastAsia="zh-CN"/>
        </w:rPr>
        <w:t>社会</w:t>
      </w:r>
      <w:r>
        <w:rPr>
          <w:rFonts w:hint="eastAsia" w:ascii="宋体" w:hAnsi="宋体" w:eastAsia="宋体" w:cs="宋体"/>
          <w:color w:val="auto"/>
          <w:sz w:val="21"/>
          <w:szCs w:val="21"/>
          <w:highlight w:val="none"/>
        </w:rPr>
        <w:t>信用代码：                 联系人：</w:t>
      </w:r>
    </w:p>
    <w:p w14:paraId="4A075660">
      <w:pPr>
        <w:numPr>
          <w:ilvl w:val="0"/>
          <w:numId w:val="0"/>
        </w:numPr>
        <w:adjustRightInd/>
        <w:spacing w:line="360" w:lineRule="auto"/>
        <w:ind w:left="480" w:leftChars="0"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电子</w:t>
      </w:r>
      <w:r>
        <w:rPr>
          <w:rFonts w:hint="eastAsia" w:ascii="宋体" w:hAnsi="宋体" w:cs="宋体"/>
          <w:color w:val="auto"/>
          <w:sz w:val="21"/>
          <w:szCs w:val="21"/>
          <w:highlight w:val="none"/>
          <w:lang w:eastAsia="zh-CN"/>
        </w:rPr>
        <w:t>邮箱</w:t>
      </w:r>
      <w:r>
        <w:rPr>
          <w:rFonts w:hint="eastAsia" w:ascii="宋体" w:hAnsi="宋体" w:eastAsia="宋体" w:cs="宋体"/>
          <w:color w:val="auto"/>
          <w:sz w:val="21"/>
          <w:szCs w:val="21"/>
          <w:highlight w:val="none"/>
        </w:rPr>
        <w:t>：</w:t>
      </w:r>
    </w:p>
    <w:p w14:paraId="7FB66D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82" w:leftChars="0"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帐号/行</w:t>
      </w:r>
      <w:r>
        <w:rPr>
          <w:rFonts w:hint="eastAsia" w:ascii="宋体" w:hAnsi="宋体" w:eastAsia="宋体" w:cs="宋体"/>
          <w:color w:val="auto"/>
          <w:sz w:val="21"/>
          <w:szCs w:val="21"/>
          <w:highlight w:val="none"/>
          <w:lang w:eastAsia="zh-CN"/>
        </w:rPr>
        <w:t>号</w:t>
      </w:r>
      <w:r>
        <w:rPr>
          <w:rFonts w:hint="eastAsia" w:ascii="宋体" w:hAnsi="宋体" w:eastAsia="宋体" w:cs="宋体"/>
          <w:color w:val="auto"/>
          <w:sz w:val="21"/>
          <w:szCs w:val="21"/>
          <w:highlight w:val="none"/>
        </w:rPr>
        <w:t xml:space="preserve">： </w:t>
      </w:r>
    </w:p>
    <w:p w14:paraId="2997E84E">
      <w:pPr>
        <w:autoSpaceDE w:val="0"/>
        <w:autoSpaceDN w:val="0"/>
        <w:spacing w:line="360" w:lineRule="auto"/>
        <w:ind w:firstLine="3465" w:firstLineChars="1650"/>
        <w:rPr>
          <w:rFonts w:hint="eastAsia" w:ascii="宋体" w:hAnsi="宋体" w:eastAsia="宋体" w:cs="宋体"/>
          <w:color w:val="auto"/>
          <w:kern w:val="0"/>
          <w:sz w:val="21"/>
          <w:szCs w:val="21"/>
          <w:highlight w:val="none"/>
          <w:lang w:val="zh-CN"/>
        </w:rPr>
      </w:pPr>
    </w:p>
    <w:p w14:paraId="7F67FA40">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磋商供应商名称（公章）：</w:t>
      </w:r>
    </w:p>
    <w:p w14:paraId="5AECE8AC">
      <w:pPr>
        <w:spacing w:line="360" w:lineRule="auto"/>
        <w:ind w:firstLine="3150" w:firstLineChars="1500"/>
        <w:rPr>
          <w:rFonts w:ascii="宋体" w:hAnsi="宋体" w:cs="宋体"/>
          <w:color w:val="auto"/>
          <w:sz w:val="21"/>
          <w:szCs w:val="21"/>
          <w:highlight w:val="none"/>
        </w:rPr>
      </w:pPr>
      <w:r>
        <w:rPr>
          <w:rFonts w:hint="eastAsia" w:ascii="宋体" w:hAnsi="宋体" w:cs="宋体"/>
          <w:color w:val="auto"/>
          <w:sz w:val="21"/>
          <w:szCs w:val="21"/>
          <w:highlight w:val="none"/>
        </w:rPr>
        <w:t xml:space="preserve">法定代表人（负责人）或委托代理人(签名)：                          </w:t>
      </w:r>
    </w:p>
    <w:p w14:paraId="26466271">
      <w:pPr>
        <w:spacing w:line="360" w:lineRule="auto"/>
        <w:ind w:firstLine="3150" w:firstLineChars="1500"/>
        <w:jc w:val="both"/>
        <w:rPr>
          <w:rFonts w:ascii="宋体" w:hAnsi="宋体" w:cs="宋体"/>
          <w:color w:val="auto"/>
          <w:sz w:val="21"/>
          <w:szCs w:val="21"/>
          <w:highlight w:val="none"/>
        </w:rPr>
      </w:pPr>
      <w:r>
        <w:rPr>
          <w:rFonts w:hint="eastAsia" w:ascii="宋体" w:hAnsi="宋体" w:cs="宋体"/>
          <w:color w:val="auto"/>
          <w:sz w:val="21"/>
          <w:szCs w:val="21"/>
          <w:highlight w:val="none"/>
        </w:rPr>
        <w:t>日</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期： </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 xml:space="preserve"> 年   月   日</w:t>
      </w:r>
    </w:p>
    <w:p w14:paraId="76C18B57">
      <w:pPr>
        <w:spacing w:line="360" w:lineRule="auto"/>
        <w:ind w:right="420"/>
        <w:rPr>
          <w:rFonts w:hint="eastAsia" w:ascii="宋体" w:hAnsi="宋体" w:eastAsia="宋体" w:cs="宋体"/>
          <w:color w:val="auto"/>
          <w:sz w:val="21"/>
          <w:szCs w:val="21"/>
          <w:highlight w:val="none"/>
        </w:rPr>
      </w:pPr>
    </w:p>
    <w:p w14:paraId="65BEDEDD">
      <w:pPr>
        <w:spacing w:line="360" w:lineRule="auto"/>
        <w:ind w:righ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注：按本格式和要求提供。</w:t>
      </w:r>
    </w:p>
    <w:p w14:paraId="054946B2">
      <w:pPr>
        <w:pStyle w:val="18"/>
        <w:rPr>
          <w:rFonts w:hint="eastAsia" w:cs="仿宋_GB2312" w:asciiTheme="minorEastAsia" w:hAnsiTheme="minorEastAsia" w:eastAsiaTheme="minorEastAsia"/>
          <w:b/>
          <w:color w:val="auto"/>
          <w:kern w:val="0"/>
          <w:sz w:val="32"/>
          <w:szCs w:val="32"/>
          <w:highlight w:val="none"/>
          <w:lang w:val="en-US" w:eastAsia="zh-CN"/>
        </w:rPr>
      </w:pPr>
    </w:p>
    <w:p w14:paraId="580B09B1">
      <w:pPr>
        <w:widowControl/>
        <w:numPr>
          <w:ilvl w:val="0"/>
          <w:numId w:val="0"/>
        </w:numPr>
        <w:adjustRightInd/>
        <w:jc w:val="center"/>
        <w:rPr>
          <w:rFonts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en-US" w:eastAsia="zh-CN"/>
        </w:rPr>
        <w:t>2.</w:t>
      </w:r>
      <w:r>
        <w:rPr>
          <w:rFonts w:hint="eastAsia" w:cs="仿宋_GB2312" w:asciiTheme="minorEastAsia" w:hAnsiTheme="minorEastAsia" w:eastAsiaTheme="minorEastAsia"/>
          <w:b/>
          <w:color w:val="auto"/>
          <w:kern w:val="0"/>
          <w:sz w:val="32"/>
          <w:szCs w:val="32"/>
          <w:highlight w:val="none"/>
          <w:lang w:val="zh-CN"/>
        </w:rPr>
        <w:t>承诺函</w:t>
      </w:r>
    </w:p>
    <w:p w14:paraId="4D26D76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1"/>
          <w:szCs w:val="21"/>
          <w:highlight w:val="none"/>
        </w:rPr>
      </w:pPr>
    </w:p>
    <w:p w14:paraId="4310A43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（采购人）、（采购代理机构）</w:t>
      </w:r>
      <w:r>
        <w:rPr>
          <w:rFonts w:hint="eastAsia" w:ascii="宋体" w:hAnsi="宋体" w:eastAsia="宋体" w:cs="宋体"/>
          <w:color w:val="auto"/>
          <w:kern w:val="0"/>
          <w:sz w:val="21"/>
          <w:szCs w:val="21"/>
          <w:highlight w:val="none"/>
          <w:lang w:val="zh-CN"/>
        </w:rPr>
        <w:t>：</w:t>
      </w:r>
    </w:p>
    <w:p w14:paraId="193B3A57">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我方作为本次采购项目的</w:t>
      </w:r>
      <w:r>
        <w:rPr>
          <w:rFonts w:hint="eastAsia" w:ascii="宋体" w:hAnsi="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，根据磋商文件要求，现郑重承诺如下：</w:t>
      </w:r>
    </w:p>
    <w:p w14:paraId="36857300">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134147A0">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二、参加本次磋商采购活动，不存在与单位负责人为同一人或者存在直接控股、管理关系的其他供应商参与同一合同项下的政府采购活动的行为。</w:t>
      </w:r>
    </w:p>
    <w:p w14:paraId="27DC5F5D">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三、为采购项目提供整体设计、规范编制或者项目管理、监理、检测等服务的供应商，不得再参加该采购项目的其他采购活动，我方承诺不属于此类禁止参加本项目的供应商。</w:t>
      </w:r>
    </w:p>
    <w:p w14:paraId="669E3FFA">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四、参加本次磋商采购活动，不存在和其他供应商在同一合同项下的采购项目中，同时委托同一个自然人、同一家庭的人员、同一单位的人员作为代理人的行为。</w:t>
      </w:r>
    </w:p>
    <w:p w14:paraId="73C57D06">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五、响应文件中提供的能够给予我方带来优惠、好处的任何材料资料和技术、服务、商务、响应产品等响应承诺情况都是真实的、有效的、合法的。</w:t>
      </w:r>
    </w:p>
    <w:p w14:paraId="581F16F9">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61693906">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七、国家或行业主管部门对采购产品的技术标准、质量标准和资格资质条件等有强制性规定的，我方承诺符合其要求。</w:t>
      </w:r>
    </w:p>
    <w:p w14:paraId="79D538B8">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八、参加本次磋商采购活动，我方完全同意磋商文件第三部分关于“磋商费用”、“合同分包”、“合同转包”、“履约保证金”的实质性要求，并承诺严格按照磋商文件要求履行。</w:t>
      </w:r>
    </w:p>
    <w:p w14:paraId="7FC4ED0C">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190F208B">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我方对上述承诺的内容事项真实性负责。如经查实上述承诺的内容事项存在虚假，我方愿意接受以提供虚假材料谋取成交追究法律责任。</w:t>
      </w:r>
    </w:p>
    <w:p w14:paraId="36156CB1">
      <w:pPr>
        <w:keepNext w:val="0"/>
        <w:keepLines w:val="0"/>
        <w:pageBreakBefore w:val="0"/>
        <w:widowControl/>
        <w:kinsoku/>
        <w:wordWrap/>
        <w:overflowPunct/>
        <w:topLinePunct w:val="0"/>
        <w:bidi w:val="0"/>
        <w:adjustRightInd/>
        <w:spacing w:line="360" w:lineRule="exact"/>
        <w:ind w:firstLine="420" w:firstLineChars="200"/>
        <w:jc w:val="left"/>
        <w:textAlignment w:val="auto"/>
        <w:rPr>
          <w:rFonts w:hint="eastAsia" w:ascii="宋体" w:hAnsi="宋体" w:eastAsia="宋体" w:cs="宋体"/>
          <w:color w:val="auto"/>
          <w:kern w:val="0"/>
          <w:sz w:val="21"/>
          <w:szCs w:val="21"/>
          <w:highlight w:val="none"/>
        </w:rPr>
      </w:pPr>
    </w:p>
    <w:p w14:paraId="44CB51DD">
      <w:pPr>
        <w:pStyle w:val="18"/>
        <w:rPr>
          <w:rFonts w:hint="eastAsia"/>
          <w:color w:val="auto"/>
          <w:highlight w:val="none"/>
        </w:rPr>
      </w:pPr>
    </w:p>
    <w:p w14:paraId="046421A1">
      <w:pPr>
        <w:keepNext w:val="0"/>
        <w:keepLines w:val="0"/>
        <w:pageBreakBefore w:val="0"/>
        <w:kinsoku/>
        <w:wordWrap/>
        <w:overflowPunct/>
        <w:topLinePunct w:val="0"/>
        <w:autoSpaceDE w:val="0"/>
        <w:autoSpaceDN w:val="0"/>
        <w:bidi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05A62763">
      <w:pPr>
        <w:keepNext w:val="0"/>
        <w:keepLines w:val="0"/>
        <w:pageBreakBefore w:val="0"/>
        <w:kinsoku/>
        <w:wordWrap/>
        <w:overflowPunct/>
        <w:topLinePunct w:val="0"/>
        <w:autoSpaceDE w:val="0"/>
        <w:autoSpaceDN w:val="0"/>
        <w:bidi w:val="0"/>
        <w:spacing w:line="36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3EF0579C">
      <w:pPr>
        <w:keepNext w:val="0"/>
        <w:keepLines w:val="0"/>
        <w:pageBreakBefore w:val="0"/>
        <w:kinsoku/>
        <w:wordWrap/>
        <w:overflowPunct/>
        <w:topLinePunct w:val="0"/>
        <w:bidi w:val="0"/>
        <w:spacing w:line="36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28B3A97F">
      <w:pPr>
        <w:keepNext w:val="0"/>
        <w:keepLines w:val="0"/>
        <w:pageBreakBefore w:val="0"/>
        <w:kinsoku/>
        <w:wordWrap/>
        <w:overflowPunct/>
        <w:topLinePunct w:val="0"/>
        <w:bidi w:val="0"/>
        <w:spacing w:line="360" w:lineRule="exact"/>
        <w:jc w:val="center"/>
        <w:textAlignment w:val="auto"/>
        <w:rPr>
          <w:rFonts w:hint="eastAsia" w:ascii="宋体" w:hAnsi="宋体" w:eastAsia="宋体" w:cs="宋体"/>
          <w:b/>
          <w:bCs/>
          <w:color w:val="auto"/>
          <w:sz w:val="21"/>
          <w:szCs w:val="21"/>
          <w:highlight w:val="none"/>
        </w:rPr>
      </w:pPr>
    </w:p>
    <w:p w14:paraId="1A853BCD">
      <w:pPr>
        <w:widowControl/>
        <w:adjustRightInd/>
        <w:jc w:val="left"/>
        <w:rPr>
          <w:rFonts w:cs="仿宋_GB2312" w:asciiTheme="minorEastAsia" w:hAnsiTheme="minorEastAsia" w:eastAsiaTheme="minorEastAsia"/>
          <w:b/>
          <w:color w:val="auto"/>
          <w:kern w:val="0"/>
          <w:sz w:val="32"/>
          <w:szCs w:val="32"/>
          <w:highlight w:val="none"/>
        </w:rPr>
      </w:pPr>
      <w:r>
        <w:rPr>
          <w:rFonts w:hint="eastAsia" w:ascii="宋体" w:hAnsi="宋体" w:eastAsia="宋体" w:cs="宋体"/>
          <w:color w:val="auto"/>
          <w:sz w:val="21"/>
          <w:szCs w:val="21"/>
          <w:highlight w:val="none"/>
        </w:rPr>
        <w:t>注：按本格式和要求提供。</w:t>
      </w:r>
    </w:p>
    <w:p w14:paraId="24829874">
      <w:pPr>
        <w:widowControl/>
        <w:adjustRightInd/>
        <w:jc w:val="center"/>
        <w:rPr>
          <w:rFonts w:cs="仿宋_GB2312" w:asciiTheme="minorEastAsia" w:hAnsiTheme="minorEastAsia" w:eastAsiaTheme="minorEastAsia"/>
          <w:b/>
          <w:color w:val="auto"/>
          <w:kern w:val="0"/>
          <w:sz w:val="32"/>
          <w:szCs w:val="32"/>
          <w:highlight w:val="none"/>
        </w:rPr>
      </w:pPr>
    </w:p>
    <w:p w14:paraId="499B7ED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53AE2AD6">
      <w:pPr>
        <w:jc w:val="center"/>
        <w:rPr>
          <w:rFonts w:hint="eastAsia"/>
          <w:color w:val="auto"/>
          <w:sz w:val="30"/>
          <w:szCs w:val="30"/>
          <w:highlight w:val="none"/>
          <w:lang w:val="zh-CN"/>
        </w:rPr>
      </w:pPr>
      <w:r>
        <w:rPr>
          <w:rFonts w:hint="eastAsia" w:cs="宋体" w:asciiTheme="minorEastAsia" w:hAnsiTheme="minorEastAsia" w:eastAsiaTheme="minorEastAsia"/>
          <w:b/>
          <w:color w:val="auto"/>
          <w:kern w:val="0"/>
          <w:sz w:val="30"/>
          <w:szCs w:val="30"/>
          <w:highlight w:val="none"/>
          <w:lang w:val="en-US" w:eastAsia="zh-CN"/>
        </w:rPr>
        <w:t>3.</w:t>
      </w:r>
      <w:r>
        <w:rPr>
          <w:rFonts w:hint="eastAsia" w:cs="宋体" w:asciiTheme="minorEastAsia" w:hAnsiTheme="minorEastAsia" w:eastAsiaTheme="minorEastAsia"/>
          <w:b/>
          <w:color w:val="auto"/>
          <w:kern w:val="0"/>
          <w:sz w:val="30"/>
          <w:szCs w:val="30"/>
          <w:highlight w:val="none"/>
          <w:lang w:val="zh-CN"/>
        </w:rPr>
        <w:t>政府采购供应商廉洁自律承诺书</w:t>
      </w:r>
    </w:p>
    <w:p w14:paraId="4BB7CCD7">
      <w:pPr>
        <w:rPr>
          <w:rFonts w:hint="eastAsia"/>
          <w:color w:val="auto"/>
          <w:highlight w:val="none"/>
          <w:lang w:val="zh-CN"/>
        </w:rPr>
      </w:pPr>
    </w:p>
    <w:p w14:paraId="2B22CAD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sz w:val="21"/>
          <w:szCs w:val="21"/>
          <w:highlight w:val="none"/>
        </w:rPr>
        <w:t>（采购人）</w:t>
      </w:r>
      <w:r>
        <w:rPr>
          <w:rFonts w:hint="eastAsia" w:cs="仿宋_GB2312" w:asciiTheme="minorEastAsia" w:hAnsiTheme="minorEastAsia" w:eastAsiaTheme="minorEastAsia"/>
          <w:color w:val="auto"/>
          <w:kern w:val="0"/>
          <w:sz w:val="21"/>
          <w:szCs w:val="21"/>
          <w:highlight w:val="none"/>
          <w:lang w:val="zh-CN"/>
        </w:rPr>
        <w:t xml:space="preserve">：    </w:t>
      </w:r>
    </w:p>
    <w:p w14:paraId="0C228A42">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我单位响应你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项目采购要求参加响应。在这次响应过程中和成交后，我们将严格遵守国家法律法规要求，并郑重承诺：</w:t>
      </w:r>
    </w:p>
    <w:p w14:paraId="25482F48">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一、不向项目有关人员及部门赠送礼金礼物、有价证券、回扣以及中介费、介绍费、咨询费等好处费； </w:t>
      </w:r>
    </w:p>
    <w:p w14:paraId="4F4991B5">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二、不为项目有关人员及部门报销应由你方单位或个人支付的费用； </w:t>
      </w:r>
    </w:p>
    <w:p w14:paraId="4A38B3D2">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三、不向项目有关人员及部门提供有可能影响公正的宴请和健身娱乐等活动； </w:t>
      </w:r>
    </w:p>
    <w:p w14:paraId="5E38832A">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四、不为项目有关人员及部门出国（境）、旅游等提供方便；</w:t>
      </w:r>
    </w:p>
    <w:p w14:paraId="772E2BFC">
      <w:pPr>
        <w:keepNext w:val="0"/>
        <w:keepLines w:val="0"/>
        <w:pageBreakBefore w:val="0"/>
        <w:widowControl w:val="0"/>
        <w:kinsoku/>
        <w:wordWrap/>
        <w:overflowPunct/>
        <w:topLinePunct w:val="0"/>
        <w:autoSpaceDE w:val="0"/>
        <w:autoSpaceDN w:val="0"/>
        <w:bidi w:val="0"/>
        <w:adjustRightInd w:val="0"/>
        <w:snapToGrid/>
        <w:spacing w:line="400" w:lineRule="exact"/>
        <w:ind w:left="481" w:leftChars="229"/>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五、不为项目有关人员个人装修住房、婚丧嫁娶、配偶子女工作安排等提供好处；</w:t>
      </w:r>
    </w:p>
    <w:p w14:paraId="6E7BE056">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六、严格遵守《中华人民共和国政府采购法》《中华人民共和国招标投标法》《中华人民共和国民法典》等法律法规，诚实守信，合法经营，坚决抵制各种违法违纪行为。 </w:t>
      </w:r>
    </w:p>
    <w:p w14:paraId="72BC9D42">
      <w:pPr>
        <w:keepNext w:val="0"/>
        <w:keepLines w:val="0"/>
        <w:pageBreakBefore w:val="0"/>
        <w:widowControl w:val="0"/>
        <w:kinsoku/>
        <w:wordWrap/>
        <w:overflowPunct/>
        <w:topLinePunct w:val="0"/>
        <w:autoSpaceDE w:val="0"/>
        <w:autoSpaceDN w:val="0"/>
        <w:bidi w:val="0"/>
        <w:adjustRightInd w:val="0"/>
        <w:snapToGrid/>
        <w:spacing w:line="400" w:lineRule="exact"/>
        <w:ind w:firstLine="420" w:firstLineChars="20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如违反上述承诺，你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1"/>
          <w:szCs w:val="21"/>
          <w:highlight w:val="none"/>
        </w:rPr>
        <w:t>单位</w:t>
      </w:r>
      <w:r>
        <w:rPr>
          <w:rFonts w:hint="eastAsia" w:cs="仿宋_GB2312" w:asciiTheme="minorEastAsia" w:hAnsiTheme="minorEastAsia" w:eastAsiaTheme="minorEastAsia"/>
          <w:color w:val="auto"/>
          <w:kern w:val="0"/>
          <w:sz w:val="21"/>
          <w:szCs w:val="21"/>
          <w:highlight w:val="none"/>
          <w:lang w:val="zh-CN"/>
        </w:rPr>
        <w:t>进行项目建设或其他经营活动，并通报市财政局。由此引起的相应损失均由我单位承担。</w:t>
      </w:r>
    </w:p>
    <w:p w14:paraId="7EF77A79">
      <w:pPr>
        <w:keepNext w:val="0"/>
        <w:keepLines w:val="0"/>
        <w:pageBreakBefore w:val="0"/>
        <w:widowControl w:val="0"/>
        <w:kinsoku/>
        <w:wordWrap/>
        <w:overflowPunct/>
        <w:topLinePunct w:val="0"/>
        <w:autoSpaceDE w:val="0"/>
        <w:autoSpaceDN w:val="0"/>
        <w:bidi w:val="0"/>
        <w:adjustRightInd w:val="0"/>
        <w:snapToGrid/>
        <w:spacing w:line="400" w:lineRule="exact"/>
        <w:ind w:left="2"/>
        <w:jc w:val="left"/>
        <w:textAlignment w:val="auto"/>
        <w:rPr>
          <w:rFonts w:cs="仿宋_GB2312" w:asciiTheme="minorEastAsia" w:hAnsiTheme="minorEastAsia" w:eastAsiaTheme="minorEastAsia"/>
          <w:color w:val="auto"/>
          <w:kern w:val="0"/>
          <w:sz w:val="21"/>
          <w:szCs w:val="21"/>
          <w:highlight w:val="none"/>
          <w:lang w:val="zh-CN"/>
        </w:rPr>
      </w:pPr>
    </w:p>
    <w:p w14:paraId="7AE1C3C0">
      <w:pPr>
        <w:keepNext w:val="0"/>
        <w:keepLines w:val="0"/>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磋商供应商名称(公章)： </w:t>
      </w:r>
    </w:p>
    <w:p w14:paraId="33905545">
      <w:pPr>
        <w:keepNext w:val="0"/>
        <w:keepLines w:val="0"/>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cs="仿宋_GB2312" w:asciiTheme="minorEastAsia" w:hAnsiTheme="minorEastAsia" w:eastAsiaTheme="minorEastAsia"/>
          <w:color w:val="auto"/>
          <w:kern w:val="0"/>
          <w:sz w:val="21"/>
          <w:szCs w:val="21"/>
          <w:highlight w:val="none"/>
          <w:lang w:val="zh-CN"/>
        </w:rPr>
      </w:pPr>
      <w:r>
        <w:rPr>
          <w:rFonts w:hint="eastAsia" w:cs="仿宋_GB2312" w:asciiTheme="minorEastAsia" w:hAnsiTheme="minorEastAsia" w:eastAsiaTheme="minorEastAsia"/>
          <w:color w:val="auto"/>
          <w:kern w:val="0"/>
          <w:sz w:val="21"/>
          <w:szCs w:val="21"/>
          <w:highlight w:val="none"/>
          <w:lang w:val="zh-CN"/>
        </w:rPr>
        <w:t xml:space="preserve">法定代表人（负责人）或委托代理人(签名)：              </w:t>
      </w:r>
    </w:p>
    <w:p w14:paraId="3F3EF70C">
      <w:pPr>
        <w:keepNext w:val="0"/>
        <w:keepLines w:val="0"/>
        <w:pageBreakBefore w:val="0"/>
        <w:widowControl w:val="0"/>
        <w:kinsoku/>
        <w:wordWrap/>
        <w:overflowPunct/>
        <w:topLinePunct w:val="0"/>
        <w:bidi w:val="0"/>
        <w:adjustRightInd w:val="0"/>
        <w:snapToGrid/>
        <w:spacing w:line="400" w:lineRule="exact"/>
        <w:ind w:firstLine="3990" w:firstLineChars="1900"/>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lang w:val="zh-CN"/>
        </w:rPr>
        <w:t>期</w:t>
      </w:r>
      <w:r>
        <w:rPr>
          <w:rFonts w:hint="eastAsia" w:cs="仿宋_GB2312" w:asciiTheme="minorEastAsia" w:hAnsiTheme="minorEastAsia" w:eastAsiaTheme="minorEastAsia"/>
          <w:color w:val="auto"/>
          <w:kern w:val="0"/>
          <w:sz w:val="21"/>
          <w:szCs w:val="21"/>
          <w:highlight w:val="none"/>
        </w:rPr>
        <w:t>：</w:t>
      </w:r>
      <w:r>
        <w:rPr>
          <w:rFonts w:hint="eastAsia" w:cs="仿宋_GB2312" w:asciiTheme="minorEastAsia" w:hAnsiTheme="minorEastAsia" w:eastAsiaTheme="minorEastAsia"/>
          <w:color w:val="auto"/>
          <w:kern w:val="0"/>
          <w:sz w:val="21"/>
          <w:szCs w:val="21"/>
          <w:highlight w:val="none"/>
          <w:lang w:val="zh-CN"/>
        </w:rPr>
        <w:t xml:space="preserve">   年   月   日</w:t>
      </w:r>
    </w:p>
    <w:p w14:paraId="3FF4D76B">
      <w:pPr>
        <w:keepNext/>
        <w:keepLines/>
        <w:pageBreakBefore w:val="0"/>
        <w:kinsoku/>
        <w:wordWrap/>
        <w:overflowPunct/>
        <w:topLinePunct w:val="0"/>
        <w:bidi w:val="0"/>
        <w:spacing w:line="300" w:lineRule="auto"/>
        <w:jc w:val="center"/>
        <w:rPr>
          <w:rFonts w:hint="eastAsia" w:ascii="宋体" w:hAnsi="宋体" w:eastAsia="宋体" w:cs="宋体"/>
          <w:color w:val="auto"/>
          <w:sz w:val="36"/>
          <w:szCs w:val="36"/>
          <w:highlight w:val="none"/>
          <w:lang w:val="en-US"/>
        </w:rPr>
      </w:pPr>
      <w:r>
        <w:rPr>
          <w:rFonts w:hint="eastAsia" w:ascii="宋体" w:hAnsi="宋体" w:cs="宋体"/>
          <w:b/>
          <w:bCs/>
          <w:color w:val="auto"/>
          <w:kern w:val="2"/>
          <w:sz w:val="32"/>
          <w:szCs w:val="32"/>
          <w:highlight w:val="none"/>
          <w:lang w:val="en-US" w:eastAsia="zh-CN" w:bidi="ar-SA"/>
        </w:rPr>
        <w:t>4</w:t>
      </w:r>
      <w:r>
        <w:rPr>
          <w:rFonts w:hint="eastAsia" w:ascii="宋体" w:hAnsi="宋体" w:eastAsia="宋体" w:cs="宋体"/>
          <w:b/>
          <w:bCs/>
          <w:color w:val="auto"/>
          <w:kern w:val="2"/>
          <w:sz w:val="32"/>
          <w:szCs w:val="32"/>
          <w:highlight w:val="none"/>
          <w:lang w:val="en-US" w:eastAsia="zh-CN" w:bidi="ar-SA"/>
        </w:rPr>
        <w:t>.商务技术</w:t>
      </w:r>
      <w:r>
        <w:rPr>
          <w:rFonts w:hint="eastAsia" w:ascii="宋体" w:hAnsi="宋体" w:cs="宋体"/>
          <w:b/>
          <w:bCs/>
          <w:color w:val="auto"/>
          <w:kern w:val="2"/>
          <w:sz w:val="32"/>
          <w:szCs w:val="32"/>
          <w:highlight w:val="none"/>
          <w:lang w:val="en-US" w:eastAsia="zh-CN" w:bidi="ar-SA"/>
        </w:rPr>
        <w:t>服务</w:t>
      </w:r>
      <w:r>
        <w:rPr>
          <w:rFonts w:hint="eastAsia" w:ascii="宋体" w:hAnsi="宋体" w:eastAsia="宋体" w:cs="宋体"/>
          <w:b/>
          <w:bCs/>
          <w:color w:val="auto"/>
          <w:kern w:val="2"/>
          <w:sz w:val="32"/>
          <w:szCs w:val="32"/>
          <w:highlight w:val="none"/>
          <w:lang w:val="en-US" w:eastAsia="zh-CN" w:bidi="ar-SA"/>
        </w:rPr>
        <w:t>响应、偏离情况说明表</w:t>
      </w:r>
    </w:p>
    <w:p w14:paraId="3FCDA328">
      <w:pPr>
        <w:keepNext/>
        <w:keepLines/>
        <w:pageBreakBefore w:val="0"/>
        <w:kinsoku/>
        <w:wordWrap/>
        <w:overflowPunct/>
        <w:topLinePunct w:val="0"/>
        <w:bidi w:val="0"/>
        <w:spacing w:line="300" w:lineRule="auto"/>
        <w:rPr>
          <w:rFonts w:hint="eastAsia" w:ascii="宋体" w:hAnsi="宋体" w:eastAsia="宋体" w:cs="宋体"/>
          <w:color w:val="auto"/>
          <w:szCs w:val="21"/>
          <w:highlight w:val="none"/>
        </w:rPr>
      </w:pPr>
    </w:p>
    <w:p w14:paraId="2F2F956E">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项目名称:                 </w:t>
      </w:r>
    </w:p>
    <w:p w14:paraId="0C05E976">
      <w:pPr>
        <w:keepNext/>
        <w:keepLines/>
        <w:pageBreakBefore w:val="0"/>
        <w:topLinePunct w:val="0"/>
        <w:bidi w:val="0"/>
        <w:spacing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项目编号: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45"/>
        <w:gridCol w:w="3005"/>
        <w:gridCol w:w="3149"/>
        <w:gridCol w:w="1565"/>
        <w:gridCol w:w="1454"/>
      </w:tblGrid>
      <w:tr w14:paraId="27C63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43" w:hRule="atLeast"/>
          <w:jc w:val="center"/>
        </w:trPr>
        <w:tc>
          <w:tcPr>
            <w:tcW w:w="645" w:type="dxa"/>
            <w:noWrap w:val="0"/>
            <w:vAlign w:val="center"/>
          </w:tcPr>
          <w:p w14:paraId="39A0ECE1">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47" w:name="_Toc254970588"/>
            <w:bookmarkStart w:id="48" w:name="_Toc173066401"/>
            <w:bookmarkStart w:id="49" w:name="_Toc254970729"/>
            <w:bookmarkStart w:id="50" w:name="_Toc173211900"/>
            <w:bookmarkStart w:id="51" w:name="_Toc405905876"/>
            <w:r>
              <w:rPr>
                <w:rFonts w:hint="eastAsia" w:ascii="宋体" w:hAnsi="宋体" w:eastAsia="宋体" w:cs="宋体"/>
                <w:color w:val="auto"/>
                <w:szCs w:val="21"/>
                <w:highlight w:val="none"/>
              </w:rPr>
              <w:t>序号</w:t>
            </w:r>
            <w:bookmarkEnd w:id="47"/>
            <w:bookmarkEnd w:id="48"/>
            <w:bookmarkEnd w:id="49"/>
            <w:bookmarkEnd w:id="50"/>
            <w:bookmarkEnd w:id="51"/>
          </w:p>
        </w:tc>
        <w:tc>
          <w:tcPr>
            <w:tcW w:w="3005" w:type="dxa"/>
            <w:noWrap w:val="0"/>
            <w:vAlign w:val="center"/>
          </w:tcPr>
          <w:p w14:paraId="2C8EA970">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52" w:name="_Toc254970589"/>
            <w:bookmarkStart w:id="53" w:name="_Toc254970730"/>
            <w:bookmarkStart w:id="54" w:name="_Toc173211901"/>
            <w:bookmarkStart w:id="55" w:name="_Toc173066402"/>
            <w:bookmarkStart w:id="56" w:name="_Toc405905877"/>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文件要求</w:t>
            </w:r>
            <w:bookmarkEnd w:id="52"/>
            <w:bookmarkEnd w:id="53"/>
            <w:bookmarkEnd w:id="54"/>
            <w:bookmarkEnd w:id="55"/>
            <w:bookmarkEnd w:id="56"/>
          </w:p>
        </w:tc>
        <w:tc>
          <w:tcPr>
            <w:tcW w:w="3149" w:type="dxa"/>
            <w:noWrap w:val="0"/>
            <w:vAlign w:val="center"/>
          </w:tcPr>
          <w:p w14:paraId="72C32726">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57" w:name="_Toc405905878"/>
            <w:bookmarkStart w:id="58" w:name="_Toc173066403"/>
            <w:bookmarkStart w:id="59" w:name="_Toc254970731"/>
            <w:bookmarkStart w:id="60" w:name="_Toc254970590"/>
            <w:bookmarkStart w:id="61" w:name="_Toc173211902"/>
            <w:r>
              <w:rPr>
                <w:rFonts w:hint="eastAsia" w:ascii="宋体" w:hAnsi="宋体" w:eastAsia="宋体" w:cs="宋体"/>
                <w:color w:val="auto"/>
                <w:szCs w:val="21"/>
                <w:highlight w:val="none"/>
              </w:rPr>
              <w:t>响应文件具体响应</w:t>
            </w:r>
            <w:bookmarkEnd w:id="57"/>
            <w:bookmarkEnd w:id="58"/>
            <w:bookmarkEnd w:id="59"/>
            <w:bookmarkEnd w:id="60"/>
            <w:bookmarkEnd w:id="61"/>
          </w:p>
        </w:tc>
        <w:tc>
          <w:tcPr>
            <w:tcW w:w="1565" w:type="dxa"/>
            <w:noWrap w:val="0"/>
            <w:vAlign w:val="center"/>
          </w:tcPr>
          <w:p w14:paraId="148F7209">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62" w:name="_Toc405905879"/>
            <w:bookmarkStart w:id="63" w:name="_Toc173066404"/>
            <w:bookmarkStart w:id="64" w:name="_Toc254970591"/>
            <w:bookmarkStart w:id="65" w:name="_Toc254970732"/>
            <w:bookmarkStart w:id="66" w:name="_Toc173211903"/>
            <w:r>
              <w:rPr>
                <w:rFonts w:hint="eastAsia" w:ascii="宋体" w:hAnsi="宋体" w:eastAsia="宋体" w:cs="宋体"/>
                <w:color w:val="auto"/>
                <w:szCs w:val="21"/>
                <w:highlight w:val="none"/>
              </w:rPr>
              <w:t>响应/偏离</w:t>
            </w:r>
            <w:bookmarkEnd w:id="62"/>
            <w:bookmarkEnd w:id="63"/>
            <w:bookmarkEnd w:id="64"/>
            <w:bookmarkEnd w:id="65"/>
            <w:bookmarkEnd w:id="66"/>
          </w:p>
        </w:tc>
        <w:tc>
          <w:tcPr>
            <w:tcW w:w="1454" w:type="dxa"/>
            <w:noWrap w:val="0"/>
            <w:vAlign w:val="center"/>
          </w:tcPr>
          <w:p w14:paraId="05CFB9D9">
            <w:pPr>
              <w:keepNext/>
              <w:keepLines/>
              <w:pageBreakBefore w:val="0"/>
              <w:topLinePunct w:val="0"/>
              <w:bidi w:val="0"/>
              <w:adjustRightInd w:val="0"/>
              <w:snapToGrid w:val="0"/>
              <w:spacing w:line="300" w:lineRule="auto"/>
              <w:jc w:val="center"/>
              <w:outlineLvl w:val="0"/>
              <w:rPr>
                <w:rFonts w:hint="eastAsia" w:ascii="宋体" w:hAnsi="宋体" w:eastAsia="宋体" w:cs="宋体"/>
                <w:color w:val="auto"/>
                <w:szCs w:val="21"/>
                <w:highlight w:val="none"/>
              </w:rPr>
            </w:pPr>
            <w:bookmarkStart w:id="67" w:name="_Toc173066405"/>
            <w:bookmarkStart w:id="68" w:name="_Toc405905880"/>
            <w:bookmarkStart w:id="69" w:name="_Toc173211904"/>
            <w:bookmarkStart w:id="70" w:name="_Toc254970592"/>
            <w:bookmarkStart w:id="71" w:name="_Toc254970733"/>
            <w:r>
              <w:rPr>
                <w:rFonts w:hint="eastAsia" w:ascii="宋体" w:hAnsi="宋体" w:eastAsia="宋体" w:cs="宋体"/>
                <w:color w:val="auto"/>
                <w:szCs w:val="21"/>
                <w:highlight w:val="none"/>
              </w:rPr>
              <w:t>说明</w:t>
            </w:r>
            <w:bookmarkEnd w:id="67"/>
            <w:bookmarkEnd w:id="68"/>
            <w:bookmarkEnd w:id="69"/>
            <w:bookmarkEnd w:id="70"/>
            <w:bookmarkEnd w:id="71"/>
          </w:p>
        </w:tc>
      </w:tr>
      <w:tr w14:paraId="17AE5E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4EBB90A8">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2" w:name="_Toc405905881"/>
            <w:r>
              <w:rPr>
                <w:rFonts w:hint="eastAsia" w:ascii="宋体" w:hAnsi="宋体" w:eastAsia="宋体" w:cs="宋体"/>
                <w:color w:val="auto"/>
                <w:szCs w:val="21"/>
                <w:highlight w:val="none"/>
              </w:rPr>
              <w:t>商务部分</w:t>
            </w:r>
            <w:bookmarkEnd w:id="72"/>
          </w:p>
        </w:tc>
      </w:tr>
      <w:tr w14:paraId="62C262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6C88E8B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3" w:name="_Toc173066406"/>
            <w:bookmarkStart w:id="74" w:name="_Toc254970734"/>
            <w:bookmarkStart w:id="75" w:name="_Toc254970593"/>
            <w:bookmarkStart w:id="76" w:name="_Toc173211905"/>
            <w:bookmarkStart w:id="77" w:name="_Toc405905882"/>
            <w:r>
              <w:rPr>
                <w:rFonts w:hint="eastAsia" w:ascii="宋体" w:hAnsi="宋体" w:eastAsia="宋体" w:cs="宋体"/>
                <w:color w:val="auto"/>
                <w:szCs w:val="21"/>
                <w:highlight w:val="none"/>
              </w:rPr>
              <w:t>1</w:t>
            </w:r>
            <w:bookmarkEnd w:id="73"/>
            <w:bookmarkEnd w:id="74"/>
            <w:bookmarkEnd w:id="75"/>
            <w:bookmarkEnd w:id="76"/>
            <w:bookmarkEnd w:id="77"/>
          </w:p>
        </w:tc>
        <w:tc>
          <w:tcPr>
            <w:tcW w:w="3005" w:type="dxa"/>
            <w:noWrap w:val="0"/>
            <w:vAlign w:val="center"/>
          </w:tcPr>
          <w:p w14:paraId="09F5860E">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338D2CF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579AB98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193923D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149B01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7134AFF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78" w:name="_Toc405905883"/>
            <w:bookmarkStart w:id="79" w:name="_Toc254970594"/>
            <w:bookmarkStart w:id="80" w:name="_Toc173066407"/>
            <w:bookmarkStart w:id="81" w:name="_Toc254970735"/>
            <w:bookmarkStart w:id="82" w:name="_Toc173211906"/>
            <w:r>
              <w:rPr>
                <w:rFonts w:hint="eastAsia" w:ascii="宋体" w:hAnsi="宋体" w:eastAsia="宋体" w:cs="宋体"/>
                <w:color w:val="auto"/>
                <w:szCs w:val="21"/>
                <w:highlight w:val="none"/>
              </w:rPr>
              <w:t>2</w:t>
            </w:r>
            <w:bookmarkEnd w:id="78"/>
            <w:bookmarkEnd w:id="79"/>
            <w:bookmarkEnd w:id="80"/>
            <w:bookmarkEnd w:id="81"/>
            <w:bookmarkEnd w:id="82"/>
          </w:p>
        </w:tc>
        <w:tc>
          <w:tcPr>
            <w:tcW w:w="3005" w:type="dxa"/>
            <w:noWrap w:val="0"/>
            <w:vAlign w:val="center"/>
          </w:tcPr>
          <w:p w14:paraId="36271BDA">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1713D96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1D6423F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72B063F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666FB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33AC836">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3" w:name="_Toc405905885"/>
            <w:r>
              <w:rPr>
                <w:rFonts w:hint="eastAsia" w:ascii="宋体" w:hAnsi="宋体" w:eastAsia="宋体" w:cs="宋体"/>
                <w:color w:val="auto"/>
                <w:szCs w:val="21"/>
                <w:highlight w:val="none"/>
              </w:rPr>
              <w:t>…</w:t>
            </w:r>
            <w:bookmarkEnd w:id="83"/>
          </w:p>
        </w:tc>
        <w:tc>
          <w:tcPr>
            <w:tcW w:w="3005" w:type="dxa"/>
            <w:noWrap w:val="0"/>
            <w:vAlign w:val="center"/>
          </w:tcPr>
          <w:p w14:paraId="104F5B5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6A2CA7C2">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748EFFD7">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3F87E70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6E035E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9818" w:type="dxa"/>
            <w:gridSpan w:val="5"/>
            <w:noWrap w:val="0"/>
            <w:vAlign w:val="center"/>
          </w:tcPr>
          <w:p w14:paraId="3FA956F4">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4" w:name="_Toc405905886"/>
            <w:r>
              <w:rPr>
                <w:rFonts w:hint="eastAsia" w:ascii="宋体" w:hAnsi="宋体" w:eastAsia="宋体" w:cs="宋体"/>
                <w:color w:val="auto"/>
                <w:szCs w:val="21"/>
                <w:highlight w:val="none"/>
              </w:rPr>
              <w:t>技术部分</w:t>
            </w:r>
            <w:bookmarkEnd w:id="84"/>
          </w:p>
        </w:tc>
      </w:tr>
      <w:tr w14:paraId="590279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6666367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5" w:name="_Toc405905887"/>
            <w:r>
              <w:rPr>
                <w:rFonts w:hint="eastAsia" w:ascii="宋体" w:hAnsi="宋体" w:eastAsia="宋体" w:cs="宋体"/>
                <w:color w:val="auto"/>
                <w:szCs w:val="21"/>
                <w:highlight w:val="none"/>
              </w:rPr>
              <w:t>1</w:t>
            </w:r>
            <w:bookmarkEnd w:id="85"/>
          </w:p>
        </w:tc>
        <w:tc>
          <w:tcPr>
            <w:tcW w:w="3005" w:type="dxa"/>
            <w:noWrap w:val="0"/>
            <w:vAlign w:val="center"/>
          </w:tcPr>
          <w:p w14:paraId="12B99FC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268A7458">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325BD0CC">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51C1E3E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1350C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704" w:hRule="atLeast"/>
          <w:jc w:val="center"/>
        </w:trPr>
        <w:tc>
          <w:tcPr>
            <w:tcW w:w="645" w:type="dxa"/>
            <w:noWrap w:val="0"/>
            <w:vAlign w:val="center"/>
          </w:tcPr>
          <w:p w14:paraId="0B43342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6" w:name="_Toc405905888"/>
            <w:r>
              <w:rPr>
                <w:rFonts w:hint="eastAsia" w:ascii="宋体" w:hAnsi="宋体" w:eastAsia="宋体" w:cs="宋体"/>
                <w:color w:val="auto"/>
                <w:szCs w:val="21"/>
                <w:highlight w:val="none"/>
              </w:rPr>
              <w:t>2</w:t>
            </w:r>
            <w:bookmarkEnd w:id="86"/>
          </w:p>
        </w:tc>
        <w:tc>
          <w:tcPr>
            <w:tcW w:w="3005" w:type="dxa"/>
            <w:noWrap w:val="0"/>
            <w:vAlign w:val="center"/>
          </w:tcPr>
          <w:p w14:paraId="369476EF">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7A521F8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noWrap w:val="0"/>
            <w:vAlign w:val="center"/>
          </w:tcPr>
          <w:p w14:paraId="759F3279">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noWrap w:val="0"/>
            <w:vAlign w:val="center"/>
          </w:tcPr>
          <w:p w14:paraId="2EE61115">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r w14:paraId="333CAA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804" w:hRule="atLeast"/>
          <w:jc w:val="center"/>
        </w:trPr>
        <w:tc>
          <w:tcPr>
            <w:tcW w:w="645" w:type="dxa"/>
            <w:noWrap w:val="0"/>
            <w:vAlign w:val="center"/>
          </w:tcPr>
          <w:p w14:paraId="0DAC830D">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bookmarkStart w:id="87" w:name="_Toc405905890"/>
            <w:r>
              <w:rPr>
                <w:rFonts w:hint="eastAsia" w:ascii="宋体" w:hAnsi="宋体" w:eastAsia="宋体" w:cs="宋体"/>
                <w:color w:val="auto"/>
                <w:szCs w:val="21"/>
                <w:highlight w:val="none"/>
              </w:rPr>
              <w:t>…</w:t>
            </w:r>
            <w:bookmarkEnd w:id="87"/>
          </w:p>
        </w:tc>
        <w:tc>
          <w:tcPr>
            <w:tcW w:w="3005" w:type="dxa"/>
            <w:noWrap w:val="0"/>
            <w:vAlign w:val="center"/>
          </w:tcPr>
          <w:p w14:paraId="3A384A5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3149" w:type="dxa"/>
            <w:noWrap w:val="0"/>
            <w:vAlign w:val="center"/>
          </w:tcPr>
          <w:p w14:paraId="076B8431">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565" w:type="dxa"/>
            <w:tcBorders>
              <w:right w:val="single" w:color="auto" w:sz="4" w:space="0"/>
            </w:tcBorders>
            <w:noWrap w:val="0"/>
            <w:vAlign w:val="center"/>
          </w:tcPr>
          <w:p w14:paraId="4310AE43">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c>
          <w:tcPr>
            <w:tcW w:w="1454" w:type="dxa"/>
            <w:tcBorders>
              <w:left w:val="single" w:color="auto" w:sz="4" w:space="0"/>
            </w:tcBorders>
            <w:noWrap w:val="0"/>
            <w:vAlign w:val="center"/>
          </w:tcPr>
          <w:p w14:paraId="11F69CBB">
            <w:pPr>
              <w:keepNext/>
              <w:keepLines/>
              <w:pageBreakBefore w:val="0"/>
              <w:topLinePunct w:val="0"/>
              <w:bidi w:val="0"/>
              <w:adjustRightInd w:val="0"/>
              <w:snapToGrid w:val="0"/>
              <w:spacing w:line="240" w:lineRule="exact"/>
              <w:jc w:val="center"/>
              <w:outlineLvl w:val="0"/>
              <w:rPr>
                <w:rFonts w:hint="eastAsia" w:ascii="宋体" w:hAnsi="宋体" w:eastAsia="宋体" w:cs="宋体"/>
                <w:color w:val="auto"/>
                <w:szCs w:val="21"/>
                <w:highlight w:val="none"/>
              </w:rPr>
            </w:pPr>
          </w:p>
        </w:tc>
      </w:tr>
    </w:tbl>
    <w:p w14:paraId="3BDAABCC">
      <w:pPr>
        <w:keepNext/>
        <w:keepLines/>
        <w:pageBreakBefore w:val="0"/>
        <w:topLinePunct w:val="0"/>
        <w:bidi w:val="0"/>
        <w:adjustRightInd w:val="0"/>
        <w:snapToGrid w:val="0"/>
        <w:spacing w:line="36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eastAsia="宋体" w:cs="宋体"/>
          <w:color w:val="auto"/>
          <w:highlight w:val="none"/>
        </w:rPr>
        <w:t>1.应写明响应文件</w:t>
      </w:r>
      <w:r>
        <w:rPr>
          <w:rFonts w:hint="eastAsia" w:ascii="宋体" w:hAnsi="宋体" w:eastAsia="宋体" w:cs="宋体"/>
          <w:color w:val="auto"/>
          <w:szCs w:val="21"/>
          <w:highlight w:val="none"/>
        </w:rPr>
        <w:t>对</w:t>
      </w:r>
      <w:r>
        <w:rPr>
          <w:rFonts w:hint="eastAsia" w:ascii="宋体" w:hAnsi="宋体" w:eastAsia="宋体" w:cs="宋体"/>
          <w:color w:val="auto"/>
          <w:highlight w:val="none"/>
        </w:rPr>
        <w:t>商务与技术要求的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5936E078">
      <w:pPr>
        <w:pStyle w:val="3"/>
        <w:keepNext/>
        <w:keepLines/>
        <w:pageBreakBefore w:val="0"/>
        <w:topLinePunct w:val="0"/>
        <w:bidi w:val="0"/>
        <w:spacing w:line="360" w:lineRule="exact"/>
        <w:ind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2.应对照竞争性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第四部分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”，逐条说明所提供服务已对竞争性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文件的商务、技术做出了实质性的响应，并申明商务、技术条文的响应和偏离。特别对有具体商务、技术参数要求的，供应商必须提供对应的详细应答。</w:t>
      </w:r>
    </w:p>
    <w:p w14:paraId="4A12538B">
      <w:pPr>
        <w:pStyle w:val="15"/>
        <w:keepNext/>
        <w:keepLines/>
        <w:pageBreakBefore w:val="0"/>
        <w:topLinePunct w:val="0"/>
        <w:bidi w:val="0"/>
        <w:spacing w:line="360" w:lineRule="exact"/>
        <w:rPr>
          <w:rFonts w:hint="eastAsia" w:ascii="宋体" w:hAnsi="宋体" w:eastAsia="宋体" w:cs="宋体"/>
          <w:color w:val="auto"/>
          <w:highlight w:val="none"/>
        </w:rPr>
      </w:pPr>
    </w:p>
    <w:p w14:paraId="2DBD3391">
      <w:pPr>
        <w:pStyle w:val="15"/>
        <w:keepNext/>
        <w:keepLines/>
        <w:pageBreakBefore w:val="0"/>
        <w:kinsoku/>
        <w:wordWrap/>
        <w:overflowPunct/>
        <w:topLinePunct w:val="0"/>
        <w:bidi w:val="0"/>
        <w:spacing w:line="360" w:lineRule="exact"/>
        <w:rPr>
          <w:rFonts w:hint="eastAsia" w:ascii="宋体" w:hAnsi="宋体" w:eastAsia="宋体" w:cs="宋体"/>
          <w:color w:val="auto"/>
          <w:highlight w:val="none"/>
        </w:rPr>
      </w:pPr>
    </w:p>
    <w:p w14:paraId="6D4F323D">
      <w:pPr>
        <w:pStyle w:val="8"/>
        <w:numPr>
          <w:ilvl w:val="3"/>
          <w:numId w:val="0"/>
        </w:numPr>
        <w:ind w:leftChars="0"/>
        <w:rPr>
          <w:rFonts w:hint="eastAsia"/>
          <w:color w:val="auto"/>
          <w:highlight w:val="none"/>
        </w:rPr>
      </w:pPr>
    </w:p>
    <w:p w14:paraId="5F8B0BE7">
      <w:pPr>
        <w:keepNext/>
        <w:keepLines/>
        <w:pageBreakBefore w:val="0"/>
        <w:widowControl w:val="0"/>
        <w:kinsoku/>
        <w:wordWrap/>
        <w:overflowPunct/>
        <w:topLinePunct w:val="0"/>
        <w:autoSpaceDE w:val="0"/>
        <w:autoSpaceDN w:val="0"/>
        <w:bidi w:val="0"/>
        <w:adjustRightInd w:val="0"/>
        <w:snapToGrid/>
        <w:spacing w:line="40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26994603">
      <w:pPr>
        <w:keepNext/>
        <w:keepLines/>
        <w:pageBreakBefore w:val="0"/>
        <w:widowControl w:val="0"/>
        <w:kinsoku/>
        <w:wordWrap/>
        <w:overflowPunct/>
        <w:topLinePunct w:val="0"/>
        <w:autoSpaceDE w:val="0"/>
        <w:autoSpaceDN w:val="0"/>
        <w:bidi w:val="0"/>
        <w:adjustRightInd w:val="0"/>
        <w:snapToGrid/>
        <w:spacing w:line="400" w:lineRule="exact"/>
        <w:ind w:left="2" w:leftChars="1"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50C863B7">
      <w:pPr>
        <w:keepNext/>
        <w:keepLines/>
        <w:pageBreakBefore w:val="0"/>
        <w:widowControl w:val="0"/>
        <w:kinsoku/>
        <w:wordWrap/>
        <w:overflowPunct/>
        <w:topLinePunct w:val="0"/>
        <w:bidi w:val="0"/>
        <w:adjustRightInd w:val="0"/>
        <w:snapToGrid/>
        <w:spacing w:line="400" w:lineRule="exact"/>
        <w:ind w:firstLine="3990" w:firstLineChars="19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日</w:t>
      </w:r>
    </w:p>
    <w:p w14:paraId="614AE54E">
      <w:pPr>
        <w:pStyle w:val="15"/>
        <w:keepNext/>
        <w:keepLines/>
        <w:pageBreakBefore w:val="0"/>
        <w:kinsoku/>
        <w:wordWrap/>
        <w:overflowPunct/>
        <w:topLinePunct w:val="0"/>
        <w:bidi w:val="0"/>
        <w:spacing w:line="360" w:lineRule="exact"/>
        <w:ind w:firstLine="6720" w:firstLineChars="3200"/>
        <w:rPr>
          <w:rFonts w:hint="eastAsia" w:ascii="宋体" w:hAnsi="宋体" w:eastAsia="宋体" w:cs="宋体"/>
          <w:color w:val="auto"/>
          <w:highlight w:val="none"/>
          <w:u w:val="single"/>
        </w:rPr>
      </w:pPr>
    </w:p>
    <w:p w14:paraId="22BF3E93">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57AEB75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68355F81">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1F1467E7">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53960B44">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0EFC5ABA">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4DDAD162">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5.</w:t>
      </w:r>
      <w:r>
        <w:rPr>
          <w:rFonts w:hint="eastAsia" w:cs="仿宋_GB2312" w:asciiTheme="minorEastAsia" w:hAnsiTheme="minorEastAsia" w:eastAsiaTheme="minorEastAsia"/>
          <w:b/>
          <w:bCs/>
          <w:color w:val="auto"/>
          <w:kern w:val="2"/>
          <w:sz w:val="30"/>
          <w:szCs w:val="30"/>
          <w:highlight w:val="none"/>
          <w:lang w:val="zh-CN" w:eastAsia="zh-CN" w:bidi="ar-SA"/>
        </w:rPr>
        <w:t>拟投入本项目人员情况一览表</w:t>
      </w:r>
    </w:p>
    <w:p w14:paraId="24F7DFD7">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（由供应商根据采购需求及磋商文件要求编制）</w:t>
      </w:r>
    </w:p>
    <w:p w14:paraId="0F9FB3A8">
      <w:pPr>
        <w:keepNext/>
        <w:keepLines/>
        <w:spacing w:line="400" w:lineRule="exact"/>
        <w:jc w:val="center"/>
        <w:rPr>
          <w:rFonts w:ascii="宋体" w:hAnsi="宋体"/>
          <w:color w:val="auto"/>
          <w:sz w:val="36"/>
          <w:szCs w:val="36"/>
          <w:highlight w:val="none"/>
        </w:rPr>
      </w:pPr>
      <w:r>
        <w:rPr>
          <w:rFonts w:hint="eastAsia" w:ascii="宋体" w:hAnsi="宋体"/>
          <w:bCs/>
          <w:color w:val="auto"/>
          <w:sz w:val="32"/>
          <w:szCs w:val="32"/>
          <w:highlight w:val="none"/>
        </w:rPr>
        <w:t xml:space="preserve"> </w:t>
      </w:r>
      <w:r>
        <w:rPr>
          <w:rFonts w:hint="eastAsia" w:ascii="宋体" w:hAnsi="宋体"/>
          <w:bCs/>
          <w:color w:val="auto"/>
          <w:sz w:val="36"/>
          <w:szCs w:val="36"/>
          <w:highlight w:val="none"/>
        </w:rPr>
        <w:t xml:space="preserve">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930"/>
        <w:gridCol w:w="1430"/>
        <w:gridCol w:w="666"/>
        <w:gridCol w:w="931"/>
        <w:gridCol w:w="931"/>
        <w:gridCol w:w="1722"/>
        <w:gridCol w:w="1348"/>
        <w:gridCol w:w="1185"/>
      </w:tblGrid>
      <w:tr w14:paraId="1B1A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697" w:type="dxa"/>
            <w:vMerge w:val="restart"/>
            <w:vAlign w:val="center"/>
          </w:tcPr>
          <w:p w14:paraId="078E2AAE">
            <w:pPr>
              <w:keepNext/>
              <w:keepLines/>
              <w:jc w:val="center"/>
              <w:rPr>
                <w:rFonts w:ascii="宋体" w:hAnsi="宋体"/>
                <w:color w:val="auto"/>
                <w:szCs w:val="21"/>
                <w:highlight w:val="none"/>
              </w:rPr>
            </w:pPr>
            <w:r>
              <w:rPr>
                <w:rFonts w:hint="eastAsia" w:ascii="宋体" w:hAnsi="宋体"/>
                <w:color w:val="auto"/>
                <w:szCs w:val="21"/>
                <w:highlight w:val="none"/>
              </w:rPr>
              <w:t>序号</w:t>
            </w:r>
          </w:p>
        </w:tc>
        <w:tc>
          <w:tcPr>
            <w:tcW w:w="930" w:type="dxa"/>
            <w:vMerge w:val="restart"/>
            <w:vAlign w:val="center"/>
          </w:tcPr>
          <w:p w14:paraId="293EF4E9">
            <w:pPr>
              <w:keepNext/>
              <w:keepLines/>
              <w:jc w:val="center"/>
              <w:rPr>
                <w:rFonts w:ascii="宋体" w:hAnsi="宋体"/>
                <w:color w:val="auto"/>
                <w:szCs w:val="21"/>
                <w:highlight w:val="none"/>
              </w:rPr>
            </w:pPr>
            <w:r>
              <w:rPr>
                <w:rFonts w:hint="eastAsia" w:ascii="宋体" w:hAnsi="宋体"/>
                <w:color w:val="auto"/>
                <w:szCs w:val="21"/>
                <w:highlight w:val="none"/>
              </w:rPr>
              <w:t>姓名</w:t>
            </w:r>
          </w:p>
        </w:tc>
        <w:tc>
          <w:tcPr>
            <w:tcW w:w="1430" w:type="dxa"/>
            <w:vMerge w:val="restart"/>
            <w:vAlign w:val="center"/>
          </w:tcPr>
          <w:p w14:paraId="2B7BD499">
            <w:pPr>
              <w:keepNext/>
              <w:keepLines/>
              <w:jc w:val="center"/>
              <w:rPr>
                <w:rFonts w:ascii="宋体" w:hAnsi="宋体"/>
                <w:color w:val="auto"/>
                <w:szCs w:val="21"/>
                <w:highlight w:val="none"/>
              </w:rPr>
            </w:pPr>
            <w:r>
              <w:rPr>
                <w:rFonts w:hint="eastAsia" w:ascii="宋体" w:hAnsi="宋体"/>
                <w:color w:val="auto"/>
                <w:szCs w:val="21"/>
                <w:highlight w:val="none"/>
              </w:rPr>
              <w:t>拟担任职务</w:t>
            </w:r>
          </w:p>
        </w:tc>
        <w:tc>
          <w:tcPr>
            <w:tcW w:w="666" w:type="dxa"/>
            <w:vMerge w:val="restart"/>
            <w:vAlign w:val="center"/>
          </w:tcPr>
          <w:p w14:paraId="3BF953B9">
            <w:pPr>
              <w:keepNext/>
              <w:keepLines/>
              <w:jc w:val="center"/>
              <w:rPr>
                <w:rFonts w:ascii="宋体" w:hAnsi="宋体"/>
                <w:color w:val="auto"/>
                <w:szCs w:val="21"/>
                <w:highlight w:val="none"/>
              </w:rPr>
            </w:pPr>
            <w:r>
              <w:rPr>
                <w:rFonts w:hint="eastAsia" w:ascii="宋体" w:hAnsi="宋体"/>
                <w:color w:val="auto"/>
                <w:szCs w:val="21"/>
                <w:highlight w:val="none"/>
              </w:rPr>
              <w:t>学历</w:t>
            </w:r>
          </w:p>
        </w:tc>
        <w:tc>
          <w:tcPr>
            <w:tcW w:w="931" w:type="dxa"/>
            <w:vMerge w:val="restart"/>
            <w:vAlign w:val="center"/>
          </w:tcPr>
          <w:p w14:paraId="005D6051">
            <w:pPr>
              <w:keepNext/>
              <w:keepLines/>
              <w:jc w:val="center"/>
              <w:rPr>
                <w:rFonts w:ascii="宋体" w:hAnsi="宋体"/>
                <w:color w:val="auto"/>
                <w:szCs w:val="21"/>
                <w:highlight w:val="none"/>
              </w:rPr>
            </w:pPr>
            <w:r>
              <w:rPr>
                <w:rFonts w:hint="eastAsia" w:ascii="宋体" w:hAnsi="宋体"/>
                <w:color w:val="auto"/>
                <w:szCs w:val="21"/>
                <w:highlight w:val="none"/>
              </w:rPr>
              <w:t>职称</w:t>
            </w:r>
          </w:p>
        </w:tc>
        <w:tc>
          <w:tcPr>
            <w:tcW w:w="931" w:type="dxa"/>
            <w:vMerge w:val="restart"/>
            <w:vAlign w:val="center"/>
          </w:tcPr>
          <w:p w14:paraId="69289647">
            <w:pPr>
              <w:keepNext/>
              <w:keepLines/>
              <w:jc w:val="center"/>
              <w:rPr>
                <w:rFonts w:ascii="宋体" w:hAnsi="宋体"/>
                <w:color w:val="auto"/>
                <w:szCs w:val="21"/>
                <w:highlight w:val="none"/>
              </w:rPr>
            </w:pPr>
            <w:r>
              <w:rPr>
                <w:rFonts w:hint="eastAsia" w:ascii="宋体" w:hAnsi="宋体"/>
                <w:color w:val="auto"/>
                <w:szCs w:val="21"/>
                <w:highlight w:val="none"/>
              </w:rPr>
              <w:t>专业</w:t>
            </w:r>
          </w:p>
        </w:tc>
        <w:tc>
          <w:tcPr>
            <w:tcW w:w="3070" w:type="dxa"/>
            <w:gridSpan w:val="2"/>
            <w:vAlign w:val="center"/>
          </w:tcPr>
          <w:p w14:paraId="6B296DD8">
            <w:pPr>
              <w:keepNext/>
              <w:keepLines/>
              <w:jc w:val="center"/>
              <w:rPr>
                <w:rFonts w:ascii="宋体" w:hAnsi="宋体"/>
                <w:color w:val="auto"/>
                <w:szCs w:val="21"/>
                <w:highlight w:val="none"/>
              </w:rPr>
            </w:pPr>
            <w:r>
              <w:rPr>
                <w:rFonts w:hint="eastAsia" w:ascii="宋体" w:hAnsi="宋体"/>
                <w:color w:val="auto"/>
                <w:szCs w:val="21"/>
                <w:highlight w:val="none"/>
              </w:rPr>
              <w:t>执业资格或岗位（培训）证书</w:t>
            </w:r>
          </w:p>
        </w:tc>
        <w:tc>
          <w:tcPr>
            <w:tcW w:w="1185" w:type="dxa"/>
            <w:vMerge w:val="restart"/>
            <w:vAlign w:val="center"/>
          </w:tcPr>
          <w:p w14:paraId="3EAB2309">
            <w:pPr>
              <w:keepNext/>
              <w:keepLines/>
              <w:jc w:val="center"/>
              <w:rPr>
                <w:rFonts w:ascii="宋体" w:hAnsi="宋体"/>
                <w:color w:val="auto"/>
                <w:szCs w:val="21"/>
                <w:highlight w:val="none"/>
              </w:rPr>
            </w:pPr>
            <w:r>
              <w:rPr>
                <w:rFonts w:hint="eastAsia" w:ascii="宋体" w:hAnsi="宋体"/>
                <w:color w:val="auto"/>
                <w:szCs w:val="21"/>
                <w:highlight w:val="none"/>
              </w:rPr>
              <w:t>工作年限</w:t>
            </w:r>
          </w:p>
        </w:tc>
      </w:tr>
      <w:tr w14:paraId="4DD0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7" w:type="dxa"/>
            <w:vMerge w:val="continue"/>
            <w:vAlign w:val="center"/>
          </w:tcPr>
          <w:p w14:paraId="4307B16D">
            <w:pPr>
              <w:keepNext/>
              <w:keepLines/>
              <w:jc w:val="center"/>
              <w:rPr>
                <w:rFonts w:ascii="宋体" w:hAnsi="宋体"/>
                <w:color w:val="auto"/>
                <w:szCs w:val="21"/>
                <w:highlight w:val="none"/>
              </w:rPr>
            </w:pPr>
          </w:p>
        </w:tc>
        <w:tc>
          <w:tcPr>
            <w:tcW w:w="930" w:type="dxa"/>
            <w:vMerge w:val="continue"/>
            <w:vAlign w:val="center"/>
          </w:tcPr>
          <w:p w14:paraId="269F11BF">
            <w:pPr>
              <w:keepNext/>
              <w:keepLines/>
              <w:jc w:val="center"/>
              <w:rPr>
                <w:rFonts w:ascii="宋体" w:hAnsi="宋体"/>
                <w:color w:val="auto"/>
                <w:szCs w:val="21"/>
                <w:highlight w:val="none"/>
              </w:rPr>
            </w:pPr>
          </w:p>
        </w:tc>
        <w:tc>
          <w:tcPr>
            <w:tcW w:w="1430" w:type="dxa"/>
            <w:vMerge w:val="continue"/>
          </w:tcPr>
          <w:p w14:paraId="1FE3A200">
            <w:pPr>
              <w:keepNext/>
              <w:keepLines/>
              <w:jc w:val="center"/>
              <w:rPr>
                <w:rFonts w:ascii="宋体" w:hAnsi="宋体"/>
                <w:color w:val="auto"/>
                <w:szCs w:val="21"/>
                <w:highlight w:val="none"/>
              </w:rPr>
            </w:pPr>
          </w:p>
        </w:tc>
        <w:tc>
          <w:tcPr>
            <w:tcW w:w="666" w:type="dxa"/>
            <w:vMerge w:val="continue"/>
          </w:tcPr>
          <w:p w14:paraId="07EFC235">
            <w:pPr>
              <w:keepNext/>
              <w:keepLines/>
              <w:jc w:val="center"/>
              <w:rPr>
                <w:rFonts w:ascii="宋体" w:hAnsi="宋体"/>
                <w:color w:val="auto"/>
                <w:szCs w:val="21"/>
                <w:highlight w:val="none"/>
              </w:rPr>
            </w:pPr>
          </w:p>
        </w:tc>
        <w:tc>
          <w:tcPr>
            <w:tcW w:w="931" w:type="dxa"/>
            <w:vMerge w:val="continue"/>
          </w:tcPr>
          <w:p w14:paraId="551E287E">
            <w:pPr>
              <w:keepNext/>
              <w:keepLines/>
              <w:jc w:val="center"/>
              <w:rPr>
                <w:rFonts w:ascii="宋体" w:hAnsi="宋体"/>
                <w:color w:val="auto"/>
                <w:szCs w:val="21"/>
                <w:highlight w:val="none"/>
              </w:rPr>
            </w:pPr>
          </w:p>
        </w:tc>
        <w:tc>
          <w:tcPr>
            <w:tcW w:w="931" w:type="dxa"/>
            <w:vMerge w:val="continue"/>
            <w:vAlign w:val="center"/>
          </w:tcPr>
          <w:p w14:paraId="6D85F5B5">
            <w:pPr>
              <w:keepNext/>
              <w:keepLines/>
              <w:jc w:val="center"/>
              <w:rPr>
                <w:rFonts w:ascii="宋体" w:hAnsi="宋体"/>
                <w:color w:val="auto"/>
                <w:szCs w:val="21"/>
                <w:highlight w:val="none"/>
              </w:rPr>
            </w:pPr>
          </w:p>
        </w:tc>
        <w:tc>
          <w:tcPr>
            <w:tcW w:w="1722" w:type="dxa"/>
            <w:vAlign w:val="center"/>
          </w:tcPr>
          <w:p w14:paraId="656F7B9C">
            <w:pPr>
              <w:keepNext/>
              <w:keepLines/>
              <w:jc w:val="center"/>
              <w:rPr>
                <w:rFonts w:ascii="宋体" w:hAnsi="宋体"/>
                <w:color w:val="auto"/>
                <w:szCs w:val="21"/>
                <w:highlight w:val="none"/>
              </w:rPr>
            </w:pPr>
            <w:r>
              <w:rPr>
                <w:rFonts w:hint="eastAsia" w:ascii="宋体" w:hAnsi="宋体"/>
                <w:color w:val="auto"/>
                <w:szCs w:val="21"/>
                <w:highlight w:val="none"/>
              </w:rPr>
              <w:t>证书名称及专业</w:t>
            </w:r>
          </w:p>
        </w:tc>
        <w:tc>
          <w:tcPr>
            <w:tcW w:w="1348" w:type="dxa"/>
            <w:vAlign w:val="center"/>
          </w:tcPr>
          <w:p w14:paraId="0184A4B1">
            <w:pPr>
              <w:keepNext/>
              <w:keepLines/>
              <w:jc w:val="center"/>
              <w:rPr>
                <w:rFonts w:ascii="宋体" w:hAnsi="宋体"/>
                <w:color w:val="auto"/>
                <w:szCs w:val="21"/>
                <w:highlight w:val="none"/>
              </w:rPr>
            </w:pPr>
            <w:r>
              <w:rPr>
                <w:rFonts w:hint="eastAsia" w:ascii="宋体" w:hAnsi="宋体"/>
                <w:color w:val="auto"/>
                <w:szCs w:val="21"/>
                <w:highlight w:val="none"/>
              </w:rPr>
              <w:t>证书编号</w:t>
            </w:r>
          </w:p>
        </w:tc>
        <w:tc>
          <w:tcPr>
            <w:tcW w:w="1185" w:type="dxa"/>
            <w:vMerge w:val="continue"/>
            <w:vAlign w:val="center"/>
          </w:tcPr>
          <w:p w14:paraId="06DAF3DE">
            <w:pPr>
              <w:keepNext/>
              <w:keepLines/>
              <w:jc w:val="center"/>
              <w:rPr>
                <w:rFonts w:ascii="宋体" w:hAnsi="宋体"/>
                <w:color w:val="auto"/>
                <w:szCs w:val="21"/>
                <w:highlight w:val="none"/>
              </w:rPr>
            </w:pPr>
          </w:p>
        </w:tc>
      </w:tr>
      <w:tr w14:paraId="3F50D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7" w:type="dxa"/>
            <w:vAlign w:val="center"/>
          </w:tcPr>
          <w:p w14:paraId="5A736AAD">
            <w:pPr>
              <w:keepNext/>
              <w:keepLines/>
              <w:ind w:left="223" w:hanging="222" w:hangingChars="106"/>
              <w:jc w:val="center"/>
              <w:rPr>
                <w:color w:val="auto"/>
                <w:szCs w:val="21"/>
                <w:highlight w:val="none"/>
              </w:rPr>
            </w:pPr>
          </w:p>
        </w:tc>
        <w:tc>
          <w:tcPr>
            <w:tcW w:w="930" w:type="dxa"/>
            <w:vAlign w:val="center"/>
          </w:tcPr>
          <w:p w14:paraId="7BFBC548">
            <w:pPr>
              <w:keepNext/>
              <w:keepLines/>
              <w:jc w:val="center"/>
              <w:rPr>
                <w:rFonts w:ascii="宋体" w:hAnsi="宋体"/>
                <w:b/>
                <w:color w:val="auto"/>
                <w:szCs w:val="21"/>
                <w:highlight w:val="none"/>
              </w:rPr>
            </w:pPr>
          </w:p>
        </w:tc>
        <w:tc>
          <w:tcPr>
            <w:tcW w:w="1430" w:type="dxa"/>
          </w:tcPr>
          <w:p w14:paraId="4C217EE7">
            <w:pPr>
              <w:keepNext/>
              <w:keepLines/>
              <w:jc w:val="center"/>
              <w:rPr>
                <w:rFonts w:ascii="宋体" w:hAnsi="宋体"/>
                <w:b/>
                <w:color w:val="auto"/>
                <w:szCs w:val="21"/>
                <w:highlight w:val="none"/>
              </w:rPr>
            </w:pPr>
          </w:p>
        </w:tc>
        <w:tc>
          <w:tcPr>
            <w:tcW w:w="666" w:type="dxa"/>
          </w:tcPr>
          <w:p w14:paraId="1747841C">
            <w:pPr>
              <w:keepNext/>
              <w:keepLines/>
              <w:jc w:val="center"/>
              <w:rPr>
                <w:rFonts w:ascii="宋体" w:hAnsi="宋体"/>
                <w:b/>
                <w:color w:val="auto"/>
                <w:szCs w:val="21"/>
                <w:highlight w:val="none"/>
              </w:rPr>
            </w:pPr>
          </w:p>
        </w:tc>
        <w:tc>
          <w:tcPr>
            <w:tcW w:w="931" w:type="dxa"/>
          </w:tcPr>
          <w:p w14:paraId="1CD99E8A">
            <w:pPr>
              <w:keepNext/>
              <w:keepLines/>
              <w:jc w:val="center"/>
              <w:rPr>
                <w:rFonts w:ascii="宋体" w:hAnsi="宋体"/>
                <w:b/>
                <w:color w:val="auto"/>
                <w:szCs w:val="21"/>
                <w:highlight w:val="none"/>
              </w:rPr>
            </w:pPr>
          </w:p>
        </w:tc>
        <w:tc>
          <w:tcPr>
            <w:tcW w:w="931" w:type="dxa"/>
            <w:vAlign w:val="center"/>
          </w:tcPr>
          <w:p w14:paraId="46DD2031">
            <w:pPr>
              <w:keepNext/>
              <w:keepLines/>
              <w:jc w:val="center"/>
              <w:rPr>
                <w:rFonts w:ascii="宋体" w:hAnsi="宋体"/>
                <w:b/>
                <w:color w:val="auto"/>
                <w:szCs w:val="21"/>
                <w:highlight w:val="none"/>
              </w:rPr>
            </w:pPr>
          </w:p>
        </w:tc>
        <w:tc>
          <w:tcPr>
            <w:tcW w:w="1722" w:type="dxa"/>
            <w:vAlign w:val="center"/>
          </w:tcPr>
          <w:p w14:paraId="7D4693C1">
            <w:pPr>
              <w:keepNext/>
              <w:keepLines/>
              <w:jc w:val="center"/>
              <w:rPr>
                <w:rFonts w:ascii="宋体" w:hAnsi="宋体"/>
                <w:b/>
                <w:color w:val="auto"/>
                <w:szCs w:val="21"/>
                <w:highlight w:val="none"/>
              </w:rPr>
            </w:pPr>
          </w:p>
        </w:tc>
        <w:tc>
          <w:tcPr>
            <w:tcW w:w="1348" w:type="dxa"/>
            <w:vAlign w:val="center"/>
          </w:tcPr>
          <w:p w14:paraId="343149B2">
            <w:pPr>
              <w:keepNext/>
              <w:keepLines/>
              <w:jc w:val="center"/>
              <w:rPr>
                <w:rFonts w:ascii="宋体" w:hAnsi="宋体"/>
                <w:b/>
                <w:color w:val="auto"/>
                <w:szCs w:val="21"/>
                <w:highlight w:val="none"/>
              </w:rPr>
            </w:pPr>
          </w:p>
        </w:tc>
        <w:tc>
          <w:tcPr>
            <w:tcW w:w="1185" w:type="dxa"/>
            <w:vAlign w:val="center"/>
          </w:tcPr>
          <w:p w14:paraId="3579366A">
            <w:pPr>
              <w:keepNext/>
              <w:keepLines/>
              <w:jc w:val="center"/>
              <w:rPr>
                <w:rFonts w:ascii="宋体" w:hAnsi="宋体"/>
                <w:b/>
                <w:color w:val="auto"/>
                <w:szCs w:val="21"/>
                <w:highlight w:val="none"/>
              </w:rPr>
            </w:pPr>
          </w:p>
        </w:tc>
      </w:tr>
      <w:tr w14:paraId="2DF6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97" w:type="dxa"/>
            <w:vAlign w:val="center"/>
          </w:tcPr>
          <w:p w14:paraId="3B68DC5C">
            <w:pPr>
              <w:keepNext/>
              <w:keepLines/>
              <w:ind w:left="223" w:hanging="222" w:hangingChars="106"/>
              <w:jc w:val="center"/>
              <w:rPr>
                <w:color w:val="auto"/>
                <w:szCs w:val="21"/>
                <w:highlight w:val="none"/>
              </w:rPr>
            </w:pPr>
          </w:p>
        </w:tc>
        <w:tc>
          <w:tcPr>
            <w:tcW w:w="930" w:type="dxa"/>
            <w:vAlign w:val="center"/>
          </w:tcPr>
          <w:p w14:paraId="0EFE1383">
            <w:pPr>
              <w:keepNext/>
              <w:keepLines/>
              <w:jc w:val="center"/>
              <w:rPr>
                <w:rFonts w:ascii="宋体" w:hAnsi="宋体"/>
                <w:b/>
                <w:color w:val="auto"/>
                <w:szCs w:val="21"/>
                <w:highlight w:val="none"/>
              </w:rPr>
            </w:pPr>
          </w:p>
        </w:tc>
        <w:tc>
          <w:tcPr>
            <w:tcW w:w="1430" w:type="dxa"/>
          </w:tcPr>
          <w:p w14:paraId="771D2459">
            <w:pPr>
              <w:keepNext/>
              <w:keepLines/>
              <w:jc w:val="center"/>
              <w:rPr>
                <w:rFonts w:ascii="宋体" w:hAnsi="宋体"/>
                <w:b/>
                <w:color w:val="auto"/>
                <w:szCs w:val="21"/>
                <w:highlight w:val="none"/>
              </w:rPr>
            </w:pPr>
          </w:p>
        </w:tc>
        <w:tc>
          <w:tcPr>
            <w:tcW w:w="666" w:type="dxa"/>
          </w:tcPr>
          <w:p w14:paraId="4DDE75B7">
            <w:pPr>
              <w:keepNext/>
              <w:keepLines/>
              <w:jc w:val="center"/>
              <w:rPr>
                <w:rFonts w:ascii="宋体" w:hAnsi="宋体"/>
                <w:b/>
                <w:color w:val="auto"/>
                <w:szCs w:val="21"/>
                <w:highlight w:val="none"/>
              </w:rPr>
            </w:pPr>
          </w:p>
        </w:tc>
        <w:tc>
          <w:tcPr>
            <w:tcW w:w="931" w:type="dxa"/>
          </w:tcPr>
          <w:p w14:paraId="51CB39BC">
            <w:pPr>
              <w:keepNext/>
              <w:keepLines/>
              <w:jc w:val="center"/>
              <w:rPr>
                <w:rFonts w:ascii="宋体" w:hAnsi="宋体"/>
                <w:b/>
                <w:color w:val="auto"/>
                <w:szCs w:val="21"/>
                <w:highlight w:val="none"/>
              </w:rPr>
            </w:pPr>
          </w:p>
        </w:tc>
        <w:tc>
          <w:tcPr>
            <w:tcW w:w="931" w:type="dxa"/>
            <w:vAlign w:val="center"/>
          </w:tcPr>
          <w:p w14:paraId="3212905C">
            <w:pPr>
              <w:keepNext/>
              <w:keepLines/>
              <w:jc w:val="center"/>
              <w:rPr>
                <w:rFonts w:ascii="宋体" w:hAnsi="宋体"/>
                <w:b/>
                <w:color w:val="auto"/>
                <w:szCs w:val="21"/>
                <w:highlight w:val="none"/>
              </w:rPr>
            </w:pPr>
          </w:p>
        </w:tc>
        <w:tc>
          <w:tcPr>
            <w:tcW w:w="1722" w:type="dxa"/>
            <w:vAlign w:val="center"/>
          </w:tcPr>
          <w:p w14:paraId="2A30DAFB">
            <w:pPr>
              <w:keepNext/>
              <w:keepLines/>
              <w:jc w:val="center"/>
              <w:rPr>
                <w:rFonts w:ascii="宋体" w:hAnsi="宋体"/>
                <w:b/>
                <w:color w:val="auto"/>
                <w:szCs w:val="21"/>
                <w:highlight w:val="none"/>
              </w:rPr>
            </w:pPr>
          </w:p>
        </w:tc>
        <w:tc>
          <w:tcPr>
            <w:tcW w:w="1348" w:type="dxa"/>
            <w:vAlign w:val="center"/>
          </w:tcPr>
          <w:p w14:paraId="7570228F">
            <w:pPr>
              <w:keepNext/>
              <w:keepLines/>
              <w:jc w:val="center"/>
              <w:rPr>
                <w:rFonts w:ascii="宋体" w:hAnsi="宋体"/>
                <w:b/>
                <w:color w:val="auto"/>
                <w:szCs w:val="21"/>
                <w:highlight w:val="none"/>
              </w:rPr>
            </w:pPr>
          </w:p>
        </w:tc>
        <w:tc>
          <w:tcPr>
            <w:tcW w:w="1185" w:type="dxa"/>
            <w:vAlign w:val="center"/>
          </w:tcPr>
          <w:p w14:paraId="0B23A7A8">
            <w:pPr>
              <w:keepNext/>
              <w:keepLines/>
              <w:jc w:val="center"/>
              <w:rPr>
                <w:rFonts w:ascii="宋体" w:hAnsi="宋体"/>
                <w:b/>
                <w:color w:val="auto"/>
                <w:szCs w:val="21"/>
                <w:highlight w:val="none"/>
              </w:rPr>
            </w:pPr>
          </w:p>
        </w:tc>
      </w:tr>
      <w:tr w14:paraId="42DD3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697" w:type="dxa"/>
            <w:vAlign w:val="center"/>
          </w:tcPr>
          <w:p w14:paraId="27E83A02">
            <w:pPr>
              <w:keepNext/>
              <w:keepLines/>
              <w:ind w:left="223" w:hanging="222" w:hangingChars="106"/>
              <w:jc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930" w:type="dxa"/>
            <w:vAlign w:val="center"/>
          </w:tcPr>
          <w:p w14:paraId="6298FF74">
            <w:pPr>
              <w:keepNext/>
              <w:keepLines/>
              <w:jc w:val="center"/>
              <w:rPr>
                <w:rFonts w:ascii="宋体" w:hAnsi="宋体"/>
                <w:b/>
                <w:color w:val="auto"/>
                <w:szCs w:val="21"/>
                <w:highlight w:val="none"/>
              </w:rPr>
            </w:pPr>
          </w:p>
        </w:tc>
        <w:tc>
          <w:tcPr>
            <w:tcW w:w="1430" w:type="dxa"/>
          </w:tcPr>
          <w:p w14:paraId="69C20AB0">
            <w:pPr>
              <w:keepNext/>
              <w:keepLines/>
              <w:jc w:val="center"/>
              <w:rPr>
                <w:rFonts w:ascii="宋体" w:hAnsi="宋体"/>
                <w:b/>
                <w:color w:val="auto"/>
                <w:szCs w:val="21"/>
                <w:highlight w:val="none"/>
              </w:rPr>
            </w:pPr>
          </w:p>
        </w:tc>
        <w:tc>
          <w:tcPr>
            <w:tcW w:w="666" w:type="dxa"/>
          </w:tcPr>
          <w:p w14:paraId="11E20C53">
            <w:pPr>
              <w:keepNext/>
              <w:keepLines/>
              <w:jc w:val="center"/>
              <w:rPr>
                <w:rFonts w:ascii="宋体" w:hAnsi="宋体"/>
                <w:b/>
                <w:color w:val="auto"/>
                <w:szCs w:val="21"/>
                <w:highlight w:val="none"/>
              </w:rPr>
            </w:pPr>
          </w:p>
        </w:tc>
        <w:tc>
          <w:tcPr>
            <w:tcW w:w="931" w:type="dxa"/>
          </w:tcPr>
          <w:p w14:paraId="30789A93">
            <w:pPr>
              <w:keepNext/>
              <w:keepLines/>
              <w:jc w:val="center"/>
              <w:rPr>
                <w:rFonts w:ascii="宋体" w:hAnsi="宋体"/>
                <w:b/>
                <w:color w:val="auto"/>
                <w:szCs w:val="21"/>
                <w:highlight w:val="none"/>
              </w:rPr>
            </w:pPr>
          </w:p>
        </w:tc>
        <w:tc>
          <w:tcPr>
            <w:tcW w:w="931" w:type="dxa"/>
            <w:vAlign w:val="center"/>
          </w:tcPr>
          <w:p w14:paraId="64B4FCFB">
            <w:pPr>
              <w:keepNext/>
              <w:keepLines/>
              <w:jc w:val="center"/>
              <w:rPr>
                <w:rFonts w:ascii="宋体" w:hAnsi="宋体"/>
                <w:b/>
                <w:color w:val="auto"/>
                <w:szCs w:val="21"/>
                <w:highlight w:val="none"/>
              </w:rPr>
            </w:pPr>
          </w:p>
        </w:tc>
        <w:tc>
          <w:tcPr>
            <w:tcW w:w="1722" w:type="dxa"/>
            <w:vAlign w:val="center"/>
          </w:tcPr>
          <w:p w14:paraId="3484BD7A">
            <w:pPr>
              <w:keepNext/>
              <w:keepLines/>
              <w:jc w:val="center"/>
              <w:rPr>
                <w:rFonts w:ascii="宋体" w:hAnsi="宋体"/>
                <w:b/>
                <w:color w:val="auto"/>
                <w:szCs w:val="21"/>
                <w:highlight w:val="none"/>
              </w:rPr>
            </w:pPr>
          </w:p>
        </w:tc>
        <w:tc>
          <w:tcPr>
            <w:tcW w:w="1348" w:type="dxa"/>
            <w:vAlign w:val="center"/>
          </w:tcPr>
          <w:p w14:paraId="69FCF67D">
            <w:pPr>
              <w:keepNext/>
              <w:keepLines/>
              <w:jc w:val="center"/>
              <w:rPr>
                <w:rFonts w:ascii="宋体" w:hAnsi="宋体"/>
                <w:b/>
                <w:color w:val="auto"/>
                <w:szCs w:val="21"/>
                <w:highlight w:val="none"/>
              </w:rPr>
            </w:pPr>
          </w:p>
        </w:tc>
        <w:tc>
          <w:tcPr>
            <w:tcW w:w="1185" w:type="dxa"/>
            <w:vAlign w:val="center"/>
          </w:tcPr>
          <w:p w14:paraId="5682186B">
            <w:pPr>
              <w:keepNext/>
              <w:keepLines/>
              <w:jc w:val="center"/>
              <w:rPr>
                <w:rFonts w:ascii="宋体" w:hAnsi="宋体"/>
                <w:b/>
                <w:color w:val="auto"/>
                <w:szCs w:val="21"/>
                <w:highlight w:val="none"/>
              </w:rPr>
            </w:pPr>
          </w:p>
        </w:tc>
      </w:tr>
    </w:tbl>
    <w:p w14:paraId="7CEC4922">
      <w:pPr>
        <w:pStyle w:val="18"/>
        <w:rPr>
          <w:rFonts w:hint="eastAsia"/>
          <w:color w:val="auto"/>
          <w:highlight w:val="none"/>
        </w:rPr>
      </w:pPr>
      <w:r>
        <w:rPr>
          <w:rFonts w:hint="eastAsia"/>
          <w:color w:val="auto"/>
          <w:highlight w:val="none"/>
        </w:rPr>
        <w:t>备注：格式仅供参考</w:t>
      </w:r>
      <w:r>
        <w:rPr>
          <w:rFonts w:hint="eastAsia" w:ascii="宋体"/>
          <w:color w:val="auto"/>
          <w:sz w:val="36"/>
          <w:szCs w:val="36"/>
          <w:highlight w:val="none"/>
        </w:rPr>
        <w:t xml:space="preserve"> </w:t>
      </w:r>
    </w:p>
    <w:p w14:paraId="7DAC4C81">
      <w:pPr>
        <w:keepNext/>
        <w:keepLines/>
        <w:spacing w:line="360" w:lineRule="exact"/>
        <w:rPr>
          <w:rFonts w:ascii="宋体" w:hAnsi="宋体"/>
          <w:color w:val="auto"/>
          <w:sz w:val="36"/>
          <w:szCs w:val="36"/>
          <w:highlight w:val="none"/>
        </w:rPr>
      </w:pPr>
      <w:r>
        <w:rPr>
          <w:rFonts w:hint="eastAsia" w:ascii="宋体"/>
          <w:color w:val="auto"/>
          <w:sz w:val="36"/>
          <w:szCs w:val="36"/>
          <w:highlight w:val="none"/>
        </w:rPr>
        <w:t xml:space="preserve"> </w:t>
      </w:r>
    </w:p>
    <w:p w14:paraId="3FDBCC1A">
      <w:pPr>
        <w:autoSpaceDE w:val="0"/>
        <w:autoSpaceDN w:val="0"/>
        <w:spacing w:line="360" w:lineRule="auto"/>
        <w:ind w:firstLine="3990" w:firstLineChars="19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zh-CN"/>
        </w:rPr>
        <w:t>磋商供应商名称(公章)</w:t>
      </w:r>
      <w:r>
        <w:rPr>
          <w:rFonts w:hint="eastAsia" w:ascii="宋体" w:hAnsi="宋体" w:eastAsia="宋体" w:cs="宋体"/>
          <w:color w:val="auto"/>
          <w:kern w:val="0"/>
          <w:sz w:val="21"/>
          <w:szCs w:val="21"/>
          <w:highlight w:val="none"/>
        </w:rPr>
        <w:t xml:space="preserve">：                       </w:t>
      </w:r>
    </w:p>
    <w:p w14:paraId="317D30A4">
      <w:pPr>
        <w:spacing w:line="360" w:lineRule="auto"/>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 xml:space="preserve">                                      日期：  年  月   日</w:t>
      </w:r>
    </w:p>
    <w:p w14:paraId="4CA881A9">
      <w:pPr>
        <w:spacing w:line="360" w:lineRule="auto"/>
        <w:rPr>
          <w:rFonts w:hint="eastAsia" w:ascii="宋体" w:hAnsi="宋体" w:eastAsia="宋体" w:cs="宋体"/>
          <w:b/>
          <w:bCs/>
          <w:color w:val="auto"/>
          <w:sz w:val="21"/>
          <w:szCs w:val="21"/>
          <w:highlight w:val="none"/>
        </w:rPr>
      </w:pPr>
    </w:p>
    <w:p w14:paraId="75E93DB6">
      <w:pPr>
        <w:pStyle w:val="18"/>
        <w:rPr>
          <w:rFonts w:hint="eastAsia" w:ascii="宋体" w:hAnsi="宋体" w:eastAsia="宋体" w:cs="宋体"/>
          <w:b/>
          <w:bCs/>
          <w:color w:val="auto"/>
          <w:sz w:val="21"/>
          <w:szCs w:val="21"/>
          <w:highlight w:val="none"/>
        </w:rPr>
      </w:pPr>
    </w:p>
    <w:p w14:paraId="3FC210CA">
      <w:pPr>
        <w:rPr>
          <w:rFonts w:hint="eastAsia"/>
          <w:color w:val="auto"/>
          <w:highlight w:val="none"/>
        </w:rPr>
      </w:pPr>
    </w:p>
    <w:p w14:paraId="0600CE35">
      <w:pPr>
        <w:pStyle w:val="18"/>
        <w:rPr>
          <w:rFonts w:hint="eastAsia" w:ascii="宋体" w:hAnsi="宋体" w:eastAsia="宋体" w:cs="宋体"/>
          <w:b/>
          <w:bCs/>
          <w:color w:val="auto"/>
          <w:sz w:val="21"/>
          <w:szCs w:val="21"/>
          <w:highlight w:val="none"/>
        </w:rPr>
      </w:pPr>
    </w:p>
    <w:p w14:paraId="60F0196B">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bCs/>
          <w:color w:val="auto"/>
          <w:kern w:val="2"/>
          <w:sz w:val="30"/>
          <w:szCs w:val="30"/>
          <w:highlight w:val="none"/>
          <w:lang w:val="en-US" w:eastAsia="zh-CN" w:bidi="ar-SA"/>
        </w:rPr>
        <w:t>6.</w:t>
      </w:r>
      <w:r>
        <w:rPr>
          <w:rFonts w:hint="eastAsia" w:cs="仿宋_GB2312" w:asciiTheme="minorEastAsia" w:hAnsiTheme="minorEastAsia" w:eastAsiaTheme="minorEastAsia"/>
          <w:b/>
          <w:bCs/>
          <w:color w:val="auto"/>
          <w:kern w:val="2"/>
          <w:sz w:val="30"/>
          <w:szCs w:val="30"/>
          <w:highlight w:val="none"/>
          <w:lang w:val="zh-CN" w:eastAsia="zh-CN" w:bidi="ar-SA"/>
        </w:rPr>
        <w:t>保密承诺书</w:t>
      </w:r>
    </w:p>
    <w:p w14:paraId="14496253">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u w:val="single"/>
        </w:rPr>
      </w:pPr>
    </w:p>
    <w:p w14:paraId="11BF64F7">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u w:val="single"/>
        </w:rPr>
      </w:pPr>
      <w:r>
        <w:rPr>
          <w:rFonts w:hint="eastAsia" w:ascii="宋体" w:hAnsi="宋体" w:cs="宋体"/>
          <w:color w:val="auto"/>
          <w:kern w:val="24"/>
          <w:szCs w:val="21"/>
          <w:highlight w:val="none"/>
          <w:u w:val="single"/>
        </w:rPr>
        <w:t>（采购人）、（采购代理机构）：</w:t>
      </w:r>
    </w:p>
    <w:p w14:paraId="5B83A572">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rPr>
      </w:pPr>
    </w:p>
    <w:p w14:paraId="1A90AC25">
      <w:pPr>
        <w:keepNext/>
        <w:keepLines/>
        <w:tabs>
          <w:tab w:val="left" w:pos="720"/>
          <w:tab w:val="left" w:pos="900"/>
          <w:tab w:val="left" w:pos="1260"/>
          <w:tab w:val="left" w:pos="1440"/>
        </w:tabs>
        <w:spacing w:line="380" w:lineRule="exact"/>
        <w:ind w:firstLine="420" w:firstLineChars="200"/>
        <w:rPr>
          <w:rFonts w:ascii="宋体" w:hAnsi="宋体" w:cs="宋体"/>
          <w:bCs/>
          <w:color w:val="auto"/>
          <w:kern w:val="24"/>
          <w:szCs w:val="21"/>
          <w:highlight w:val="none"/>
        </w:rPr>
      </w:pPr>
      <w:r>
        <w:rPr>
          <w:rFonts w:hint="eastAsia" w:ascii="宋体" w:hAnsi="宋体" w:cs="宋体"/>
          <w:color w:val="auto"/>
          <w:kern w:val="24"/>
          <w:szCs w:val="21"/>
          <w:highlight w:val="none"/>
        </w:rPr>
        <w:t>鉴于</w:t>
      </w:r>
      <w:r>
        <w:rPr>
          <w:rFonts w:hint="eastAsia" w:ascii="宋体" w:hAnsi="宋体" w:cs="宋体"/>
          <w:color w:val="auto"/>
          <w:kern w:val="24"/>
          <w:szCs w:val="21"/>
          <w:highlight w:val="none"/>
          <w:u w:val="single"/>
        </w:rPr>
        <w:t xml:space="preserve">   （成交供应商）   </w:t>
      </w:r>
      <w:r>
        <w:rPr>
          <w:rFonts w:hint="eastAsia" w:ascii="宋体" w:hAnsi="宋体" w:cs="宋体"/>
          <w:color w:val="auto"/>
          <w:kern w:val="24"/>
          <w:szCs w:val="21"/>
          <w:highlight w:val="none"/>
        </w:rPr>
        <w:t>拟参加</w:t>
      </w:r>
      <w:r>
        <w:rPr>
          <w:rFonts w:hint="eastAsia" w:ascii="宋体" w:hAnsi="宋体" w:cs="宋体"/>
          <w:color w:val="auto"/>
          <w:kern w:val="24"/>
          <w:szCs w:val="21"/>
          <w:highlight w:val="none"/>
          <w:u w:val="single"/>
        </w:rPr>
        <w:t xml:space="preserve">  （项目名称、项目编号）  </w:t>
      </w:r>
      <w:r>
        <w:rPr>
          <w:rFonts w:hint="eastAsia" w:ascii="宋体" w:hAnsi="宋体" w:cs="宋体"/>
          <w:color w:val="auto"/>
          <w:kern w:val="24"/>
          <w:szCs w:val="21"/>
          <w:highlight w:val="none"/>
        </w:rPr>
        <w:t>的磋商采购活动，现就有关保密事宜承诺如下：</w:t>
      </w:r>
    </w:p>
    <w:p w14:paraId="31164262">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1．我方在磋商采购活动过程中将严格遵守《中华人民共和国保密法》及其它相关法律法规，如违反了《中华人民共和国保密法》及其它相关法律法规，自行承担相应的法律责任。</w:t>
      </w:r>
    </w:p>
    <w:p w14:paraId="1B36CC8C">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2．如成交，我方将与采购人签订保密协议，认真履行合同中约定的保密义务，承担保密责任。</w:t>
      </w:r>
    </w:p>
    <w:p w14:paraId="7D0571A5">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3．我方在签订合同、执行合同过程中均将严格遵守《中华人民共和国保密法》及其它相关法律法规，如违反了《中华人民共和国保密法》及其它相关法律法规，自行承担相应的法律责任。</w:t>
      </w:r>
    </w:p>
    <w:p w14:paraId="02D42D49">
      <w:pPr>
        <w:keepNext/>
        <w:keepLines/>
        <w:tabs>
          <w:tab w:val="left" w:pos="720"/>
          <w:tab w:val="left" w:pos="900"/>
          <w:tab w:val="left" w:pos="1260"/>
          <w:tab w:val="left" w:pos="1440"/>
        </w:tabs>
        <w:spacing w:line="380" w:lineRule="exact"/>
        <w:ind w:firstLine="420" w:firstLineChars="200"/>
        <w:rPr>
          <w:rFonts w:ascii="宋体" w:hAnsi="宋体" w:cs="宋体"/>
          <w:color w:val="auto"/>
          <w:kern w:val="24"/>
          <w:szCs w:val="21"/>
          <w:highlight w:val="none"/>
        </w:rPr>
      </w:pPr>
      <w:r>
        <w:rPr>
          <w:rFonts w:hint="eastAsia" w:ascii="宋体" w:hAnsi="宋体" w:cs="宋体"/>
          <w:color w:val="auto"/>
          <w:kern w:val="24"/>
          <w:szCs w:val="21"/>
          <w:highlight w:val="none"/>
        </w:rPr>
        <w:t>4．我方将妥善保存好本项目与中华人民共和国国家秘密有关的各种图纸、数据、资料，不得以任何形式泄露到中华人民共和国境外地区和国家。</w:t>
      </w:r>
    </w:p>
    <w:p w14:paraId="3787FF2E">
      <w:pPr>
        <w:keepNext/>
        <w:keepLines/>
        <w:tabs>
          <w:tab w:val="left" w:pos="720"/>
          <w:tab w:val="left" w:pos="900"/>
          <w:tab w:val="left" w:pos="1260"/>
          <w:tab w:val="left" w:pos="1440"/>
        </w:tabs>
        <w:spacing w:line="380" w:lineRule="exact"/>
        <w:ind w:firstLine="420" w:firstLineChars="200"/>
        <w:rPr>
          <w:rFonts w:hint="eastAsia" w:ascii="宋体" w:hAnsi="宋体" w:cs="宋体"/>
          <w:color w:val="auto"/>
          <w:kern w:val="24"/>
          <w:szCs w:val="21"/>
          <w:highlight w:val="none"/>
        </w:rPr>
      </w:pPr>
      <w:r>
        <w:rPr>
          <w:rFonts w:hint="eastAsia" w:ascii="宋体" w:hAnsi="宋体" w:cs="宋体"/>
          <w:color w:val="auto"/>
          <w:kern w:val="24"/>
          <w:szCs w:val="21"/>
          <w:highlight w:val="none"/>
        </w:rPr>
        <w:t>5．本承诺书自签署后生效。</w:t>
      </w:r>
    </w:p>
    <w:p w14:paraId="14F8FE9A">
      <w:pPr>
        <w:pStyle w:val="18"/>
        <w:rPr>
          <w:rFonts w:hint="eastAsia" w:ascii="宋体" w:hAnsi="宋体" w:cs="宋体"/>
          <w:color w:val="auto"/>
          <w:kern w:val="24"/>
          <w:szCs w:val="21"/>
          <w:highlight w:val="none"/>
        </w:rPr>
      </w:pPr>
    </w:p>
    <w:p w14:paraId="0493CB2F">
      <w:pPr>
        <w:rPr>
          <w:rFonts w:hint="eastAsia" w:ascii="宋体" w:hAnsi="宋体" w:cs="宋体"/>
          <w:color w:val="auto"/>
          <w:kern w:val="24"/>
          <w:szCs w:val="21"/>
          <w:highlight w:val="none"/>
        </w:rPr>
      </w:pPr>
    </w:p>
    <w:p w14:paraId="7D646F2D">
      <w:pPr>
        <w:pStyle w:val="18"/>
        <w:rPr>
          <w:rFonts w:hint="eastAsia" w:ascii="宋体" w:hAnsi="宋体" w:cs="宋体"/>
          <w:color w:val="auto"/>
          <w:kern w:val="24"/>
          <w:szCs w:val="21"/>
          <w:highlight w:val="none"/>
        </w:rPr>
      </w:pPr>
    </w:p>
    <w:p w14:paraId="114D74AB">
      <w:pPr>
        <w:rPr>
          <w:color w:val="auto"/>
          <w:highlight w:val="none"/>
        </w:rPr>
      </w:pPr>
    </w:p>
    <w:p w14:paraId="50F95631">
      <w:pPr>
        <w:spacing w:line="360" w:lineRule="auto"/>
        <w:jc w:val="center"/>
        <w:rPr>
          <w:rFonts w:cs="仿宋_GB2312" w:asciiTheme="minorEastAsia" w:hAnsiTheme="minorEastAsia" w:eastAsiaTheme="minorEastAsia"/>
          <w:color w:val="auto"/>
          <w:sz w:val="21"/>
          <w:szCs w:val="21"/>
          <w:highlight w:val="none"/>
        </w:rPr>
      </w:pPr>
    </w:p>
    <w:p w14:paraId="36993CA3">
      <w:pPr>
        <w:autoSpaceDE w:val="0"/>
        <w:autoSpaceDN w:val="0"/>
        <w:spacing w:line="360" w:lineRule="auto"/>
        <w:ind w:firstLine="3990" w:firstLineChars="1900"/>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5CA8560E">
      <w:pPr>
        <w:spacing w:line="360" w:lineRule="auto"/>
        <w:rPr>
          <w:rFonts w:cs="仿宋_GB2312" w:asciiTheme="minorEastAsia" w:hAnsiTheme="minorEastAsia" w:eastAsiaTheme="minorEastAsia"/>
          <w:b/>
          <w:bCs/>
          <w:color w:val="auto"/>
          <w:sz w:val="21"/>
          <w:szCs w:val="21"/>
          <w:highlight w:val="none"/>
        </w:rPr>
      </w:pPr>
      <w:r>
        <w:rPr>
          <w:rFonts w:hint="eastAsia" w:cs="仿宋_GB2312" w:asciiTheme="minorEastAsia" w:hAnsiTheme="minorEastAsia" w:eastAsiaTheme="minorEastAsia"/>
          <w:color w:val="auto"/>
          <w:kern w:val="0"/>
          <w:sz w:val="21"/>
          <w:szCs w:val="21"/>
          <w:highlight w:val="none"/>
        </w:rPr>
        <w:t xml:space="preserve">                                      日期：  年  月   日</w:t>
      </w:r>
    </w:p>
    <w:p w14:paraId="4735F2AB">
      <w:pPr>
        <w:rPr>
          <w:rFonts w:hint="eastAsia"/>
          <w:color w:val="auto"/>
          <w:highlight w:val="none"/>
        </w:rPr>
      </w:pPr>
    </w:p>
    <w:p w14:paraId="66CD2535">
      <w:pPr>
        <w:pStyle w:val="18"/>
        <w:rPr>
          <w:rFonts w:hint="eastAsia"/>
          <w:color w:val="auto"/>
          <w:highlight w:val="none"/>
        </w:rPr>
      </w:pPr>
    </w:p>
    <w:p w14:paraId="2307E83E">
      <w:pPr>
        <w:rPr>
          <w:rFonts w:hint="eastAsia"/>
          <w:color w:val="auto"/>
          <w:highlight w:val="none"/>
        </w:rPr>
      </w:pPr>
    </w:p>
    <w:p w14:paraId="70D73A97">
      <w:pPr>
        <w:rPr>
          <w:rFonts w:hint="eastAsia"/>
          <w:color w:val="auto"/>
          <w:highlight w:val="none"/>
        </w:rPr>
      </w:pPr>
    </w:p>
    <w:p w14:paraId="678E88E3">
      <w:pPr>
        <w:pStyle w:val="15"/>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color w:val="auto"/>
          <w:highlight w:val="none"/>
          <w:lang w:val="zh-CN" w:eastAsia="zh-CN"/>
        </w:rPr>
      </w:pPr>
      <w:r>
        <w:rPr>
          <w:rFonts w:hint="eastAsia" w:cs="仿宋_GB2312" w:asciiTheme="minorEastAsia" w:hAnsiTheme="minorEastAsia" w:eastAsiaTheme="minorEastAsia"/>
          <w:b/>
          <w:bCs/>
          <w:color w:val="auto"/>
          <w:kern w:val="2"/>
          <w:sz w:val="30"/>
          <w:szCs w:val="30"/>
          <w:highlight w:val="none"/>
          <w:lang w:val="en-US" w:eastAsia="zh-CN" w:bidi="ar-SA"/>
        </w:rPr>
        <w:t>7.响应截止时间近三年以来供应商的主要业绩证明材料</w:t>
      </w:r>
    </w:p>
    <w:p w14:paraId="6425C073">
      <w:pPr>
        <w:autoSpaceDE w:val="0"/>
        <w:autoSpaceDN w:val="0"/>
        <w:spacing w:line="360" w:lineRule="auto"/>
        <w:ind w:firstLine="120"/>
        <w:rPr>
          <w:rFonts w:hint="eastAsia" w:cs="仿宋_GB2312" w:asciiTheme="minorEastAsia" w:hAnsiTheme="minorEastAsia" w:eastAsiaTheme="minorEastAsia"/>
          <w:b/>
          <w:color w:val="auto"/>
          <w:sz w:val="21"/>
          <w:szCs w:val="21"/>
          <w:highlight w:val="none"/>
        </w:rPr>
      </w:pPr>
    </w:p>
    <w:p w14:paraId="4C80E7BF">
      <w:pPr>
        <w:autoSpaceDE w:val="0"/>
        <w:autoSpaceDN w:val="0"/>
        <w:spacing w:line="360" w:lineRule="auto"/>
        <w:ind w:firstLine="120"/>
        <w:rPr>
          <w:rFonts w:cs="仿宋_GB2312" w:asciiTheme="minorEastAsia" w:hAnsiTheme="minorEastAsia" w:eastAsiaTheme="minorEastAsia"/>
          <w:b/>
          <w:color w:val="auto"/>
          <w:sz w:val="21"/>
          <w:szCs w:val="21"/>
          <w:highlight w:val="none"/>
        </w:rPr>
      </w:pPr>
      <w:r>
        <w:rPr>
          <w:rFonts w:hint="eastAsia" w:cs="仿宋_GB2312" w:asciiTheme="minorEastAsia" w:hAnsiTheme="minorEastAsia" w:eastAsiaTheme="minorEastAsia"/>
          <w:b/>
          <w:color w:val="auto"/>
          <w:sz w:val="21"/>
          <w:szCs w:val="21"/>
          <w:highlight w:val="none"/>
        </w:rPr>
        <w:t>附表 :相关项目建设业绩一览表</w:t>
      </w:r>
    </w:p>
    <w:tbl>
      <w:tblPr>
        <w:tblStyle w:val="28"/>
        <w:tblW w:w="9857" w:type="dxa"/>
        <w:tblInd w:w="108" w:type="dxa"/>
        <w:tblLayout w:type="fixed"/>
        <w:tblCellMar>
          <w:top w:w="0" w:type="dxa"/>
          <w:left w:w="108" w:type="dxa"/>
          <w:bottom w:w="0" w:type="dxa"/>
          <w:right w:w="108" w:type="dxa"/>
        </w:tblCellMar>
      </w:tblPr>
      <w:tblGrid>
        <w:gridCol w:w="1986"/>
        <w:gridCol w:w="1049"/>
        <w:gridCol w:w="1496"/>
        <w:gridCol w:w="1260"/>
        <w:gridCol w:w="1273"/>
        <w:gridCol w:w="1673"/>
        <w:gridCol w:w="1120"/>
      </w:tblGrid>
      <w:tr w14:paraId="452D409D">
        <w:tblPrEx>
          <w:tblCellMar>
            <w:top w:w="0" w:type="dxa"/>
            <w:left w:w="108" w:type="dxa"/>
            <w:bottom w:w="0" w:type="dxa"/>
            <w:right w:w="108" w:type="dxa"/>
          </w:tblCellMar>
        </w:tblPrEx>
        <w:trPr>
          <w:trHeight w:val="739" w:hRule="atLeast"/>
        </w:trPr>
        <w:tc>
          <w:tcPr>
            <w:tcW w:w="1986" w:type="dxa"/>
            <w:tcBorders>
              <w:top w:val="single" w:color="auto" w:sz="6" w:space="0"/>
              <w:left w:val="single" w:color="auto" w:sz="6" w:space="0"/>
              <w:bottom w:val="single" w:color="auto" w:sz="6" w:space="0"/>
              <w:right w:val="single" w:color="auto" w:sz="6" w:space="0"/>
            </w:tcBorders>
            <w:vAlign w:val="center"/>
          </w:tcPr>
          <w:p w14:paraId="2FDC9E1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项目名称</w:t>
            </w:r>
          </w:p>
        </w:tc>
        <w:tc>
          <w:tcPr>
            <w:tcW w:w="1049" w:type="dxa"/>
            <w:tcBorders>
              <w:top w:val="single" w:color="auto" w:sz="6" w:space="0"/>
              <w:left w:val="single" w:color="auto" w:sz="6" w:space="0"/>
              <w:bottom w:val="single" w:color="auto" w:sz="6" w:space="0"/>
              <w:right w:val="single" w:color="auto" w:sz="6" w:space="0"/>
            </w:tcBorders>
            <w:vAlign w:val="center"/>
          </w:tcPr>
          <w:p w14:paraId="5313193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w:t>
            </w:r>
          </w:p>
          <w:p w14:paraId="7D2CB67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类型</w:t>
            </w:r>
          </w:p>
        </w:tc>
        <w:tc>
          <w:tcPr>
            <w:tcW w:w="1496" w:type="dxa"/>
            <w:tcBorders>
              <w:top w:val="single" w:color="auto" w:sz="6" w:space="0"/>
              <w:left w:val="single" w:color="auto" w:sz="6" w:space="0"/>
              <w:bottom w:val="single" w:color="auto" w:sz="6" w:space="0"/>
              <w:right w:val="single" w:color="auto" w:sz="6" w:space="0"/>
            </w:tcBorders>
            <w:vAlign w:val="center"/>
          </w:tcPr>
          <w:p w14:paraId="1D07119C">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简要描述</w:t>
            </w:r>
          </w:p>
        </w:tc>
        <w:tc>
          <w:tcPr>
            <w:tcW w:w="1260" w:type="dxa"/>
            <w:tcBorders>
              <w:top w:val="single" w:color="auto" w:sz="6" w:space="0"/>
              <w:left w:val="single" w:color="auto" w:sz="6" w:space="0"/>
              <w:bottom w:val="single" w:color="auto" w:sz="6" w:space="0"/>
              <w:right w:val="single" w:color="auto" w:sz="6" w:space="0"/>
            </w:tcBorders>
            <w:vAlign w:val="center"/>
          </w:tcPr>
          <w:p w14:paraId="5321765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项目投资</w:t>
            </w:r>
          </w:p>
          <w:p w14:paraId="3FAC65C2">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（万元）</w:t>
            </w:r>
          </w:p>
        </w:tc>
        <w:tc>
          <w:tcPr>
            <w:tcW w:w="1273" w:type="dxa"/>
            <w:tcBorders>
              <w:top w:val="single" w:color="auto" w:sz="6" w:space="0"/>
              <w:left w:val="single" w:color="auto" w:sz="6" w:space="0"/>
              <w:bottom w:val="single" w:color="auto" w:sz="6" w:space="0"/>
              <w:right w:val="single" w:color="auto" w:sz="6" w:space="0"/>
            </w:tcBorders>
            <w:vAlign w:val="center"/>
          </w:tcPr>
          <w:p w14:paraId="06455E80">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开竣工日期</w:t>
            </w:r>
          </w:p>
        </w:tc>
        <w:tc>
          <w:tcPr>
            <w:tcW w:w="1673" w:type="dxa"/>
            <w:tcBorders>
              <w:top w:val="single" w:color="auto" w:sz="6" w:space="0"/>
              <w:left w:val="single" w:color="auto" w:sz="6" w:space="0"/>
              <w:bottom w:val="single" w:color="auto" w:sz="6" w:space="0"/>
              <w:right w:val="single" w:color="auto" w:sz="6" w:space="0"/>
            </w:tcBorders>
            <w:vAlign w:val="center"/>
          </w:tcPr>
          <w:p w14:paraId="6FB4CDC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项目地址与建设单位联系电话</w:t>
            </w:r>
          </w:p>
        </w:tc>
        <w:tc>
          <w:tcPr>
            <w:tcW w:w="1120" w:type="dxa"/>
            <w:tcBorders>
              <w:top w:val="single" w:color="auto" w:sz="6" w:space="0"/>
              <w:left w:val="single" w:color="auto" w:sz="6" w:space="0"/>
              <w:bottom w:val="single" w:color="auto" w:sz="6" w:space="0"/>
              <w:right w:val="single" w:color="auto" w:sz="6" w:space="0"/>
            </w:tcBorders>
            <w:vAlign w:val="center"/>
          </w:tcPr>
          <w:p w14:paraId="7ED39850">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cs="仿宋_GB2312"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所在页码</w:t>
            </w:r>
          </w:p>
        </w:tc>
      </w:tr>
      <w:tr w14:paraId="10ECA5A2">
        <w:tblPrEx>
          <w:tblCellMar>
            <w:top w:w="0" w:type="dxa"/>
            <w:left w:w="108" w:type="dxa"/>
            <w:bottom w:w="0" w:type="dxa"/>
            <w:right w:w="108" w:type="dxa"/>
          </w:tblCellMar>
        </w:tblPrEx>
        <w:trPr>
          <w:trHeight w:val="802" w:hRule="atLeast"/>
        </w:trPr>
        <w:tc>
          <w:tcPr>
            <w:tcW w:w="1986" w:type="dxa"/>
            <w:tcBorders>
              <w:top w:val="single" w:color="auto" w:sz="6" w:space="0"/>
              <w:left w:val="single" w:color="auto" w:sz="6" w:space="0"/>
              <w:bottom w:val="single" w:color="auto" w:sz="6" w:space="0"/>
              <w:right w:val="single" w:color="auto" w:sz="6" w:space="0"/>
            </w:tcBorders>
            <w:vAlign w:val="center"/>
          </w:tcPr>
          <w:p w14:paraId="5830EA59">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1</w:t>
            </w:r>
          </w:p>
        </w:tc>
        <w:tc>
          <w:tcPr>
            <w:tcW w:w="1049" w:type="dxa"/>
            <w:tcBorders>
              <w:top w:val="single" w:color="auto" w:sz="6" w:space="0"/>
              <w:left w:val="single" w:color="auto" w:sz="6" w:space="0"/>
              <w:bottom w:val="single" w:color="auto" w:sz="6" w:space="0"/>
              <w:right w:val="single" w:color="auto" w:sz="6" w:space="0"/>
            </w:tcBorders>
          </w:tcPr>
          <w:p w14:paraId="36B551A3">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63EBB6B8">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6D1B57E4">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2BD854F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604B3C45">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1FB5D89B">
            <w:pPr>
              <w:autoSpaceDE w:val="0"/>
              <w:autoSpaceDN w:val="0"/>
              <w:spacing w:line="360" w:lineRule="auto"/>
              <w:rPr>
                <w:rFonts w:cs="仿宋_GB2312" w:asciiTheme="minorEastAsia" w:hAnsiTheme="minorEastAsia" w:eastAsiaTheme="minorEastAsia"/>
                <w:color w:val="auto"/>
                <w:sz w:val="21"/>
                <w:szCs w:val="21"/>
                <w:highlight w:val="none"/>
              </w:rPr>
            </w:pPr>
          </w:p>
        </w:tc>
      </w:tr>
      <w:tr w14:paraId="49165DB4">
        <w:tblPrEx>
          <w:tblCellMar>
            <w:top w:w="0" w:type="dxa"/>
            <w:left w:w="108" w:type="dxa"/>
            <w:bottom w:w="0" w:type="dxa"/>
            <w:right w:w="108" w:type="dxa"/>
          </w:tblCellMar>
        </w:tblPrEx>
        <w:trPr>
          <w:trHeight w:val="802" w:hRule="atLeast"/>
        </w:trPr>
        <w:tc>
          <w:tcPr>
            <w:tcW w:w="1986" w:type="dxa"/>
            <w:tcBorders>
              <w:top w:val="single" w:color="auto" w:sz="6" w:space="0"/>
              <w:left w:val="single" w:color="auto" w:sz="6" w:space="0"/>
              <w:bottom w:val="single" w:color="auto" w:sz="6" w:space="0"/>
              <w:right w:val="single" w:color="auto" w:sz="6" w:space="0"/>
            </w:tcBorders>
            <w:vAlign w:val="center"/>
          </w:tcPr>
          <w:p w14:paraId="7F88ACF6">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eastAsia"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2</w:t>
            </w:r>
          </w:p>
        </w:tc>
        <w:tc>
          <w:tcPr>
            <w:tcW w:w="1049" w:type="dxa"/>
            <w:tcBorders>
              <w:top w:val="single" w:color="auto" w:sz="6" w:space="0"/>
              <w:left w:val="single" w:color="auto" w:sz="6" w:space="0"/>
              <w:bottom w:val="single" w:color="auto" w:sz="6" w:space="0"/>
              <w:right w:val="single" w:color="auto" w:sz="6" w:space="0"/>
            </w:tcBorders>
          </w:tcPr>
          <w:p w14:paraId="7012C4C3">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10884F43">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2C73CB4F">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3372FC3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0E70DB80">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416E7E70">
            <w:pPr>
              <w:autoSpaceDE w:val="0"/>
              <w:autoSpaceDN w:val="0"/>
              <w:spacing w:line="360" w:lineRule="auto"/>
              <w:rPr>
                <w:rFonts w:cs="仿宋_GB2312" w:asciiTheme="minorEastAsia" w:hAnsiTheme="minorEastAsia" w:eastAsiaTheme="minorEastAsia"/>
                <w:color w:val="auto"/>
                <w:sz w:val="21"/>
                <w:szCs w:val="21"/>
                <w:highlight w:val="none"/>
              </w:rPr>
            </w:pPr>
          </w:p>
        </w:tc>
      </w:tr>
      <w:tr w14:paraId="512C5640">
        <w:tblPrEx>
          <w:tblCellMar>
            <w:top w:w="0" w:type="dxa"/>
            <w:left w:w="108" w:type="dxa"/>
            <w:bottom w:w="0" w:type="dxa"/>
            <w:right w:w="108" w:type="dxa"/>
          </w:tblCellMar>
        </w:tblPrEx>
        <w:trPr>
          <w:trHeight w:val="844" w:hRule="atLeast"/>
        </w:trPr>
        <w:tc>
          <w:tcPr>
            <w:tcW w:w="1986" w:type="dxa"/>
            <w:tcBorders>
              <w:top w:val="single" w:color="auto" w:sz="6" w:space="0"/>
              <w:left w:val="single" w:color="auto" w:sz="6" w:space="0"/>
              <w:bottom w:val="single" w:color="auto" w:sz="6" w:space="0"/>
              <w:right w:val="single" w:color="auto" w:sz="6" w:space="0"/>
            </w:tcBorders>
            <w:vAlign w:val="center"/>
          </w:tcPr>
          <w:p w14:paraId="2A101DCD">
            <w:pPr>
              <w:keepNext w:val="0"/>
              <w:keepLines w:val="0"/>
              <w:pageBreakBefore w:val="0"/>
              <w:widowControl w:val="0"/>
              <w:kinsoku/>
              <w:wordWrap/>
              <w:overflowPunct/>
              <w:topLinePunct w:val="0"/>
              <w:autoSpaceDE w:val="0"/>
              <w:autoSpaceDN w:val="0"/>
              <w:bidi w:val="0"/>
              <w:adjustRightInd/>
              <w:snapToGrid/>
              <w:spacing w:line="240" w:lineRule="exact"/>
              <w:ind w:left="-105" w:leftChars="-50" w:right="-105" w:rightChars="-50"/>
              <w:jc w:val="center"/>
              <w:textAlignment w:val="auto"/>
              <w:rPr>
                <w:rFonts w:hint="default" w:cs="仿宋_GB2312" w:asciiTheme="minorEastAsia" w:hAnsiTheme="minorEastAsia" w:eastAsiaTheme="minorEastAsia"/>
                <w:color w:val="auto"/>
                <w:sz w:val="21"/>
                <w:szCs w:val="21"/>
                <w:highlight w:val="none"/>
                <w:lang w:val="en-US" w:eastAsia="zh-CN"/>
              </w:rPr>
            </w:pPr>
            <w:r>
              <w:rPr>
                <w:rFonts w:hint="eastAsia" w:cs="仿宋_GB2312" w:asciiTheme="minorEastAsia" w:hAnsiTheme="minorEastAsia" w:eastAsiaTheme="minorEastAsia"/>
                <w:color w:val="auto"/>
                <w:sz w:val="21"/>
                <w:szCs w:val="21"/>
                <w:highlight w:val="none"/>
                <w:lang w:val="en-US" w:eastAsia="zh-CN"/>
              </w:rPr>
              <w:t>...</w:t>
            </w:r>
          </w:p>
        </w:tc>
        <w:tc>
          <w:tcPr>
            <w:tcW w:w="1049" w:type="dxa"/>
            <w:tcBorders>
              <w:top w:val="single" w:color="auto" w:sz="6" w:space="0"/>
              <w:left w:val="single" w:color="auto" w:sz="6" w:space="0"/>
              <w:bottom w:val="single" w:color="auto" w:sz="6" w:space="0"/>
              <w:right w:val="single" w:color="auto" w:sz="6" w:space="0"/>
            </w:tcBorders>
          </w:tcPr>
          <w:p w14:paraId="715368E3">
            <w:pPr>
              <w:autoSpaceDE w:val="0"/>
              <w:autoSpaceDN w:val="0"/>
              <w:spacing w:line="360" w:lineRule="auto"/>
              <w:rPr>
                <w:rFonts w:cs="仿宋_GB2312" w:asciiTheme="minorEastAsia" w:hAnsiTheme="minorEastAsia" w:eastAsiaTheme="minorEastAsia"/>
                <w:color w:val="auto"/>
                <w:sz w:val="21"/>
                <w:szCs w:val="21"/>
                <w:highlight w:val="none"/>
              </w:rPr>
            </w:pPr>
          </w:p>
        </w:tc>
        <w:tc>
          <w:tcPr>
            <w:tcW w:w="1496" w:type="dxa"/>
            <w:tcBorders>
              <w:top w:val="single" w:color="auto" w:sz="6" w:space="0"/>
              <w:left w:val="single" w:color="auto" w:sz="6" w:space="0"/>
              <w:bottom w:val="single" w:color="auto" w:sz="6" w:space="0"/>
              <w:right w:val="single" w:color="auto" w:sz="6" w:space="0"/>
            </w:tcBorders>
          </w:tcPr>
          <w:p w14:paraId="0376F15F">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tcPr>
          <w:p w14:paraId="16F5FF78">
            <w:pPr>
              <w:autoSpaceDE w:val="0"/>
              <w:autoSpaceDN w:val="0"/>
              <w:spacing w:line="360" w:lineRule="auto"/>
              <w:rPr>
                <w:rFonts w:cs="仿宋_GB2312" w:asciiTheme="minorEastAsia" w:hAnsiTheme="minorEastAsia" w:eastAsiaTheme="minorEastAsia"/>
                <w:color w:val="auto"/>
                <w:sz w:val="21"/>
                <w:szCs w:val="21"/>
                <w:highlight w:val="none"/>
              </w:rPr>
            </w:pPr>
          </w:p>
        </w:tc>
        <w:tc>
          <w:tcPr>
            <w:tcW w:w="1273" w:type="dxa"/>
            <w:tcBorders>
              <w:top w:val="single" w:color="auto" w:sz="6" w:space="0"/>
              <w:left w:val="single" w:color="auto" w:sz="6" w:space="0"/>
              <w:bottom w:val="single" w:color="auto" w:sz="6" w:space="0"/>
              <w:right w:val="single" w:color="auto" w:sz="6" w:space="0"/>
            </w:tcBorders>
          </w:tcPr>
          <w:p w14:paraId="77DE6468">
            <w:pPr>
              <w:autoSpaceDE w:val="0"/>
              <w:autoSpaceDN w:val="0"/>
              <w:spacing w:line="360" w:lineRule="auto"/>
              <w:rPr>
                <w:rFonts w:cs="仿宋_GB2312" w:asciiTheme="minorEastAsia" w:hAnsiTheme="minorEastAsia" w:eastAsiaTheme="minorEastAsia"/>
                <w:color w:val="auto"/>
                <w:sz w:val="21"/>
                <w:szCs w:val="21"/>
                <w:highlight w:val="none"/>
              </w:rPr>
            </w:pPr>
          </w:p>
        </w:tc>
        <w:tc>
          <w:tcPr>
            <w:tcW w:w="1673" w:type="dxa"/>
            <w:tcBorders>
              <w:top w:val="single" w:color="auto" w:sz="6" w:space="0"/>
              <w:left w:val="single" w:color="auto" w:sz="6" w:space="0"/>
              <w:bottom w:val="single" w:color="auto" w:sz="6" w:space="0"/>
              <w:right w:val="single" w:color="auto" w:sz="6" w:space="0"/>
            </w:tcBorders>
          </w:tcPr>
          <w:p w14:paraId="0CD761FA">
            <w:pPr>
              <w:autoSpaceDE w:val="0"/>
              <w:autoSpaceDN w:val="0"/>
              <w:spacing w:line="360" w:lineRule="auto"/>
              <w:rPr>
                <w:rFonts w:cs="仿宋_GB2312" w:asciiTheme="minorEastAsia" w:hAnsiTheme="minorEastAsia" w:eastAsiaTheme="minorEastAsia"/>
                <w:color w:val="auto"/>
                <w:sz w:val="21"/>
                <w:szCs w:val="21"/>
                <w:highlight w:val="none"/>
              </w:rPr>
            </w:pPr>
          </w:p>
        </w:tc>
        <w:tc>
          <w:tcPr>
            <w:tcW w:w="1120" w:type="dxa"/>
            <w:tcBorders>
              <w:top w:val="single" w:color="auto" w:sz="6" w:space="0"/>
              <w:left w:val="single" w:color="auto" w:sz="6" w:space="0"/>
              <w:bottom w:val="single" w:color="auto" w:sz="6" w:space="0"/>
              <w:right w:val="single" w:color="auto" w:sz="6" w:space="0"/>
            </w:tcBorders>
          </w:tcPr>
          <w:p w14:paraId="1C76904C">
            <w:pPr>
              <w:autoSpaceDE w:val="0"/>
              <w:autoSpaceDN w:val="0"/>
              <w:spacing w:line="360" w:lineRule="auto"/>
              <w:rPr>
                <w:rFonts w:cs="仿宋_GB2312" w:asciiTheme="minorEastAsia" w:hAnsiTheme="minorEastAsia" w:eastAsiaTheme="minorEastAsia"/>
                <w:color w:val="auto"/>
                <w:sz w:val="21"/>
                <w:szCs w:val="21"/>
                <w:highlight w:val="none"/>
              </w:rPr>
            </w:pPr>
          </w:p>
        </w:tc>
      </w:tr>
    </w:tbl>
    <w:p w14:paraId="2A3A04F2">
      <w:pPr>
        <w:pStyle w:val="15"/>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color w:val="auto"/>
          <w:sz w:val="21"/>
          <w:szCs w:val="21"/>
          <w:highlight w:val="none"/>
        </w:rPr>
      </w:pPr>
    </w:p>
    <w:p w14:paraId="10E64A9D">
      <w:pPr>
        <w:pStyle w:val="15"/>
        <w:keepNext w:val="0"/>
        <w:keepLines w:val="0"/>
        <w:pageBreakBefore w:val="0"/>
        <w:widowControl w:val="0"/>
        <w:kinsoku/>
        <w:wordWrap/>
        <w:overflowPunct/>
        <w:topLinePunct w:val="0"/>
        <w:autoSpaceDE/>
        <w:autoSpaceDN/>
        <w:bidi w:val="0"/>
        <w:adjustRightInd/>
        <w:snapToGrid/>
        <w:spacing w:line="300" w:lineRule="exact"/>
        <w:ind w:firstLine="422" w:firstLineChars="200"/>
        <w:jc w:val="left"/>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b/>
          <w:color w:val="auto"/>
          <w:sz w:val="21"/>
          <w:szCs w:val="21"/>
          <w:highlight w:val="none"/>
        </w:rPr>
        <w:t>注：供应商可按上述的格式自行编制，须随表提交相应的合同复印件和用户单位验收证明并注明所在文件页码。</w:t>
      </w:r>
    </w:p>
    <w:p w14:paraId="3EE0FE5F">
      <w:pPr>
        <w:keepNext w:val="0"/>
        <w:keepLines w:val="0"/>
        <w:pageBreakBefore w:val="0"/>
        <w:widowControl w:val="0"/>
        <w:kinsoku/>
        <w:wordWrap/>
        <w:overflowPunct/>
        <w:topLinePunct w:val="0"/>
        <w:autoSpaceDE w:val="0"/>
        <w:autoSpaceDN w:val="0"/>
        <w:bidi w:val="0"/>
        <w:adjustRightInd/>
        <w:snapToGrid/>
        <w:spacing w:line="320" w:lineRule="exact"/>
        <w:ind w:firstLine="5670" w:firstLineChars="2700"/>
        <w:textAlignment w:val="auto"/>
        <w:rPr>
          <w:rFonts w:hint="eastAsia" w:cs="仿宋_GB2312" w:asciiTheme="minorEastAsia" w:hAnsiTheme="minorEastAsia" w:eastAsiaTheme="minorEastAsia"/>
          <w:color w:val="auto"/>
          <w:kern w:val="0"/>
          <w:sz w:val="21"/>
          <w:szCs w:val="21"/>
          <w:highlight w:val="none"/>
          <w:lang w:val="zh-CN"/>
        </w:rPr>
      </w:pPr>
    </w:p>
    <w:p w14:paraId="78CED55D">
      <w:pPr>
        <w:keepNext w:val="0"/>
        <w:keepLines w:val="0"/>
        <w:pageBreakBefore w:val="0"/>
        <w:widowControl w:val="0"/>
        <w:kinsoku/>
        <w:wordWrap/>
        <w:overflowPunct/>
        <w:topLinePunct w:val="0"/>
        <w:autoSpaceDE w:val="0"/>
        <w:autoSpaceDN w:val="0"/>
        <w:bidi w:val="0"/>
        <w:adjustRightInd/>
        <w:snapToGrid/>
        <w:spacing w:line="320" w:lineRule="exact"/>
        <w:ind w:firstLine="5670" w:firstLineChars="2700"/>
        <w:textAlignment w:val="auto"/>
        <w:rPr>
          <w:rFonts w:cs="仿宋_GB2312" w:asciiTheme="minorEastAsia" w:hAnsiTheme="minorEastAsia" w:eastAsiaTheme="minorEastAsia"/>
          <w:color w:val="auto"/>
          <w:kern w:val="0"/>
          <w:sz w:val="21"/>
          <w:szCs w:val="21"/>
          <w:highlight w:val="none"/>
        </w:rPr>
      </w:pPr>
      <w:r>
        <w:rPr>
          <w:rFonts w:hint="eastAsia" w:cs="仿宋_GB2312" w:asciiTheme="minorEastAsia" w:hAnsiTheme="minorEastAsia" w:eastAsiaTheme="minorEastAsia"/>
          <w:color w:val="auto"/>
          <w:kern w:val="0"/>
          <w:sz w:val="21"/>
          <w:szCs w:val="21"/>
          <w:highlight w:val="none"/>
          <w:lang w:val="zh-CN"/>
        </w:rPr>
        <w:t>磋商供应商名称(公章)：</w:t>
      </w:r>
      <w:r>
        <w:rPr>
          <w:rFonts w:hint="eastAsia" w:cs="仿宋_GB2312" w:asciiTheme="minorEastAsia" w:hAnsiTheme="minorEastAsia" w:eastAsiaTheme="minorEastAsia"/>
          <w:color w:val="auto"/>
          <w:kern w:val="0"/>
          <w:sz w:val="21"/>
          <w:szCs w:val="21"/>
          <w:highlight w:val="none"/>
        </w:rPr>
        <w:t xml:space="preserve">                       </w:t>
      </w:r>
    </w:p>
    <w:p w14:paraId="5FB0CD28">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r>
        <w:rPr>
          <w:rFonts w:hint="eastAsia" w:cs="仿宋_GB2312" w:asciiTheme="minorEastAsia" w:hAnsiTheme="minorEastAsia" w:eastAsiaTheme="minorEastAsia"/>
          <w:color w:val="auto"/>
          <w:kern w:val="0"/>
          <w:sz w:val="21"/>
          <w:szCs w:val="21"/>
          <w:highlight w:val="none"/>
        </w:rPr>
        <w:t xml:space="preserve">                                      </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日</w:t>
      </w:r>
      <w:r>
        <w:rPr>
          <w:rFonts w:hint="eastAsia" w:cs="仿宋_GB2312" w:asciiTheme="minorEastAsia" w:hAnsiTheme="minorEastAsia" w:eastAsiaTheme="minorEastAsia"/>
          <w:color w:val="auto"/>
          <w:kern w:val="0"/>
          <w:sz w:val="21"/>
          <w:szCs w:val="21"/>
          <w:highlight w:val="none"/>
          <w:lang w:val="en-US" w:eastAsia="zh-CN"/>
        </w:rPr>
        <w:t xml:space="preserve">  </w:t>
      </w:r>
      <w:r>
        <w:rPr>
          <w:rFonts w:hint="eastAsia" w:cs="仿宋_GB2312" w:asciiTheme="minorEastAsia" w:hAnsiTheme="minorEastAsia" w:eastAsiaTheme="minorEastAsia"/>
          <w:color w:val="auto"/>
          <w:kern w:val="0"/>
          <w:sz w:val="21"/>
          <w:szCs w:val="21"/>
          <w:highlight w:val="none"/>
        </w:rPr>
        <w:t>期：  年  月   日</w:t>
      </w:r>
    </w:p>
    <w:p w14:paraId="3AE1DF2E">
      <w:pPr>
        <w:pStyle w:val="15"/>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s="仿宋_GB2312" w:asciiTheme="minorEastAsia" w:hAnsiTheme="minorEastAsia" w:eastAsiaTheme="minorEastAsia"/>
          <w:b/>
          <w:bCs/>
          <w:color w:val="auto"/>
          <w:kern w:val="2"/>
          <w:sz w:val="30"/>
          <w:szCs w:val="30"/>
          <w:highlight w:val="none"/>
          <w:lang w:val="en-US" w:eastAsia="zh-CN" w:bidi="ar-SA"/>
        </w:rPr>
      </w:pPr>
    </w:p>
    <w:p w14:paraId="09FDB785">
      <w:pPr>
        <w:pStyle w:val="18"/>
        <w:rPr>
          <w:rFonts w:hint="eastAsia"/>
          <w:color w:val="auto"/>
          <w:highlight w:val="none"/>
          <w:lang w:val="en-US" w:eastAsia="zh-CN"/>
        </w:rPr>
      </w:pPr>
    </w:p>
    <w:p w14:paraId="3271C2D5">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64DBC6F">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7BF2A2FB">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1EF67AA6">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FCBBBFF">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1A79EBFE">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77D8AEA2">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2EC8C95F">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025D9A27">
      <w:pPr>
        <w:pStyle w:val="2"/>
        <w:rPr>
          <w:rFonts w:hint="eastAsia"/>
          <w:color w:val="auto"/>
          <w:highlight w:val="none"/>
          <w:lang w:eastAsia="zh-CN"/>
        </w:rPr>
      </w:pPr>
    </w:p>
    <w:p w14:paraId="74FF9996">
      <w:pPr>
        <w:pStyle w:val="4"/>
        <w:rPr>
          <w:rFonts w:hint="eastAsia"/>
          <w:color w:val="auto"/>
          <w:highlight w:val="none"/>
          <w:lang w:eastAsia="zh-CN"/>
        </w:rPr>
      </w:pPr>
    </w:p>
    <w:p w14:paraId="0EDD90DE">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p>
    <w:p w14:paraId="65C022DA">
      <w:pPr>
        <w:numPr>
          <w:ilvl w:val="0"/>
          <w:numId w:val="0"/>
        </w:numPr>
        <w:spacing w:line="360" w:lineRule="auto"/>
        <w:jc w:val="center"/>
        <w:rPr>
          <w:rFonts w:hint="eastAsia" w:cs="仿宋_GB2312" w:asciiTheme="minorEastAsia" w:hAnsiTheme="minorEastAsia" w:eastAsiaTheme="minorEastAsia"/>
          <w:b/>
          <w:color w:val="auto"/>
          <w:kern w:val="0"/>
          <w:sz w:val="32"/>
          <w:szCs w:val="32"/>
          <w:highlight w:val="none"/>
          <w:lang w:eastAsia="zh-CN"/>
        </w:rPr>
      </w:pPr>
      <w:r>
        <w:rPr>
          <w:rFonts w:hint="eastAsia" w:cs="仿宋_GB2312" w:asciiTheme="minorEastAsia" w:hAnsiTheme="minorEastAsia" w:eastAsiaTheme="minorEastAsia"/>
          <w:b/>
          <w:color w:val="auto"/>
          <w:kern w:val="0"/>
          <w:sz w:val="32"/>
          <w:szCs w:val="32"/>
          <w:highlight w:val="none"/>
          <w:lang w:eastAsia="zh-CN"/>
        </w:rPr>
        <w:t>三、报价文件</w:t>
      </w:r>
    </w:p>
    <w:p w14:paraId="11E77C8E">
      <w:pPr>
        <w:keepNext w:val="0"/>
        <w:keepLines w:val="0"/>
        <w:pageBreakBefore w:val="0"/>
        <w:widowControl w:val="0"/>
        <w:kinsoku/>
        <w:wordWrap/>
        <w:overflowPunct/>
        <w:topLinePunct w:val="0"/>
        <w:autoSpaceDE w:val="0"/>
        <w:autoSpaceDN w:val="0"/>
        <w:bidi w:val="0"/>
        <w:adjustRightInd w:val="0"/>
        <w:spacing w:line="360" w:lineRule="exact"/>
        <w:jc w:val="center"/>
        <w:textAlignment w:val="auto"/>
        <w:rPr>
          <w:rFonts w:hint="eastAsia" w:ascii="宋体" w:hAnsi="宋体" w:eastAsia="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报 价 表</w:t>
      </w:r>
    </w:p>
    <w:p w14:paraId="04292B01">
      <w:pPr>
        <w:keepNext w:val="0"/>
        <w:keepLines w:val="0"/>
        <w:pageBreakBefore w:val="0"/>
        <w:widowControl w:val="0"/>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）、（采购代理机构）</w:t>
      </w:r>
      <w:r>
        <w:rPr>
          <w:rFonts w:hint="eastAsia" w:ascii="宋体" w:hAnsi="宋体" w:eastAsia="宋体" w:cs="宋体"/>
          <w:color w:val="auto"/>
          <w:kern w:val="0"/>
          <w:sz w:val="21"/>
          <w:szCs w:val="21"/>
          <w:highlight w:val="none"/>
          <w:lang w:val="zh-CN"/>
        </w:rPr>
        <w:t>：</w:t>
      </w:r>
    </w:p>
    <w:p w14:paraId="0A692427">
      <w:pPr>
        <w:pStyle w:val="18"/>
        <w:rPr>
          <w:rFonts w:hint="eastAsia"/>
          <w:color w:val="auto"/>
          <w:highlight w:val="none"/>
        </w:rPr>
      </w:pPr>
    </w:p>
    <w:p w14:paraId="50AF8E99">
      <w:pPr>
        <w:keepNext w:val="0"/>
        <w:keepLines w:val="0"/>
        <w:pageBreakBefore w:val="0"/>
        <w:widowControl w:val="0"/>
        <w:kinsoku/>
        <w:wordWrap/>
        <w:overflowPunct/>
        <w:topLinePunct w:val="0"/>
        <w:bidi w:val="0"/>
        <w:adjustRightInd w:val="0"/>
        <w:snapToGrid w:val="0"/>
        <w:spacing w:line="360" w:lineRule="exact"/>
        <w:ind w:firstLine="422" w:firstLineChars="200"/>
        <w:jc w:val="both"/>
        <w:textAlignment w:val="auto"/>
        <w:rPr>
          <w:rFonts w:hint="eastAsia" w:ascii="宋体" w:hAnsi="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按你方磋商文件要求，我们即本响应文件签字方，谨此向你方发出要约如下：如你方接受本响应，我方承诺按照如下报价表的价格完成</w:t>
      </w:r>
      <w:r>
        <w:rPr>
          <w:rFonts w:hint="eastAsia" w:ascii="宋体" w:hAnsi="宋体" w:eastAsia="宋体" w:cs="宋体"/>
          <w:b/>
          <w:bCs/>
          <w:color w:val="auto"/>
          <w:sz w:val="21"/>
          <w:szCs w:val="21"/>
          <w:highlight w:val="none"/>
          <w:u w:val="single"/>
        </w:rPr>
        <w:t>（项目名称、项目编号）</w:t>
      </w:r>
      <w:r>
        <w:rPr>
          <w:rFonts w:hint="eastAsia" w:ascii="宋体" w:hAnsi="宋体" w:cs="宋体"/>
          <w:b/>
          <w:color w:val="auto"/>
          <w:kern w:val="0"/>
          <w:sz w:val="21"/>
          <w:szCs w:val="21"/>
          <w:highlight w:val="none"/>
          <w:lang w:val="zh-CN"/>
        </w:rPr>
        <w:t>的实施。</w:t>
      </w:r>
    </w:p>
    <w:p w14:paraId="36E498B6">
      <w:pPr>
        <w:pStyle w:val="18"/>
        <w:rPr>
          <w:rFonts w:hint="eastAsia"/>
          <w:color w:val="auto"/>
          <w:highlight w:val="none"/>
          <w:lang w:val="zh-CN"/>
        </w:rPr>
      </w:pPr>
    </w:p>
    <w:p w14:paraId="3C056618">
      <w:pPr>
        <w:keepNext w:val="0"/>
        <w:keepLines w:val="0"/>
        <w:pageBreakBefore w:val="0"/>
        <w:widowControl w:val="0"/>
        <w:kinsoku/>
        <w:wordWrap/>
        <w:overflowPunct/>
        <w:topLinePunct w:val="0"/>
        <w:bidi w:val="0"/>
        <w:adjustRightInd w:val="0"/>
        <w:snapToGrid w:val="0"/>
        <w:spacing w:line="360" w:lineRule="exact"/>
        <w:ind w:left="480"/>
        <w:jc w:val="center"/>
        <w:textAlignment w:val="auto"/>
        <w:rPr>
          <w:rFonts w:hint="eastAsia" w:ascii="宋体" w:hAnsi="宋体" w:eastAsia="宋体" w:cs="宋体"/>
          <w:b/>
          <w:color w:val="auto"/>
          <w:kern w:val="0"/>
          <w:sz w:val="21"/>
          <w:szCs w:val="21"/>
          <w:highlight w:val="none"/>
          <w:lang w:val="zh-CN"/>
        </w:rPr>
      </w:pPr>
      <w:r>
        <w:rPr>
          <w:rFonts w:hint="eastAsia" w:ascii="宋体" w:hAnsi="宋体" w:cs="宋体"/>
          <w:b/>
          <w:color w:val="auto"/>
          <w:kern w:val="0"/>
          <w:sz w:val="21"/>
          <w:szCs w:val="21"/>
          <w:highlight w:val="none"/>
          <w:lang w:val="zh-CN"/>
        </w:rPr>
        <w:t>报价表</w:t>
      </w:r>
      <w:r>
        <w:rPr>
          <w:rFonts w:hint="eastAsia" w:ascii="宋体" w:hAnsi="宋体" w:eastAsia="宋体" w:cs="宋体"/>
          <w:b/>
          <w:color w:val="auto"/>
          <w:kern w:val="0"/>
          <w:sz w:val="21"/>
          <w:szCs w:val="21"/>
          <w:highlight w:val="none"/>
          <w:lang w:val="zh-CN"/>
        </w:rPr>
        <w:t>(单位均为人民币元)</w:t>
      </w:r>
    </w:p>
    <w:tbl>
      <w:tblPr>
        <w:tblStyle w:val="29"/>
        <w:tblW w:w="9459" w:type="dxa"/>
        <w:tblInd w:w="2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475"/>
        <w:gridCol w:w="715"/>
        <w:gridCol w:w="704"/>
        <w:gridCol w:w="1546"/>
        <w:gridCol w:w="2368"/>
      </w:tblGrid>
      <w:tr w14:paraId="7540D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651" w:type="dxa"/>
            <w:vAlign w:val="center"/>
          </w:tcPr>
          <w:p w14:paraId="5BC069C7">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序号</w:t>
            </w:r>
          </w:p>
        </w:tc>
        <w:tc>
          <w:tcPr>
            <w:tcW w:w="3475" w:type="dxa"/>
            <w:vAlign w:val="center"/>
          </w:tcPr>
          <w:p w14:paraId="3E0E5822">
            <w:pPr>
              <w:keepNext w:val="0"/>
              <w:keepLines w:val="0"/>
              <w:pageBreakBefore w:val="0"/>
              <w:widowControl w:val="0"/>
              <w:kinsoku/>
              <w:wordWrap/>
              <w:overflowPunct/>
              <w:topLinePunct w:val="0"/>
              <w:autoSpaceDE/>
              <w:autoSpaceDN/>
              <w:bidi w:val="0"/>
              <w:spacing w:line="400" w:lineRule="exact"/>
              <w:ind w:firstLine="422" w:firstLineChars="200"/>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服务名称</w:t>
            </w:r>
          </w:p>
        </w:tc>
        <w:tc>
          <w:tcPr>
            <w:tcW w:w="715" w:type="dxa"/>
            <w:vAlign w:val="center"/>
          </w:tcPr>
          <w:p w14:paraId="795D2F0E">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数量</w:t>
            </w:r>
          </w:p>
        </w:tc>
        <w:tc>
          <w:tcPr>
            <w:tcW w:w="704" w:type="dxa"/>
            <w:vAlign w:val="center"/>
          </w:tcPr>
          <w:p w14:paraId="013EF37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单位</w:t>
            </w:r>
          </w:p>
        </w:tc>
        <w:tc>
          <w:tcPr>
            <w:tcW w:w="1546" w:type="dxa"/>
            <w:vAlign w:val="center"/>
          </w:tcPr>
          <w:p w14:paraId="2DCF62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单价金额  (元/年）</w:t>
            </w:r>
          </w:p>
        </w:tc>
        <w:tc>
          <w:tcPr>
            <w:tcW w:w="2368" w:type="dxa"/>
            <w:vAlign w:val="center"/>
          </w:tcPr>
          <w:p w14:paraId="1A6C57C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bCs/>
                <w:strike w:val="0"/>
                <w:dstrike w:val="0"/>
                <w:color w:val="auto"/>
                <w:szCs w:val="21"/>
                <w:highlight w:val="none"/>
                <w:lang w:val="en-US" w:eastAsia="zh-CN"/>
              </w:rPr>
            </w:pPr>
            <w:r>
              <w:rPr>
                <w:rFonts w:hint="eastAsia" w:ascii="宋体" w:hAnsi="宋体" w:cs="宋体"/>
                <w:b/>
                <w:bCs/>
                <w:strike w:val="0"/>
                <w:dstrike w:val="0"/>
                <w:color w:val="auto"/>
                <w:szCs w:val="21"/>
                <w:highlight w:val="none"/>
                <w:lang w:val="en-US" w:eastAsia="zh-CN"/>
              </w:rPr>
              <w:t>合计金额（元）</w:t>
            </w:r>
          </w:p>
        </w:tc>
      </w:tr>
      <w:tr w14:paraId="74D76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651" w:type="dxa"/>
            <w:vAlign w:val="center"/>
          </w:tcPr>
          <w:p w14:paraId="7977A168">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val="0"/>
                <w:bCs w:val="0"/>
                <w:strike w:val="0"/>
                <w:dstrike w:val="0"/>
                <w:color w:val="auto"/>
                <w:szCs w:val="21"/>
                <w:highlight w:val="none"/>
                <w:lang w:val="en-US" w:eastAsia="zh-CN"/>
              </w:rPr>
            </w:pPr>
            <w:r>
              <w:rPr>
                <w:rFonts w:hint="eastAsia" w:ascii="宋体" w:hAnsi="宋体" w:cs="宋体"/>
                <w:b w:val="0"/>
                <w:bCs w:val="0"/>
                <w:strike w:val="0"/>
                <w:dstrike w:val="0"/>
                <w:color w:val="auto"/>
                <w:szCs w:val="21"/>
                <w:highlight w:val="none"/>
                <w:lang w:val="en-US" w:eastAsia="zh-CN"/>
              </w:rPr>
              <w:t>1</w:t>
            </w:r>
          </w:p>
        </w:tc>
        <w:tc>
          <w:tcPr>
            <w:tcW w:w="3475" w:type="dxa"/>
            <w:vAlign w:val="center"/>
          </w:tcPr>
          <w:p w14:paraId="1AC91E8D">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b w:val="0"/>
                <w:bCs w:val="0"/>
                <w:strike w:val="0"/>
                <w:dstrike w:val="0"/>
                <w:color w:val="auto"/>
                <w:szCs w:val="21"/>
                <w:highlight w:val="none"/>
              </w:rPr>
            </w:pPr>
            <w:r>
              <w:rPr>
                <w:rFonts w:hint="eastAsia" w:ascii="宋体" w:hAnsi="宋体" w:cs="宋体"/>
                <w:b w:val="0"/>
                <w:bCs w:val="0"/>
                <w:strike w:val="0"/>
                <w:dstrike w:val="0"/>
                <w:color w:val="auto"/>
                <w:szCs w:val="21"/>
                <w:highlight w:val="none"/>
                <w:lang w:val="en-US" w:eastAsia="zh-CN"/>
              </w:rPr>
              <w:t>北海市</w:t>
            </w:r>
            <w:r>
              <w:rPr>
                <w:rFonts w:hint="eastAsia" w:ascii="宋体" w:hAnsi="宋体" w:cs="宋体"/>
                <w:b w:val="0"/>
                <w:bCs w:val="0"/>
                <w:strike w:val="0"/>
                <w:dstrike w:val="0"/>
                <w:color w:val="auto"/>
                <w:szCs w:val="21"/>
                <w:highlight w:val="none"/>
              </w:rPr>
              <w:t>就业驿站运行管理服务</w:t>
            </w:r>
          </w:p>
        </w:tc>
        <w:tc>
          <w:tcPr>
            <w:tcW w:w="715" w:type="dxa"/>
            <w:vAlign w:val="center"/>
          </w:tcPr>
          <w:p w14:paraId="2E5AD4D1">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val="0"/>
                <w:bCs w:val="0"/>
                <w:strike w:val="0"/>
                <w:dstrike w:val="0"/>
                <w:color w:val="auto"/>
                <w:szCs w:val="21"/>
                <w:highlight w:val="none"/>
                <w:lang w:val="en-US" w:eastAsia="zh-CN"/>
              </w:rPr>
            </w:pPr>
            <w:r>
              <w:rPr>
                <w:rFonts w:hint="eastAsia" w:ascii="宋体" w:hAnsi="宋体" w:eastAsia="宋体" w:cs="宋体"/>
                <w:b w:val="0"/>
                <w:bCs w:val="0"/>
                <w:strike w:val="0"/>
                <w:dstrike w:val="0"/>
                <w:color w:val="auto"/>
                <w:szCs w:val="21"/>
                <w:highlight w:val="none"/>
                <w:lang w:val="en-US" w:eastAsia="zh-CN"/>
              </w:rPr>
              <w:t>2</w:t>
            </w:r>
          </w:p>
        </w:tc>
        <w:tc>
          <w:tcPr>
            <w:tcW w:w="704" w:type="dxa"/>
            <w:vAlign w:val="center"/>
          </w:tcPr>
          <w:p w14:paraId="575B9769">
            <w:pPr>
              <w:keepNext w:val="0"/>
              <w:keepLines w:val="0"/>
              <w:pageBreakBefore w:val="0"/>
              <w:widowControl w:val="0"/>
              <w:kinsoku/>
              <w:wordWrap/>
              <w:overflowPunct/>
              <w:topLinePunct w:val="0"/>
              <w:autoSpaceDE/>
              <w:autoSpaceDN/>
              <w:bidi w:val="0"/>
              <w:spacing w:line="400" w:lineRule="exact"/>
              <w:ind w:firstLine="210" w:firstLineChars="100"/>
              <w:jc w:val="both"/>
              <w:textAlignment w:val="auto"/>
              <w:rPr>
                <w:rFonts w:hint="default" w:ascii="宋体" w:hAnsi="宋体" w:cs="宋体"/>
                <w:b w:val="0"/>
                <w:bCs w:val="0"/>
                <w:strike w:val="0"/>
                <w:dstrike w:val="0"/>
                <w:color w:val="auto"/>
                <w:szCs w:val="21"/>
                <w:highlight w:val="none"/>
                <w:lang w:val="en-US" w:eastAsia="zh-CN"/>
              </w:rPr>
            </w:pPr>
            <w:r>
              <w:rPr>
                <w:rFonts w:hint="eastAsia" w:ascii="宋体" w:hAnsi="宋体" w:cs="宋体"/>
                <w:b w:val="0"/>
                <w:bCs w:val="0"/>
                <w:strike w:val="0"/>
                <w:dstrike w:val="0"/>
                <w:color w:val="auto"/>
                <w:szCs w:val="21"/>
                <w:highlight w:val="none"/>
                <w:lang w:val="en-US" w:eastAsia="zh-CN"/>
              </w:rPr>
              <w:t>年</w:t>
            </w:r>
          </w:p>
        </w:tc>
        <w:tc>
          <w:tcPr>
            <w:tcW w:w="1546" w:type="dxa"/>
            <w:vAlign w:val="center"/>
          </w:tcPr>
          <w:p w14:paraId="40F15FA9">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p>
        </w:tc>
        <w:tc>
          <w:tcPr>
            <w:tcW w:w="2368" w:type="dxa"/>
            <w:vAlign w:val="center"/>
          </w:tcPr>
          <w:p w14:paraId="4A4B3947">
            <w:pPr>
              <w:keepNext w:val="0"/>
              <w:keepLines w:val="0"/>
              <w:pageBreakBefore w:val="0"/>
              <w:widowControl w:val="0"/>
              <w:kinsoku/>
              <w:wordWrap/>
              <w:overflowPunct/>
              <w:topLinePunct w:val="0"/>
              <w:autoSpaceDE/>
              <w:autoSpaceDN/>
              <w:bidi w:val="0"/>
              <w:spacing w:line="400" w:lineRule="exact"/>
              <w:jc w:val="center"/>
              <w:textAlignment w:val="auto"/>
              <w:rPr>
                <w:rFonts w:hint="default" w:ascii="宋体" w:hAnsi="宋体" w:eastAsia="宋体" w:cs="宋体"/>
                <w:b/>
                <w:bCs/>
                <w:strike w:val="0"/>
                <w:dstrike w:val="0"/>
                <w:color w:val="auto"/>
                <w:szCs w:val="21"/>
                <w:highlight w:val="none"/>
                <w:lang w:val="en-US" w:eastAsia="zh-CN"/>
              </w:rPr>
            </w:pPr>
          </w:p>
        </w:tc>
      </w:tr>
      <w:tr w14:paraId="3A6D8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9459" w:type="dxa"/>
            <w:gridSpan w:val="6"/>
            <w:vAlign w:val="center"/>
          </w:tcPr>
          <w:p w14:paraId="37700895">
            <w:pPr>
              <w:keepNext w:val="0"/>
              <w:keepLines w:val="0"/>
              <w:pageBreakBefore w:val="0"/>
              <w:widowControl w:val="0"/>
              <w:kinsoku/>
              <w:wordWrap/>
              <w:overflowPunct/>
              <w:topLinePunct w:val="0"/>
              <w:autoSpaceDE/>
              <w:autoSpaceDN/>
              <w:bidi w:val="0"/>
              <w:spacing w:line="400" w:lineRule="exact"/>
              <w:jc w:val="both"/>
              <w:textAlignment w:val="auto"/>
              <w:rPr>
                <w:rFonts w:hint="default" w:ascii="宋体" w:hAnsi="宋体" w:eastAsia="宋体" w:cs="宋体"/>
                <w:b/>
                <w:bCs/>
                <w:color w:val="auto"/>
                <w:szCs w:val="21"/>
                <w:highlight w:val="none"/>
                <w:lang w:val="en-US" w:eastAsia="zh-CN"/>
              </w:rPr>
            </w:pPr>
            <w:r>
              <w:rPr>
                <w:rFonts w:hint="eastAsia" w:ascii="宋体" w:hAnsi="宋体" w:cs="宋体"/>
                <w:b/>
                <w:bCs/>
                <w:color w:val="auto"/>
                <w:highlight w:val="none"/>
              </w:rPr>
              <w:t>本项目磋商报价总价为</w:t>
            </w:r>
            <w:r>
              <w:rPr>
                <w:rFonts w:hint="eastAsia" w:ascii="宋体" w:hAnsi="宋体" w:cs="宋体"/>
                <w:b/>
                <w:bCs/>
                <w:color w:val="auto"/>
                <w:szCs w:val="21"/>
                <w:highlight w:val="none"/>
              </w:rPr>
              <w:t>：</w:t>
            </w:r>
            <w:r>
              <w:rPr>
                <w:rFonts w:hint="eastAsia" w:ascii="宋体" w:hAnsi="宋体" w:cs="宋体"/>
                <w:color w:val="auto"/>
                <w:szCs w:val="21"/>
                <w:highlight w:val="none"/>
              </w:rPr>
              <w:t>人民币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tc>
      </w:tr>
    </w:tbl>
    <w:p w14:paraId="4F3E4235">
      <w:pPr>
        <w:keepNext/>
        <w:keepLines/>
        <w:pageBreakBefore w:val="0"/>
        <w:widowControl/>
        <w:numPr>
          <w:ilvl w:val="0"/>
          <w:numId w:val="0"/>
        </w:numPr>
        <w:kinsoku/>
        <w:wordWrap/>
        <w:overflowPunct/>
        <w:topLinePunct w:val="0"/>
        <w:autoSpaceDE/>
        <w:autoSpaceDN/>
        <w:bidi w:val="0"/>
        <w:adjustRightInd/>
        <w:snapToGrid/>
        <w:spacing w:line="320" w:lineRule="exact"/>
        <w:textAlignment w:val="auto"/>
        <w:rPr>
          <w:color w:val="auto"/>
          <w:highlight w:val="none"/>
        </w:rPr>
      </w:pPr>
      <w:r>
        <w:rPr>
          <w:rFonts w:hint="eastAsia" w:ascii="宋体" w:hAnsi="宋体"/>
          <w:bCs/>
          <w:color w:val="auto"/>
          <w:highlight w:val="none"/>
          <w:lang w:eastAsia="zh-CN"/>
        </w:rPr>
        <w:t>注：</w:t>
      </w:r>
      <w:r>
        <w:rPr>
          <w:rFonts w:hint="eastAsia" w:ascii="宋体" w:hAnsi="宋体"/>
          <w:bCs/>
          <w:color w:val="auto"/>
          <w:highlight w:val="none"/>
          <w:lang w:val="en-US" w:eastAsia="zh-CN"/>
        </w:rPr>
        <w:t>1.</w:t>
      </w:r>
      <w:r>
        <w:rPr>
          <w:rFonts w:hint="eastAsia" w:ascii="宋体" w:hAnsi="宋体"/>
          <w:bCs/>
          <w:color w:val="auto"/>
          <w:highlight w:val="none"/>
        </w:rPr>
        <w:t>报价包括内容见第</w:t>
      </w:r>
      <w:r>
        <w:rPr>
          <w:rFonts w:hint="eastAsia" w:ascii="宋体" w:hAnsi="宋体"/>
          <w:bCs/>
          <w:color w:val="auto"/>
          <w:highlight w:val="none"/>
          <w:lang w:eastAsia="zh-CN"/>
        </w:rPr>
        <w:t>四部分</w:t>
      </w:r>
      <w:r>
        <w:rPr>
          <w:rFonts w:hint="eastAsia" w:ascii="宋体" w:hAnsi="宋体"/>
          <w:bCs/>
          <w:color w:val="auto"/>
          <w:szCs w:val="21"/>
          <w:highlight w:val="none"/>
        </w:rPr>
        <w:t xml:space="preserve"> “采购需求”中的相关要求</w:t>
      </w:r>
      <w:r>
        <w:rPr>
          <w:rFonts w:hint="eastAsia" w:ascii="宋体" w:hAnsi="宋体"/>
          <w:color w:val="auto"/>
          <w:szCs w:val="21"/>
          <w:highlight w:val="none"/>
        </w:rPr>
        <w:t>。</w:t>
      </w:r>
    </w:p>
    <w:p w14:paraId="2070139F">
      <w:pPr>
        <w:pStyle w:val="15"/>
        <w:pageBreakBefore w:val="0"/>
        <w:kinsoku/>
        <w:wordWrap/>
        <w:overflowPunct/>
        <w:topLinePunct w:val="0"/>
        <w:autoSpaceDE/>
        <w:autoSpaceDN/>
        <w:bidi w:val="0"/>
        <w:adjustRightInd/>
        <w:snapToGrid/>
        <w:spacing w:line="320" w:lineRule="exact"/>
        <w:ind w:firstLine="422" w:firstLineChars="200"/>
        <w:textAlignment w:val="auto"/>
        <w:rPr>
          <w:rFonts w:hint="eastAsia" w:ascii="宋体" w:hAnsi="宋体" w:eastAsia="宋体" w:cs="宋体"/>
          <w:b/>
          <w:bCs w:val="0"/>
          <w:color w:val="auto"/>
          <w:kern w:val="2"/>
          <w:sz w:val="21"/>
          <w:szCs w:val="24"/>
          <w:highlight w:val="none"/>
          <w:lang w:val="en-US" w:eastAsia="zh-CN" w:bidi="ar-SA"/>
        </w:rPr>
      </w:pPr>
      <w:r>
        <w:rPr>
          <w:rFonts w:hint="eastAsia" w:ascii="宋体" w:hAnsi="宋体" w:cs="宋体"/>
          <w:b/>
          <w:bCs w:val="0"/>
          <w:color w:val="auto"/>
          <w:kern w:val="2"/>
          <w:sz w:val="21"/>
          <w:szCs w:val="24"/>
          <w:highlight w:val="none"/>
          <w:lang w:val="en-US" w:eastAsia="zh-CN" w:bidi="ar-SA"/>
        </w:rPr>
        <w:t>2</w:t>
      </w:r>
      <w:r>
        <w:rPr>
          <w:rFonts w:hint="eastAsia" w:ascii="宋体" w:hAnsi="宋体" w:eastAsia="宋体" w:cs="宋体"/>
          <w:b/>
          <w:bCs w:val="0"/>
          <w:color w:val="auto"/>
          <w:kern w:val="2"/>
          <w:sz w:val="21"/>
          <w:szCs w:val="24"/>
          <w:highlight w:val="none"/>
          <w:lang w:val="en-US" w:eastAsia="zh-CN" w:bidi="ar-SA"/>
        </w:rPr>
        <w:t>.磋商过程中，</w:t>
      </w:r>
      <w:r>
        <w:rPr>
          <w:rFonts w:hint="eastAsia" w:hAnsi="宋体" w:cs="宋体"/>
          <w:b/>
          <w:bCs w:val="0"/>
          <w:color w:val="auto"/>
          <w:kern w:val="2"/>
          <w:sz w:val="21"/>
          <w:szCs w:val="24"/>
          <w:highlight w:val="none"/>
          <w:lang w:val="en-US" w:eastAsia="zh-CN" w:bidi="ar-SA"/>
        </w:rPr>
        <w:t>多轮</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（包括最终报价）</w:t>
      </w:r>
      <w:r>
        <w:rPr>
          <w:rFonts w:hint="eastAsia" w:ascii="宋体" w:hAnsi="宋体" w:eastAsia="宋体" w:cs="宋体"/>
          <w:b/>
          <w:bCs w:val="0"/>
          <w:color w:val="auto"/>
          <w:kern w:val="2"/>
          <w:sz w:val="21"/>
          <w:szCs w:val="24"/>
          <w:highlight w:val="none"/>
          <w:lang w:val="en-US" w:eastAsia="zh-CN" w:bidi="ar-SA"/>
        </w:rPr>
        <w:t>均以上述</w:t>
      </w:r>
      <w:r>
        <w:rPr>
          <w:rFonts w:hint="eastAsia" w:ascii="宋体" w:hAnsi="宋体" w:eastAsia="宋体" w:cs="宋体"/>
          <w:b/>
          <w:bCs w:val="0"/>
          <w:color w:val="auto"/>
          <w:kern w:val="2"/>
          <w:sz w:val="21"/>
          <w:szCs w:val="24"/>
          <w:highlight w:val="none"/>
          <w:u w:val="single"/>
          <w:lang w:val="en-US" w:eastAsia="zh-CN" w:bidi="ar-SA"/>
        </w:rPr>
        <w:t>报价表</w:t>
      </w:r>
      <w:r>
        <w:rPr>
          <w:rFonts w:hint="eastAsia" w:ascii="宋体" w:hAnsi="宋体" w:eastAsia="宋体" w:cs="宋体"/>
          <w:b/>
          <w:bCs w:val="0"/>
          <w:color w:val="auto"/>
          <w:kern w:val="2"/>
          <w:sz w:val="21"/>
          <w:szCs w:val="24"/>
          <w:highlight w:val="none"/>
          <w:lang w:val="en-US" w:eastAsia="zh-CN" w:bidi="ar-SA"/>
        </w:rPr>
        <w:t>的</w:t>
      </w:r>
      <w:r>
        <w:rPr>
          <w:rFonts w:hint="eastAsia" w:ascii="宋体" w:hAnsi="宋体" w:cs="宋体"/>
          <w:b/>
          <w:bCs w:val="0"/>
          <w:color w:val="auto"/>
          <w:kern w:val="2"/>
          <w:sz w:val="21"/>
          <w:szCs w:val="24"/>
          <w:highlight w:val="none"/>
          <w:lang w:val="en-US" w:eastAsia="zh-CN" w:bidi="ar-SA"/>
        </w:rPr>
        <w:t>格式</w:t>
      </w:r>
      <w:r>
        <w:rPr>
          <w:rFonts w:hint="eastAsia" w:ascii="宋体" w:hAnsi="宋体" w:eastAsia="宋体" w:cs="宋体"/>
          <w:b/>
          <w:bCs w:val="0"/>
          <w:color w:val="auto"/>
          <w:kern w:val="2"/>
          <w:sz w:val="21"/>
          <w:szCs w:val="24"/>
          <w:highlight w:val="none"/>
          <w:lang w:val="en-US" w:eastAsia="zh-CN" w:bidi="ar-SA"/>
        </w:rPr>
        <w:t>报价；网上在线报价时，</w:t>
      </w:r>
      <w:r>
        <w:rPr>
          <w:rFonts w:hint="eastAsia" w:ascii="宋体" w:hAnsi="宋体" w:eastAsia="宋体" w:cs="宋体"/>
          <w:b/>
          <w:bCs w:val="0"/>
          <w:color w:val="auto"/>
          <w:kern w:val="2"/>
          <w:sz w:val="21"/>
          <w:szCs w:val="24"/>
          <w:highlight w:val="none"/>
          <w:u w:val="single"/>
          <w:lang w:val="en-US" w:eastAsia="zh-CN" w:bidi="ar-SA"/>
        </w:rPr>
        <w:t>报价表必须以附件的形式上传，否则出现任何问题后果自负</w:t>
      </w:r>
      <w:r>
        <w:rPr>
          <w:rFonts w:hint="eastAsia" w:ascii="宋体" w:hAnsi="宋体" w:eastAsia="宋体" w:cs="宋体"/>
          <w:b/>
          <w:bCs w:val="0"/>
          <w:color w:val="auto"/>
          <w:kern w:val="2"/>
          <w:sz w:val="21"/>
          <w:szCs w:val="24"/>
          <w:highlight w:val="none"/>
          <w:lang w:val="en-US" w:eastAsia="zh-CN" w:bidi="ar-SA"/>
        </w:rPr>
        <w:t>。</w:t>
      </w:r>
      <w:r>
        <w:rPr>
          <w:rFonts w:hint="eastAsia" w:ascii="宋体" w:hAnsi="宋体" w:cs="宋体"/>
          <w:b/>
          <w:bCs w:val="0"/>
          <w:color w:val="auto"/>
          <w:kern w:val="2"/>
          <w:sz w:val="21"/>
          <w:szCs w:val="24"/>
          <w:highlight w:val="none"/>
          <w:lang w:val="en-US" w:eastAsia="zh-CN" w:bidi="ar-SA"/>
        </w:rPr>
        <w:t>线上</w:t>
      </w:r>
      <w:r>
        <w:rPr>
          <w:rFonts w:hint="eastAsia" w:ascii="宋体" w:hAnsi="宋体" w:eastAsia="宋体" w:cs="宋体"/>
          <w:b/>
          <w:bCs w:val="0"/>
          <w:color w:val="auto"/>
          <w:kern w:val="2"/>
          <w:sz w:val="21"/>
          <w:szCs w:val="24"/>
          <w:highlight w:val="none"/>
          <w:lang w:val="en-US" w:eastAsia="zh-CN" w:bidi="ar-SA"/>
        </w:rPr>
        <w:t>报价</w:t>
      </w:r>
      <w:r>
        <w:rPr>
          <w:rFonts w:hint="eastAsia" w:ascii="宋体" w:hAnsi="宋体" w:cs="宋体"/>
          <w:b/>
          <w:bCs w:val="0"/>
          <w:color w:val="auto"/>
          <w:kern w:val="2"/>
          <w:sz w:val="21"/>
          <w:szCs w:val="24"/>
          <w:highlight w:val="none"/>
          <w:lang w:val="en-US" w:eastAsia="zh-CN" w:bidi="ar-SA"/>
        </w:rPr>
        <w:t>上传</w:t>
      </w:r>
      <w:r>
        <w:rPr>
          <w:rFonts w:hint="eastAsia" w:ascii="宋体" w:hAnsi="宋体" w:eastAsia="宋体" w:cs="宋体"/>
          <w:b/>
          <w:bCs w:val="0"/>
          <w:color w:val="auto"/>
          <w:kern w:val="2"/>
          <w:sz w:val="21"/>
          <w:szCs w:val="24"/>
          <w:highlight w:val="none"/>
          <w:lang w:val="en-US" w:eastAsia="zh-CN" w:bidi="ar-SA"/>
        </w:rPr>
        <w:t>时间最多为30分钟，</w:t>
      </w:r>
      <w:r>
        <w:rPr>
          <w:rFonts w:hint="eastAsia" w:ascii="宋体" w:hAnsi="宋体" w:eastAsia="宋体" w:cs="宋体"/>
          <w:b/>
          <w:bCs w:val="0"/>
          <w:color w:val="auto"/>
          <w:kern w:val="2"/>
          <w:sz w:val="21"/>
          <w:szCs w:val="24"/>
          <w:highlight w:val="none"/>
          <w:u w:val="single"/>
          <w:lang w:val="en-US" w:eastAsia="zh-CN" w:bidi="ar-SA"/>
        </w:rPr>
        <w:t>请各供应商提前做好相应的报价表，以免耽误报价</w:t>
      </w:r>
      <w:r>
        <w:rPr>
          <w:rFonts w:hint="eastAsia" w:ascii="宋体" w:hAnsi="宋体" w:eastAsia="宋体" w:cs="宋体"/>
          <w:b/>
          <w:bCs w:val="0"/>
          <w:color w:val="auto"/>
          <w:kern w:val="2"/>
          <w:sz w:val="21"/>
          <w:szCs w:val="24"/>
          <w:highlight w:val="none"/>
          <w:lang w:val="en-US" w:eastAsia="zh-CN" w:bidi="ar-SA"/>
        </w:rPr>
        <w:t>。</w:t>
      </w:r>
    </w:p>
    <w:p w14:paraId="07C83B82">
      <w:pPr>
        <w:pStyle w:val="15"/>
        <w:pageBreakBefore w:val="0"/>
        <w:kinsoku/>
        <w:wordWrap/>
        <w:overflowPunct/>
        <w:topLinePunct w:val="0"/>
        <w:autoSpaceDE/>
        <w:autoSpaceDN/>
        <w:bidi w:val="0"/>
        <w:adjustRightInd/>
        <w:snapToGrid/>
        <w:spacing w:line="320" w:lineRule="exact"/>
        <w:ind w:firstLine="420" w:firstLineChars="200"/>
        <w:textAlignment w:val="auto"/>
        <w:rPr>
          <w:rFonts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.最终报价</w:t>
      </w:r>
      <w:r>
        <w:rPr>
          <w:rFonts w:hint="eastAsia" w:hAnsi="宋体"/>
          <w:bCs/>
          <w:color w:val="auto"/>
          <w:highlight w:val="none"/>
        </w:rPr>
        <w:t>超过</w:t>
      </w:r>
      <w:r>
        <w:rPr>
          <w:rFonts w:hint="eastAsia" w:hAnsi="宋体"/>
          <w:bCs/>
          <w:color w:val="auto"/>
          <w:highlight w:val="none"/>
          <w:lang w:eastAsia="zh-CN"/>
        </w:rPr>
        <w:t>预算单价以及最高限价</w:t>
      </w:r>
      <w:r>
        <w:rPr>
          <w:rFonts w:hint="eastAsia" w:hAnsi="宋体"/>
          <w:bCs/>
          <w:color w:val="auto"/>
          <w:highlight w:val="none"/>
          <w:lang w:val="en-US" w:eastAsia="zh-CN"/>
        </w:rPr>
        <w:t>的</w:t>
      </w:r>
      <w:r>
        <w:rPr>
          <w:rFonts w:hint="eastAsia" w:hAnsi="宋体"/>
          <w:bCs/>
          <w:color w:val="auto"/>
          <w:highlight w:val="none"/>
        </w:rPr>
        <w:t>，</w:t>
      </w:r>
      <w:r>
        <w:rPr>
          <w:rFonts w:hint="eastAsia" w:hAnsi="宋体" w:cs="宋体"/>
          <w:color w:val="auto"/>
          <w:highlight w:val="none"/>
        </w:rPr>
        <w:t>按参加竞争性</w:t>
      </w:r>
      <w:r>
        <w:rPr>
          <w:rFonts w:hint="eastAsia" w:hAnsi="宋体" w:cs="宋体"/>
          <w:color w:val="auto"/>
          <w:highlight w:val="none"/>
          <w:lang w:eastAsia="zh-CN"/>
        </w:rPr>
        <w:t>磋商</w:t>
      </w:r>
      <w:r>
        <w:rPr>
          <w:rFonts w:hint="eastAsia" w:hAnsi="宋体" w:cs="宋体"/>
          <w:color w:val="auto"/>
          <w:highlight w:val="none"/>
        </w:rPr>
        <w:t>采购无效处理。</w:t>
      </w:r>
    </w:p>
    <w:p w14:paraId="77C50CBD">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供应商需按本表格式填写</w:t>
      </w:r>
      <w:r>
        <w:rPr>
          <w:rFonts w:hint="eastAsia" w:ascii="宋体" w:hAnsi="宋体" w:eastAsia="宋体" w:cs="宋体"/>
          <w:b/>
          <w:color w:val="auto"/>
          <w:kern w:val="0"/>
          <w:sz w:val="21"/>
          <w:szCs w:val="21"/>
          <w:highlight w:val="none"/>
          <w:lang w:val="zh-CN"/>
        </w:rPr>
        <w:t>，</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响应文件含有采购人不能接受的附加条件，产生的后果由供应商自负。</w:t>
      </w:r>
    </w:p>
    <w:p w14:paraId="5D920069">
      <w:pPr>
        <w:keepNext w:val="0"/>
        <w:keepLines w:val="0"/>
        <w:pageBreakBefore w:val="0"/>
        <w:widowControl w:val="0"/>
        <w:kinsoku/>
        <w:wordWrap/>
        <w:overflowPunct/>
        <w:topLinePunct w:val="0"/>
        <w:bidi w:val="0"/>
        <w:adjustRightInd w:val="0"/>
        <w:snapToGrid w:val="0"/>
        <w:spacing w:line="360" w:lineRule="exact"/>
        <w:ind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有关本项目实施所涉及的一切费用均计入报价。</w:t>
      </w:r>
      <w:r>
        <w:rPr>
          <w:rFonts w:hint="eastAsia" w:ascii="宋体" w:hAnsi="宋体" w:eastAsia="宋体" w:cs="宋体"/>
          <w:b/>
          <w:color w:val="auto"/>
          <w:kern w:val="0"/>
          <w:sz w:val="21"/>
          <w:szCs w:val="21"/>
          <w:highlight w:val="none"/>
          <w:lang w:val="zh-CN"/>
        </w:rPr>
        <w:t>采购人将以合同形式有偿取得货物或服务，不接受供应商给予的赠品、回扣或者与采购无关的其他商品、服务</w:t>
      </w:r>
      <w:r>
        <w:rPr>
          <w:rFonts w:hint="eastAsia" w:ascii="宋体" w:hAnsi="宋体" w:eastAsia="宋体" w:cs="宋体"/>
          <w:color w:val="auto"/>
          <w:kern w:val="0"/>
          <w:sz w:val="21"/>
          <w:szCs w:val="21"/>
          <w:highlight w:val="none"/>
          <w:lang w:val="zh-CN"/>
        </w:rPr>
        <w:t>，</w:t>
      </w:r>
      <w:r>
        <w:rPr>
          <w:rFonts w:hint="eastAsia" w:ascii="宋体" w:hAnsi="宋体" w:eastAsia="宋体" w:cs="宋体"/>
          <w:b/>
          <w:color w:val="auto"/>
          <w:kern w:val="0"/>
          <w:sz w:val="21"/>
          <w:szCs w:val="21"/>
          <w:highlight w:val="none"/>
          <w:lang w:val="zh-CN"/>
        </w:rPr>
        <w:t>不得出现“0元”“免费赠送”等形式的无偿报价，</w:t>
      </w:r>
      <w:r>
        <w:rPr>
          <w:rFonts w:hint="eastAsia" w:ascii="宋体" w:hAnsi="宋体" w:eastAsia="宋体" w:cs="宋体"/>
          <w:b/>
          <w:color w:val="auto"/>
          <w:kern w:val="0"/>
          <w:sz w:val="21"/>
          <w:szCs w:val="21"/>
          <w:highlight w:val="none"/>
        </w:rPr>
        <w:t>否则视为</w:t>
      </w:r>
      <w:r>
        <w:rPr>
          <w:rFonts w:hint="eastAsia" w:ascii="宋体" w:hAnsi="宋体" w:eastAsia="宋体" w:cs="宋体"/>
          <w:b/>
          <w:color w:val="auto"/>
          <w:sz w:val="21"/>
          <w:szCs w:val="21"/>
          <w:highlight w:val="none"/>
        </w:rPr>
        <w:t>报价文件含有采购人不能接受的附加条件，响应无效</w:t>
      </w:r>
      <w:r>
        <w:rPr>
          <w:rFonts w:hint="eastAsia" w:ascii="宋体" w:hAnsi="宋体" w:eastAsia="宋体" w:cs="宋体"/>
          <w:b/>
          <w:color w:val="auto"/>
          <w:kern w:val="0"/>
          <w:sz w:val="21"/>
          <w:szCs w:val="21"/>
          <w:highlight w:val="none"/>
          <w:lang w:val="zh-CN"/>
        </w:rPr>
        <w:t>；采购内容未包含在</w:t>
      </w:r>
      <w:r>
        <w:rPr>
          <w:rFonts w:hint="eastAsia" w:ascii="宋体" w:hAnsi="宋体" w:cs="宋体"/>
          <w:b/>
          <w:color w:val="auto"/>
          <w:kern w:val="0"/>
          <w:sz w:val="21"/>
          <w:szCs w:val="21"/>
          <w:highlight w:val="none"/>
          <w:lang w:val="zh-CN"/>
        </w:rPr>
        <w:t>上面提供的报价表</w:t>
      </w:r>
      <w:r>
        <w:rPr>
          <w:rFonts w:hint="eastAsia" w:ascii="宋体" w:hAnsi="宋体" w:eastAsia="宋体" w:cs="宋体"/>
          <w:b/>
          <w:color w:val="auto"/>
          <w:kern w:val="0"/>
          <w:sz w:val="21"/>
          <w:szCs w:val="21"/>
          <w:highlight w:val="none"/>
          <w:lang w:val="zh-CN"/>
        </w:rPr>
        <w:t>名称栏中，供应商不能作出合理解释的，</w:t>
      </w:r>
      <w:r>
        <w:rPr>
          <w:rFonts w:hint="eastAsia" w:ascii="宋体" w:hAnsi="宋体" w:eastAsia="宋体" w:cs="宋体"/>
          <w:b/>
          <w:color w:val="auto"/>
          <w:kern w:val="0"/>
          <w:sz w:val="21"/>
          <w:szCs w:val="21"/>
          <w:highlight w:val="none"/>
        </w:rPr>
        <w:t>视为</w:t>
      </w:r>
      <w:r>
        <w:rPr>
          <w:rFonts w:hint="eastAsia" w:ascii="宋体" w:hAnsi="宋体" w:eastAsia="宋体" w:cs="宋体"/>
          <w:b/>
          <w:color w:val="auto"/>
          <w:sz w:val="21"/>
          <w:szCs w:val="21"/>
          <w:highlight w:val="none"/>
        </w:rPr>
        <w:t>响应文件含有采购人不能接受的附加条件的，响应无效。</w:t>
      </w:r>
    </w:p>
    <w:p w14:paraId="746487F5">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color w:val="auto"/>
          <w:kern w:val="0"/>
          <w:sz w:val="21"/>
          <w:szCs w:val="21"/>
          <w:highlight w:val="none"/>
          <w:u w:val="singl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请填写中小企业声明函。注：供应商提供的中小企业声明函内容不实的，属于提供虚假材料谋取中标、成交，依照《中华人民共和国政府采购法》等国家有关规定追究相应责任。</w:t>
      </w:r>
    </w:p>
    <w:p w14:paraId="2B71AB34">
      <w:pPr>
        <w:pStyle w:val="18"/>
        <w:rPr>
          <w:rFonts w:hint="eastAsia"/>
          <w:color w:val="auto"/>
          <w:highlight w:val="none"/>
          <w:lang w:val="zh-CN"/>
        </w:rPr>
      </w:pPr>
    </w:p>
    <w:p w14:paraId="064646D1">
      <w:pPr>
        <w:rPr>
          <w:rFonts w:hint="eastAsia" w:ascii="宋体" w:hAnsi="宋体" w:eastAsia="宋体" w:cs="宋体"/>
          <w:color w:val="auto"/>
          <w:kern w:val="0"/>
          <w:sz w:val="21"/>
          <w:szCs w:val="21"/>
          <w:highlight w:val="none"/>
          <w:lang w:val="zh-CN"/>
        </w:rPr>
      </w:pPr>
    </w:p>
    <w:p w14:paraId="343ABD3E">
      <w:pPr>
        <w:pStyle w:val="18"/>
        <w:rPr>
          <w:rFonts w:hint="eastAsia"/>
          <w:color w:val="auto"/>
          <w:highlight w:val="none"/>
          <w:lang w:val="zh-CN"/>
        </w:rPr>
      </w:pPr>
    </w:p>
    <w:p w14:paraId="51FD9526">
      <w:pPr>
        <w:keepNext w:val="0"/>
        <w:keepLines w:val="0"/>
        <w:pageBreakBefore w:val="0"/>
        <w:widowControl w:val="0"/>
        <w:kinsoku/>
        <w:wordWrap/>
        <w:overflowPunct/>
        <w:topLinePunct w:val="0"/>
        <w:autoSpaceDE w:val="0"/>
        <w:autoSpaceDN w:val="0"/>
        <w:bidi w:val="0"/>
        <w:adjustRightInd w:val="0"/>
        <w:spacing w:line="360" w:lineRule="exact"/>
        <w:ind w:firstLine="3968" w:firstLineChars="189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磋商供应商名称(公章)： </w:t>
      </w:r>
    </w:p>
    <w:p w14:paraId="31AED637">
      <w:pPr>
        <w:keepNext w:val="0"/>
        <w:keepLines w:val="0"/>
        <w:pageBreakBefore w:val="0"/>
        <w:widowControl w:val="0"/>
        <w:kinsoku/>
        <w:wordWrap/>
        <w:overflowPunct/>
        <w:topLinePunct w:val="0"/>
        <w:autoSpaceDE w:val="0"/>
        <w:autoSpaceDN w:val="0"/>
        <w:bidi w:val="0"/>
        <w:adjustRightInd w:val="0"/>
        <w:spacing w:line="360" w:lineRule="exact"/>
        <w:ind w:firstLine="3990" w:firstLineChars="19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法定代表人（负责人）或委托代理人(签名)：              </w:t>
      </w:r>
    </w:p>
    <w:p w14:paraId="1CCCA17E">
      <w:pPr>
        <w:keepNext w:val="0"/>
        <w:keepLines w:val="0"/>
        <w:pageBreakBefore w:val="0"/>
        <w:widowControl w:val="0"/>
        <w:kinsoku/>
        <w:wordWrap/>
        <w:overflowPunct/>
        <w:topLinePunct w:val="0"/>
        <w:bidi w:val="0"/>
        <w:adjustRightInd w:val="0"/>
        <w:spacing w:line="360" w:lineRule="exact"/>
        <w:ind w:firstLine="3990" w:firstLineChars="1900"/>
        <w:textAlignment w:val="auto"/>
        <w:rPr>
          <w:rFonts w:hint="eastAsia" w:ascii="宋体" w:hAnsi="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zh-CN"/>
        </w:rPr>
        <w:t>日</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zh-CN"/>
        </w:rPr>
        <w:t>期</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zh-CN"/>
        </w:rPr>
        <w:t xml:space="preserve">   年   月  </w:t>
      </w:r>
      <w:r>
        <w:rPr>
          <w:rFonts w:hint="eastAsia" w:ascii="宋体" w:hAnsi="宋体" w:cs="宋体"/>
          <w:color w:val="auto"/>
          <w:kern w:val="0"/>
          <w:sz w:val="21"/>
          <w:szCs w:val="21"/>
          <w:highlight w:val="none"/>
          <w:lang w:val="zh-CN" w:eastAsia="zh-CN"/>
        </w:rPr>
        <w:t>日</w:t>
      </w:r>
    </w:p>
    <w:p w14:paraId="12276FB4">
      <w:pPr>
        <w:pStyle w:val="4"/>
        <w:rPr>
          <w:rFonts w:hint="eastAsia"/>
          <w:color w:val="auto"/>
          <w:highlight w:val="none"/>
        </w:rPr>
      </w:pPr>
    </w:p>
    <w:p w14:paraId="1428E24E">
      <w:pPr>
        <w:pStyle w:val="18"/>
        <w:rPr>
          <w:rFonts w:hint="eastAsia" w:cs="仿宋_GB2312" w:asciiTheme="minorEastAsia" w:hAnsiTheme="minorEastAsia" w:eastAsiaTheme="minorEastAsia"/>
          <w:color w:val="auto"/>
          <w:kern w:val="0"/>
          <w:sz w:val="21"/>
          <w:szCs w:val="21"/>
          <w:highlight w:val="none"/>
        </w:rPr>
      </w:pPr>
    </w:p>
    <w:p w14:paraId="5874FCAD">
      <w:pPr>
        <w:widowControl/>
        <w:spacing w:line="360" w:lineRule="auto"/>
        <w:ind w:firstLine="161" w:firstLineChars="50"/>
        <w:jc w:val="center"/>
        <w:rPr>
          <w:rFonts w:hint="eastAsia" w:ascii="宋体" w:hAnsi="宋体" w:eastAsia="宋体" w:cs="宋体"/>
          <w:b/>
          <w:color w:val="auto"/>
          <w:sz w:val="32"/>
          <w:szCs w:val="32"/>
          <w:highlight w:val="none"/>
        </w:rPr>
      </w:pPr>
      <w:bookmarkStart w:id="88" w:name="_Toc465665161"/>
    </w:p>
    <w:p w14:paraId="6A807B54">
      <w:pPr>
        <w:pStyle w:val="10"/>
        <w:rPr>
          <w:rFonts w:hint="eastAsia" w:ascii="宋体" w:hAnsi="宋体" w:eastAsia="宋体" w:cs="宋体"/>
          <w:b/>
          <w:color w:val="auto"/>
          <w:sz w:val="32"/>
          <w:szCs w:val="32"/>
          <w:highlight w:val="none"/>
        </w:rPr>
      </w:pPr>
    </w:p>
    <w:p w14:paraId="103351A3">
      <w:pPr>
        <w:pStyle w:val="11"/>
        <w:rPr>
          <w:rFonts w:hint="eastAsia" w:ascii="宋体" w:hAnsi="宋体" w:eastAsia="宋体" w:cs="宋体"/>
          <w:b/>
          <w:color w:val="auto"/>
          <w:sz w:val="32"/>
          <w:szCs w:val="32"/>
          <w:highlight w:val="none"/>
        </w:rPr>
      </w:pPr>
    </w:p>
    <w:p w14:paraId="56A07EDB">
      <w:pPr>
        <w:pStyle w:val="4"/>
        <w:rPr>
          <w:rFonts w:hint="eastAsia" w:ascii="宋体" w:hAnsi="宋体" w:eastAsia="宋体" w:cs="宋体"/>
          <w:b/>
          <w:color w:val="auto"/>
          <w:sz w:val="32"/>
          <w:szCs w:val="32"/>
          <w:highlight w:val="none"/>
        </w:rPr>
      </w:pPr>
    </w:p>
    <w:p w14:paraId="7A5478C2">
      <w:pPr>
        <w:rPr>
          <w:rFonts w:hint="eastAsia"/>
          <w:color w:val="auto"/>
          <w:highlight w:val="none"/>
        </w:rPr>
      </w:pPr>
    </w:p>
    <w:p w14:paraId="7942B9C4">
      <w:pPr>
        <w:widowControl/>
        <w:spacing w:line="360" w:lineRule="auto"/>
        <w:ind w:firstLine="161" w:firstLineChars="50"/>
        <w:jc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32"/>
          <w:szCs w:val="32"/>
          <w:highlight w:val="none"/>
        </w:rPr>
        <w:t>第八部分</w:t>
      </w:r>
      <w:r>
        <w:rPr>
          <w:rFonts w:hint="eastAsia" w:ascii="宋体" w:hAnsi="宋体" w:eastAsia="宋体" w:cs="宋体"/>
          <w:b/>
          <w:color w:val="auto"/>
          <w:sz w:val="32"/>
          <w:szCs w:val="32"/>
          <w:highlight w:val="none"/>
          <w:lang w:val="en-US" w:eastAsia="zh-CN"/>
        </w:rPr>
        <w:t xml:space="preserve">  附件</w:t>
      </w:r>
    </w:p>
    <w:p w14:paraId="7CAC1616">
      <w:pPr>
        <w:widowControl/>
        <w:adjustRightInd/>
        <w:jc w:val="left"/>
        <w:rPr>
          <w:rFonts w:cs="宋体" w:asciiTheme="minorEastAsia" w:hAnsiTheme="minorEastAsia" w:eastAsiaTheme="minorEastAsia"/>
          <w:b/>
          <w:color w:val="auto"/>
          <w:sz w:val="32"/>
          <w:szCs w:val="32"/>
          <w:highlight w:val="none"/>
        </w:rPr>
      </w:pPr>
    </w:p>
    <w:bookmarkEnd w:id="88"/>
    <w:p w14:paraId="33BE801C">
      <w:pPr>
        <w:autoSpaceDE w:val="0"/>
        <w:autoSpaceDN w:val="0"/>
        <w:jc w:val="center"/>
        <w:rPr>
          <w:rFonts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14:paraId="1898817F">
      <w:pPr>
        <w:autoSpaceDE w:val="0"/>
        <w:autoSpaceDN w:val="0"/>
        <w:jc w:val="center"/>
        <w:rPr>
          <w:rFonts w:asciiTheme="minorEastAsia" w:hAnsiTheme="minorEastAsia" w:eastAsiaTheme="minorEastAsia"/>
          <w:b/>
          <w:bCs/>
          <w:color w:val="auto"/>
          <w:sz w:val="32"/>
          <w:szCs w:val="32"/>
          <w:highlight w:val="none"/>
        </w:rPr>
      </w:pPr>
    </w:p>
    <w:p w14:paraId="15161437">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sz w:val="21"/>
          <w:szCs w:val="21"/>
          <w:highlight w:val="none"/>
        </w:rPr>
        <w:t>（采购人）、（采购代理机构）：</w:t>
      </w:r>
    </w:p>
    <w:p w14:paraId="62DA21D6">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仿宋_GB2312" w:asciiTheme="minorEastAsia" w:hAnsiTheme="minorEastAsia" w:eastAsiaTheme="minorEastAsia"/>
          <w:color w:val="auto"/>
          <w:kern w:val="0"/>
          <w:sz w:val="21"/>
          <w:szCs w:val="21"/>
          <w:highlight w:val="none"/>
          <w:lang w:val="zh-CN"/>
        </w:rPr>
        <w:t>我方</w:t>
      </w:r>
      <w:r>
        <w:rPr>
          <w:rFonts w:hint="eastAsia" w:cs="仿宋_GB2312" w:asciiTheme="minorEastAsia" w:hAnsiTheme="minorEastAsia" w:eastAsiaTheme="minorEastAsia"/>
          <w:color w:val="auto"/>
          <w:kern w:val="0"/>
          <w:sz w:val="21"/>
          <w:szCs w:val="21"/>
          <w:highlight w:val="none"/>
          <w:u w:val="single"/>
          <w:lang w:val="zh-CN"/>
        </w:rPr>
        <w:t xml:space="preserve">                         </w:t>
      </w:r>
      <w:r>
        <w:rPr>
          <w:rFonts w:hint="eastAsia" w:cs="仿宋_GB2312" w:asciiTheme="minorEastAsia" w:hAnsiTheme="minorEastAsia" w:eastAsiaTheme="minorEastAsia"/>
          <w:color w:val="auto"/>
          <w:sz w:val="21"/>
          <w:szCs w:val="21"/>
          <w:highlight w:val="none"/>
        </w:rPr>
        <w:t>(供应商全称)</w:t>
      </w:r>
      <w:r>
        <w:rPr>
          <w:rFonts w:hint="eastAsia" w:asciiTheme="minorEastAsia" w:hAnsiTheme="minorEastAsia" w:eastAsiaTheme="minorEastAsia"/>
          <w:color w:val="auto"/>
          <w:sz w:val="21"/>
          <w:szCs w:val="21"/>
          <w:highlight w:val="none"/>
        </w:rPr>
        <w:t>是中华人民共和国依法登记注册的合法企业，</w:t>
      </w:r>
      <w:r>
        <w:rPr>
          <w:rFonts w:hint="eastAsia" w:cs="宋体" w:asciiTheme="minorEastAsia" w:hAnsiTheme="minorEastAsia" w:eastAsiaTheme="minorEastAsia"/>
          <w:bCs/>
          <w:color w:val="auto"/>
          <w:sz w:val="21"/>
          <w:szCs w:val="21"/>
          <w:highlight w:val="none"/>
        </w:rPr>
        <w:t>在参加</w:t>
      </w:r>
      <w:r>
        <w:rPr>
          <w:rFonts w:hint="eastAsia" w:cs="仿宋_GB2312" w:asciiTheme="minorEastAsia" w:hAnsiTheme="minorEastAsia" w:eastAsiaTheme="minorEastAsia"/>
          <w:color w:val="auto"/>
          <w:sz w:val="21"/>
          <w:szCs w:val="21"/>
          <w:highlight w:val="none"/>
        </w:rPr>
        <w:t>贵方组织的（项目名称）【项目编号：（采购编号）】</w:t>
      </w:r>
      <w:r>
        <w:rPr>
          <w:rFonts w:hint="eastAsia" w:cs="宋体" w:asciiTheme="minorEastAsia" w:hAnsiTheme="minorEastAsia" w:eastAsiaTheme="minorEastAsia"/>
          <w:bCs/>
          <w:color w:val="auto"/>
          <w:sz w:val="21"/>
          <w:szCs w:val="21"/>
          <w:highlight w:val="none"/>
        </w:rPr>
        <w:t>采购活动中作如下说明：</w:t>
      </w:r>
      <w:r>
        <w:rPr>
          <w:rFonts w:hint="eastAsia" w:cs="宋体" w:asciiTheme="minorEastAsia" w:hAnsiTheme="minorEastAsia" w:eastAsiaTheme="minorEastAsia"/>
          <w:color w:val="auto"/>
          <w:sz w:val="21"/>
          <w:szCs w:val="21"/>
          <w:highlight w:val="none"/>
        </w:rPr>
        <w:t>我方所使用的“</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专用章”与法定名称章具有同等的法律效力，对使用“</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 xml:space="preserve">专用章”的行为予以完全承认，并愿意承担相应责任。   </w:t>
      </w:r>
    </w:p>
    <w:p w14:paraId="7CE9FCDB">
      <w:pPr>
        <w:keepNext w:val="0"/>
        <w:keepLines w:val="0"/>
        <w:pageBreakBefore w:val="0"/>
        <w:widowControl w:val="0"/>
        <w:kinsoku/>
        <w:wordWrap/>
        <w:overflowPunct/>
        <w:topLinePunct w:val="0"/>
        <w:autoSpaceDE/>
        <w:autoSpaceDN/>
        <w:bidi w:val="0"/>
        <w:adjustRightInd w:val="0"/>
        <w:snapToGrid/>
        <w:spacing w:line="360" w:lineRule="exact"/>
        <w:ind w:firstLine="420" w:firstLineChars="2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特此说明。</w:t>
      </w:r>
    </w:p>
    <w:p w14:paraId="29187C3C">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供应商（法定名称章）：</w:t>
      </w:r>
    </w:p>
    <w:p w14:paraId="3071D916">
      <w:pPr>
        <w:keepNext w:val="0"/>
        <w:keepLines w:val="0"/>
        <w:pageBreakBefore w:val="0"/>
        <w:widowControl w:val="0"/>
        <w:kinsoku/>
        <w:wordWrap/>
        <w:overflowPunct/>
        <w:topLinePunct w:val="0"/>
        <w:autoSpaceDE/>
        <w:autoSpaceDN/>
        <w:bidi w:val="0"/>
        <w:adjustRightInd w:val="0"/>
        <w:snapToGrid/>
        <w:spacing w:line="360" w:lineRule="exact"/>
        <w:ind w:right="482" w:firstLine="3570" w:firstLineChars="1700"/>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日期：       年     月     日</w:t>
      </w:r>
    </w:p>
    <w:p w14:paraId="2B0741AC">
      <w:pPr>
        <w:keepNext w:val="0"/>
        <w:keepLines w:val="0"/>
        <w:pageBreakBefore w:val="0"/>
        <w:widowControl w:val="0"/>
        <w:kinsoku/>
        <w:wordWrap/>
        <w:overflowPunct/>
        <w:topLinePunct w:val="0"/>
        <w:autoSpaceDE/>
        <w:autoSpaceDN/>
        <w:bidi w:val="0"/>
        <w:adjustRightInd w:val="0"/>
        <w:snapToGrid/>
        <w:spacing w:line="360" w:lineRule="exact"/>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b/>
          <w:bCs/>
          <w:color w:val="auto"/>
          <w:sz w:val="21"/>
          <w:szCs w:val="21"/>
          <w:highlight w:val="none"/>
        </w:rPr>
        <w:t>附：</w:t>
      </w:r>
    </w:p>
    <w:p w14:paraId="4C314E90">
      <w:pPr>
        <w:keepNext w:val="0"/>
        <w:keepLines w:val="0"/>
        <w:pageBreakBefore w:val="0"/>
        <w:widowControl w:val="0"/>
        <w:kinsoku/>
        <w:wordWrap/>
        <w:overflowPunct/>
        <w:topLinePunct w:val="0"/>
        <w:autoSpaceDE/>
        <w:autoSpaceDN/>
        <w:bidi w:val="0"/>
        <w:adjustRightInd w:val="0"/>
        <w:snapToGrid/>
        <w:spacing w:line="360" w:lineRule="exact"/>
        <w:textAlignment w:val="auto"/>
        <w:rPr>
          <w:rFonts w:asciiTheme="minorEastAsia" w:hAnsiTheme="minorEastAsia" w:eastAsiaTheme="minorEastAsia"/>
          <w:bCs/>
          <w:color w:val="auto"/>
          <w:sz w:val="21"/>
          <w:szCs w:val="21"/>
          <w:highlight w:val="none"/>
        </w:rPr>
      </w:pPr>
      <w:r>
        <w:rPr>
          <w:rFonts w:asciiTheme="minorEastAsia" w:hAnsiTheme="minorEastAsia" w:eastAsiaTheme="minorEastAsia"/>
          <w:color w:val="auto"/>
          <w:sz w:val="21"/>
          <w:szCs w:val="21"/>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524125" cy="1748790"/>
                <wp:effectExtent l="5080" t="4445" r="4445" b="184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524125" cy="1748790"/>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37.7pt;width:198.75pt;z-index:-251656192;mso-width-relative:page;mso-height-relative:page;" fillcolor="#FFFFFF" filled="t" stroked="t" coordsize="21600,21600" o:gfxdata="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kfrrNkAAAAKAQAADwAAAAAAAAABACAAAAAiAAAAZHJzL2Rvd25y&#10;ZXYueG1sUEsBAhQAFAAAAAgAh07iQLSlFow2AgAAgAQAAA4AAAAAAAAAAQAgAAAAKAEAAGRycy9l&#10;Mm9Eb2MueG1sUEsFBgAAAAAGAAYAWQEAANA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sz w:val="21"/>
          <w:szCs w:val="21"/>
          <w:highlight w:val="none"/>
        </w:rPr>
        <mc:AlternateContent>
          <mc:Choice Requires="wps">
            <w:drawing>
              <wp:anchor distT="0" distB="0" distL="114300" distR="114300" simplePos="0" relativeHeight="251659264" behindDoc="1" locked="0" layoutInCell="1" allowOverlap="1">
                <wp:simplePos x="0" y="0"/>
                <wp:positionH relativeFrom="column">
                  <wp:posOffset>-91440</wp:posOffset>
                </wp:positionH>
                <wp:positionV relativeFrom="paragraph">
                  <wp:posOffset>384810</wp:posOffset>
                </wp:positionV>
                <wp:extent cx="2468245" cy="1748155"/>
                <wp:effectExtent l="4445" t="4445" r="22860" b="1905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468245" cy="174815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37.65pt;width:194.35pt;z-index:-251657216;mso-width-relative:page;mso-height-relative:page;" fillcolor="#FFFFFF" filled="t" stroked="t" coordsize="21600,21600" o:gfxdata="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8SQXM2QAAAAoBAAAPAAAAAAAAAAEAIAAAACIAAABkcnMvZG93&#10;bnJldi54bWxQSwECFAAUAAAACACHTuJAZqrlHjgCAAB+BAAADgAAAAAAAAABACAAAAAoAQAAZHJz&#10;L2Uyb0RvYy54bWxQSwUGAAAAAAYABgBZAQAA0gU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1"/>
          <w:szCs w:val="21"/>
          <w:highlight w:val="none"/>
        </w:rPr>
        <w:t xml:space="preserve">供应商法定名称章（印模）                </w:t>
      </w:r>
      <w:r>
        <w:rPr>
          <w:rFonts w:hint="eastAsia" w:cs="宋体" w:asciiTheme="minorEastAsia" w:hAnsiTheme="minorEastAsia" w:eastAsiaTheme="minorEastAsia"/>
          <w:color w:val="auto"/>
          <w:sz w:val="21"/>
          <w:szCs w:val="21"/>
          <w:highlight w:val="none"/>
          <w:lang w:val="en-US" w:eastAsia="zh-CN"/>
        </w:rPr>
        <w:t xml:space="preserve">      </w:t>
      </w:r>
      <w:r>
        <w:rPr>
          <w:rFonts w:hint="eastAsia" w:cs="宋体" w:asciiTheme="minorEastAsia" w:hAnsiTheme="minorEastAsia" w:eastAsiaTheme="minorEastAsia"/>
          <w:color w:val="auto"/>
          <w:sz w:val="21"/>
          <w:szCs w:val="21"/>
          <w:highlight w:val="none"/>
        </w:rPr>
        <w:t>供应商“</w:t>
      </w:r>
      <w:r>
        <w:rPr>
          <w:rFonts w:hint="eastAsia" w:cs="仿宋_GB2312" w:asciiTheme="minorEastAsia" w:hAnsiTheme="minorEastAsia" w:eastAsiaTheme="minorEastAsia"/>
          <w:color w:val="auto"/>
          <w:sz w:val="21"/>
          <w:szCs w:val="21"/>
          <w:highlight w:val="none"/>
        </w:rPr>
        <w:t>XX</w:t>
      </w:r>
      <w:r>
        <w:rPr>
          <w:rFonts w:hint="eastAsia" w:cs="宋体" w:asciiTheme="minorEastAsia" w:hAnsiTheme="minorEastAsia" w:eastAsiaTheme="minorEastAsia"/>
          <w:color w:val="auto"/>
          <w:sz w:val="21"/>
          <w:szCs w:val="21"/>
          <w:highlight w:val="none"/>
        </w:rPr>
        <w:t>专用章”（印模）</w:t>
      </w:r>
    </w:p>
    <w:p w14:paraId="0AF0A107">
      <w:pPr>
        <w:widowControl/>
        <w:spacing w:line="360" w:lineRule="auto"/>
        <w:ind w:firstLine="420" w:firstLineChars="200"/>
        <w:jc w:val="left"/>
        <w:rPr>
          <w:rFonts w:cs="宋体" w:asciiTheme="minorEastAsia" w:hAnsiTheme="minorEastAsia" w:eastAsiaTheme="minorEastAsia"/>
          <w:color w:val="auto"/>
          <w:kern w:val="0"/>
          <w:sz w:val="21"/>
          <w:szCs w:val="21"/>
          <w:highlight w:val="none"/>
        </w:rPr>
      </w:pPr>
    </w:p>
    <w:p w14:paraId="4E4E40C7">
      <w:pPr>
        <w:snapToGrid w:val="0"/>
        <w:spacing w:line="360" w:lineRule="auto"/>
        <w:jc w:val="center"/>
        <w:rPr>
          <w:rFonts w:cs="仿宋_GB2312" w:asciiTheme="minorEastAsia" w:hAnsiTheme="minorEastAsia" w:eastAsiaTheme="minorEastAsia"/>
          <w:b/>
          <w:color w:val="auto"/>
          <w:sz w:val="21"/>
          <w:szCs w:val="21"/>
          <w:highlight w:val="none"/>
        </w:rPr>
      </w:pPr>
    </w:p>
    <w:p w14:paraId="4205C056">
      <w:pPr>
        <w:widowControl/>
        <w:adjustRightInd/>
        <w:jc w:val="left"/>
        <w:rPr>
          <w:rFonts w:cs="仿宋_GB2312" w:asciiTheme="minorEastAsia" w:hAnsiTheme="minorEastAsia" w:eastAsiaTheme="minorEastAsia"/>
          <w:b/>
          <w:color w:val="auto"/>
          <w:sz w:val="21"/>
          <w:szCs w:val="21"/>
          <w:highlight w:val="none"/>
        </w:rPr>
      </w:pPr>
    </w:p>
    <w:p w14:paraId="1C70FB08">
      <w:pPr>
        <w:pStyle w:val="18"/>
        <w:rPr>
          <w:rFonts w:cs="仿宋_GB2312" w:asciiTheme="minorEastAsia" w:hAnsiTheme="minorEastAsia" w:eastAsiaTheme="minorEastAsia"/>
          <w:b/>
          <w:color w:val="auto"/>
          <w:sz w:val="21"/>
          <w:szCs w:val="21"/>
          <w:highlight w:val="none"/>
        </w:rPr>
      </w:pPr>
    </w:p>
    <w:p w14:paraId="7C4FEE66">
      <w:pPr>
        <w:rPr>
          <w:rFonts w:cs="仿宋_GB2312" w:asciiTheme="minorEastAsia" w:hAnsiTheme="minorEastAsia" w:eastAsiaTheme="minorEastAsia"/>
          <w:b/>
          <w:color w:val="auto"/>
          <w:sz w:val="21"/>
          <w:szCs w:val="21"/>
          <w:highlight w:val="none"/>
        </w:rPr>
      </w:pPr>
    </w:p>
    <w:p w14:paraId="56CBBB41">
      <w:pPr>
        <w:pStyle w:val="18"/>
        <w:rPr>
          <w:rFonts w:cs="仿宋_GB2312" w:asciiTheme="minorEastAsia" w:hAnsiTheme="minorEastAsia" w:eastAsiaTheme="minorEastAsia"/>
          <w:b/>
          <w:color w:val="auto"/>
          <w:sz w:val="21"/>
          <w:szCs w:val="21"/>
          <w:highlight w:val="none"/>
        </w:rPr>
      </w:pPr>
    </w:p>
    <w:p w14:paraId="29820203">
      <w:pPr>
        <w:rPr>
          <w:rFonts w:cs="仿宋_GB2312" w:asciiTheme="minorEastAsia" w:hAnsiTheme="minorEastAsia" w:eastAsiaTheme="minorEastAsia"/>
          <w:b/>
          <w:color w:val="auto"/>
          <w:sz w:val="21"/>
          <w:szCs w:val="21"/>
          <w:highlight w:val="none"/>
        </w:rPr>
      </w:pPr>
    </w:p>
    <w:p w14:paraId="305FE1B1">
      <w:pPr>
        <w:pStyle w:val="18"/>
        <w:rPr>
          <w:rFonts w:cs="仿宋_GB2312" w:asciiTheme="minorEastAsia" w:hAnsiTheme="minorEastAsia" w:eastAsiaTheme="minorEastAsia"/>
          <w:b/>
          <w:color w:val="auto"/>
          <w:sz w:val="21"/>
          <w:szCs w:val="21"/>
          <w:highlight w:val="none"/>
        </w:rPr>
      </w:pPr>
    </w:p>
    <w:p w14:paraId="5F8664B2">
      <w:pPr>
        <w:rPr>
          <w:rFonts w:cs="仿宋_GB2312" w:asciiTheme="minorEastAsia" w:hAnsiTheme="minorEastAsia" w:eastAsiaTheme="minorEastAsia"/>
          <w:b/>
          <w:color w:val="auto"/>
          <w:sz w:val="21"/>
          <w:szCs w:val="21"/>
          <w:highlight w:val="none"/>
        </w:rPr>
      </w:pPr>
    </w:p>
    <w:p w14:paraId="721E94D3">
      <w:pPr>
        <w:pStyle w:val="18"/>
        <w:rPr>
          <w:rFonts w:cs="仿宋_GB2312" w:asciiTheme="minorEastAsia" w:hAnsiTheme="minorEastAsia" w:eastAsiaTheme="minorEastAsia"/>
          <w:b/>
          <w:color w:val="auto"/>
          <w:sz w:val="21"/>
          <w:szCs w:val="21"/>
          <w:highlight w:val="none"/>
        </w:rPr>
      </w:pPr>
    </w:p>
    <w:p w14:paraId="7BB0C309">
      <w:pPr>
        <w:autoSpaceDE w:val="0"/>
        <w:autoSpaceDN w:val="0"/>
        <w:jc w:val="left"/>
        <w:rPr>
          <w:rFonts w:hint="eastAsia" w:cs="仿宋_GB2312" w:asciiTheme="minorEastAsia" w:hAnsiTheme="minorEastAsia" w:eastAsiaTheme="minorEastAsia"/>
          <w:b/>
          <w:color w:val="auto"/>
          <w:sz w:val="32"/>
          <w:szCs w:val="32"/>
          <w:highlight w:val="none"/>
        </w:rPr>
      </w:pPr>
    </w:p>
    <w:p w14:paraId="39952CDB">
      <w:pPr>
        <w:autoSpaceDE w:val="0"/>
        <w:autoSpaceDN w:val="0"/>
        <w:jc w:val="left"/>
        <w:rPr>
          <w:rFonts w:hint="eastAsia" w:cs="仿宋_GB2312" w:asciiTheme="minorEastAsia" w:hAnsiTheme="minorEastAsia" w:eastAsiaTheme="minorEastAsia"/>
          <w:b/>
          <w:color w:val="auto"/>
          <w:sz w:val="32"/>
          <w:szCs w:val="32"/>
          <w:highlight w:val="none"/>
        </w:rPr>
      </w:pPr>
    </w:p>
    <w:p w14:paraId="25BF97D7">
      <w:pPr>
        <w:rPr>
          <w:color w:val="auto"/>
          <w:highlight w:val="none"/>
        </w:rPr>
      </w:pPr>
    </w:p>
    <w:p w14:paraId="43EE1C35">
      <w:pPr>
        <w:pStyle w:val="10"/>
        <w:rPr>
          <w:color w:val="auto"/>
          <w:highlight w:val="none"/>
        </w:rPr>
      </w:pPr>
    </w:p>
    <w:p w14:paraId="01AEEF25">
      <w:pPr>
        <w:pStyle w:val="10"/>
        <w:rPr>
          <w:color w:val="auto"/>
          <w:highlight w:val="none"/>
        </w:rPr>
      </w:pPr>
    </w:p>
    <w:sectPr>
      <w:headerReference r:id="rId3" w:type="default"/>
      <w:footerReference r:id="rId4" w:type="default"/>
      <w:pgSz w:w="11906" w:h="16838"/>
      <w:pgMar w:top="1020" w:right="1226" w:bottom="1020" w:left="1020"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A14BD">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62FDE8">
                          <w:pPr>
                            <w:pStyle w:val="1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6362FDE8">
                    <w:pPr>
                      <w:pStyle w:val="1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71CC1">
    <w:pPr>
      <w:pStyle w:val="19"/>
      <w:pBdr>
        <w:bottom w:val="none" w:color="auto" w:sz="0" w:space="0"/>
      </w:pBdr>
      <w:jc w:val="both"/>
      <w:rPr>
        <w:rFonts w:hint="default" w:ascii="宋体" w:hAnsi="宋体" w:eastAsia="宋体" w:cs="宋体"/>
        <w:u w:val="single"/>
        <w:lang w:val="en-US" w:eastAsia="zh-CN"/>
      </w:rPr>
    </w:pPr>
    <w:r>
      <w:rPr>
        <w:rFonts w:hint="eastAsia" w:ascii="宋体" w:hAnsi="宋体" w:cs="宋体"/>
        <w:u w:val="single"/>
      </w:rPr>
      <w:t>广西泽丰工程咨询有限公</w:t>
    </w:r>
    <w:r>
      <w:rPr>
        <w:rFonts w:hint="eastAsia" w:ascii="宋体" w:hAnsi="宋体" w:cs="宋体"/>
        <w:u w:val="single"/>
        <w:lang w:eastAsia="zh-CN"/>
      </w:rPr>
      <w:t>司竞争性磋商文件</w:t>
    </w:r>
    <w:r>
      <w:rPr>
        <w:rFonts w:hint="eastAsia" w:ascii="宋体" w:hAnsi="宋体" w:cs="宋体"/>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08826A"/>
    <w:multiLevelType w:val="singleLevel"/>
    <w:tmpl w:val="F608826A"/>
    <w:lvl w:ilvl="0" w:tentative="0">
      <w:start w:val="1"/>
      <w:numFmt w:val="decimal"/>
      <w:suff w:val="nothing"/>
      <w:lvlText w:val="（%1）"/>
      <w:lvlJc w:val="left"/>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DB7898B"/>
    <w:multiLevelType w:val="singleLevel"/>
    <w:tmpl w:val="4DB7898B"/>
    <w:lvl w:ilvl="0" w:tentative="0">
      <w:start w:val="2"/>
      <w:numFmt w:val="chineseCounting"/>
      <w:suff w:val="nothing"/>
      <w:lvlText w:val="%1、"/>
      <w:lvlJc w:val="left"/>
      <w:rPr>
        <w:rFonts w:hint="eastAsia"/>
      </w:rPr>
    </w:lvl>
  </w:abstractNum>
  <w:abstractNum w:abstractNumId="3">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4">
    <w:nsid w:val="6EF73C72"/>
    <w:multiLevelType w:val="singleLevel"/>
    <w:tmpl w:val="6EF73C72"/>
    <w:lvl w:ilvl="0" w:tentative="0">
      <w:start w:val="4"/>
      <w:numFmt w:val="chineseCounting"/>
      <w:suff w:val="space"/>
      <w:lvlText w:val="第%1部分"/>
      <w:lvlJc w:val="left"/>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NzE5ZjFkMDBiM2E1YzNmNTRjNzVhMmUwMDQ5ODAifQ=="/>
    <w:docVar w:name="KSO_WPS_MARK_KEY" w:val="1629b6a7-3a8e-4c8f-8afa-4b4948c71943"/>
  </w:docVars>
  <w:rsids>
    <w:rsidRoot w:val="6D1720EA"/>
    <w:rsid w:val="00100A01"/>
    <w:rsid w:val="00153681"/>
    <w:rsid w:val="00252FAB"/>
    <w:rsid w:val="00273280"/>
    <w:rsid w:val="002D5981"/>
    <w:rsid w:val="002E75E2"/>
    <w:rsid w:val="003D6656"/>
    <w:rsid w:val="003E1017"/>
    <w:rsid w:val="003E525C"/>
    <w:rsid w:val="005178CF"/>
    <w:rsid w:val="00567E6D"/>
    <w:rsid w:val="005C300C"/>
    <w:rsid w:val="006C2AE7"/>
    <w:rsid w:val="007121AB"/>
    <w:rsid w:val="008039CA"/>
    <w:rsid w:val="0083398F"/>
    <w:rsid w:val="00A27704"/>
    <w:rsid w:val="00A45E6E"/>
    <w:rsid w:val="00B20463"/>
    <w:rsid w:val="00B94905"/>
    <w:rsid w:val="00C6221C"/>
    <w:rsid w:val="00CB45C0"/>
    <w:rsid w:val="00D61A00"/>
    <w:rsid w:val="00DE4F50"/>
    <w:rsid w:val="00F475CE"/>
    <w:rsid w:val="00F5246C"/>
    <w:rsid w:val="00F85A59"/>
    <w:rsid w:val="00FD14D7"/>
    <w:rsid w:val="011A5542"/>
    <w:rsid w:val="013C3BBF"/>
    <w:rsid w:val="01B93813"/>
    <w:rsid w:val="01DA226F"/>
    <w:rsid w:val="01E242BC"/>
    <w:rsid w:val="023C0F54"/>
    <w:rsid w:val="023D7ACF"/>
    <w:rsid w:val="026E00C7"/>
    <w:rsid w:val="0270799C"/>
    <w:rsid w:val="02AE69FC"/>
    <w:rsid w:val="0335526F"/>
    <w:rsid w:val="035B751F"/>
    <w:rsid w:val="03B41B6E"/>
    <w:rsid w:val="03CC0807"/>
    <w:rsid w:val="03DC1E6A"/>
    <w:rsid w:val="03DF5CA0"/>
    <w:rsid w:val="042F0BE9"/>
    <w:rsid w:val="043A66D1"/>
    <w:rsid w:val="04625BE5"/>
    <w:rsid w:val="04686969"/>
    <w:rsid w:val="04814D63"/>
    <w:rsid w:val="048209F9"/>
    <w:rsid w:val="04D85F55"/>
    <w:rsid w:val="05196541"/>
    <w:rsid w:val="051C32D0"/>
    <w:rsid w:val="054B0390"/>
    <w:rsid w:val="05817170"/>
    <w:rsid w:val="05AD2CBE"/>
    <w:rsid w:val="05D86718"/>
    <w:rsid w:val="060A3669"/>
    <w:rsid w:val="064E1D34"/>
    <w:rsid w:val="06512DD4"/>
    <w:rsid w:val="065B1AAA"/>
    <w:rsid w:val="067C7DF6"/>
    <w:rsid w:val="069935B9"/>
    <w:rsid w:val="06A24005"/>
    <w:rsid w:val="06DD44CC"/>
    <w:rsid w:val="07025D41"/>
    <w:rsid w:val="0758243C"/>
    <w:rsid w:val="07761B19"/>
    <w:rsid w:val="07911761"/>
    <w:rsid w:val="07BB2843"/>
    <w:rsid w:val="08022FB6"/>
    <w:rsid w:val="080D52D4"/>
    <w:rsid w:val="084112DA"/>
    <w:rsid w:val="08521CBA"/>
    <w:rsid w:val="086A6F39"/>
    <w:rsid w:val="08747B08"/>
    <w:rsid w:val="089762B5"/>
    <w:rsid w:val="089E3056"/>
    <w:rsid w:val="08C93599"/>
    <w:rsid w:val="090337E9"/>
    <w:rsid w:val="092640E3"/>
    <w:rsid w:val="095E73B7"/>
    <w:rsid w:val="09811E7F"/>
    <w:rsid w:val="09831C3F"/>
    <w:rsid w:val="09E57B43"/>
    <w:rsid w:val="09FF3199"/>
    <w:rsid w:val="0A1D713B"/>
    <w:rsid w:val="0A2016B4"/>
    <w:rsid w:val="0A4D5F3E"/>
    <w:rsid w:val="0A6D43ED"/>
    <w:rsid w:val="0ABE1BC7"/>
    <w:rsid w:val="0B4E2374"/>
    <w:rsid w:val="0B54502F"/>
    <w:rsid w:val="0B5F675D"/>
    <w:rsid w:val="0B7A5C85"/>
    <w:rsid w:val="0B8011F9"/>
    <w:rsid w:val="0B876379"/>
    <w:rsid w:val="0B8F2017"/>
    <w:rsid w:val="0B924A77"/>
    <w:rsid w:val="0C002167"/>
    <w:rsid w:val="0C362EED"/>
    <w:rsid w:val="0C76740E"/>
    <w:rsid w:val="0C89199C"/>
    <w:rsid w:val="0CB22F0B"/>
    <w:rsid w:val="0CE02278"/>
    <w:rsid w:val="0D076FBB"/>
    <w:rsid w:val="0D09529B"/>
    <w:rsid w:val="0D1C525D"/>
    <w:rsid w:val="0D2F501A"/>
    <w:rsid w:val="0D336233"/>
    <w:rsid w:val="0D3C02F4"/>
    <w:rsid w:val="0D442F30"/>
    <w:rsid w:val="0D7638C3"/>
    <w:rsid w:val="0D9D125B"/>
    <w:rsid w:val="0DD340D1"/>
    <w:rsid w:val="0E0A3FD5"/>
    <w:rsid w:val="0E1400ED"/>
    <w:rsid w:val="0E5F599D"/>
    <w:rsid w:val="0E6F5B15"/>
    <w:rsid w:val="0E760156"/>
    <w:rsid w:val="0EAE1E76"/>
    <w:rsid w:val="0EBD2E3C"/>
    <w:rsid w:val="0F0914C6"/>
    <w:rsid w:val="0F0A4339"/>
    <w:rsid w:val="0F444711"/>
    <w:rsid w:val="0FAD1320"/>
    <w:rsid w:val="10091EA0"/>
    <w:rsid w:val="1065679D"/>
    <w:rsid w:val="1068469A"/>
    <w:rsid w:val="10983112"/>
    <w:rsid w:val="109C3387"/>
    <w:rsid w:val="10B04754"/>
    <w:rsid w:val="11136FEB"/>
    <w:rsid w:val="111732C8"/>
    <w:rsid w:val="113373E5"/>
    <w:rsid w:val="11445751"/>
    <w:rsid w:val="114A5645"/>
    <w:rsid w:val="11A67664"/>
    <w:rsid w:val="11DA56BC"/>
    <w:rsid w:val="11F633CB"/>
    <w:rsid w:val="11FA13AD"/>
    <w:rsid w:val="122D4D06"/>
    <w:rsid w:val="12707C4E"/>
    <w:rsid w:val="12862587"/>
    <w:rsid w:val="12F41FA0"/>
    <w:rsid w:val="12FB00A5"/>
    <w:rsid w:val="136938F2"/>
    <w:rsid w:val="1463625C"/>
    <w:rsid w:val="14891A12"/>
    <w:rsid w:val="14B47C36"/>
    <w:rsid w:val="153876C0"/>
    <w:rsid w:val="15F66974"/>
    <w:rsid w:val="16041AC0"/>
    <w:rsid w:val="162176D9"/>
    <w:rsid w:val="163634D4"/>
    <w:rsid w:val="16DE0BDF"/>
    <w:rsid w:val="17362BC1"/>
    <w:rsid w:val="1745363C"/>
    <w:rsid w:val="177D1850"/>
    <w:rsid w:val="178C795F"/>
    <w:rsid w:val="17F83137"/>
    <w:rsid w:val="18141E0D"/>
    <w:rsid w:val="181E0B0D"/>
    <w:rsid w:val="18676DDF"/>
    <w:rsid w:val="18DA5F94"/>
    <w:rsid w:val="18E83E1B"/>
    <w:rsid w:val="18F47C3A"/>
    <w:rsid w:val="18F63B2E"/>
    <w:rsid w:val="192C42FF"/>
    <w:rsid w:val="194A512D"/>
    <w:rsid w:val="19A2463A"/>
    <w:rsid w:val="19C606E8"/>
    <w:rsid w:val="19C66623"/>
    <w:rsid w:val="19E826E4"/>
    <w:rsid w:val="19E82E05"/>
    <w:rsid w:val="19E85C4E"/>
    <w:rsid w:val="1A18361C"/>
    <w:rsid w:val="1A1E0B5A"/>
    <w:rsid w:val="1A246A70"/>
    <w:rsid w:val="1A5064FB"/>
    <w:rsid w:val="1A9D61A9"/>
    <w:rsid w:val="1AC942D4"/>
    <w:rsid w:val="1AE13A1C"/>
    <w:rsid w:val="1B1238CC"/>
    <w:rsid w:val="1B2F0E82"/>
    <w:rsid w:val="1B442283"/>
    <w:rsid w:val="1BCF40C4"/>
    <w:rsid w:val="1BD865BF"/>
    <w:rsid w:val="1BE22336"/>
    <w:rsid w:val="1C017B4D"/>
    <w:rsid w:val="1C2D431B"/>
    <w:rsid w:val="1C4F3541"/>
    <w:rsid w:val="1C7A39B0"/>
    <w:rsid w:val="1C9874DA"/>
    <w:rsid w:val="1CBD2697"/>
    <w:rsid w:val="1CCD1E5D"/>
    <w:rsid w:val="1CEC565D"/>
    <w:rsid w:val="1D106F0F"/>
    <w:rsid w:val="1D291FE4"/>
    <w:rsid w:val="1D752B34"/>
    <w:rsid w:val="1D81597C"/>
    <w:rsid w:val="1DF86572"/>
    <w:rsid w:val="1E017571"/>
    <w:rsid w:val="1E042925"/>
    <w:rsid w:val="1E101263"/>
    <w:rsid w:val="1E3F3E02"/>
    <w:rsid w:val="1E722591"/>
    <w:rsid w:val="1F717B9F"/>
    <w:rsid w:val="1F8F2E17"/>
    <w:rsid w:val="1F96059D"/>
    <w:rsid w:val="1FAC0C2B"/>
    <w:rsid w:val="1FC40210"/>
    <w:rsid w:val="200A00E8"/>
    <w:rsid w:val="200F2C79"/>
    <w:rsid w:val="20172C36"/>
    <w:rsid w:val="2025396B"/>
    <w:rsid w:val="205C602E"/>
    <w:rsid w:val="20B836E6"/>
    <w:rsid w:val="20DB7F6A"/>
    <w:rsid w:val="21036F42"/>
    <w:rsid w:val="21792B89"/>
    <w:rsid w:val="217B7905"/>
    <w:rsid w:val="21924CD6"/>
    <w:rsid w:val="21B40B6D"/>
    <w:rsid w:val="21EC5DE9"/>
    <w:rsid w:val="21FE4575"/>
    <w:rsid w:val="224A2EBA"/>
    <w:rsid w:val="224B1A66"/>
    <w:rsid w:val="22596973"/>
    <w:rsid w:val="229B21A6"/>
    <w:rsid w:val="22AE1E83"/>
    <w:rsid w:val="22CC6509"/>
    <w:rsid w:val="22D07A2F"/>
    <w:rsid w:val="2306201D"/>
    <w:rsid w:val="23156DCE"/>
    <w:rsid w:val="23192CD4"/>
    <w:rsid w:val="231A10D5"/>
    <w:rsid w:val="231C1113"/>
    <w:rsid w:val="23C655E9"/>
    <w:rsid w:val="2402248B"/>
    <w:rsid w:val="241702E9"/>
    <w:rsid w:val="2428533D"/>
    <w:rsid w:val="24456C3E"/>
    <w:rsid w:val="24457D36"/>
    <w:rsid w:val="24613D87"/>
    <w:rsid w:val="246B4C91"/>
    <w:rsid w:val="24737846"/>
    <w:rsid w:val="24781FA3"/>
    <w:rsid w:val="24D665AE"/>
    <w:rsid w:val="25250672"/>
    <w:rsid w:val="252B47A6"/>
    <w:rsid w:val="25393838"/>
    <w:rsid w:val="257B4047"/>
    <w:rsid w:val="257C715F"/>
    <w:rsid w:val="25B4108E"/>
    <w:rsid w:val="25F33718"/>
    <w:rsid w:val="25F94894"/>
    <w:rsid w:val="25FB3293"/>
    <w:rsid w:val="26176098"/>
    <w:rsid w:val="26205F29"/>
    <w:rsid w:val="263F4E6C"/>
    <w:rsid w:val="267C163E"/>
    <w:rsid w:val="2694229E"/>
    <w:rsid w:val="26D25419"/>
    <w:rsid w:val="26F367CC"/>
    <w:rsid w:val="279C71EF"/>
    <w:rsid w:val="279F3844"/>
    <w:rsid w:val="27A16641"/>
    <w:rsid w:val="27A34B88"/>
    <w:rsid w:val="27C643F2"/>
    <w:rsid w:val="28030FF3"/>
    <w:rsid w:val="282662BB"/>
    <w:rsid w:val="28511870"/>
    <w:rsid w:val="28743C32"/>
    <w:rsid w:val="288E0F4E"/>
    <w:rsid w:val="28A0594F"/>
    <w:rsid w:val="28B25439"/>
    <w:rsid w:val="290040F0"/>
    <w:rsid w:val="29104BA6"/>
    <w:rsid w:val="29320105"/>
    <w:rsid w:val="29691B63"/>
    <w:rsid w:val="29730707"/>
    <w:rsid w:val="297847A6"/>
    <w:rsid w:val="29B75734"/>
    <w:rsid w:val="29BA649E"/>
    <w:rsid w:val="2A006026"/>
    <w:rsid w:val="2A385BB7"/>
    <w:rsid w:val="2A5A6006"/>
    <w:rsid w:val="2B2F7BE7"/>
    <w:rsid w:val="2B96481A"/>
    <w:rsid w:val="2BAF2AD3"/>
    <w:rsid w:val="2BCA0048"/>
    <w:rsid w:val="2BE1255C"/>
    <w:rsid w:val="2BFA26E6"/>
    <w:rsid w:val="2C710E04"/>
    <w:rsid w:val="2CD64339"/>
    <w:rsid w:val="2CEA1BE6"/>
    <w:rsid w:val="2CF8576A"/>
    <w:rsid w:val="2D04772A"/>
    <w:rsid w:val="2D0658A0"/>
    <w:rsid w:val="2D4D212A"/>
    <w:rsid w:val="2D7867A9"/>
    <w:rsid w:val="2D9763C6"/>
    <w:rsid w:val="2DA15ACB"/>
    <w:rsid w:val="2DCE7FF5"/>
    <w:rsid w:val="2DD7762D"/>
    <w:rsid w:val="2DEB7BAC"/>
    <w:rsid w:val="2E2F48F1"/>
    <w:rsid w:val="2E3B4CD4"/>
    <w:rsid w:val="2E3D769E"/>
    <w:rsid w:val="2E463ABE"/>
    <w:rsid w:val="2E6A56DC"/>
    <w:rsid w:val="2EB21BA2"/>
    <w:rsid w:val="2EC85A76"/>
    <w:rsid w:val="2F42642C"/>
    <w:rsid w:val="2F442828"/>
    <w:rsid w:val="2F4D4D25"/>
    <w:rsid w:val="2F684267"/>
    <w:rsid w:val="2FCA6DC7"/>
    <w:rsid w:val="2FDE408A"/>
    <w:rsid w:val="2FF24A22"/>
    <w:rsid w:val="301B34DF"/>
    <w:rsid w:val="30425D8F"/>
    <w:rsid w:val="304427F7"/>
    <w:rsid w:val="30466CDD"/>
    <w:rsid w:val="305E1622"/>
    <w:rsid w:val="30694209"/>
    <w:rsid w:val="30A57C07"/>
    <w:rsid w:val="30D1550A"/>
    <w:rsid w:val="30D9631C"/>
    <w:rsid w:val="30DB033C"/>
    <w:rsid w:val="310377DC"/>
    <w:rsid w:val="313337F2"/>
    <w:rsid w:val="31AF3462"/>
    <w:rsid w:val="31FA7910"/>
    <w:rsid w:val="31FC06EB"/>
    <w:rsid w:val="31FF62C2"/>
    <w:rsid w:val="32387B27"/>
    <w:rsid w:val="32963CDC"/>
    <w:rsid w:val="329E4165"/>
    <w:rsid w:val="32A75EAC"/>
    <w:rsid w:val="32C20171"/>
    <w:rsid w:val="33162750"/>
    <w:rsid w:val="33215500"/>
    <w:rsid w:val="334D55B4"/>
    <w:rsid w:val="33680C1B"/>
    <w:rsid w:val="337977C2"/>
    <w:rsid w:val="338C11D8"/>
    <w:rsid w:val="33F15BB7"/>
    <w:rsid w:val="33FC0F19"/>
    <w:rsid w:val="3401028A"/>
    <w:rsid w:val="344838C6"/>
    <w:rsid w:val="3457435E"/>
    <w:rsid w:val="34821342"/>
    <w:rsid w:val="34A30ADC"/>
    <w:rsid w:val="35136212"/>
    <w:rsid w:val="351D2904"/>
    <w:rsid w:val="353F16D0"/>
    <w:rsid w:val="355F375B"/>
    <w:rsid w:val="358955C1"/>
    <w:rsid w:val="3652180C"/>
    <w:rsid w:val="36552A7C"/>
    <w:rsid w:val="366900FF"/>
    <w:rsid w:val="36907FDF"/>
    <w:rsid w:val="36FA4EBE"/>
    <w:rsid w:val="37091751"/>
    <w:rsid w:val="375329C2"/>
    <w:rsid w:val="375C326C"/>
    <w:rsid w:val="377807B9"/>
    <w:rsid w:val="37B073DC"/>
    <w:rsid w:val="38841AB6"/>
    <w:rsid w:val="38CC1D4A"/>
    <w:rsid w:val="390960D4"/>
    <w:rsid w:val="391D1AFD"/>
    <w:rsid w:val="396C3746"/>
    <w:rsid w:val="39705CA8"/>
    <w:rsid w:val="39782384"/>
    <w:rsid w:val="39C425BF"/>
    <w:rsid w:val="39D43F7F"/>
    <w:rsid w:val="3A466B9E"/>
    <w:rsid w:val="3AA1461D"/>
    <w:rsid w:val="3B187B05"/>
    <w:rsid w:val="3B1A1116"/>
    <w:rsid w:val="3B7E2346"/>
    <w:rsid w:val="3B8610DB"/>
    <w:rsid w:val="3B8768E6"/>
    <w:rsid w:val="3BA515DB"/>
    <w:rsid w:val="3BA725FA"/>
    <w:rsid w:val="3C343512"/>
    <w:rsid w:val="3C5277A8"/>
    <w:rsid w:val="3C842B2E"/>
    <w:rsid w:val="3C85590B"/>
    <w:rsid w:val="3CB6060F"/>
    <w:rsid w:val="3CF90C34"/>
    <w:rsid w:val="3D1F7FA5"/>
    <w:rsid w:val="3D2867EA"/>
    <w:rsid w:val="3D620B1F"/>
    <w:rsid w:val="3D87623F"/>
    <w:rsid w:val="3D9B01A6"/>
    <w:rsid w:val="3DE3133D"/>
    <w:rsid w:val="3E7168FB"/>
    <w:rsid w:val="3EA64DEB"/>
    <w:rsid w:val="3EC03B5E"/>
    <w:rsid w:val="3EDE7216"/>
    <w:rsid w:val="3EF45B57"/>
    <w:rsid w:val="3F2E3C57"/>
    <w:rsid w:val="3FAB4F6C"/>
    <w:rsid w:val="3FDD4EE9"/>
    <w:rsid w:val="3FFD4F38"/>
    <w:rsid w:val="4001215B"/>
    <w:rsid w:val="40363976"/>
    <w:rsid w:val="40BE15BF"/>
    <w:rsid w:val="410B0770"/>
    <w:rsid w:val="41164163"/>
    <w:rsid w:val="41243B08"/>
    <w:rsid w:val="412C36E4"/>
    <w:rsid w:val="417D6D1A"/>
    <w:rsid w:val="418127DF"/>
    <w:rsid w:val="41AA0554"/>
    <w:rsid w:val="41D44F7F"/>
    <w:rsid w:val="41D974FC"/>
    <w:rsid w:val="41F00D72"/>
    <w:rsid w:val="41F3562F"/>
    <w:rsid w:val="422B45BB"/>
    <w:rsid w:val="424D5CB4"/>
    <w:rsid w:val="42596F94"/>
    <w:rsid w:val="425C7B80"/>
    <w:rsid w:val="42640B4C"/>
    <w:rsid w:val="42B67024"/>
    <w:rsid w:val="431C1B20"/>
    <w:rsid w:val="438E5433"/>
    <w:rsid w:val="43943665"/>
    <w:rsid w:val="43A00C61"/>
    <w:rsid w:val="43D45C44"/>
    <w:rsid w:val="43EA28F9"/>
    <w:rsid w:val="43F10B3A"/>
    <w:rsid w:val="44334B19"/>
    <w:rsid w:val="444F6C43"/>
    <w:rsid w:val="44627A06"/>
    <w:rsid w:val="44940809"/>
    <w:rsid w:val="44AF71F4"/>
    <w:rsid w:val="44B214A0"/>
    <w:rsid w:val="450B590B"/>
    <w:rsid w:val="45107D28"/>
    <w:rsid w:val="45667FC1"/>
    <w:rsid w:val="458D16E9"/>
    <w:rsid w:val="462540D9"/>
    <w:rsid w:val="46293F61"/>
    <w:rsid w:val="4629649D"/>
    <w:rsid w:val="466A4950"/>
    <w:rsid w:val="467A45B7"/>
    <w:rsid w:val="468929FE"/>
    <w:rsid w:val="46E4563D"/>
    <w:rsid w:val="47084895"/>
    <w:rsid w:val="475F0822"/>
    <w:rsid w:val="476D58C1"/>
    <w:rsid w:val="47C97399"/>
    <w:rsid w:val="484B3C6D"/>
    <w:rsid w:val="484C0344"/>
    <w:rsid w:val="484D11BD"/>
    <w:rsid w:val="48783370"/>
    <w:rsid w:val="48814E52"/>
    <w:rsid w:val="48C96714"/>
    <w:rsid w:val="492B6261"/>
    <w:rsid w:val="495161E5"/>
    <w:rsid w:val="49655F9F"/>
    <w:rsid w:val="498725AA"/>
    <w:rsid w:val="49ED7F54"/>
    <w:rsid w:val="49F15E7A"/>
    <w:rsid w:val="4A3278D4"/>
    <w:rsid w:val="4A3608D0"/>
    <w:rsid w:val="4A5A03D8"/>
    <w:rsid w:val="4A6F7B41"/>
    <w:rsid w:val="4ACB476F"/>
    <w:rsid w:val="4AE225F5"/>
    <w:rsid w:val="4AEE67C6"/>
    <w:rsid w:val="4AF078AE"/>
    <w:rsid w:val="4AF46FB1"/>
    <w:rsid w:val="4B020FDA"/>
    <w:rsid w:val="4B286ED7"/>
    <w:rsid w:val="4B344CF0"/>
    <w:rsid w:val="4B6B4193"/>
    <w:rsid w:val="4B8C39D3"/>
    <w:rsid w:val="4BCD04F2"/>
    <w:rsid w:val="4BD840B0"/>
    <w:rsid w:val="4BFF1235"/>
    <w:rsid w:val="4C0669B0"/>
    <w:rsid w:val="4C072813"/>
    <w:rsid w:val="4C433FAB"/>
    <w:rsid w:val="4C630CC7"/>
    <w:rsid w:val="4CB14AD8"/>
    <w:rsid w:val="4CE6760C"/>
    <w:rsid w:val="4CE967C9"/>
    <w:rsid w:val="4D284330"/>
    <w:rsid w:val="4D860D96"/>
    <w:rsid w:val="4DB0741A"/>
    <w:rsid w:val="4DC35929"/>
    <w:rsid w:val="4E107DCB"/>
    <w:rsid w:val="4EB831D2"/>
    <w:rsid w:val="4EFB168B"/>
    <w:rsid w:val="4F161B19"/>
    <w:rsid w:val="4F5B5DD0"/>
    <w:rsid w:val="4F696418"/>
    <w:rsid w:val="4FAF15FD"/>
    <w:rsid w:val="4FD61243"/>
    <w:rsid w:val="4FE46359"/>
    <w:rsid w:val="500D280C"/>
    <w:rsid w:val="500D6A78"/>
    <w:rsid w:val="50AC4844"/>
    <w:rsid w:val="50BE4276"/>
    <w:rsid w:val="50C37DDF"/>
    <w:rsid w:val="50E654A0"/>
    <w:rsid w:val="516A1362"/>
    <w:rsid w:val="51736542"/>
    <w:rsid w:val="519D3E2C"/>
    <w:rsid w:val="51B93613"/>
    <w:rsid w:val="51CB047F"/>
    <w:rsid w:val="52876AB7"/>
    <w:rsid w:val="52A3589A"/>
    <w:rsid w:val="52F30900"/>
    <w:rsid w:val="533F2FA3"/>
    <w:rsid w:val="534F5BFA"/>
    <w:rsid w:val="5371478D"/>
    <w:rsid w:val="5390532E"/>
    <w:rsid w:val="53CF6FFD"/>
    <w:rsid w:val="53FD42F8"/>
    <w:rsid w:val="54196F7E"/>
    <w:rsid w:val="545B21FD"/>
    <w:rsid w:val="546C3264"/>
    <w:rsid w:val="5475591D"/>
    <w:rsid w:val="547879FD"/>
    <w:rsid w:val="54881554"/>
    <w:rsid w:val="54887764"/>
    <w:rsid w:val="54B85FF6"/>
    <w:rsid w:val="54BE17C1"/>
    <w:rsid w:val="54CC03A8"/>
    <w:rsid w:val="54D85DA0"/>
    <w:rsid w:val="55081FC7"/>
    <w:rsid w:val="554C385B"/>
    <w:rsid w:val="55996F52"/>
    <w:rsid w:val="55A90190"/>
    <w:rsid w:val="562C126D"/>
    <w:rsid w:val="56C729EB"/>
    <w:rsid w:val="572C4B01"/>
    <w:rsid w:val="57B9579A"/>
    <w:rsid w:val="57BE5CD1"/>
    <w:rsid w:val="57FA57E7"/>
    <w:rsid w:val="580E39B4"/>
    <w:rsid w:val="58D8330E"/>
    <w:rsid w:val="58F87CB3"/>
    <w:rsid w:val="58FD0E97"/>
    <w:rsid w:val="597A5D79"/>
    <w:rsid w:val="59B20277"/>
    <w:rsid w:val="59DB06B8"/>
    <w:rsid w:val="5A07107D"/>
    <w:rsid w:val="5A082C79"/>
    <w:rsid w:val="5A1800D1"/>
    <w:rsid w:val="5A2300DF"/>
    <w:rsid w:val="5A851E49"/>
    <w:rsid w:val="5AC00CB2"/>
    <w:rsid w:val="5B1B613A"/>
    <w:rsid w:val="5B215ACE"/>
    <w:rsid w:val="5B4121F6"/>
    <w:rsid w:val="5B7972F8"/>
    <w:rsid w:val="5C3629E3"/>
    <w:rsid w:val="5C36575D"/>
    <w:rsid w:val="5C4D2305"/>
    <w:rsid w:val="5C7A151B"/>
    <w:rsid w:val="5CC92147"/>
    <w:rsid w:val="5CE054F0"/>
    <w:rsid w:val="5CF80AB0"/>
    <w:rsid w:val="5D3B3CC1"/>
    <w:rsid w:val="5D810176"/>
    <w:rsid w:val="5DEF485A"/>
    <w:rsid w:val="5DF42484"/>
    <w:rsid w:val="5E30163C"/>
    <w:rsid w:val="5E584B22"/>
    <w:rsid w:val="5E963D74"/>
    <w:rsid w:val="5EB05B53"/>
    <w:rsid w:val="5EC953EE"/>
    <w:rsid w:val="5EDE30D4"/>
    <w:rsid w:val="5F6C4528"/>
    <w:rsid w:val="5FDA3AB3"/>
    <w:rsid w:val="5FE85B4A"/>
    <w:rsid w:val="601662D2"/>
    <w:rsid w:val="609D1D20"/>
    <w:rsid w:val="60CF010C"/>
    <w:rsid w:val="60F0237D"/>
    <w:rsid w:val="60FC2626"/>
    <w:rsid w:val="6114447D"/>
    <w:rsid w:val="612F688A"/>
    <w:rsid w:val="61404F96"/>
    <w:rsid w:val="61730A5C"/>
    <w:rsid w:val="61AA445C"/>
    <w:rsid w:val="620A7262"/>
    <w:rsid w:val="62130390"/>
    <w:rsid w:val="6221261E"/>
    <w:rsid w:val="62495C8F"/>
    <w:rsid w:val="624E749B"/>
    <w:rsid w:val="62E66D42"/>
    <w:rsid w:val="63645575"/>
    <w:rsid w:val="638F4A66"/>
    <w:rsid w:val="63BD3AD9"/>
    <w:rsid w:val="63E50691"/>
    <w:rsid w:val="64431560"/>
    <w:rsid w:val="644A5A8D"/>
    <w:rsid w:val="64931C0E"/>
    <w:rsid w:val="64937E52"/>
    <w:rsid w:val="64991F20"/>
    <w:rsid w:val="64AE087E"/>
    <w:rsid w:val="65151122"/>
    <w:rsid w:val="652E477D"/>
    <w:rsid w:val="65701525"/>
    <w:rsid w:val="65756AC3"/>
    <w:rsid w:val="65CA6ED4"/>
    <w:rsid w:val="65D336CE"/>
    <w:rsid w:val="65D62A3B"/>
    <w:rsid w:val="663664CE"/>
    <w:rsid w:val="666102CC"/>
    <w:rsid w:val="666A6039"/>
    <w:rsid w:val="669748D6"/>
    <w:rsid w:val="66981327"/>
    <w:rsid w:val="66B87B39"/>
    <w:rsid w:val="66D6425C"/>
    <w:rsid w:val="66E132ED"/>
    <w:rsid w:val="670D61E1"/>
    <w:rsid w:val="674F2257"/>
    <w:rsid w:val="677B0C56"/>
    <w:rsid w:val="678847EA"/>
    <w:rsid w:val="678C5B11"/>
    <w:rsid w:val="67A30DA0"/>
    <w:rsid w:val="67A755AC"/>
    <w:rsid w:val="682B27FE"/>
    <w:rsid w:val="68447B4D"/>
    <w:rsid w:val="6868111E"/>
    <w:rsid w:val="687D2358"/>
    <w:rsid w:val="688D352F"/>
    <w:rsid w:val="68BF66CB"/>
    <w:rsid w:val="68EB1323"/>
    <w:rsid w:val="68F67FEE"/>
    <w:rsid w:val="69124CA8"/>
    <w:rsid w:val="69140A20"/>
    <w:rsid w:val="693102DE"/>
    <w:rsid w:val="69351CD3"/>
    <w:rsid w:val="693D4234"/>
    <w:rsid w:val="693F5DAF"/>
    <w:rsid w:val="69856E5F"/>
    <w:rsid w:val="698A3574"/>
    <w:rsid w:val="69977F9A"/>
    <w:rsid w:val="69C87BF5"/>
    <w:rsid w:val="6A2E4072"/>
    <w:rsid w:val="6A5738B7"/>
    <w:rsid w:val="6AAD6A36"/>
    <w:rsid w:val="6B2A3564"/>
    <w:rsid w:val="6B380B2D"/>
    <w:rsid w:val="6BA53BB1"/>
    <w:rsid w:val="6BF55E46"/>
    <w:rsid w:val="6C0C200C"/>
    <w:rsid w:val="6C406018"/>
    <w:rsid w:val="6CA45D41"/>
    <w:rsid w:val="6CAD4554"/>
    <w:rsid w:val="6CBC6D31"/>
    <w:rsid w:val="6CBD02D6"/>
    <w:rsid w:val="6CCC6B7A"/>
    <w:rsid w:val="6CED1CB3"/>
    <w:rsid w:val="6D1720EA"/>
    <w:rsid w:val="6D1C5581"/>
    <w:rsid w:val="6D5F1715"/>
    <w:rsid w:val="6D75048C"/>
    <w:rsid w:val="6DAB3F75"/>
    <w:rsid w:val="6E316721"/>
    <w:rsid w:val="6E361438"/>
    <w:rsid w:val="6E6C2C50"/>
    <w:rsid w:val="6E73542D"/>
    <w:rsid w:val="6E800C9E"/>
    <w:rsid w:val="6EA5177C"/>
    <w:rsid w:val="6EF74F7A"/>
    <w:rsid w:val="6F38048A"/>
    <w:rsid w:val="6F762D13"/>
    <w:rsid w:val="6F777BE1"/>
    <w:rsid w:val="6F942134"/>
    <w:rsid w:val="6FBB7BE3"/>
    <w:rsid w:val="6FBC758A"/>
    <w:rsid w:val="6FDF7BB1"/>
    <w:rsid w:val="701B712B"/>
    <w:rsid w:val="70C22A81"/>
    <w:rsid w:val="70ED1A78"/>
    <w:rsid w:val="70F40EFE"/>
    <w:rsid w:val="710800F1"/>
    <w:rsid w:val="7134791E"/>
    <w:rsid w:val="71793B16"/>
    <w:rsid w:val="717E4EA6"/>
    <w:rsid w:val="71A03C2D"/>
    <w:rsid w:val="71F50383"/>
    <w:rsid w:val="722C5CDC"/>
    <w:rsid w:val="724059FD"/>
    <w:rsid w:val="72410CCD"/>
    <w:rsid w:val="725F4256"/>
    <w:rsid w:val="72AF3033"/>
    <w:rsid w:val="72BA4392"/>
    <w:rsid w:val="72DA1895"/>
    <w:rsid w:val="738064D9"/>
    <w:rsid w:val="73945AB0"/>
    <w:rsid w:val="73FF76BA"/>
    <w:rsid w:val="742A7152"/>
    <w:rsid w:val="748E1279"/>
    <w:rsid w:val="74BC2D72"/>
    <w:rsid w:val="74C3215F"/>
    <w:rsid w:val="74C67C76"/>
    <w:rsid w:val="74EF7406"/>
    <w:rsid w:val="751B1FB3"/>
    <w:rsid w:val="753F06F4"/>
    <w:rsid w:val="754A539E"/>
    <w:rsid w:val="75696016"/>
    <w:rsid w:val="75726120"/>
    <w:rsid w:val="75B55338"/>
    <w:rsid w:val="7658042A"/>
    <w:rsid w:val="76693C8D"/>
    <w:rsid w:val="766A39DC"/>
    <w:rsid w:val="766A7ED1"/>
    <w:rsid w:val="76CB4489"/>
    <w:rsid w:val="76E24441"/>
    <w:rsid w:val="76E95ECF"/>
    <w:rsid w:val="77175E27"/>
    <w:rsid w:val="77471FC0"/>
    <w:rsid w:val="776A483A"/>
    <w:rsid w:val="77813724"/>
    <w:rsid w:val="77C11FB8"/>
    <w:rsid w:val="77D67BC4"/>
    <w:rsid w:val="780B7492"/>
    <w:rsid w:val="78126A72"/>
    <w:rsid w:val="78757AE0"/>
    <w:rsid w:val="78B3446E"/>
    <w:rsid w:val="78B94DA4"/>
    <w:rsid w:val="78D35A11"/>
    <w:rsid w:val="78E83D93"/>
    <w:rsid w:val="79034838"/>
    <w:rsid w:val="79DE272E"/>
    <w:rsid w:val="79E15D6E"/>
    <w:rsid w:val="79F80992"/>
    <w:rsid w:val="7A003694"/>
    <w:rsid w:val="7A077959"/>
    <w:rsid w:val="7A5F3D09"/>
    <w:rsid w:val="7AC820D8"/>
    <w:rsid w:val="7AE828B7"/>
    <w:rsid w:val="7AF37EAE"/>
    <w:rsid w:val="7B802805"/>
    <w:rsid w:val="7B8D24BE"/>
    <w:rsid w:val="7BED2B12"/>
    <w:rsid w:val="7BFE1795"/>
    <w:rsid w:val="7CD33CA2"/>
    <w:rsid w:val="7CD81017"/>
    <w:rsid w:val="7CF675A5"/>
    <w:rsid w:val="7D0F3580"/>
    <w:rsid w:val="7D3263E4"/>
    <w:rsid w:val="7D3C01AF"/>
    <w:rsid w:val="7D4D58B3"/>
    <w:rsid w:val="7D72368D"/>
    <w:rsid w:val="7D8E70AB"/>
    <w:rsid w:val="7D997248"/>
    <w:rsid w:val="7DF40DCA"/>
    <w:rsid w:val="7E0E2923"/>
    <w:rsid w:val="7E6D67B0"/>
    <w:rsid w:val="7E8903A0"/>
    <w:rsid w:val="7EC0466C"/>
    <w:rsid w:val="7EC41F4F"/>
    <w:rsid w:val="7EE800DE"/>
    <w:rsid w:val="7F037763"/>
    <w:rsid w:val="7F116596"/>
    <w:rsid w:val="7F1C1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60" w:after="60" w:line="413" w:lineRule="auto"/>
      <w:outlineLvl w:val="1"/>
    </w:pPr>
    <w:rPr>
      <w:rFonts w:ascii="Arial" w:hAnsi="Arial" w:eastAsia="黑体"/>
      <w:b/>
      <w:bCs/>
      <w:szCs w:val="32"/>
    </w:rPr>
  </w:style>
  <w:style w:type="paragraph" w:styleId="7">
    <w:name w:val="heading 3"/>
    <w:basedOn w:val="1"/>
    <w:next w:val="1"/>
    <w:unhideWhenUsed/>
    <w:qFormat/>
    <w:uiPriority w:val="9"/>
    <w:pPr>
      <w:keepNext/>
      <w:keepLines/>
      <w:spacing w:before="200" w:after="200" w:line="360" w:lineRule="auto"/>
      <w:jc w:val="left"/>
      <w:outlineLvl w:val="2"/>
    </w:pPr>
    <w:rPr>
      <w:b/>
      <w:bCs/>
      <w:color w:val="000000"/>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paragraph" w:styleId="9">
    <w:name w:val="heading 6"/>
    <w:basedOn w:val="1"/>
    <w:next w:val="1"/>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ind w:firstLine="0"/>
    </w:pPr>
    <w:rPr>
      <w:bCs/>
      <w:spacing w:val="10"/>
      <w:kern w:val="0"/>
    </w:rPr>
  </w:style>
  <w:style w:type="paragraph" w:styleId="3">
    <w:name w:val="Body Text Indent"/>
    <w:basedOn w:val="1"/>
    <w:next w:val="1"/>
    <w:qFormat/>
    <w:uiPriority w:val="0"/>
    <w:pPr>
      <w:ind w:firstLine="830" w:firstLineChars="352"/>
    </w:pPr>
    <w:rPr>
      <w:rFonts w:ascii="仿宋_GB2312" w:eastAsia="仿宋_GB2312"/>
      <w:sz w:val="32"/>
      <w:szCs w:val="20"/>
    </w:rPr>
  </w:style>
  <w:style w:type="paragraph" w:styleId="4">
    <w:name w:val="Body Text"/>
    <w:basedOn w:val="1"/>
    <w:next w:val="1"/>
    <w:qFormat/>
    <w:uiPriority w:val="0"/>
    <w:pPr>
      <w:spacing w:line="380" w:lineRule="exact"/>
    </w:pPr>
    <w:rPr>
      <w:sz w:val="24"/>
    </w:rPr>
  </w:style>
  <w:style w:type="paragraph" w:styleId="10">
    <w:name w:val="Normal Indent"/>
    <w:basedOn w:val="1"/>
    <w:next w:val="11"/>
    <w:qFormat/>
    <w:uiPriority w:val="0"/>
    <w:pPr>
      <w:ind w:firstLine="420"/>
    </w:pPr>
    <w:rPr>
      <w:szCs w:val="20"/>
    </w:rPr>
  </w:style>
  <w:style w:type="paragraph" w:customStyle="1" w:styleId="11">
    <w:name w:val="图表标题"/>
    <w:basedOn w:val="12"/>
    <w:next w:val="12"/>
    <w:qFormat/>
    <w:uiPriority w:val="0"/>
    <w:pPr>
      <w:spacing w:line="360" w:lineRule="auto"/>
      <w:jc w:val="center"/>
    </w:pPr>
    <w:rPr>
      <w:rFonts w:ascii="Times New Roman" w:hAnsi="Times New Roman"/>
      <w:sz w:val="24"/>
    </w:rPr>
  </w:style>
  <w:style w:type="paragraph" w:styleId="12">
    <w:name w:val="caption"/>
    <w:basedOn w:val="1"/>
    <w:next w:val="1"/>
    <w:qFormat/>
    <w:uiPriority w:val="0"/>
    <w:rPr>
      <w:b/>
      <w:sz w:val="28"/>
      <w:szCs w:val="20"/>
    </w:rPr>
  </w:style>
  <w:style w:type="paragraph" w:styleId="13">
    <w:name w:val="annotation text"/>
    <w:basedOn w:val="1"/>
    <w:link w:val="47"/>
    <w:qFormat/>
    <w:uiPriority w:val="0"/>
    <w:pPr>
      <w:jc w:val="left"/>
    </w:pPr>
  </w:style>
  <w:style w:type="paragraph" w:styleId="14">
    <w:name w:val="Block Text"/>
    <w:basedOn w:val="1"/>
    <w:qFormat/>
    <w:uiPriority w:val="0"/>
    <w:pPr>
      <w:adjustRightInd w:val="0"/>
      <w:ind w:left="420" w:right="33"/>
      <w:jc w:val="left"/>
      <w:textAlignment w:val="baseline"/>
    </w:pPr>
    <w:rPr>
      <w:kern w:val="0"/>
      <w:sz w:val="24"/>
      <w:szCs w:val="20"/>
    </w:rPr>
  </w:style>
  <w:style w:type="paragraph" w:styleId="15">
    <w:name w:val="Plain Text"/>
    <w:basedOn w:val="1"/>
    <w:next w:val="8"/>
    <w:qFormat/>
    <w:uiPriority w:val="0"/>
    <w:rPr>
      <w:rFonts w:ascii="宋体" w:hAnsi="Courier New" w:cs="Courier New"/>
      <w:szCs w:val="21"/>
    </w:rPr>
  </w:style>
  <w:style w:type="paragraph" w:styleId="16">
    <w:name w:val="Body Text Indent 2"/>
    <w:basedOn w:val="1"/>
    <w:qFormat/>
    <w:uiPriority w:val="0"/>
    <w:pPr>
      <w:spacing w:line="400" w:lineRule="exact"/>
      <w:ind w:firstLine="480"/>
    </w:pPr>
  </w:style>
  <w:style w:type="paragraph" w:styleId="17">
    <w:name w:val="Balloon Text"/>
    <w:basedOn w:val="1"/>
    <w:link w:val="46"/>
    <w:qFormat/>
    <w:uiPriority w:val="0"/>
    <w:rPr>
      <w:sz w:val="18"/>
      <w:szCs w:val="18"/>
    </w:rPr>
  </w:style>
  <w:style w:type="paragraph" w:styleId="18">
    <w:name w:val="footer"/>
    <w:basedOn w:val="1"/>
    <w:next w:val="1"/>
    <w:qFormat/>
    <w:uiPriority w:val="0"/>
    <w:pPr>
      <w:tabs>
        <w:tab w:val="center" w:pos="4153"/>
        <w:tab w:val="right" w:pos="8306"/>
      </w:tabs>
      <w:snapToGrid w:val="0"/>
      <w:jc w:val="left"/>
    </w:pPr>
    <w:rPr>
      <w:sz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22">
    <w:name w:val="toc 2"/>
    <w:basedOn w:val="1"/>
    <w:next w:val="1"/>
    <w:qFormat/>
    <w:uiPriority w:val="99"/>
    <w:pPr>
      <w:ind w:left="210"/>
      <w:jc w:val="left"/>
    </w:pPr>
    <w:rPr>
      <w:rFonts w:ascii="Calibri" w:hAnsi="Calibri"/>
      <w:smallCaps/>
      <w:sz w:val="20"/>
      <w:szCs w:val="20"/>
    </w:rPr>
  </w:style>
  <w:style w:type="paragraph" w:styleId="23">
    <w:name w:val="Normal (Web)"/>
    <w:basedOn w:val="1"/>
    <w:qFormat/>
    <w:uiPriority w:val="0"/>
    <w:pPr>
      <w:widowControl/>
      <w:spacing w:before="100" w:beforeAutospacing="1" w:after="100" w:afterAutospacing="1"/>
      <w:jc w:val="left"/>
    </w:pPr>
    <w:rPr>
      <w:rFonts w:ascii="宋体" w:hAnsi="宋体"/>
      <w:kern w:val="0"/>
      <w:sz w:val="24"/>
    </w:rPr>
  </w:style>
  <w:style w:type="paragraph" w:styleId="24">
    <w:name w:val="Title"/>
    <w:basedOn w:val="1"/>
    <w:next w:val="1"/>
    <w:qFormat/>
    <w:uiPriority w:val="0"/>
    <w:pPr>
      <w:ind w:firstLine="432"/>
      <w:jc w:val="center"/>
    </w:pPr>
    <w:rPr>
      <w:b/>
      <w:bCs/>
      <w:sz w:val="52"/>
    </w:rPr>
  </w:style>
  <w:style w:type="paragraph" w:styleId="25">
    <w:name w:val="annotation subject"/>
    <w:basedOn w:val="13"/>
    <w:next w:val="13"/>
    <w:link w:val="48"/>
    <w:qFormat/>
    <w:uiPriority w:val="0"/>
    <w:rPr>
      <w:b/>
      <w:bCs/>
    </w:rPr>
  </w:style>
  <w:style w:type="paragraph" w:styleId="26">
    <w:name w:val="Body Text First Indent"/>
    <w:basedOn w:val="4"/>
    <w:next w:val="21"/>
    <w:qFormat/>
    <w:uiPriority w:val="0"/>
    <w:pPr>
      <w:ind w:firstLine="420" w:firstLineChars="100"/>
    </w:pPr>
  </w:style>
  <w:style w:type="paragraph" w:styleId="27">
    <w:name w:val="Body Text First Indent 2"/>
    <w:basedOn w:val="3"/>
    <w:next w:val="1"/>
    <w:unhideWhenUsed/>
    <w:qFormat/>
    <w:uiPriority w:val="99"/>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Hyperlink"/>
    <w:qFormat/>
    <w:uiPriority w:val="99"/>
    <w:rPr>
      <w:color w:val="0000FF"/>
      <w:u w:val="single"/>
    </w:rPr>
  </w:style>
  <w:style w:type="character" w:styleId="33">
    <w:name w:val="annotation reference"/>
    <w:basedOn w:val="30"/>
    <w:qFormat/>
    <w:uiPriority w:val="0"/>
    <w:rPr>
      <w:sz w:val="21"/>
      <w:szCs w:val="21"/>
    </w:rPr>
  </w:style>
  <w:style w:type="paragraph" w:styleId="34">
    <w:name w:val="Intense Quote"/>
    <w:basedOn w:val="1"/>
    <w:next w:val="1"/>
    <w:qFormat/>
    <w:uiPriority w:val="0"/>
    <w:pPr>
      <w:pBdr>
        <w:bottom w:val="single" w:color="4F81BD" w:sz="4" w:space="4"/>
      </w:pBdr>
      <w:ind w:left="936" w:right="936"/>
    </w:pPr>
    <w:rPr>
      <w:rFonts w:ascii="Calibri" w:hAnsi="Calibri"/>
      <w:b/>
      <w:i/>
      <w:color w:val="4F81BD"/>
    </w:rPr>
  </w:style>
  <w:style w:type="paragraph" w:customStyle="1" w:styleId="35">
    <w:name w:val="明显引用1"/>
    <w:next w:val="1"/>
    <w:qFormat/>
    <w:uiPriority w:val="0"/>
    <w:pPr>
      <w:wordWrap w:val="0"/>
      <w:spacing w:before="360" w:after="360"/>
      <w:ind w:left="950" w:right="950"/>
      <w:jc w:val="center"/>
    </w:pPr>
    <w:rPr>
      <w:rFonts w:ascii="宋体" w:hAnsi="宋体" w:eastAsia="Times New Roman" w:cs="Times New Roman"/>
      <w:i/>
      <w:sz w:val="21"/>
      <w:lang w:val="en-US" w:eastAsia="zh-CN" w:bidi="ar-SA"/>
    </w:rPr>
  </w:style>
  <w:style w:type="paragraph" w:customStyle="1" w:styleId="36">
    <w:name w:val="1"/>
    <w:basedOn w:val="1"/>
    <w:next w:val="15"/>
    <w:qFormat/>
    <w:uiPriority w:val="0"/>
    <w:rPr>
      <w:rFonts w:ascii="宋体" w:hAnsi="Courier New"/>
      <w:szCs w:val="20"/>
    </w:rPr>
  </w:style>
  <w:style w:type="paragraph" w:customStyle="1" w:styleId="37">
    <w:name w:val="kj正文"/>
    <w:basedOn w:val="1"/>
    <w:qFormat/>
    <w:uiPriority w:val="99"/>
    <w:pPr>
      <w:ind w:firstLine="200" w:firstLineChars="200"/>
    </w:pPr>
  </w:style>
  <w:style w:type="paragraph" w:styleId="38">
    <w:name w:val="List Paragraph"/>
    <w:basedOn w:val="1"/>
    <w:qFormat/>
    <w:uiPriority w:val="0"/>
    <w:pPr>
      <w:ind w:firstLine="420" w:firstLineChars="200"/>
    </w:pPr>
    <w:rPr>
      <w:rFonts w:ascii="Calibri" w:hAnsi="Calibri"/>
      <w:szCs w:val="22"/>
    </w:rPr>
  </w:style>
  <w:style w:type="paragraph" w:customStyle="1" w:styleId="39">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40">
    <w:name w:val="列出段落1"/>
    <w:basedOn w:val="1"/>
    <w:qFormat/>
    <w:uiPriority w:val="0"/>
    <w:pPr>
      <w:widowControl/>
      <w:ind w:left="720" w:firstLine="360"/>
      <w:jc w:val="left"/>
    </w:pPr>
    <w:rPr>
      <w:rFonts w:ascii="Calibri" w:hAnsi="Calibri"/>
      <w:sz w:val="22"/>
      <w:szCs w:val="20"/>
      <w:lang w:eastAsia="en-US"/>
    </w:rPr>
  </w:style>
  <w:style w:type="paragraph" w:customStyle="1" w:styleId="41">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43">
    <w:name w:val="font21"/>
    <w:qFormat/>
    <w:uiPriority w:val="0"/>
    <w:rPr>
      <w:rFonts w:hint="eastAsia" w:ascii="宋体" w:hAnsi="宋体" w:eastAsia="宋体" w:cs="宋体"/>
      <w:color w:val="000000"/>
      <w:sz w:val="21"/>
      <w:szCs w:val="21"/>
      <w:u w:val="none"/>
    </w:rPr>
  </w:style>
  <w:style w:type="paragraph" w:customStyle="1" w:styleId="4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5">
    <w:name w:val="中等深浅网格 1 - 着色 2"/>
    <w:basedOn w:val="1"/>
    <w:qFormat/>
    <w:uiPriority w:val="34"/>
    <w:pPr>
      <w:ind w:firstLine="420" w:firstLineChars="200"/>
    </w:pPr>
    <w:rPr>
      <w:rFonts w:ascii="Calibri" w:hAnsi="Calibri"/>
      <w:szCs w:val="22"/>
    </w:rPr>
  </w:style>
  <w:style w:type="character" w:customStyle="1" w:styleId="46">
    <w:name w:val="批注框文本 Char"/>
    <w:basedOn w:val="30"/>
    <w:link w:val="17"/>
    <w:qFormat/>
    <w:uiPriority w:val="0"/>
    <w:rPr>
      <w:kern w:val="2"/>
      <w:sz w:val="18"/>
      <w:szCs w:val="18"/>
    </w:rPr>
  </w:style>
  <w:style w:type="character" w:customStyle="1" w:styleId="47">
    <w:name w:val="批注文字 Char"/>
    <w:basedOn w:val="30"/>
    <w:link w:val="13"/>
    <w:qFormat/>
    <w:uiPriority w:val="0"/>
    <w:rPr>
      <w:kern w:val="2"/>
      <w:sz w:val="21"/>
      <w:szCs w:val="24"/>
    </w:rPr>
  </w:style>
  <w:style w:type="character" w:customStyle="1" w:styleId="48">
    <w:name w:val="批注主题 Char"/>
    <w:basedOn w:val="47"/>
    <w:link w:val="25"/>
    <w:qFormat/>
    <w:uiPriority w:val="0"/>
    <w:rPr>
      <w:b/>
      <w:bCs/>
      <w:kern w:val="2"/>
      <w:sz w:val="21"/>
      <w:szCs w:val="24"/>
    </w:rPr>
  </w:style>
  <w:style w:type="paragraph" w:customStyle="1" w:styleId="49">
    <w:name w:val="表格文字115"/>
    <w:basedOn w:val="1"/>
    <w:qFormat/>
    <w:uiPriority w:val="0"/>
    <w:pPr>
      <w:spacing w:before="25" w:after="25"/>
      <w:jc w:val="left"/>
    </w:pPr>
    <w:rPr>
      <w:bCs/>
      <w:spacing w:val="10"/>
      <w:kern w:val="0"/>
      <w:sz w:val="24"/>
    </w:rPr>
  </w:style>
  <w:style w:type="paragraph" w:customStyle="1" w:styleId="50">
    <w:name w:val="Heading2"/>
    <w:basedOn w:val="1"/>
    <w:next w:val="1"/>
    <w:qFormat/>
    <w:uiPriority w:val="0"/>
    <w:pPr>
      <w:textAlignment w:val="baseline"/>
    </w:pPr>
    <w:rPr>
      <w:rFonts w:ascii="宋体" w:hAnsi="宋体"/>
      <w:sz w:val="30"/>
    </w:rPr>
  </w:style>
  <w:style w:type="character" w:customStyle="1" w:styleId="51">
    <w:name w:val="NormalCharacter"/>
    <w:qFormat/>
    <w:uiPriority w:val="99"/>
  </w:style>
  <w:style w:type="paragraph" w:customStyle="1" w:styleId="52">
    <w:name w:val="Body text|5"/>
    <w:basedOn w:val="1"/>
    <w:qFormat/>
    <w:uiPriority w:val="0"/>
    <w:pPr>
      <w:spacing w:line="633" w:lineRule="exact"/>
      <w:ind w:firstLine="920"/>
    </w:pPr>
    <w:rPr>
      <w:sz w:val="30"/>
      <w:szCs w:val="30"/>
      <w:lang w:val="zh-TW" w:eastAsia="zh-TW" w:bidi="zh-TW"/>
    </w:rPr>
  </w:style>
  <w:style w:type="paragraph" w:customStyle="1" w:styleId="53">
    <w:name w:val="Body text|1"/>
    <w:basedOn w:val="1"/>
    <w:qFormat/>
    <w:uiPriority w:val="99"/>
    <w:pPr>
      <w:spacing w:line="360" w:lineRule="auto"/>
      <w:ind w:firstLine="400"/>
      <w:jc w:val="left"/>
    </w:pPr>
    <w:rPr>
      <w:rFonts w:hAnsi="宋体"/>
      <w:sz w:val="20"/>
      <w:szCs w:val="20"/>
      <w:lang w:val="zh-CN"/>
    </w:rPr>
  </w:style>
  <w:style w:type="paragraph" w:customStyle="1" w:styleId="54">
    <w:name w:val="样式 0正文 + 首行缩进:  2 字符1"/>
    <w:basedOn w:val="1"/>
    <w:qFormat/>
    <w:uiPriority w:val="99"/>
    <w:pPr>
      <w:spacing w:line="360" w:lineRule="auto"/>
      <w:ind w:firstLine="200" w:firstLineChars="200"/>
    </w:pPr>
    <w:rPr>
      <w:szCs w:val="20"/>
    </w:rPr>
  </w:style>
  <w:style w:type="table" w:customStyle="1" w:styleId="55">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56">
    <w:name w:val="Table Paragraph"/>
    <w:basedOn w:val="1"/>
    <w:qFormat/>
    <w:uiPriority w:val="0"/>
    <w:pPr>
      <w:jc w:val="left"/>
    </w:pPr>
    <w:rPr>
      <w:rFonts w:ascii="Calibri" w:hAnsi="Calibri"/>
      <w:kern w:val="0"/>
      <w:sz w:val="22"/>
      <w:szCs w:val="22"/>
      <w:lang w:eastAsia="en-US"/>
    </w:rPr>
  </w:style>
  <w:style w:type="paragraph" w:customStyle="1" w:styleId="57">
    <w:name w:val="*正文"/>
    <w:basedOn w:val="1"/>
    <w:qFormat/>
    <w:uiPriority w:val="0"/>
    <w:pPr>
      <w:snapToGrid w:val="0"/>
      <w:spacing w:line="360" w:lineRule="auto"/>
      <w:ind w:firstLine="482"/>
      <w:jc w:val="left"/>
    </w:pPr>
    <w:rPr>
      <w:rFonts w:ascii="宋体" w:hAnsi="宋体"/>
      <w:kern w:val="0"/>
      <w:sz w:val="24"/>
      <w:szCs w:val="20"/>
    </w:rPr>
  </w:style>
  <w:style w:type="paragraph" w:customStyle="1" w:styleId="58">
    <w:name w:val="正文2"/>
    <w:basedOn w:val="1"/>
    <w:qFormat/>
    <w:uiPriority w:val="0"/>
    <w:pPr>
      <w:spacing w:before="156" w:line="360" w:lineRule="auto"/>
      <w:ind w:firstLine="510" w:firstLineChars="200"/>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47</Pages>
  <Words>10000</Words>
  <Characters>11092</Characters>
  <Lines>241</Lines>
  <Paragraphs>67</Paragraphs>
  <TotalTime>22</TotalTime>
  <ScaleCrop>false</ScaleCrop>
  <LinksUpToDate>false</LinksUpToDate>
  <CharactersWithSpaces>11381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2024-10-15T08:06:00Z</dcterms:created>
  <dc:creator>新宇业务科</dc:creator>
  <cp:lastModifiedBy>力香</cp:lastModifiedBy>
  <cp:lastPrinted>2022-11-18T03:29:00Z</cp:lastPrinted>
  <dcterms:modified xsi:type="dcterms:W3CDTF">2025-11-17T02:38:00Z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4FDC79F32FC74456B6DED36ECA34D2C0</vt:lpwstr>
  </property>
  <property fmtid="{D5CDD505-2E9C-101B-9397-08002B2CF9AE}" pid="4" name="KSOTemplateDocerSaveRecord">
    <vt:lpwstr>eyJoZGlkIjoiN2VmYjE4NmZmNTk1NTQ2NzgyOWZlODI1M2RlYzQ3NmMiLCJ1c2VySWQiOiIyOTg5NTMwMjgifQ==</vt:lpwstr>
  </property>
</Properties>
</file>