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3065E">
      <w:pPr>
        <w:spacing w:beforeLines="100" w:afterLines="50" w:line="600" w:lineRule="exact"/>
        <w:jc w:val="center"/>
        <w:rPr>
          <w:rFonts w:ascii="方正小标宋简体" w:hAnsi="宋体" w:eastAsia="方正小标宋简体"/>
          <w:color w:val="auto"/>
          <w:sz w:val="52"/>
          <w:szCs w:val="52"/>
          <w:highlight w:val="none"/>
        </w:rPr>
      </w:pPr>
    </w:p>
    <w:p w14:paraId="2DE304AB">
      <w:pPr>
        <w:spacing w:line="360" w:lineRule="auto"/>
        <w:jc w:val="center"/>
        <w:rPr>
          <w:rFonts w:ascii="方正小标宋简体" w:hAnsi="宋体" w:eastAsia="方正小标宋简体"/>
          <w:color w:val="auto"/>
          <w:sz w:val="52"/>
          <w:szCs w:val="52"/>
          <w:highlight w:val="none"/>
        </w:rPr>
      </w:pPr>
      <w:bookmarkStart w:id="0" w:name="OLE_LINK1"/>
      <w:r>
        <w:rPr>
          <w:rFonts w:hint="eastAsia" w:ascii="方正小标宋简体" w:hAnsi="宋体" w:eastAsia="方正小标宋简体"/>
          <w:color w:val="auto"/>
          <w:sz w:val="52"/>
          <w:szCs w:val="52"/>
          <w:highlight w:val="none"/>
        </w:rPr>
        <w:t>云之龙咨询集团有限公司</w:t>
      </w:r>
    </w:p>
    <w:bookmarkEnd w:id="0"/>
    <w:p w14:paraId="70681747">
      <w:pPr>
        <w:spacing w:beforeLines="50" w:line="360" w:lineRule="auto"/>
        <w:jc w:val="center"/>
        <w:rPr>
          <w:rFonts w:ascii="宋体" w:hAnsi="宋体"/>
          <w:i/>
          <w:color w:val="auto"/>
          <w:sz w:val="52"/>
          <w:szCs w:val="52"/>
          <w:highlight w:val="none"/>
        </w:rPr>
      </w:pPr>
    </w:p>
    <w:p w14:paraId="0026081A">
      <w:pPr>
        <w:spacing w:line="360" w:lineRule="auto"/>
        <w:jc w:val="center"/>
        <w:rPr>
          <w:rFonts w:ascii="方正小标宋简体" w:hAnsi="方正小标宋简体" w:eastAsia="方正小标宋简体" w:cs="方正小标宋简体"/>
          <w:b/>
          <w:color w:val="auto"/>
          <w:sz w:val="44"/>
          <w:szCs w:val="44"/>
          <w:highlight w:val="none"/>
        </w:rPr>
      </w:pPr>
    </w:p>
    <w:p w14:paraId="72841784">
      <w:pPr>
        <w:snapToGrid w:val="0"/>
        <w:spacing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竞争性谈判文件</w:t>
      </w:r>
    </w:p>
    <w:p w14:paraId="7265114A">
      <w:pPr>
        <w:snapToGrid w:val="0"/>
        <w:spacing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（全流程电子化采购）</w:t>
      </w:r>
    </w:p>
    <w:p w14:paraId="79E3927F">
      <w:pPr>
        <w:snapToGrid w:val="0"/>
        <w:spacing w:line="360" w:lineRule="auto"/>
        <w:rPr>
          <w:rFonts w:ascii="仿宋_GB2312" w:hAnsi="宋体" w:eastAsia="仿宋_GB2312"/>
          <w:color w:val="auto"/>
          <w:sz w:val="30"/>
          <w:szCs w:val="72"/>
          <w:highlight w:val="none"/>
        </w:rPr>
      </w:pPr>
    </w:p>
    <w:p w14:paraId="11B5E742">
      <w:pPr>
        <w:pStyle w:val="12"/>
        <w:snapToGrid w:val="0"/>
        <w:spacing w:line="360" w:lineRule="auto"/>
        <w:ind w:firstLine="1193" w:firstLineChars="396"/>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罪犯伙房米粉、面粉采购</w:t>
      </w:r>
    </w:p>
    <w:p w14:paraId="126F7843">
      <w:pPr>
        <w:snapToGrid w:val="0"/>
        <w:spacing w:line="360" w:lineRule="auto"/>
        <w:ind w:firstLine="1145" w:firstLineChars="400"/>
        <w:rPr>
          <w:rFonts w:hint="default" w:ascii="仿宋_GB2312" w:hAnsi="宋体" w:eastAsia="仿宋_GB2312"/>
          <w:color w:val="auto"/>
          <w:sz w:val="30"/>
          <w:szCs w:val="72"/>
          <w:highlight w:val="none"/>
          <w:lang w:val="en-US"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：GXZC2025-J1-002006-YZLZ</w:t>
      </w:r>
    </w:p>
    <w:p w14:paraId="34FC305C">
      <w:pPr>
        <w:pStyle w:val="12"/>
        <w:snapToGrid w:val="0"/>
        <w:spacing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 xml:space="preserve">采 购 人：广西壮族自治区钟山监狱 </w:t>
      </w:r>
    </w:p>
    <w:p w14:paraId="0BDB6932">
      <w:pPr>
        <w:pStyle w:val="12"/>
        <w:snapToGrid w:val="0"/>
        <w:spacing w:line="360" w:lineRule="auto"/>
        <w:ind w:firstLine="1125" w:firstLineChars="393"/>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采购代理机构：云之龙咨询集团有限公司</w:t>
      </w:r>
    </w:p>
    <w:p w14:paraId="7648EF28">
      <w:pPr>
        <w:pStyle w:val="12"/>
        <w:snapToGrid w:val="0"/>
        <w:spacing w:line="360" w:lineRule="auto"/>
        <w:ind w:firstLine="1125" w:firstLineChars="393"/>
        <w:rPr>
          <w:rFonts w:ascii="仿宋_GB2312" w:hAnsi="宋体" w:eastAsia="仿宋_GB2312"/>
          <w:b/>
          <w:bCs/>
          <w:color w:val="auto"/>
          <w:w w:val="95"/>
          <w:sz w:val="30"/>
          <w:szCs w:val="30"/>
          <w:highlight w:val="none"/>
        </w:rPr>
      </w:pPr>
    </w:p>
    <w:p w14:paraId="1AD919AB">
      <w:pPr>
        <w:pStyle w:val="12"/>
        <w:snapToGrid w:val="0"/>
        <w:spacing w:line="360" w:lineRule="auto"/>
        <w:ind w:firstLine="1125" w:firstLineChars="393"/>
        <w:rPr>
          <w:rFonts w:ascii="仿宋_GB2312" w:hAnsi="宋体" w:eastAsia="仿宋_GB2312"/>
          <w:b/>
          <w:bCs/>
          <w:color w:val="auto"/>
          <w:w w:val="95"/>
          <w:sz w:val="30"/>
          <w:szCs w:val="30"/>
          <w:highlight w:val="none"/>
        </w:rPr>
      </w:pPr>
    </w:p>
    <w:p w14:paraId="77A62C73">
      <w:pPr>
        <w:pStyle w:val="12"/>
        <w:snapToGrid w:val="0"/>
        <w:spacing w:line="360" w:lineRule="auto"/>
        <w:ind w:firstLine="841" w:firstLineChars="294"/>
        <w:rPr>
          <w:rFonts w:ascii="仿宋_GB2312" w:eastAsia="仿宋_GB2312"/>
          <w:color w:val="auto"/>
          <w:szCs w:val="20"/>
          <w:highlight w:val="none"/>
        </w:rPr>
      </w:pPr>
      <w:r>
        <w:rPr>
          <w:rFonts w:hint="eastAsia" w:ascii="仿宋_GB2312" w:hAnsi="宋体" w:eastAsia="仿宋_GB2312"/>
          <w:b/>
          <w:bCs/>
          <w:color w:val="auto"/>
          <w:w w:val="95"/>
          <w:sz w:val="30"/>
          <w:szCs w:val="30"/>
          <w:highlight w:val="none"/>
        </w:rPr>
        <w:t xml:space="preserve">               2025年</w:t>
      </w:r>
      <w:r>
        <w:rPr>
          <w:rFonts w:hint="eastAsia" w:ascii="仿宋_GB2312" w:hAnsi="宋体" w:eastAsia="仿宋_GB2312"/>
          <w:b/>
          <w:bCs/>
          <w:color w:val="auto"/>
          <w:w w:val="95"/>
          <w:sz w:val="30"/>
          <w:szCs w:val="30"/>
          <w:highlight w:val="none"/>
          <w:lang w:val="en-US" w:eastAsia="zh-CN"/>
        </w:rPr>
        <w:t>7</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15</w:t>
      </w:r>
      <w:r>
        <w:rPr>
          <w:rFonts w:hint="eastAsia" w:ascii="仿宋_GB2312" w:hAnsi="宋体" w:eastAsia="仿宋_GB2312"/>
          <w:b/>
          <w:bCs/>
          <w:color w:val="auto"/>
          <w:w w:val="95"/>
          <w:sz w:val="30"/>
          <w:szCs w:val="30"/>
          <w:highlight w:val="none"/>
        </w:rPr>
        <w:t>日</w:t>
      </w:r>
    </w:p>
    <w:p w14:paraId="46BB536E">
      <w:pPr>
        <w:tabs>
          <w:tab w:val="left" w:pos="1080"/>
        </w:tabs>
        <w:spacing w:line="360" w:lineRule="exact"/>
        <w:ind w:firstLine="480"/>
        <w:rPr>
          <w:rFonts w:ascii="宋体" w:hAnsi="宋体"/>
          <w:b/>
          <w:color w:val="auto"/>
          <w:sz w:val="44"/>
          <w:szCs w:val="44"/>
          <w:highlight w:val="none"/>
        </w:rPr>
      </w:pPr>
      <w:r>
        <w:rPr>
          <w:rFonts w:ascii="仿宋_GB2312" w:hAnsi="宋体" w:eastAsia="仿宋_GB2312"/>
          <w:b/>
          <w:color w:val="auto"/>
          <w:sz w:val="30"/>
          <w:szCs w:val="30"/>
          <w:highlight w:val="none"/>
        </w:rPr>
        <w:br w:type="page"/>
      </w:r>
    </w:p>
    <w:p w14:paraId="64571995">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39698851">
      <w:pPr>
        <w:spacing w:line="400" w:lineRule="exact"/>
        <w:jc w:val="center"/>
        <w:rPr>
          <w:rFonts w:ascii="宋体" w:hAnsi="宋体"/>
          <w:b/>
          <w:color w:val="auto"/>
          <w:sz w:val="44"/>
          <w:szCs w:val="44"/>
          <w:highlight w:val="none"/>
        </w:rPr>
      </w:pPr>
    </w:p>
    <w:p w14:paraId="46AAE414">
      <w:pPr>
        <w:pStyle w:val="17"/>
        <w:tabs>
          <w:tab w:val="right" w:leader="dot" w:pos="8869"/>
        </w:tabs>
        <w:snapToGrid w:val="0"/>
        <w:spacing w:line="500" w:lineRule="atLeast"/>
        <w:rPr>
          <w:rFonts w:ascii="宋体" w:hAnsi="宋体"/>
          <w:b/>
          <w:color w:val="auto"/>
          <w:sz w:val="24"/>
          <w:highlight w:val="none"/>
        </w:rPr>
      </w:pPr>
      <w:r>
        <w:rPr>
          <w:rFonts w:ascii="宋体" w:hAnsi="宋体"/>
          <w:b/>
          <w:color w:val="auto"/>
          <w:sz w:val="24"/>
          <w:highlight w:val="none"/>
        </w:rPr>
        <w:fldChar w:fldCharType="begin"/>
      </w:r>
      <w:r>
        <w:rPr>
          <w:rFonts w:ascii="宋体" w:hAnsi="宋体"/>
          <w:b/>
          <w:color w:val="auto"/>
          <w:sz w:val="24"/>
          <w:highlight w:val="none"/>
        </w:rPr>
        <w:instrText xml:space="preserve"> </w:instrText>
      </w:r>
      <w:r>
        <w:rPr>
          <w:rFonts w:hint="eastAsia" w:ascii="宋体" w:hAnsi="宋体"/>
          <w:b/>
          <w:color w:val="auto"/>
          <w:sz w:val="24"/>
          <w:highlight w:val="none"/>
        </w:rPr>
        <w:instrText xml:space="preserve">TOC \o "1-3" \h \z \u</w:instrText>
      </w:r>
      <w:r>
        <w:rPr>
          <w:rFonts w:ascii="宋体" w:hAnsi="宋体"/>
          <w:b/>
          <w:color w:val="auto"/>
          <w:sz w:val="24"/>
          <w:highlight w:val="none"/>
        </w:rPr>
        <w:instrText xml:space="preserve"> </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"_Toc74322008" </w:instrText>
      </w:r>
      <w:r>
        <w:rPr>
          <w:color w:val="auto"/>
          <w:highlight w:val="none"/>
        </w:rPr>
        <w:fldChar w:fldCharType="separate"/>
      </w:r>
      <w:r>
        <w:rPr>
          <w:rStyle w:val="24"/>
          <w:rFonts w:hint="eastAsia" w:ascii="宋体" w:hAnsi="宋体"/>
          <w:b/>
          <w:color w:val="auto"/>
          <w:sz w:val="24"/>
          <w:highlight w:val="none"/>
        </w:rPr>
        <w:t>第一章</w:t>
      </w:r>
      <w:r>
        <w:rPr>
          <w:rStyle w:val="24"/>
          <w:rFonts w:ascii="宋体" w:hAnsi="宋体"/>
          <w:b/>
          <w:color w:val="auto"/>
          <w:sz w:val="24"/>
          <w:highlight w:val="none"/>
        </w:rPr>
        <w:t xml:space="preserve"> </w:t>
      </w:r>
      <w:r>
        <w:rPr>
          <w:rStyle w:val="24"/>
          <w:rFonts w:hint="eastAsia" w:ascii="宋体" w:hAnsi="宋体"/>
          <w:b/>
          <w:color w:val="auto"/>
          <w:sz w:val="24"/>
          <w:highlight w:val="none"/>
        </w:rPr>
        <w:t>竞争性谈判公告</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_Toc74322008 \h </w:instrText>
      </w:r>
      <w:r>
        <w:rPr>
          <w:rFonts w:ascii="宋体" w:hAnsi="宋体"/>
          <w:b/>
          <w:color w:val="auto"/>
          <w:sz w:val="24"/>
          <w:highlight w:val="none"/>
        </w:rPr>
        <w:fldChar w:fldCharType="separate"/>
      </w:r>
      <w:r>
        <w:rPr>
          <w:rFonts w:ascii="宋体" w:hAnsi="宋体"/>
          <w:b/>
          <w:color w:val="auto"/>
          <w:sz w:val="24"/>
          <w:highlight w:val="none"/>
        </w:rPr>
        <w:t>2</w:t>
      </w:r>
      <w:r>
        <w:rPr>
          <w:rFonts w:ascii="宋体" w:hAnsi="宋体"/>
          <w:b/>
          <w:color w:val="auto"/>
          <w:sz w:val="24"/>
          <w:highlight w:val="none"/>
        </w:rPr>
        <w:fldChar w:fldCharType="end"/>
      </w:r>
      <w:r>
        <w:rPr>
          <w:rFonts w:ascii="宋体" w:hAnsi="宋体"/>
          <w:b/>
          <w:color w:val="auto"/>
          <w:sz w:val="24"/>
          <w:highlight w:val="none"/>
        </w:rPr>
        <w:fldChar w:fldCharType="end"/>
      </w:r>
    </w:p>
    <w:p w14:paraId="40464FC1">
      <w:pPr>
        <w:pStyle w:val="17"/>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"_Toc74322009" </w:instrText>
      </w:r>
      <w:r>
        <w:rPr>
          <w:color w:val="auto"/>
          <w:highlight w:val="none"/>
        </w:rPr>
        <w:fldChar w:fldCharType="separate"/>
      </w:r>
      <w:r>
        <w:rPr>
          <w:rStyle w:val="24"/>
          <w:rFonts w:hint="eastAsia" w:ascii="宋体" w:hAnsi="宋体"/>
          <w:b/>
          <w:color w:val="auto"/>
          <w:sz w:val="24"/>
          <w:highlight w:val="none"/>
        </w:rPr>
        <w:t>第二章</w:t>
      </w:r>
      <w:r>
        <w:rPr>
          <w:rStyle w:val="24"/>
          <w:rFonts w:ascii="宋体" w:hAnsi="宋体"/>
          <w:b/>
          <w:color w:val="auto"/>
          <w:sz w:val="24"/>
          <w:highlight w:val="none"/>
        </w:rPr>
        <w:t xml:space="preserve"> </w:t>
      </w:r>
      <w:r>
        <w:rPr>
          <w:rStyle w:val="24"/>
          <w:rFonts w:hint="eastAsia" w:ascii="宋体" w:hAnsi="宋体"/>
          <w:b/>
          <w:color w:val="auto"/>
          <w:sz w:val="24"/>
          <w:highlight w:val="none"/>
        </w:rPr>
        <w:t>供应商须知</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_Toc74322009 \h </w:instrText>
      </w:r>
      <w:r>
        <w:rPr>
          <w:rFonts w:ascii="宋体" w:hAnsi="宋体"/>
          <w:b/>
          <w:color w:val="auto"/>
          <w:sz w:val="24"/>
          <w:highlight w:val="none"/>
        </w:rPr>
        <w:fldChar w:fldCharType="separate"/>
      </w:r>
      <w:r>
        <w:rPr>
          <w:rFonts w:ascii="宋体" w:hAnsi="宋体"/>
          <w:b/>
          <w:color w:val="auto"/>
          <w:sz w:val="24"/>
          <w:highlight w:val="none"/>
        </w:rPr>
        <w:t>4</w:t>
      </w:r>
      <w:r>
        <w:rPr>
          <w:rFonts w:ascii="宋体" w:hAnsi="宋体"/>
          <w:b/>
          <w:color w:val="auto"/>
          <w:sz w:val="24"/>
          <w:highlight w:val="none"/>
        </w:rPr>
        <w:fldChar w:fldCharType="end"/>
      </w:r>
      <w:r>
        <w:rPr>
          <w:rFonts w:ascii="宋体" w:hAnsi="宋体"/>
          <w:b/>
          <w:color w:val="auto"/>
          <w:sz w:val="24"/>
          <w:highlight w:val="none"/>
        </w:rPr>
        <w:fldChar w:fldCharType="end"/>
      </w:r>
    </w:p>
    <w:p w14:paraId="7D964039">
      <w:pPr>
        <w:pStyle w:val="17"/>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"_Toc74322010" </w:instrText>
      </w:r>
      <w:r>
        <w:rPr>
          <w:color w:val="auto"/>
          <w:highlight w:val="none"/>
        </w:rPr>
        <w:fldChar w:fldCharType="separate"/>
      </w:r>
      <w:r>
        <w:rPr>
          <w:rStyle w:val="24"/>
          <w:rFonts w:hint="eastAsia" w:ascii="宋体" w:hAnsi="宋体"/>
          <w:b/>
          <w:color w:val="auto"/>
          <w:sz w:val="24"/>
          <w:highlight w:val="none"/>
        </w:rPr>
        <w:t>第三章</w:t>
      </w:r>
      <w:r>
        <w:rPr>
          <w:rStyle w:val="24"/>
          <w:rFonts w:ascii="宋体" w:hAnsi="宋体"/>
          <w:b/>
          <w:color w:val="auto"/>
          <w:sz w:val="24"/>
          <w:highlight w:val="none"/>
        </w:rPr>
        <w:t xml:space="preserve"> </w:t>
      </w:r>
      <w:r>
        <w:rPr>
          <w:rStyle w:val="24"/>
          <w:rFonts w:hint="eastAsia" w:ascii="宋体" w:hAnsi="宋体"/>
          <w:b/>
          <w:color w:val="auto"/>
          <w:sz w:val="24"/>
          <w:highlight w:val="none"/>
        </w:rPr>
        <w:t>采购需求</w:t>
      </w:r>
      <w:bookmarkStart w:id="1" w:name="_Hlt82166985"/>
      <w:r>
        <w:rPr>
          <w:rFonts w:ascii="宋体" w:hAnsi="宋体"/>
          <w:b/>
          <w:color w:val="auto"/>
          <w:sz w:val="24"/>
          <w:highlight w:val="none"/>
        </w:rPr>
        <w:tab/>
      </w:r>
      <w:bookmarkEnd w:id="1"/>
      <w:r>
        <w:rPr>
          <w:rFonts w:ascii="宋体" w:hAnsi="宋体"/>
          <w:b/>
          <w:color w:val="auto"/>
          <w:sz w:val="24"/>
          <w:highlight w:val="none"/>
        </w:rPr>
        <w:fldChar w:fldCharType="begin"/>
      </w:r>
      <w:r>
        <w:rPr>
          <w:rFonts w:ascii="宋体" w:hAnsi="宋体"/>
          <w:b/>
          <w:color w:val="auto"/>
          <w:sz w:val="24"/>
          <w:highlight w:val="none"/>
        </w:rPr>
        <w:instrText xml:space="preserve"> PAGEREF _Toc74322010 \h </w:instrText>
      </w:r>
      <w:r>
        <w:rPr>
          <w:rFonts w:ascii="宋体" w:hAnsi="宋体"/>
          <w:b/>
          <w:color w:val="auto"/>
          <w:sz w:val="24"/>
          <w:highlight w:val="none"/>
        </w:rPr>
        <w:fldChar w:fldCharType="separate"/>
      </w:r>
      <w:r>
        <w:rPr>
          <w:rFonts w:ascii="宋体" w:hAnsi="宋体"/>
          <w:b/>
          <w:color w:val="auto"/>
          <w:sz w:val="24"/>
          <w:highlight w:val="none"/>
        </w:rPr>
        <w:t>23</w:t>
      </w:r>
      <w:r>
        <w:rPr>
          <w:rFonts w:ascii="宋体" w:hAnsi="宋体"/>
          <w:b/>
          <w:color w:val="auto"/>
          <w:sz w:val="24"/>
          <w:highlight w:val="none"/>
        </w:rPr>
        <w:fldChar w:fldCharType="end"/>
      </w:r>
      <w:r>
        <w:rPr>
          <w:rFonts w:ascii="宋体" w:hAnsi="宋体"/>
          <w:b/>
          <w:color w:val="auto"/>
          <w:sz w:val="24"/>
          <w:highlight w:val="none"/>
        </w:rPr>
        <w:fldChar w:fldCharType="end"/>
      </w:r>
    </w:p>
    <w:p w14:paraId="1A43B5F6">
      <w:pPr>
        <w:pStyle w:val="17"/>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"_Toc74322011" </w:instrText>
      </w:r>
      <w:r>
        <w:rPr>
          <w:color w:val="auto"/>
          <w:highlight w:val="none"/>
        </w:rPr>
        <w:fldChar w:fldCharType="separate"/>
      </w:r>
      <w:r>
        <w:rPr>
          <w:rStyle w:val="24"/>
          <w:rFonts w:hint="eastAsia" w:ascii="宋体" w:hAnsi="宋体"/>
          <w:b/>
          <w:color w:val="auto"/>
          <w:sz w:val="24"/>
          <w:highlight w:val="none"/>
        </w:rPr>
        <w:t>第四章</w:t>
      </w:r>
      <w:r>
        <w:rPr>
          <w:rStyle w:val="24"/>
          <w:rFonts w:ascii="宋体" w:hAnsi="宋体"/>
          <w:b/>
          <w:color w:val="auto"/>
          <w:sz w:val="24"/>
          <w:highlight w:val="none"/>
        </w:rPr>
        <w:t xml:space="preserve"> </w:t>
      </w:r>
      <w:r>
        <w:rPr>
          <w:rStyle w:val="24"/>
          <w:rFonts w:hint="eastAsia" w:ascii="宋体" w:hAnsi="宋体"/>
          <w:b/>
          <w:color w:val="auto"/>
          <w:sz w:val="24"/>
          <w:highlight w:val="none"/>
        </w:rPr>
        <w:t>评审程序和评定成交的标准</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_Toc74322011 \h </w:instrText>
      </w:r>
      <w:r>
        <w:rPr>
          <w:rFonts w:ascii="宋体" w:hAnsi="宋体"/>
          <w:b/>
          <w:color w:val="auto"/>
          <w:sz w:val="24"/>
          <w:highlight w:val="none"/>
        </w:rPr>
        <w:fldChar w:fldCharType="separate"/>
      </w:r>
      <w:r>
        <w:rPr>
          <w:rFonts w:ascii="宋体" w:hAnsi="宋体"/>
          <w:b/>
          <w:color w:val="auto"/>
          <w:sz w:val="24"/>
          <w:highlight w:val="none"/>
        </w:rPr>
        <w:t>29</w:t>
      </w:r>
      <w:r>
        <w:rPr>
          <w:rFonts w:ascii="宋体" w:hAnsi="宋体"/>
          <w:b/>
          <w:color w:val="auto"/>
          <w:sz w:val="24"/>
          <w:highlight w:val="none"/>
        </w:rPr>
        <w:fldChar w:fldCharType="end"/>
      </w:r>
      <w:r>
        <w:rPr>
          <w:rFonts w:ascii="宋体" w:hAnsi="宋体"/>
          <w:b/>
          <w:color w:val="auto"/>
          <w:sz w:val="24"/>
          <w:highlight w:val="none"/>
        </w:rPr>
        <w:fldChar w:fldCharType="end"/>
      </w:r>
    </w:p>
    <w:p w14:paraId="4C45C554">
      <w:pPr>
        <w:pStyle w:val="17"/>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"_Toc74322012" </w:instrText>
      </w:r>
      <w:r>
        <w:rPr>
          <w:color w:val="auto"/>
          <w:highlight w:val="none"/>
        </w:rPr>
        <w:fldChar w:fldCharType="separate"/>
      </w:r>
      <w:r>
        <w:rPr>
          <w:rStyle w:val="24"/>
          <w:rFonts w:hint="eastAsia" w:ascii="宋体" w:hAnsi="宋体"/>
          <w:b/>
          <w:color w:val="auto"/>
          <w:sz w:val="24"/>
          <w:highlight w:val="none"/>
        </w:rPr>
        <w:t>第五章</w:t>
      </w:r>
      <w:r>
        <w:rPr>
          <w:rStyle w:val="24"/>
          <w:rFonts w:ascii="宋体" w:hAnsi="宋体"/>
          <w:b/>
          <w:color w:val="auto"/>
          <w:sz w:val="24"/>
          <w:highlight w:val="none"/>
        </w:rPr>
        <w:t xml:space="preserve"> </w:t>
      </w:r>
      <w:r>
        <w:rPr>
          <w:rStyle w:val="24"/>
          <w:rFonts w:hint="eastAsia" w:ascii="宋体" w:hAnsi="宋体"/>
          <w:b/>
          <w:color w:val="auto"/>
          <w:sz w:val="24"/>
          <w:highlight w:val="none"/>
        </w:rPr>
        <w:t>响应文件格式</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_Toc74322012 \h </w:instrText>
      </w:r>
      <w:r>
        <w:rPr>
          <w:rFonts w:ascii="宋体" w:hAnsi="宋体"/>
          <w:b/>
          <w:color w:val="auto"/>
          <w:sz w:val="24"/>
          <w:highlight w:val="none"/>
        </w:rPr>
        <w:fldChar w:fldCharType="separate"/>
      </w:r>
      <w:r>
        <w:rPr>
          <w:rFonts w:ascii="宋体" w:hAnsi="宋体"/>
          <w:b/>
          <w:color w:val="auto"/>
          <w:sz w:val="24"/>
          <w:highlight w:val="none"/>
        </w:rPr>
        <w:t>35</w:t>
      </w:r>
      <w:r>
        <w:rPr>
          <w:rFonts w:ascii="宋体" w:hAnsi="宋体"/>
          <w:b/>
          <w:color w:val="auto"/>
          <w:sz w:val="24"/>
          <w:highlight w:val="none"/>
        </w:rPr>
        <w:fldChar w:fldCharType="end"/>
      </w:r>
      <w:r>
        <w:rPr>
          <w:rFonts w:ascii="宋体" w:hAnsi="宋体"/>
          <w:b/>
          <w:color w:val="auto"/>
          <w:sz w:val="24"/>
          <w:highlight w:val="none"/>
        </w:rPr>
        <w:fldChar w:fldCharType="end"/>
      </w:r>
    </w:p>
    <w:p w14:paraId="2EF22B05">
      <w:pPr>
        <w:pStyle w:val="17"/>
        <w:tabs>
          <w:tab w:val="right" w:leader="dot" w:pos="8869"/>
        </w:tabs>
        <w:snapToGrid w:val="0"/>
        <w:spacing w:line="500" w:lineRule="atLeast"/>
        <w:rPr>
          <w:rFonts w:ascii="宋体" w:hAnsi="宋体"/>
          <w:b/>
          <w:color w:val="auto"/>
          <w:sz w:val="24"/>
          <w:highlight w:val="none"/>
        </w:rPr>
      </w:pPr>
      <w:r>
        <w:rPr>
          <w:color w:val="auto"/>
          <w:highlight w:val="none"/>
        </w:rPr>
        <w:fldChar w:fldCharType="begin"/>
      </w:r>
      <w:r>
        <w:rPr>
          <w:color w:val="auto"/>
          <w:highlight w:val="none"/>
        </w:rPr>
        <w:instrText xml:space="preserve"> HYPERLINK \l "_Toc74322013" </w:instrText>
      </w:r>
      <w:r>
        <w:rPr>
          <w:color w:val="auto"/>
          <w:highlight w:val="none"/>
        </w:rPr>
        <w:fldChar w:fldCharType="separate"/>
      </w:r>
      <w:r>
        <w:rPr>
          <w:rStyle w:val="24"/>
          <w:rFonts w:hint="eastAsia" w:ascii="宋体" w:hAnsi="宋体"/>
          <w:b/>
          <w:color w:val="auto"/>
          <w:sz w:val="24"/>
          <w:highlight w:val="none"/>
        </w:rPr>
        <w:t>第六章</w:t>
      </w:r>
      <w:r>
        <w:rPr>
          <w:rStyle w:val="24"/>
          <w:rFonts w:ascii="宋体" w:hAnsi="宋体"/>
          <w:b/>
          <w:color w:val="auto"/>
          <w:sz w:val="24"/>
          <w:highlight w:val="none"/>
        </w:rPr>
        <w:t xml:space="preserve"> </w:t>
      </w:r>
      <w:r>
        <w:rPr>
          <w:rStyle w:val="24"/>
          <w:rFonts w:hint="eastAsia" w:ascii="宋体" w:hAnsi="宋体"/>
          <w:b/>
          <w:color w:val="auto"/>
          <w:sz w:val="24"/>
          <w:highlight w:val="none"/>
        </w:rPr>
        <w:t>合同文本</w:t>
      </w:r>
      <w:r>
        <w:rPr>
          <w:rFonts w:ascii="宋体" w:hAnsi="宋体"/>
          <w:b/>
          <w:color w:val="auto"/>
          <w:sz w:val="24"/>
          <w:highlight w:val="none"/>
        </w:rPr>
        <w:tab/>
      </w:r>
      <w:r>
        <w:rPr>
          <w:rFonts w:ascii="宋体" w:hAnsi="宋体"/>
          <w:b/>
          <w:color w:val="auto"/>
          <w:sz w:val="24"/>
          <w:highlight w:val="none"/>
        </w:rPr>
        <w:fldChar w:fldCharType="begin"/>
      </w:r>
      <w:r>
        <w:rPr>
          <w:rFonts w:ascii="宋体" w:hAnsi="宋体"/>
          <w:b/>
          <w:color w:val="auto"/>
          <w:sz w:val="24"/>
          <w:highlight w:val="none"/>
        </w:rPr>
        <w:instrText xml:space="preserve"> PAGEREF _Toc74322013 \h </w:instrText>
      </w:r>
      <w:r>
        <w:rPr>
          <w:rFonts w:ascii="宋体" w:hAnsi="宋体"/>
          <w:b/>
          <w:color w:val="auto"/>
          <w:sz w:val="24"/>
          <w:highlight w:val="none"/>
        </w:rPr>
        <w:fldChar w:fldCharType="separate"/>
      </w:r>
      <w:r>
        <w:rPr>
          <w:rFonts w:ascii="宋体" w:hAnsi="宋体"/>
          <w:b/>
          <w:color w:val="auto"/>
          <w:sz w:val="24"/>
          <w:highlight w:val="none"/>
        </w:rPr>
        <w:t>60</w:t>
      </w:r>
      <w:r>
        <w:rPr>
          <w:rFonts w:ascii="宋体" w:hAnsi="宋体"/>
          <w:b/>
          <w:color w:val="auto"/>
          <w:sz w:val="24"/>
          <w:highlight w:val="none"/>
        </w:rPr>
        <w:fldChar w:fldCharType="end"/>
      </w:r>
      <w:r>
        <w:rPr>
          <w:rFonts w:ascii="宋体" w:hAnsi="宋体"/>
          <w:b/>
          <w:color w:val="auto"/>
          <w:sz w:val="24"/>
          <w:highlight w:val="none"/>
        </w:rPr>
        <w:fldChar w:fldCharType="end"/>
      </w:r>
    </w:p>
    <w:p w14:paraId="2E620A91">
      <w:pPr>
        <w:pStyle w:val="18"/>
        <w:tabs>
          <w:tab w:val="right" w:leader="dot" w:pos="8931"/>
          <w:tab w:val="clear" w:pos="8296"/>
        </w:tabs>
        <w:snapToGrid w:val="0"/>
        <w:spacing w:line="500" w:lineRule="atLeast"/>
        <w:ind w:left="0" w:leftChars="0"/>
        <w:rPr>
          <w:rFonts w:ascii="宋体" w:hAnsi="宋体"/>
          <w:b/>
          <w:color w:val="auto"/>
          <w:sz w:val="24"/>
          <w:highlight w:val="none"/>
        </w:rPr>
      </w:pPr>
      <w:r>
        <w:rPr>
          <w:rFonts w:ascii="宋体" w:hAnsi="宋体"/>
          <w:b/>
          <w:color w:val="auto"/>
          <w:sz w:val="24"/>
          <w:highlight w:val="none"/>
        </w:rPr>
        <w:fldChar w:fldCharType="end"/>
      </w:r>
    </w:p>
    <w:p w14:paraId="081C4F8F">
      <w:pPr>
        <w:spacing w:line="400" w:lineRule="exact"/>
        <w:jc w:val="left"/>
        <w:rPr>
          <w:rFonts w:ascii="宋体" w:hAnsi="宋体"/>
          <w:b/>
          <w:color w:val="auto"/>
          <w:sz w:val="32"/>
          <w:szCs w:val="32"/>
          <w:highlight w:val="none"/>
        </w:rPr>
      </w:pPr>
    </w:p>
    <w:p w14:paraId="40552BFA">
      <w:pPr>
        <w:spacing w:line="400" w:lineRule="exact"/>
        <w:jc w:val="center"/>
        <w:rPr>
          <w:rFonts w:ascii="宋体" w:hAnsi="宋体"/>
          <w:b/>
          <w:color w:val="auto"/>
          <w:sz w:val="32"/>
          <w:szCs w:val="32"/>
          <w:highlight w:val="none"/>
        </w:rPr>
      </w:pPr>
    </w:p>
    <w:p w14:paraId="6EED73D5">
      <w:pPr>
        <w:spacing w:line="400" w:lineRule="exact"/>
        <w:jc w:val="center"/>
        <w:rPr>
          <w:rFonts w:ascii="宋体" w:hAnsi="宋体"/>
          <w:b/>
          <w:color w:val="auto"/>
          <w:sz w:val="32"/>
          <w:szCs w:val="32"/>
          <w:highlight w:val="none"/>
        </w:rPr>
      </w:pPr>
    </w:p>
    <w:p w14:paraId="6B3C514C">
      <w:pPr>
        <w:spacing w:line="400" w:lineRule="exact"/>
        <w:jc w:val="center"/>
        <w:rPr>
          <w:rFonts w:ascii="宋体" w:hAnsi="宋体"/>
          <w:b/>
          <w:color w:val="auto"/>
          <w:sz w:val="32"/>
          <w:szCs w:val="32"/>
          <w:highlight w:val="none"/>
        </w:rPr>
      </w:pPr>
    </w:p>
    <w:p w14:paraId="45F0CBEF">
      <w:pPr>
        <w:spacing w:line="400" w:lineRule="exact"/>
        <w:jc w:val="center"/>
        <w:rPr>
          <w:rFonts w:ascii="宋体" w:hAnsi="宋体"/>
          <w:b/>
          <w:color w:val="auto"/>
          <w:sz w:val="32"/>
          <w:szCs w:val="32"/>
          <w:highlight w:val="none"/>
        </w:rPr>
      </w:pPr>
    </w:p>
    <w:p w14:paraId="5F7EE0B0">
      <w:pPr>
        <w:spacing w:line="400" w:lineRule="exact"/>
        <w:rPr>
          <w:rFonts w:ascii="宋体" w:hAnsi="宋体"/>
          <w:b/>
          <w:color w:val="auto"/>
          <w:sz w:val="32"/>
          <w:szCs w:val="32"/>
          <w:highlight w:val="none"/>
        </w:rPr>
        <w:sectPr>
          <w:headerReference r:id="rId3" w:type="default"/>
          <w:footerReference r:id="rId4" w:type="default"/>
          <w:pgSz w:w="11906" w:h="16838"/>
          <w:pgMar w:top="1440" w:right="1440" w:bottom="1440" w:left="1587" w:header="851" w:footer="992" w:gutter="0"/>
          <w:pgNumType w:start="0"/>
          <w:cols w:space="720" w:num="1"/>
          <w:titlePg/>
          <w:docGrid w:type="lines" w:linePitch="312" w:charSpace="0"/>
        </w:sectPr>
      </w:pPr>
    </w:p>
    <w:p w14:paraId="743F18F5">
      <w:pPr>
        <w:pStyle w:val="2"/>
        <w:spacing w:after="100" w:line="480" w:lineRule="auto"/>
        <w:jc w:val="center"/>
        <w:rPr>
          <w:color w:val="auto"/>
          <w:highlight w:val="none"/>
        </w:rPr>
      </w:pPr>
      <w:bookmarkStart w:id="2" w:name="_Toc74322008"/>
      <w:r>
        <w:rPr>
          <w:rFonts w:hint="eastAsia"/>
          <w:color w:val="auto"/>
          <w:highlight w:val="none"/>
        </w:rPr>
        <w:t>第一章 竞争性谈判公告</w:t>
      </w:r>
      <w:bookmarkEnd w:id="2"/>
    </w:p>
    <w:p w14:paraId="4C057BDF">
      <w:pP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竞争性谈判公告</w:t>
      </w:r>
    </w:p>
    <w:p w14:paraId="20478328">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olor w:val="auto"/>
          <w:szCs w:val="21"/>
          <w:highlight w:val="none"/>
        </w:rPr>
      </w:pPr>
      <w:bookmarkStart w:id="3" w:name="_Hlk37430271"/>
      <w:r>
        <w:rPr>
          <w:rFonts w:hint="eastAsia" w:ascii="宋体" w:hAnsi="宋体"/>
          <w:color w:val="auto"/>
          <w:szCs w:val="21"/>
          <w:highlight w:val="none"/>
        </w:rPr>
        <w:t>项目概况</w:t>
      </w:r>
    </w:p>
    <w:p w14:paraId="753289C6">
      <w:pPr>
        <w:pBdr>
          <w:top w:val="single" w:color="auto" w:sz="4" w:space="1"/>
          <w:left w:val="single" w:color="auto" w:sz="4" w:space="4"/>
          <w:bottom w:val="single" w:color="auto" w:sz="4" w:space="1"/>
          <w:right w:val="single" w:color="auto" w:sz="4" w:space="4"/>
        </w:pBdr>
        <w:wordWrap w:val="0"/>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罪犯伙房米粉、面粉采购</w:t>
      </w:r>
      <w:r>
        <w:rPr>
          <w:rFonts w:hint="eastAsia" w:ascii="宋体" w:hAnsi="宋体"/>
          <w:color w:val="auto"/>
          <w:szCs w:val="21"/>
          <w:highlight w:val="none"/>
        </w:rPr>
        <w:t>的潜在供应商应在广西政府采购云平台（https://www.gcy.zfcg.gxzf.gov.cn/）获取（下载）竞争性谈判文件，并于</w:t>
      </w:r>
      <w:r>
        <w:rPr>
          <w:rFonts w:hint="eastAsia" w:ascii="宋体" w:hAnsi="宋体"/>
          <w:color w:val="auto"/>
          <w:szCs w:val="21"/>
          <w:highlight w:val="none"/>
          <w:u w:val="single"/>
        </w:rPr>
        <w:t>2025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22</w:t>
      </w:r>
      <w:r>
        <w:rPr>
          <w:rFonts w:hint="eastAsia" w:ascii="宋体" w:hAnsi="宋体"/>
          <w:bCs/>
          <w:color w:val="auto"/>
          <w:szCs w:val="21"/>
          <w:highlight w:val="none"/>
          <w:u w:val="single"/>
        </w:rPr>
        <w:t>日9时00分（</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ascii="宋体" w:hAnsi="宋体"/>
          <w:bCs/>
          <w:color w:val="auto"/>
          <w:szCs w:val="21"/>
          <w:highlight w:val="none"/>
        </w:rPr>
        <w:t>文件</w:t>
      </w:r>
      <w:r>
        <w:rPr>
          <w:rFonts w:hint="eastAsia" w:ascii="宋体" w:hAnsi="宋体"/>
          <w:color w:val="auto"/>
          <w:szCs w:val="21"/>
          <w:highlight w:val="none"/>
        </w:rPr>
        <w:t>。</w:t>
      </w:r>
    </w:p>
    <w:p w14:paraId="1B8DF11E">
      <w:pPr>
        <w:spacing w:line="400" w:lineRule="exact"/>
        <w:ind w:firstLine="360" w:firstLineChars="150"/>
        <w:rPr>
          <w:rFonts w:ascii="黑体" w:hAnsi="黑体" w:eastAsia="黑体"/>
          <w:color w:val="auto"/>
          <w:sz w:val="24"/>
          <w:highlight w:val="none"/>
        </w:rPr>
      </w:pPr>
      <w:bookmarkStart w:id="4" w:name="_Toc35393798"/>
      <w:bookmarkStart w:id="5" w:name="_Toc28359012"/>
      <w:bookmarkStart w:id="6" w:name="_Toc35393629"/>
      <w:bookmarkStart w:id="7" w:name="_Toc71365362"/>
      <w:bookmarkStart w:id="8" w:name="_Toc71366040"/>
      <w:bookmarkStart w:id="9" w:name="_Toc28359089"/>
      <w:r>
        <w:rPr>
          <w:rFonts w:hint="eastAsia" w:ascii="黑体" w:hAnsi="黑体" w:eastAsia="黑体"/>
          <w:color w:val="auto"/>
          <w:sz w:val="24"/>
          <w:highlight w:val="none"/>
        </w:rPr>
        <w:t>一、项目基本情况</w:t>
      </w:r>
      <w:bookmarkEnd w:id="4"/>
      <w:bookmarkEnd w:id="5"/>
      <w:bookmarkEnd w:id="6"/>
      <w:bookmarkEnd w:id="7"/>
      <w:bookmarkEnd w:id="8"/>
      <w:bookmarkEnd w:id="9"/>
    </w:p>
    <w:p w14:paraId="66B6F47A">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项目编号：GXZC2025-J1-002006-YZLZ</w:t>
      </w:r>
    </w:p>
    <w:p w14:paraId="38C9528B">
      <w:pPr>
        <w:spacing w:line="400" w:lineRule="exact"/>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罪犯伙房米粉、面粉采购</w:t>
      </w:r>
    </w:p>
    <w:p w14:paraId="58F87A9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采购方式：竞争性谈判</w:t>
      </w:r>
    </w:p>
    <w:p w14:paraId="374C0F2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预算金额：1009614</w:t>
      </w:r>
      <w:r>
        <w:rPr>
          <w:rFonts w:hint="eastAsia" w:ascii="宋体" w:hAnsi="宋体"/>
          <w:color w:val="auto"/>
          <w:szCs w:val="21"/>
          <w:highlight w:val="none"/>
          <w:lang w:val="en-US" w:eastAsia="zh-CN"/>
        </w:rPr>
        <w:t>.00</w:t>
      </w:r>
      <w:r>
        <w:rPr>
          <w:rFonts w:hint="eastAsia" w:ascii="宋体" w:hAnsi="宋体"/>
          <w:color w:val="auto"/>
          <w:szCs w:val="21"/>
          <w:highlight w:val="none"/>
        </w:rPr>
        <w:t>元</w:t>
      </w:r>
    </w:p>
    <w:p w14:paraId="1089DF8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最高限价（如有）：</w:t>
      </w:r>
      <w:r>
        <w:rPr>
          <w:rFonts w:hint="eastAsia"/>
          <w:color w:val="auto"/>
          <w:highlight w:val="none"/>
        </w:rPr>
        <w:t>折扣</w:t>
      </w:r>
      <w:r>
        <w:rPr>
          <w:rFonts w:hint="eastAsia" w:hAnsi="宋体" w:cs="宋体"/>
          <w:color w:val="auto"/>
          <w:highlight w:val="none"/>
        </w:rPr>
        <w:t>≤100%</w:t>
      </w:r>
    </w:p>
    <w:p w14:paraId="451CB2B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采购需求：</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
        <w:gridCol w:w="1376"/>
        <w:gridCol w:w="930"/>
        <w:gridCol w:w="5630"/>
      </w:tblGrid>
      <w:tr w14:paraId="56B89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5" w:type="dxa"/>
            <w:gridSpan w:val="4"/>
            <w:tcBorders>
              <w:top w:val="single" w:color="auto" w:sz="4" w:space="0"/>
              <w:left w:val="single" w:color="auto" w:sz="4" w:space="0"/>
              <w:bottom w:val="single" w:color="auto" w:sz="4" w:space="0"/>
              <w:right w:val="single" w:color="auto" w:sz="4" w:space="0"/>
            </w:tcBorders>
            <w:vAlign w:val="center"/>
          </w:tcPr>
          <w:p w14:paraId="47065DC7">
            <w:pPr>
              <w:spacing w:line="400" w:lineRule="exact"/>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1</w:t>
            </w:r>
            <w:r>
              <w:rPr>
                <w:rFonts w:ascii="宋体" w:hAnsi="宋体"/>
                <w:color w:val="auto"/>
                <w:szCs w:val="21"/>
                <w:highlight w:val="none"/>
                <w:u w:val="single"/>
              </w:rPr>
              <w:t xml:space="preserve"> </w:t>
            </w:r>
            <w:r>
              <w:rPr>
                <w:rFonts w:hint="eastAsia" w:ascii="宋体" w:hAnsi="宋体"/>
                <w:color w:val="auto"/>
                <w:szCs w:val="21"/>
                <w:highlight w:val="none"/>
              </w:rPr>
              <w:t>分标；预算金额：1009614</w:t>
            </w:r>
            <w:r>
              <w:rPr>
                <w:rFonts w:hint="eastAsia" w:ascii="宋体" w:hAnsi="宋体"/>
                <w:color w:val="auto"/>
                <w:szCs w:val="21"/>
                <w:highlight w:val="none"/>
                <w:lang w:val="en-US" w:eastAsia="zh-CN"/>
              </w:rPr>
              <w:t>.00</w:t>
            </w:r>
            <w:r>
              <w:rPr>
                <w:rFonts w:hint="eastAsia" w:ascii="宋体" w:hAnsi="宋体"/>
                <w:color w:val="auto"/>
                <w:szCs w:val="21"/>
                <w:highlight w:val="none"/>
              </w:rPr>
              <w:t>元</w:t>
            </w:r>
          </w:p>
        </w:tc>
      </w:tr>
      <w:tr w14:paraId="6CBC0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vAlign w:val="center"/>
          </w:tcPr>
          <w:p w14:paraId="4A9F0197">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1376" w:type="dxa"/>
            <w:tcBorders>
              <w:top w:val="single" w:color="auto" w:sz="4" w:space="0"/>
              <w:left w:val="single" w:color="auto" w:sz="4" w:space="0"/>
              <w:bottom w:val="single" w:color="auto" w:sz="4" w:space="0"/>
              <w:right w:val="single" w:color="auto" w:sz="4" w:space="0"/>
            </w:tcBorders>
            <w:vAlign w:val="center"/>
          </w:tcPr>
          <w:p w14:paraId="0C95A7CF">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标的的名称</w:t>
            </w:r>
          </w:p>
        </w:tc>
        <w:tc>
          <w:tcPr>
            <w:tcW w:w="930" w:type="dxa"/>
            <w:tcBorders>
              <w:top w:val="single" w:color="auto" w:sz="4" w:space="0"/>
              <w:left w:val="single" w:color="auto" w:sz="4" w:space="0"/>
              <w:bottom w:val="single" w:color="auto" w:sz="4" w:space="0"/>
              <w:right w:val="single" w:color="auto" w:sz="4" w:space="0"/>
            </w:tcBorders>
            <w:vAlign w:val="center"/>
          </w:tcPr>
          <w:p w14:paraId="3C9B7B30">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年度采购预估量数量及单位</w:t>
            </w:r>
          </w:p>
        </w:tc>
        <w:tc>
          <w:tcPr>
            <w:tcW w:w="5630" w:type="dxa"/>
            <w:tcBorders>
              <w:top w:val="single" w:color="auto" w:sz="4" w:space="0"/>
              <w:left w:val="single" w:color="auto" w:sz="4" w:space="0"/>
              <w:bottom w:val="single" w:color="auto" w:sz="4" w:space="0"/>
              <w:right w:val="single" w:color="auto" w:sz="4" w:space="0"/>
            </w:tcBorders>
            <w:vAlign w:val="center"/>
          </w:tcPr>
          <w:p w14:paraId="12E82E02">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简要技术需求或者服务要求</w:t>
            </w:r>
          </w:p>
        </w:tc>
      </w:tr>
      <w:tr w14:paraId="16207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vAlign w:val="center"/>
          </w:tcPr>
          <w:p w14:paraId="36C3F8F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01</w:t>
            </w:r>
          </w:p>
        </w:tc>
        <w:tc>
          <w:tcPr>
            <w:tcW w:w="1376" w:type="dxa"/>
            <w:tcBorders>
              <w:top w:val="single" w:color="auto" w:sz="4" w:space="0"/>
              <w:left w:val="single" w:color="auto" w:sz="4" w:space="0"/>
              <w:bottom w:val="single" w:color="auto" w:sz="4" w:space="0"/>
              <w:right w:val="single" w:color="auto" w:sz="4" w:space="0"/>
            </w:tcBorders>
            <w:vAlign w:val="center"/>
          </w:tcPr>
          <w:p w14:paraId="06D66D00">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面粉</w:t>
            </w:r>
          </w:p>
        </w:tc>
        <w:tc>
          <w:tcPr>
            <w:tcW w:w="930" w:type="dxa"/>
            <w:tcBorders>
              <w:top w:val="single" w:color="auto" w:sz="4" w:space="0"/>
              <w:left w:val="single" w:color="auto" w:sz="4" w:space="0"/>
              <w:bottom w:val="single" w:color="auto" w:sz="4" w:space="0"/>
              <w:right w:val="single" w:color="auto" w:sz="4" w:space="0"/>
            </w:tcBorders>
            <w:vAlign w:val="center"/>
          </w:tcPr>
          <w:p w14:paraId="3B822F8F">
            <w:pPr>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15800</w:t>
            </w:r>
            <w:r>
              <w:rPr>
                <w:rFonts w:hint="eastAsia" w:ascii="宋体" w:hAnsi="宋体"/>
                <w:color w:val="auto"/>
                <w:szCs w:val="21"/>
                <w:highlight w:val="none"/>
              </w:rPr>
              <w:t>公斤</w:t>
            </w:r>
          </w:p>
        </w:tc>
        <w:tc>
          <w:tcPr>
            <w:tcW w:w="5630" w:type="dxa"/>
            <w:tcBorders>
              <w:top w:val="single" w:color="auto" w:sz="4" w:space="0"/>
              <w:left w:val="single" w:color="auto" w:sz="4" w:space="0"/>
              <w:bottom w:val="single" w:color="auto" w:sz="4" w:space="0"/>
              <w:right w:val="single" w:color="auto" w:sz="4" w:space="0"/>
            </w:tcBorders>
            <w:vAlign w:val="center"/>
          </w:tcPr>
          <w:p w14:paraId="4F2F74B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1.高筋面粉；</w:t>
            </w:r>
          </w:p>
          <w:p w14:paraId="74513CD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2.生产用的小麦原料储存期不超过2年；</w:t>
            </w:r>
          </w:p>
          <w:p w14:paraId="6E2550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3.符合</w:t>
            </w:r>
            <w:r>
              <w:rPr>
                <w:rFonts w:hint="eastAsia" w:ascii="宋体" w:hAnsi="宋体" w:cs="宋体"/>
                <w:color w:val="auto"/>
                <w:szCs w:val="21"/>
                <w:highlight w:val="none"/>
              </w:rPr>
              <w:t>《小麦粉》（GB/T 1355-2021）</w:t>
            </w:r>
            <w:r>
              <w:rPr>
                <w:rFonts w:hint="eastAsia" w:ascii="宋体" w:hAnsi="宋体"/>
                <w:color w:val="auto"/>
                <w:szCs w:val="21"/>
                <w:highlight w:val="none"/>
              </w:rPr>
              <w:t>标准要求：对照检验粉色麸星≤85%，全部通过CB30号筛，含砂量≤0.02%，水分≤13.5%，脂肪酸值≤80,无异常色泽和气味，新鲜不变质，无虫、无污染、无砂泥等杂质。</w:t>
            </w:r>
          </w:p>
          <w:p w14:paraId="7A7FC81A">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auto"/>
                <w:szCs w:val="21"/>
                <w:highlight w:val="none"/>
              </w:rPr>
            </w:pPr>
            <w:r>
              <w:rPr>
                <w:rFonts w:hint="eastAsia" w:ascii="宋体" w:hAnsi="宋体"/>
                <w:color w:val="auto"/>
                <w:szCs w:val="21"/>
                <w:highlight w:val="none"/>
              </w:rPr>
              <w:t>4.面粉包装用密封性能好、无毒、无害塑料编织袋，每袋25公斤，包装的正面需印有厂家企业名称、地址、联系电话及生产日期等字样。</w:t>
            </w:r>
          </w:p>
        </w:tc>
      </w:tr>
      <w:tr w14:paraId="7632E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vAlign w:val="center"/>
          </w:tcPr>
          <w:p w14:paraId="108C80F5">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02</w:t>
            </w:r>
          </w:p>
        </w:tc>
        <w:tc>
          <w:tcPr>
            <w:tcW w:w="1376" w:type="dxa"/>
            <w:tcBorders>
              <w:top w:val="single" w:color="auto" w:sz="4" w:space="0"/>
              <w:left w:val="single" w:color="auto" w:sz="4" w:space="0"/>
              <w:bottom w:val="single" w:color="auto" w:sz="4" w:space="0"/>
              <w:right w:val="single" w:color="auto" w:sz="4" w:space="0"/>
            </w:tcBorders>
            <w:vAlign w:val="center"/>
          </w:tcPr>
          <w:p w14:paraId="0D85994D">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米粉（湿）</w:t>
            </w:r>
          </w:p>
        </w:tc>
        <w:tc>
          <w:tcPr>
            <w:tcW w:w="930" w:type="dxa"/>
            <w:tcBorders>
              <w:top w:val="single" w:color="auto" w:sz="4" w:space="0"/>
              <w:left w:val="single" w:color="auto" w:sz="4" w:space="0"/>
              <w:bottom w:val="single" w:color="auto" w:sz="4" w:space="0"/>
              <w:right w:val="single" w:color="auto" w:sz="4" w:space="0"/>
            </w:tcBorders>
            <w:vAlign w:val="center"/>
          </w:tcPr>
          <w:p w14:paraId="382DA106">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240000公斤</w:t>
            </w:r>
          </w:p>
        </w:tc>
        <w:tc>
          <w:tcPr>
            <w:tcW w:w="5630" w:type="dxa"/>
            <w:tcBorders>
              <w:top w:val="single" w:color="auto" w:sz="4" w:space="0"/>
              <w:left w:val="single" w:color="auto" w:sz="4" w:space="0"/>
              <w:bottom w:val="single" w:color="auto" w:sz="4" w:space="0"/>
              <w:right w:val="single" w:color="auto" w:sz="4" w:space="0"/>
            </w:tcBorders>
            <w:vAlign w:val="center"/>
          </w:tcPr>
          <w:p w14:paraId="0992EDA7">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jc w:val="left"/>
              <w:textAlignment w:val="auto"/>
              <w:rPr>
                <w:rFonts w:hint="eastAsia" w:ascii="宋体" w:hAnsi="宋体"/>
                <w:color w:val="auto"/>
                <w:szCs w:val="21"/>
                <w:highlight w:val="none"/>
              </w:rPr>
            </w:pPr>
            <w:r>
              <w:rPr>
                <w:rFonts w:hint="eastAsia" w:ascii="宋体" w:hAnsi="宋体"/>
                <w:color w:val="auto"/>
                <w:szCs w:val="21"/>
                <w:highlight w:val="none"/>
              </w:rPr>
              <w:t>供应的米粉必须符合《中华人民共和国食品安全法》的要求，达到国家食品标准和卫生标准，无泥沙、异臭味；</w:t>
            </w:r>
          </w:p>
          <w:p w14:paraId="0A9B34ED">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jc w:val="left"/>
              <w:textAlignment w:val="auto"/>
              <w:rPr>
                <w:rFonts w:hint="eastAsia" w:ascii="宋体" w:hAnsi="宋体"/>
                <w:color w:val="auto"/>
                <w:szCs w:val="21"/>
                <w:highlight w:val="none"/>
              </w:rPr>
            </w:pPr>
            <w:r>
              <w:rPr>
                <w:rFonts w:hint="eastAsia" w:ascii="宋体" w:hAnsi="宋体"/>
                <w:color w:val="auto"/>
                <w:szCs w:val="21"/>
                <w:highlight w:val="none"/>
              </w:rPr>
              <w:t>当天生产的新鲜湿米粉（切粉、圆粉、粉皮）、无隔夜、异味、霉变、杂质、生虫等。</w:t>
            </w:r>
          </w:p>
        </w:tc>
      </w:tr>
    </w:tbl>
    <w:p w14:paraId="79673279">
      <w:pPr>
        <w:spacing w:line="400" w:lineRule="exact"/>
        <w:ind w:left="210" w:leftChars="100" w:firstLine="420" w:firstLineChars="200"/>
        <w:rPr>
          <w:rFonts w:ascii="宋体" w:hAnsi="宋体"/>
          <w:color w:val="auto"/>
          <w:szCs w:val="21"/>
          <w:highlight w:val="none"/>
          <w:u w:val="single"/>
        </w:rPr>
      </w:pPr>
      <w:r>
        <w:rPr>
          <w:rFonts w:hint="eastAsia" w:ascii="宋体" w:hAnsi="宋体"/>
          <w:color w:val="auto"/>
          <w:szCs w:val="21"/>
          <w:highlight w:val="none"/>
        </w:rPr>
        <w:t>合同履行期限：自签订合同之日起6个月，本项目采购量为采购预估量，供应商根据采购人每天需求量供货，采购量以6个月实际采购量为准。</w:t>
      </w:r>
    </w:p>
    <w:p w14:paraId="489BA6D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本项目（</w:t>
      </w:r>
      <w:r>
        <w:rPr>
          <w:rFonts w:ascii="宋体" w:hAnsi="宋体"/>
          <w:color w:val="auto"/>
          <w:szCs w:val="21"/>
          <w:highlight w:val="none"/>
        </w:rPr>
        <w:t>否</w:t>
      </w:r>
      <w:r>
        <w:rPr>
          <w:rFonts w:hint="eastAsia" w:ascii="宋体" w:hAnsi="宋体"/>
          <w:color w:val="auto"/>
          <w:szCs w:val="21"/>
          <w:highlight w:val="none"/>
        </w:rPr>
        <w:t>）接受联合体。</w:t>
      </w:r>
    </w:p>
    <w:p w14:paraId="6E06453E">
      <w:pPr>
        <w:spacing w:line="400" w:lineRule="exact"/>
        <w:ind w:firstLine="480" w:firstLineChars="200"/>
        <w:rPr>
          <w:rFonts w:ascii="黑体" w:hAnsi="黑体" w:eastAsia="黑体"/>
          <w:color w:val="auto"/>
          <w:sz w:val="24"/>
          <w:highlight w:val="none"/>
        </w:rPr>
      </w:pPr>
      <w:bookmarkStart w:id="10" w:name="_Toc35393799"/>
      <w:bookmarkStart w:id="11" w:name="_Toc71365363"/>
      <w:bookmarkStart w:id="12" w:name="_Toc35393630"/>
      <w:bookmarkStart w:id="13" w:name="_Toc71366041"/>
      <w:bookmarkStart w:id="14" w:name="_Toc28359013"/>
      <w:bookmarkStart w:id="15" w:name="_Toc28359090"/>
      <w:r>
        <w:rPr>
          <w:rFonts w:hint="eastAsia" w:ascii="黑体" w:hAnsi="黑体" w:eastAsia="黑体"/>
          <w:color w:val="auto"/>
          <w:sz w:val="24"/>
          <w:highlight w:val="none"/>
        </w:rPr>
        <w:t>二、供应商的资格条件：</w:t>
      </w:r>
      <w:bookmarkEnd w:id="10"/>
      <w:bookmarkEnd w:id="11"/>
      <w:bookmarkEnd w:id="12"/>
      <w:bookmarkEnd w:id="13"/>
      <w:bookmarkEnd w:id="14"/>
      <w:bookmarkEnd w:id="15"/>
    </w:p>
    <w:p w14:paraId="650FDEDE">
      <w:pPr>
        <w:spacing w:line="400" w:lineRule="exact"/>
        <w:ind w:firstLine="420" w:firstLineChars="200"/>
        <w:rPr>
          <w:rFonts w:ascii="宋体" w:hAnsi="宋体"/>
          <w:color w:val="auto"/>
          <w:szCs w:val="21"/>
          <w:highlight w:val="none"/>
        </w:rPr>
      </w:pPr>
      <w:bookmarkStart w:id="16" w:name="_Toc28359091"/>
      <w:bookmarkStart w:id="17" w:name="_Toc28359014"/>
      <w:r>
        <w:rPr>
          <w:rFonts w:hint="eastAsia" w:ascii="宋体" w:hAnsi="宋体"/>
          <w:color w:val="auto"/>
          <w:szCs w:val="21"/>
          <w:highlight w:val="none"/>
        </w:rPr>
        <w:t>1.满足《中华人民共和国政府采购法》第二十二条规定；</w:t>
      </w:r>
    </w:p>
    <w:p w14:paraId="799A747B">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本项目专门面向中小企业采购，提供的货物须全部由符合政策要求的中型、小型或微型企业（包括监狱企业及残疾人福利单位）制造，须提供中小企业声明函【属于残疾人福利性单位的提供残疾人福利性单位声明函，属于监狱企业的提供由省级以上监狱管理局、戒毒管理局（含新疆生产建设兵团）出具的属于监狱企业的证明文件】；</w:t>
      </w:r>
    </w:p>
    <w:p w14:paraId="5AB1271D">
      <w:pPr>
        <w:spacing w:line="400" w:lineRule="exact"/>
        <w:ind w:firstLine="420" w:firstLineChars="200"/>
        <w:rPr>
          <w:rFonts w:ascii="宋体" w:hAnsi="宋体"/>
          <w:color w:val="auto"/>
          <w:szCs w:val="21"/>
          <w:highlight w:val="none"/>
          <w:u w:val="single"/>
        </w:rPr>
      </w:pPr>
      <w:r>
        <w:rPr>
          <w:rFonts w:hint="eastAsia" w:ascii="宋体" w:hAnsi="宋体"/>
          <w:color w:val="auto"/>
          <w:szCs w:val="21"/>
          <w:highlight w:val="none"/>
        </w:rPr>
        <w:t>3.本项目的特定资格要求：</w:t>
      </w:r>
      <w:r>
        <w:rPr>
          <w:rFonts w:hint="eastAsia" w:ascii="宋体" w:hAnsi="宋体"/>
          <w:color w:val="auto"/>
          <w:szCs w:val="21"/>
          <w:highlight w:val="none"/>
        </w:rPr>
        <w:t>供应商必须具有相应有效的《食品经营许可证》。</w:t>
      </w:r>
      <w:r>
        <w:rPr>
          <w:rFonts w:hint="eastAsia" w:ascii="宋体" w:hAnsi="宋体" w:cs="宋体"/>
          <w:color w:val="auto"/>
          <w:szCs w:val="21"/>
          <w:highlight w:val="none"/>
          <w:lang w:eastAsia="zh-CN"/>
        </w:rPr>
        <w:t>如供应商的</w:t>
      </w:r>
      <w:r>
        <w:rPr>
          <w:rFonts w:hint="eastAsia" w:ascii="宋体" w:hAnsi="宋体"/>
          <w:color w:val="auto"/>
          <w:szCs w:val="21"/>
          <w:highlight w:val="none"/>
        </w:rPr>
        <w:t>食品经营许可证</w:t>
      </w:r>
      <w:r>
        <w:rPr>
          <w:rFonts w:hint="eastAsia" w:ascii="宋体" w:hAnsi="宋体"/>
          <w:color w:val="auto"/>
          <w:szCs w:val="21"/>
          <w:highlight w:val="none"/>
          <w:lang w:eastAsia="zh-CN"/>
        </w:rPr>
        <w:t>与</w:t>
      </w:r>
      <w:r>
        <w:rPr>
          <w:rFonts w:hint="eastAsia" w:ascii="宋体" w:hAnsi="宋体" w:cs="宋体"/>
          <w:color w:val="auto"/>
          <w:szCs w:val="21"/>
          <w:highlight w:val="none"/>
          <w:lang w:eastAsia="zh-CN"/>
        </w:rPr>
        <w:t>营业执照合并办理的，须提供扫描营业执照二维码后的有效备案信息截图。</w:t>
      </w:r>
    </w:p>
    <w:p w14:paraId="3288A2B3">
      <w:pPr>
        <w:spacing w:line="400" w:lineRule="exact"/>
        <w:ind w:firstLine="480" w:firstLineChars="200"/>
        <w:rPr>
          <w:rFonts w:ascii="黑体" w:hAnsi="黑体" w:eastAsia="黑体"/>
          <w:color w:val="auto"/>
          <w:sz w:val="24"/>
          <w:highlight w:val="none"/>
        </w:rPr>
      </w:pPr>
      <w:bookmarkStart w:id="18" w:name="_Toc35393800"/>
      <w:bookmarkStart w:id="19" w:name="_Toc71366042"/>
      <w:bookmarkStart w:id="20" w:name="_Toc35393631"/>
      <w:bookmarkStart w:id="21" w:name="_Toc71365364"/>
      <w:r>
        <w:rPr>
          <w:rFonts w:hint="eastAsia" w:ascii="黑体" w:hAnsi="黑体" w:eastAsia="黑体"/>
          <w:color w:val="auto"/>
          <w:sz w:val="24"/>
          <w:highlight w:val="none"/>
        </w:rPr>
        <w:t>三、获取竞争性谈判文件</w:t>
      </w:r>
      <w:bookmarkEnd w:id="16"/>
      <w:bookmarkEnd w:id="17"/>
      <w:bookmarkEnd w:id="18"/>
      <w:bookmarkEnd w:id="19"/>
      <w:bookmarkEnd w:id="20"/>
      <w:bookmarkEnd w:id="21"/>
    </w:p>
    <w:p w14:paraId="2C47A997">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时间：2025年</w:t>
      </w: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15</w:t>
      </w:r>
      <w:r>
        <w:rPr>
          <w:rFonts w:hint="eastAsia" w:ascii="宋体" w:hAnsi="宋体" w:cs="宋体"/>
          <w:bCs/>
          <w:color w:val="auto"/>
          <w:kern w:val="0"/>
          <w:szCs w:val="21"/>
          <w:highlight w:val="none"/>
        </w:rPr>
        <w:t>日至2025年</w:t>
      </w: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18</w:t>
      </w:r>
      <w:r>
        <w:rPr>
          <w:rFonts w:hint="eastAsia" w:ascii="宋体" w:hAnsi="宋体" w:cs="宋体"/>
          <w:bCs/>
          <w:color w:val="auto"/>
          <w:kern w:val="0"/>
          <w:szCs w:val="21"/>
          <w:highlight w:val="none"/>
        </w:rPr>
        <w:t>日，每天上午00:00至11:59，下午12:00至23:59（北京时间，法定节假日除外）</w:t>
      </w:r>
    </w:p>
    <w:p w14:paraId="57BC4577">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1F9DD18A">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谈判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制作需要基于广西政府采购云平台获取的谈判文件编制，</w:t>
      </w:r>
      <w:r>
        <w:rPr>
          <w:rFonts w:hint="eastAsia" w:ascii="宋体" w:hAnsi="宋体" w:cs="宋体"/>
          <w:bCs/>
          <w:color w:val="auto"/>
          <w:kern w:val="0"/>
          <w:szCs w:val="21"/>
          <w:highlight w:val="none"/>
        </w:rPr>
        <w:t>通过其他方式获取谈判文件的，将有可能导致供应商无法在广西政府采购云平台编制及上传响应文件。</w:t>
      </w:r>
    </w:p>
    <w:p w14:paraId="439C681B">
      <w:pPr>
        <w:spacing w:line="400" w:lineRule="exact"/>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iCs/>
          <w:color w:val="auto"/>
          <w:szCs w:val="21"/>
          <w:highlight w:val="none"/>
          <w:u w:val="single"/>
        </w:rPr>
        <w:t>0</w:t>
      </w:r>
      <w:r>
        <w:rPr>
          <w:rFonts w:hint="eastAsia" w:ascii="宋体" w:hAnsi="宋体" w:cs="宋体"/>
          <w:color w:val="auto"/>
          <w:szCs w:val="21"/>
          <w:highlight w:val="none"/>
        </w:rPr>
        <w:t>元</w:t>
      </w:r>
    </w:p>
    <w:p w14:paraId="11EB2235">
      <w:pPr>
        <w:spacing w:line="400" w:lineRule="exact"/>
        <w:ind w:firstLine="360" w:firstLineChars="150"/>
        <w:rPr>
          <w:rFonts w:ascii="黑体" w:hAnsi="黑体" w:eastAsia="黑体"/>
          <w:color w:val="auto"/>
          <w:sz w:val="24"/>
          <w:highlight w:val="none"/>
        </w:rPr>
      </w:pPr>
      <w:bookmarkStart w:id="22" w:name="_Toc71365365"/>
      <w:bookmarkStart w:id="23" w:name="_Toc28359092"/>
      <w:bookmarkStart w:id="24" w:name="_Toc35393632"/>
      <w:bookmarkStart w:id="25" w:name="_Toc35393801"/>
      <w:bookmarkStart w:id="26" w:name="_Toc28359015"/>
      <w:bookmarkStart w:id="27" w:name="_Toc71366043"/>
      <w:r>
        <w:rPr>
          <w:rFonts w:hint="eastAsia" w:ascii="黑体" w:hAnsi="黑体" w:eastAsia="黑体"/>
          <w:color w:val="auto"/>
          <w:sz w:val="24"/>
          <w:highlight w:val="none"/>
        </w:rPr>
        <w:t>四、响应文件提交</w:t>
      </w:r>
      <w:bookmarkEnd w:id="22"/>
      <w:bookmarkEnd w:id="23"/>
      <w:bookmarkEnd w:id="24"/>
      <w:bookmarkEnd w:id="25"/>
      <w:bookmarkEnd w:id="26"/>
      <w:bookmarkEnd w:id="27"/>
    </w:p>
    <w:p w14:paraId="3008C41F">
      <w:pPr>
        <w:spacing w:line="40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截止时间：</w:t>
      </w:r>
      <w:r>
        <w:rPr>
          <w:rFonts w:hint="eastAsia" w:ascii="宋体" w:hAnsi="宋体"/>
          <w:bCs/>
          <w:color w:val="auto"/>
          <w:szCs w:val="21"/>
          <w:highlight w:val="none"/>
          <w:u w:val="single"/>
        </w:rPr>
        <w:t>2025年</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22</w:t>
      </w:r>
      <w:r>
        <w:rPr>
          <w:rFonts w:hint="eastAsia" w:ascii="宋体" w:hAnsi="宋体"/>
          <w:bCs/>
          <w:color w:val="auto"/>
          <w:szCs w:val="21"/>
          <w:highlight w:val="none"/>
          <w:u w:val="single"/>
        </w:rPr>
        <w:t>日9：00</w:t>
      </w:r>
      <w:r>
        <w:rPr>
          <w:rFonts w:hint="eastAsia" w:ascii="宋体" w:hAnsi="宋体"/>
          <w:bCs/>
          <w:color w:val="auto"/>
          <w:szCs w:val="21"/>
          <w:highlight w:val="none"/>
        </w:rPr>
        <w:t>（北京时间）</w:t>
      </w:r>
    </w:p>
    <w:p w14:paraId="02C3C15B">
      <w:pPr>
        <w:spacing w:line="400" w:lineRule="exact"/>
        <w:ind w:left="422"/>
        <w:rPr>
          <w:rFonts w:ascii="宋体" w:hAnsi="宋体"/>
          <w:bCs/>
          <w:color w:val="auto"/>
          <w:szCs w:val="21"/>
          <w:highlight w:val="none"/>
          <w:u w:val="single"/>
        </w:rPr>
      </w:pPr>
      <w:r>
        <w:rPr>
          <w:rFonts w:hint="eastAsia" w:ascii="宋体" w:hAnsi="宋体"/>
          <w:color w:val="auto"/>
          <w:szCs w:val="21"/>
          <w:highlight w:val="none"/>
        </w:rPr>
        <w:t>地点：广西政府采购云平台（https://www.gcy.zfcg.gxzf.gov.cn/）</w:t>
      </w:r>
    </w:p>
    <w:p w14:paraId="721C0B8E">
      <w:pPr>
        <w:spacing w:line="400" w:lineRule="exact"/>
        <w:ind w:firstLine="360" w:firstLineChars="150"/>
        <w:rPr>
          <w:rFonts w:ascii="黑体" w:hAnsi="黑体" w:eastAsia="黑体"/>
          <w:color w:val="auto"/>
          <w:sz w:val="24"/>
          <w:highlight w:val="none"/>
        </w:rPr>
      </w:pPr>
      <w:bookmarkStart w:id="28" w:name="_Toc28359093"/>
      <w:bookmarkStart w:id="29" w:name="_Toc71365366"/>
      <w:bookmarkStart w:id="30" w:name="_Toc71366044"/>
      <w:bookmarkStart w:id="31" w:name="_Toc35393802"/>
      <w:bookmarkStart w:id="32" w:name="_Toc28359016"/>
      <w:bookmarkStart w:id="33" w:name="_Toc35393633"/>
      <w:r>
        <w:rPr>
          <w:rFonts w:hint="eastAsia" w:ascii="黑体" w:hAnsi="黑体" w:eastAsia="黑体"/>
          <w:color w:val="auto"/>
          <w:sz w:val="24"/>
          <w:highlight w:val="none"/>
        </w:rPr>
        <w:t>五、开启</w:t>
      </w:r>
      <w:bookmarkEnd w:id="28"/>
      <w:bookmarkEnd w:id="29"/>
      <w:bookmarkEnd w:id="30"/>
      <w:bookmarkEnd w:id="31"/>
      <w:bookmarkEnd w:id="32"/>
      <w:bookmarkEnd w:id="33"/>
    </w:p>
    <w:p w14:paraId="70F43BB1">
      <w:pPr>
        <w:spacing w:line="40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color w:val="auto"/>
          <w:szCs w:val="21"/>
          <w:highlight w:val="none"/>
          <w:u w:val="single"/>
        </w:rPr>
        <w:t>2025年</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22</w:t>
      </w:r>
      <w:r>
        <w:rPr>
          <w:rFonts w:hint="eastAsia" w:ascii="宋体" w:hAnsi="宋体"/>
          <w:color w:val="auto"/>
          <w:szCs w:val="21"/>
          <w:highlight w:val="none"/>
          <w:u w:val="single"/>
        </w:rPr>
        <w:t>日9：00</w:t>
      </w:r>
      <w:r>
        <w:rPr>
          <w:rFonts w:hint="eastAsia" w:ascii="宋体" w:hAnsi="宋体"/>
          <w:bCs/>
          <w:color w:val="auto"/>
          <w:szCs w:val="21"/>
          <w:highlight w:val="none"/>
          <w:u w:val="single"/>
        </w:rPr>
        <w:t>（北京时间）</w:t>
      </w:r>
    </w:p>
    <w:p w14:paraId="111FC436">
      <w:pPr>
        <w:spacing w:line="40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地点：广西政府采购云平台（https://www.gcy.zfcg.gxzf.gov.cn/）</w:t>
      </w:r>
    </w:p>
    <w:p w14:paraId="05A49D62">
      <w:pPr>
        <w:spacing w:line="400" w:lineRule="exact"/>
        <w:ind w:firstLine="360" w:firstLineChars="150"/>
        <w:rPr>
          <w:rFonts w:ascii="黑体" w:hAnsi="黑体" w:eastAsia="黑体"/>
          <w:color w:val="auto"/>
          <w:sz w:val="24"/>
          <w:highlight w:val="none"/>
        </w:rPr>
      </w:pPr>
      <w:bookmarkStart w:id="34" w:name="_Toc35393634"/>
      <w:bookmarkStart w:id="35" w:name="_Toc35393803"/>
      <w:bookmarkStart w:id="36" w:name="_Toc71365367"/>
      <w:bookmarkStart w:id="37" w:name="_Toc71366045"/>
      <w:bookmarkStart w:id="38" w:name="_Toc28359017"/>
      <w:bookmarkStart w:id="39" w:name="_Toc28359094"/>
      <w:r>
        <w:rPr>
          <w:rFonts w:hint="eastAsia" w:ascii="黑体" w:hAnsi="黑体" w:eastAsia="黑体"/>
          <w:color w:val="auto"/>
          <w:sz w:val="24"/>
          <w:highlight w:val="none"/>
        </w:rPr>
        <w:t>六、公告期限</w:t>
      </w:r>
      <w:bookmarkEnd w:id="34"/>
      <w:bookmarkEnd w:id="35"/>
      <w:bookmarkEnd w:id="36"/>
      <w:bookmarkEnd w:id="37"/>
      <w:bookmarkEnd w:id="38"/>
      <w:bookmarkEnd w:id="39"/>
    </w:p>
    <w:p w14:paraId="2C74E3C4">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59478F16">
      <w:pPr>
        <w:spacing w:line="400" w:lineRule="exact"/>
        <w:ind w:firstLine="360" w:firstLineChars="150"/>
        <w:rPr>
          <w:rFonts w:ascii="黑体" w:hAnsi="黑体" w:eastAsia="黑体"/>
          <w:color w:val="auto"/>
          <w:sz w:val="24"/>
          <w:highlight w:val="none"/>
        </w:rPr>
      </w:pPr>
      <w:bookmarkStart w:id="40" w:name="_Toc71366046"/>
      <w:bookmarkStart w:id="41" w:name="_Toc35393804"/>
      <w:bookmarkStart w:id="42" w:name="_Toc35393635"/>
      <w:bookmarkStart w:id="43" w:name="_Toc71365368"/>
      <w:r>
        <w:rPr>
          <w:rFonts w:hint="eastAsia" w:ascii="黑体" w:hAnsi="黑体" w:eastAsia="黑体"/>
          <w:color w:val="auto"/>
          <w:sz w:val="24"/>
          <w:highlight w:val="none"/>
        </w:rPr>
        <w:t>七、其他补充事宜</w:t>
      </w:r>
      <w:bookmarkEnd w:id="40"/>
      <w:bookmarkEnd w:id="41"/>
      <w:bookmarkEnd w:id="42"/>
      <w:bookmarkEnd w:id="43"/>
    </w:p>
    <w:p w14:paraId="28D039EB">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14:paraId="03DA99CC">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www.ccgp.gov.cn（中国政府采购网）、zfcg.gxzf.gov.cn（广西壮族自治区政府采购网）</w:t>
      </w:r>
    </w:p>
    <w:p w14:paraId="44DD37A9">
      <w:pPr>
        <w:spacing w:line="400" w:lineRule="exact"/>
        <w:ind w:firstLine="424" w:firstLineChars="202"/>
        <w:rPr>
          <w:rFonts w:ascii="宋体" w:hAnsi="宋体" w:cs="宋体"/>
          <w:color w:val="auto"/>
          <w:kern w:val="0"/>
          <w:szCs w:val="21"/>
          <w:highlight w:val="none"/>
        </w:rPr>
      </w:pPr>
      <w:bookmarkStart w:id="44" w:name="_Hlk37429674"/>
      <w:bookmarkStart w:id="45" w:name="_Toc71366047"/>
      <w:bookmarkStart w:id="46" w:name="_Toc35393636"/>
      <w:bookmarkStart w:id="47" w:name="_Toc35393805"/>
      <w:bookmarkStart w:id="48" w:name="_Toc28359095"/>
      <w:bookmarkStart w:id="49" w:name="_Toc71365369"/>
      <w:bookmarkStart w:id="50" w:name="_Toc28359018"/>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7A003996">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1F51F2C2">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60FC3AAB">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1CCC9535">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27482D86">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27F09A6D">
      <w:pPr>
        <w:widowControl/>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14:paraId="5A9CC095">
      <w:pPr>
        <w:widowControl/>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按照本项目竞争性谈判文件和广西政府采购云平台的要求编制、加密后在提交响应文件截止时间前通过网络上传至 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color w:val="auto"/>
          <w:highlight w:val="none"/>
        </w:rPr>
        <w:t>政府采购项目电子交易管理操作指南-供应商</w:t>
      </w:r>
      <w:r>
        <w:rPr>
          <w:rFonts w:hint="eastAsia" w:ascii="宋体" w:hAnsi="宋体"/>
          <w:color w:val="auto"/>
          <w:szCs w:val="21"/>
          <w:highlight w:val="none"/>
        </w:rPr>
        <w:t>”查看电子竞标具体操作流程。</w:t>
      </w:r>
    </w:p>
    <w:p w14:paraId="1EB63772">
      <w:pPr>
        <w:widowControl/>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如在操作过程中遇到问题或者需要技术支持，请致电客服热线：95763或者0771-3381253</w:t>
      </w:r>
      <w:r>
        <w:rPr>
          <w:rFonts w:hint="eastAsia" w:ascii="宋体" w:hAnsi="宋体"/>
          <w:color w:val="auto"/>
          <w:szCs w:val="21"/>
          <w:highlight w:val="none"/>
        </w:rPr>
        <w:t>）。</w:t>
      </w:r>
    </w:p>
    <w:p w14:paraId="6A7A789E">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0F4E3067">
      <w:pPr>
        <w:widowControl/>
        <w:spacing w:line="400" w:lineRule="exact"/>
        <w:ind w:firstLine="420" w:firstLineChars="200"/>
        <w:jc w:val="left"/>
        <w:rPr>
          <w:rFonts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95EC17D">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（4）供应商需要在具备摄像头及语音功能且互联网网络状况良好的电脑登录广西政府采购云平台远程开标大厅参与本次谈判，否则后果自负。</w:t>
      </w:r>
    </w:p>
    <w:bookmarkEnd w:id="44"/>
    <w:p w14:paraId="6BBA9D5A">
      <w:pPr>
        <w:spacing w:line="400" w:lineRule="exact"/>
        <w:ind w:firstLine="360" w:firstLineChars="150"/>
        <w:rPr>
          <w:rFonts w:ascii="黑体" w:hAnsi="黑体" w:eastAsia="黑体"/>
          <w:color w:val="auto"/>
          <w:sz w:val="24"/>
          <w:highlight w:val="none"/>
        </w:rPr>
      </w:pPr>
      <w:r>
        <w:rPr>
          <w:rFonts w:hint="eastAsia" w:ascii="黑体" w:hAnsi="黑体" w:eastAsia="黑体"/>
          <w:color w:val="auto"/>
          <w:sz w:val="24"/>
          <w:highlight w:val="none"/>
        </w:rPr>
        <w:t>八、凡对本次采购提出询问，请按</w:t>
      </w:r>
      <w:r>
        <w:rPr>
          <w:rFonts w:ascii="黑体" w:hAnsi="黑体" w:eastAsia="黑体"/>
          <w:color w:val="auto"/>
          <w:sz w:val="24"/>
          <w:highlight w:val="none"/>
        </w:rPr>
        <w:t>以下方式</w:t>
      </w:r>
      <w:r>
        <w:rPr>
          <w:rFonts w:hint="eastAsia" w:ascii="黑体" w:hAnsi="黑体" w:eastAsia="黑体"/>
          <w:color w:val="auto"/>
          <w:sz w:val="24"/>
          <w:highlight w:val="none"/>
        </w:rPr>
        <w:t>联系。</w:t>
      </w:r>
      <w:bookmarkEnd w:id="45"/>
      <w:bookmarkEnd w:id="46"/>
      <w:bookmarkEnd w:id="47"/>
      <w:bookmarkEnd w:id="48"/>
      <w:bookmarkEnd w:id="49"/>
      <w:bookmarkEnd w:id="50"/>
    </w:p>
    <w:bookmarkEnd w:id="3"/>
    <w:p w14:paraId="453E0938">
      <w:pPr>
        <w:spacing w:line="400" w:lineRule="exact"/>
        <w:ind w:firstLine="420" w:firstLineChars="200"/>
        <w:rPr>
          <w:rFonts w:ascii="宋体" w:hAnsi="宋体" w:cs="宋体"/>
          <w:color w:val="auto"/>
          <w:kern w:val="0"/>
          <w:szCs w:val="21"/>
          <w:highlight w:val="none"/>
        </w:rPr>
      </w:pPr>
      <w:bookmarkStart w:id="51" w:name="_Toc28359019"/>
      <w:bookmarkStart w:id="52" w:name="_Toc35393637"/>
      <w:bookmarkStart w:id="53" w:name="_Toc28359096"/>
      <w:bookmarkStart w:id="54" w:name="_Toc35393806"/>
      <w:bookmarkStart w:id="55" w:name="_Toc74322009"/>
      <w:r>
        <w:rPr>
          <w:rFonts w:hint="eastAsia" w:ascii="宋体" w:hAnsi="宋体" w:cs="宋体"/>
          <w:color w:val="auto"/>
          <w:kern w:val="0"/>
          <w:szCs w:val="21"/>
          <w:highlight w:val="none"/>
        </w:rPr>
        <w:t>1.采购人信息</w:t>
      </w:r>
      <w:bookmarkEnd w:id="51"/>
      <w:bookmarkEnd w:id="52"/>
      <w:bookmarkEnd w:id="53"/>
      <w:bookmarkEnd w:id="54"/>
    </w:p>
    <w:p w14:paraId="214BFE1F">
      <w:pPr>
        <w:pStyle w:val="7"/>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广西壮族自治区钟山监狱</w:t>
      </w:r>
    </w:p>
    <w:p w14:paraId="1BA00761">
      <w:pPr>
        <w:pStyle w:val="7"/>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广西壮族自治区贺州市钟山县北环东路356号</w:t>
      </w:r>
    </w:p>
    <w:p w14:paraId="73A8460E">
      <w:pPr>
        <w:pStyle w:val="7"/>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联系方式：</w:t>
      </w:r>
      <w:r>
        <w:rPr>
          <w:rFonts w:hint="eastAsia" w:ascii="宋体" w:hAnsi="宋体" w:cs="宋体"/>
          <w:color w:val="auto"/>
          <w:highlight w:val="none"/>
          <w:u w:val="single"/>
        </w:rPr>
        <w:t>黎警官</w:t>
      </w:r>
      <w:r>
        <w:rPr>
          <w:rFonts w:hint="eastAsia" w:ascii="宋体" w:hAnsi="宋体"/>
          <w:color w:val="auto"/>
          <w:szCs w:val="21"/>
          <w:highlight w:val="none"/>
          <w:u w:val="single"/>
          <w:lang w:eastAsia="zh-CN"/>
        </w:rPr>
        <w:t>；</w:t>
      </w:r>
      <w:r>
        <w:rPr>
          <w:rFonts w:hint="eastAsia" w:ascii="宋体" w:hAnsi="宋体" w:cs="宋体"/>
          <w:color w:val="auto"/>
          <w:highlight w:val="none"/>
          <w:u w:val="single"/>
        </w:rPr>
        <w:t>0774-5691016</w:t>
      </w:r>
    </w:p>
    <w:p w14:paraId="3FE80D12">
      <w:pPr>
        <w:pStyle w:val="7"/>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2.采购代理机构信息</w:t>
      </w:r>
    </w:p>
    <w:p w14:paraId="0AB1B10F">
      <w:pPr>
        <w:pStyle w:val="7"/>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名    称：云之龙咨询集团有限公司</w:t>
      </w:r>
    </w:p>
    <w:p w14:paraId="71ACEBD2">
      <w:pPr>
        <w:pStyle w:val="7"/>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地　　址：</w:t>
      </w:r>
      <w:r>
        <w:rPr>
          <w:rFonts w:hint="eastAsia" w:ascii="宋体" w:hAnsi="宋体" w:cs="宋体"/>
          <w:color w:val="auto"/>
          <w:highlight w:val="none"/>
          <w:u w:val="single"/>
        </w:rPr>
        <w:t>贺州市八步区翔云街87号金丰大厦5层（云之龙咨询集团有限公司）</w:t>
      </w:r>
    </w:p>
    <w:p w14:paraId="55A94C5A">
      <w:pPr>
        <w:pStyle w:val="7"/>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联系方式：</w:t>
      </w:r>
      <w:r>
        <w:rPr>
          <w:rFonts w:hint="eastAsia" w:ascii="宋体" w:hAnsi="宋体" w:cs="宋体"/>
          <w:color w:val="auto"/>
          <w:highlight w:val="none"/>
          <w:u w:val="single"/>
        </w:rPr>
        <w:t>黄宝娟、蒋红梅、康瀞予  0774-5285056</w:t>
      </w:r>
    </w:p>
    <w:p w14:paraId="617F6C13">
      <w:pPr>
        <w:pStyle w:val="7"/>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3.项目联系方式</w:t>
      </w:r>
    </w:p>
    <w:p w14:paraId="6E0F6A51">
      <w:pPr>
        <w:pStyle w:val="7"/>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项目联系人：</w:t>
      </w:r>
      <w:r>
        <w:rPr>
          <w:rFonts w:hint="eastAsia" w:ascii="宋体" w:hAnsi="宋体" w:cs="宋体"/>
          <w:color w:val="auto"/>
          <w:highlight w:val="none"/>
          <w:u w:val="single"/>
        </w:rPr>
        <w:t>黄宝娟、蒋红梅、康瀞予</w:t>
      </w:r>
    </w:p>
    <w:p w14:paraId="7EAC0ADA">
      <w:pPr>
        <w:pStyle w:val="7"/>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电　　话：</w:t>
      </w:r>
      <w:r>
        <w:rPr>
          <w:rFonts w:hint="eastAsia" w:ascii="宋体" w:hAnsi="宋体" w:cs="宋体"/>
          <w:color w:val="auto"/>
          <w:highlight w:val="none"/>
          <w:u w:val="single"/>
        </w:rPr>
        <w:t>0774-5285056</w:t>
      </w:r>
    </w:p>
    <w:p w14:paraId="74E1C31C">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color w:val="auto"/>
          <w:highlight w:val="none"/>
        </w:rPr>
      </w:pPr>
      <w:r>
        <w:rPr>
          <w:rFonts w:hint="eastAsia"/>
          <w:color w:val="auto"/>
          <w:highlight w:val="none"/>
        </w:rPr>
        <w:br w:type="page"/>
      </w:r>
      <w:r>
        <w:rPr>
          <w:rFonts w:hint="eastAsia"/>
          <w:color w:val="auto"/>
          <w:highlight w:val="none"/>
        </w:rPr>
        <w:t>第二章 供应商须知</w:t>
      </w:r>
      <w:bookmarkEnd w:id="55"/>
    </w:p>
    <w:p w14:paraId="1D7A014C">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7EBB1273">
      <w:pPr>
        <w:spacing w:line="400" w:lineRule="exact"/>
        <w:jc w:val="center"/>
        <w:rPr>
          <w:rFonts w:ascii="宋体" w:hAnsi="宋体"/>
          <w:b/>
          <w:color w:val="auto"/>
          <w:sz w:val="32"/>
          <w:szCs w:val="32"/>
          <w:highlight w:val="none"/>
        </w:rPr>
      </w:pP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7AF9D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5D8FDF33">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76B1833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3531F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0814B2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0113664D">
            <w:pPr>
              <w:spacing w:line="360" w:lineRule="auto"/>
              <w:rPr>
                <w:rFonts w:ascii="宋体" w:hAnsi="宋体" w:cs="宋体"/>
                <w:color w:val="auto"/>
                <w:szCs w:val="21"/>
                <w:highlight w:val="none"/>
              </w:rPr>
            </w:pPr>
            <w:r>
              <w:rPr>
                <w:rFonts w:hint="eastAsia" w:ascii="宋体" w:hAnsi="宋体" w:cs="宋体"/>
                <w:color w:val="auto"/>
                <w:szCs w:val="21"/>
                <w:highlight w:val="none"/>
              </w:rPr>
              <w:t>1.供应商的资格条件：详见竞争性谈判公告</w:t>
            </w:r>
          </w:p>
          <w:p w14:paraId="7F798F2B">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14:paraId="4E8EF19C">
            <w:pPr>
              <w:spacing w:line="360" w:lineRule="auto"/>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3DB9A17">
            <w:pPr>
              <w:spacing w:line="360" w:lineRule="auto"/>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1ECA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33FB48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35F272D0">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 详见竞争性谈判公告</w:t>
            </w:r>
          </w:p>
        </w:tc>
      </w:tr>
      <w:tr w14:paraId="102A8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905A2E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vAlign w:val="center"/>
          </w:tcPr>
          <w:p w14:paraId="2F950EE2">
            <w:pPr>
              <w:spacing w:line="360" w:lineRule="auto"/>
              <w:rPr>
                <w:rFonts w:ascii="宋体" w:hAnsi="宋体" w:cs="宋体"/>
                <w:color w:val="auto"/>
                <w:szCs w:val="21"/>
                <w:highlight w:val="none"/>
              </w:rPr>
            </w:pPr>
            <w:r>
              <w:rPr>
                <w:rFonts w:hint="eastAsia" w:ascii="宋体" w:hAnsi="宋体"/>
                <w:color w:val="auto"/>
                <w:szCs w:val="21"/>
                <w:highlight w:val="none"/>
              </w:rPr>
              <w:t>如接受联合体竞标，联合体竞标要求如下：无</w:t>
            </w:r>
          </w:p>
        </w:tc>
      </w:tr>
      <w:tr w14:paraId="0A986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E3AEE6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57658A4D">
            <w:pPr>
              <w:pStyle w:val="7"/>
              <w:spacing w:line="360" w:lineRule="auto"/>
              <w:rPr>
                <w:color w:val="auto"/>
                <w:highlight w:val="none"/>
              </w:rPr>
            </w:pPr>
            <w:r>
              <w:rPr>
                <w:rFonts w:hint="eastAsia"/>
                <w:color w:val="auto"/>
                <w:highlight w:val="none"/>
              </w:rPr>
              <w:t>☑不允许分包</w:t>
            </w:r>
          </w:p>
          <w:p w14:paraId="3FA95BF3">
            <w:pPr>
              <w:pStyle w:val="7"/>
              <w:spacing w:line="360" w:lineRule="auto"/>
              <w:rPr>
                <w:color w:val="auto"/>
                <w:highlight w:val="none"/>
              </w:rPr>
            </w:pPr>
            <w:r>
              <w:rPr>
                <w:rFonts w:hint="eastAsia"/>
                <w:color w:val="auto"/>
                <w:highlight w:val="none"/>
              </w:rPr>
              <w:t>□允许分包</w:t>
            </w:r>
          </w:p>
          <w:p w14:paraId="4B97C42C">
            <w:pPr>
              <w:pStyle w:val="7"/>
              <w:spacing w:line="360" w:lineRule="auto"/>
              <w:rPr>
                <w:color w:val="auto"/>
                <w:highlight w:val="none"/>
                <w:u w:val="single"/>
              </w:rPr>
            </w:pPr>
            <w:r>
              <w:rPr>
                <w:rFonts w:hint="eastAsia"/>
                <w:color w:val="auto"/>
                <w:highlight w:val="none"/>
              </w:rPr>
              <w:t>分包内容：</w:t>
            </w:r>
            <w:r>
              <w:rPr>
                <w:rFonts w:hint="eastAsia"/>
                <w:color w:val="auto"/>
                <w:highlight w:val="none"/>
                <w:u w:val="single"/>
              </w:rPr>
              <w:t xml:space="preserve">                                     。</w:t>
            </w:r>
          </w:p>
          <w:p w14:paraId="2FD2A38B">
            <w:pPr>
              <w:pStyle w:val="7"/>
              <w:spacing w:line="360" w:lineRule="auto"/>
              <w:rPr>
                <w:color w:val="auto"/>
                <w:highlight w:val="none"/>
                <w:u w:val="single"/>
              </w:rPr>
            </w:pPr>
            <w:r>
              <w:rPr>
                <w:rFonts w:hint="eastAsia"/>
                <w:color w:val="auto"/>
                <w:highlight w:val="none"/>
              </w:rPr>
              <w:t>分包金额或者比例：</w:t>
            </w:r>
            <w:r>
              <w:rPr>
                <w:rFonts w:hint="eastAsia"/>
                <w:color w:val="auto"/>
                <w:highlight w:val="none"/>
                <w:u w:val="single"/>
              </w:rPr>
              <w:t xml:space="preserve">                                     。</w:t>
            </w:r>
          </w:p>
          <w:p w14:paraId="4D2766B7">
            <w:pPr>
              <w:pStyle w:val="7"/>
              <w:spacing w:line="360" w:lineRule="auto"/>
              <w:rPr>
                <w:color w:val="auto"/>
                <w:highlight w:val="none"/>
                <w:u w:val="single"/>
              </w:rPr>
            </w:pPr>
            <w:r>
              <w:rPr>
                <w:rFonts w:hint="eastAsia" w:ascii="宋体" w:hAnsi="宋体"/>
                <w:color w:val="auto"/>
                <w:szCs w:val="21"/>
                <w:highlight w:val="none"/>
              </w:rPr>
              <w:t>分包供应商必须具备的资质：</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p>
        </w:tc>
      </w:tr>
      <w:tr w14:paraId="3D488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81913B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7.1</w:t>
            </w:r>
          </w:p>
        </w:tc>
        <w:tc>
          <w:tcPr>
            <w:tcW w:w="7912" w:type="dxa"/>
            <w:vAlign w:val="center"/>
          </w:tcPr>
          <w:p w14:paraId="7D341D05">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提供相同品牌产品（非单一产品采购项目的，指核心产品）的不同供应商最后报价相同时，按照下列方式确定一个供应商获得成交</w:t>
            </w:r>
            <w:r>
              <w:rPr>
                <w:rFonts w:hint="eastAsia" w:ascii="宋体" w:hAnsi="宋体"/>
                <w:color w:val="auto"/>
                <w:szCs w:val="21"/>
                <w:highlight w:val="none"/>
                <w:lang w:eastAsia="zh-CN"/>
              </w:rPr>
              <w:t>供应商</w:t>
            </w:r>
            <w:r>
              <w:rPr>
                <w:rFonts w:hint="eastAsia" w:ascii="宋体" w:hAnsi="宋体"/>
                <w:color w:val="auto"/>
                <w:szCs w:val="21"/>
                <w:highlight w:val="none"/>
              </w:rPr>
              <w:t>推荐资格：</w:t>
            </w:r>
          </w:p>
          <w:p w14:paraId="25A983AD">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□随机抽取；</w:t>
            </w:r>
          </w:p>
          <w:p w14:paraId="76925332">
            <w:pPr>
              <w:pStyle w:val="7"/>
              <w:spacing w:line="360" w:lineRule="auto"/>
              <w:rPr>
                <w:rFonts w:ascii="宋体" w:hAnsi="宋体"/>
                <w:color w:val="auto"/>
                <w:szCs w:val="21"/>
                <w:highlight w:val="none"/>
              </w:rPr>
            </w:pPr>
            <w:r>
              <w:rPr>
                <w:rFonts w:hint="eastAsia" w:ascii="宋体" w:hAnsi="宋体"/>
                <w:color w:val="auto"/>
                <w:szCs w:val="21"/>
                <w:highlight w:val="none"/>
              </w:rPr>
              <w:t>☑技术参数正偏离项数多的优先、均无正偏离或正偏离项数一致时负偏离项数少的优先、质保期长优先、交付时间（交货期）短优先、响应时间短优先的顺序排列。</w:t>
            </w:r>
          </w:p>
        </w:tc>
      </w:tr>
      <w:tr w14:paraId="04E4F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3D913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14:paraId="03CE4191">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7D317E8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6EAD4EE">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响应文件提交截止时间</w:t>
            </w:r>
            <w:r>
              <w:rPr>
                <w:rFonts w:hint="eastAsia" w:ascii="宋体" w:hAnsi="宋体" w:cs="宋体"/>
                <w:color w:val="auto"/>
                <w:szCs w:val="21"/>
                <w:highlight w:val="none"/>
              </w:rPr>
              <w:t>内</w:t>
            </w:r>
            <w:r>
              <w:rPr>
                <w:rFonts w:hint="eastAsia"/>
                <w:color w:val="auto"/>
                <w:highlight w:val="none"/>
              </w:rPr>
              <w:t>任意</w:t>
            </w:r>
            <w:r>
              <w:rPr>
                <w:rFonts w:hint="eastAsia" w:ascii="宋体" w:hAnsi="宋体" w:cs="宋体"/>
                <w:color w:val="auto"/>
                <w:szCs w:val="21"/>
                <w:highlight w:val="none"/>
              </w:rPr>
              <w:t>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870331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月至</w:t>
            </w:r>
            <w:r>
              <w:rPr>
                <w:rFonts w:hint="eastAsia" w:ascii="宋体" w:hAnsi="宋体" w:cs="宋体"/>
                <w:color w:val="auto"/>
                <w:szCs w:val="21"/>
                <w:highlight w:val="none"/>
                <w:u w:val="single"/>
              </w:rPr>
              <w:t>响应文件提交截止时间</w:t>
            </w:r>
            <w:r>
              <w:rPr>
                <w:rFonts w:hint="eastAsia" w:ascii="宋体" w:hAnsi="宋体" w:cs="宋体"/>
                <w:color w:val="auto"/>
                <w:szCs w:val="21"/>
                <w:highlight w:val="none"/>
              </w:rPr>
              <w:t>内</w:t>
            </w:r>
            <w:r>
              <w:rPr>
                <w:rFonts w:hint="eastAsia"/>
                <w:color w:val="auto"/>
                <w:highlight w:val="none"/>
              </w:rPr>
              <w:t>任意</w:t>
            </w:r>
            <w:r>
              <w:rPr>
                <w:rFonts w:hint="eastAsia" w:ascii="宋体" w:hAnsi="宋体" w:cs="宋体"/>
                <w:color w:val="auto"/>
                <w:szCs w:val="21"/>
                <w:highlight w:val="none"/>
              </w:rPr>
              <w:t>连续</w:t>
            </w:r>
            <w:r>
              <w:rPr>
                <w:rFonts w:hint="eastAsia" w:ascii="宋体" w:hAnsi="宋体" w:cs="宋体"/>
                <w:color w:val="auto"/>
                <w:szCs w:val="21"/>
                <w:highlight w:val="none"/>
                <w:u w:val="single"/>
              </w:rPr>
              <w:t>3</w:t>
            </w:r>
            <w:r>
              <w:rPr>
                <w:rFonts w:hint="eastAsia" w:ascii="宋体" w:hAnsi="宋体" w:cs="宋体"/>
                <w:color w:val="auto"/>
                <w:szCs w:val="21"/>
                <w:highlight w:val="none"/>
              </w:rPr>
              <w:t>个月的依法缴纳社会保障资金的缴费凭证（</w:t>
            </w:r>
            <w:r>
              <w:rPr>
                <w:rFonts w:hint="eastAsia"/>
                <w:color w:val="auto"/>
                <w:highlight w:val="none"/>
              </w:rPr>
              <w:t>如：</w:t>
            </w:r>
            <w:r>
              <w:rPr>
                <w:rFonts w:hint="eastAsia" w:ascii="宋体" w:hAnsi="宋体" w:cs="宋体"/>
                <w:color w:val="auto"/>
                <w:szCs w:val="21"/>
                <w:highlight w:val="none"/>
              </w:rPr>
              <w:t>专用收据、社会保险缴纳清单或者社保部门的证明等）复印件；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rFonts w:hint="eastAsia"/>
                <w:color w:val="auto"/>
                <w:szCs w:val="21"/>
                <w:highlight w:val="none"/>
              </w:rPr>
              <w:t>成立之日起</w:t>
            </w:r>
            <w:r>
              <w:rPr>
                <w:rFonts w:hint="eastAsia" w:ascii="宋体" w:hAnsi="宋体" w:cs="宋体"/>
                <w:color w:val="auto"/>
                <w:szCs w:val="21"/>
                <w:highlight w:val="none"/>
              </w:rPr>
              <w:t>到响应文件提交截止时间止不足要求月数的只需提供从</w:t>
            </w:r>
            <w:r>
              <w:rPr>
                <w:rFonts w:hint="eastAsia"/>
                <w:color w:val="auto"/>
                <w:szCs w:val="21"/>
                <w:highlight w:val="none"/>
              </w:rPr>
              <w:t>成立之日起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73F12F4">
            <w:pPr>
              <w:spacing w:line="360" w:lineRule="auto"/>
              <w:contextualSpacing/>
              <w:jc w:val="left"/>
              <w:rPr>
                <w:rFonts w:ascii="宋体" w:hAnsi="宋体" w:cs="宋体"/>
                <w:b/>
                <w:color w:val="auto"/>
                <w:szCs w:val="21"/>
                <w:highlight w:val="none"/>
              </w:rPr>
            </w:pPr>
            <w:r>
              <w:rPr>
                <w:rFonts w:hint="eastAsia" w:ascii="宋体" w:hAnsi="宋体" w:cs="宋体"/>
                <w:color w:val="auto"/>
                <w:szCs w:val="21"/>
                <w:highlight w:val="none"/>
              </w:rPr>
              <w:t>4.供应商</w:t>
            </w:r>
            <w:r>
              <w:rPr>
                <w:rFonts w:hint="eastAsia"/>
                <w:color w:val="auto"/>
                <w:szCs w:val="21"/>
                <w:highlight w:val="none"/>
              </w:rPr>
              <w:t>财务状况报告（</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color w:val="auto"/>
                <w:szCs w:val="21"/>
                <w:highlight w:val="none"/>
              </w:rPr>
              <w:t>度财务报表复印件，或者银行出具的资信证明，或者中国人民银行征信中心出具的信用报告（企业竞标的提供企业信用报告，自然人竞标的提供个人信用报告）；供应商属于</w:t>
            </w:r>
            <w:r>
              <w:rPr>
                <w:rFonts w:hint="eastAsia"/>
                <w:color w:val="auto"/>
                <w:highlight w:val="none"/>
              </w:rPr>
              <w:t>成立</w:t>
            </w:r>
            <w:r>
              <w:rPr>
                <w:color w:val="auto"/>
                <w:highlight w:val="none"/>
              </w:rPr>
              <w:t>时间</w:t>
            </w:r>
            <w:r>
              <w:rPr>
                <w:rFonts w:hint="eastAsia"/>
                <w:color w:val="auto"/>
                <w:kern w:val="0"/>
                <w:highlight w:val="none"/>
              </w:rPr>
              <w:t>在规定年度之后</w:t>
            </w:r>
            <w:r>
              <w:rPr>
                <w:color w:val="auto"/>
                <w:highlight w:val="none"/>
              </w:rPr>
              <w:t>的</w:t>
            </w:r>
            <w:r>
              <w:rPr>
                <w:rFonts w:hint="eastAsia"/>
                <w:color w:val="auto"/>
                <w:szCs w:val="21"/>
                <w:highlight w:val="none"/>
              </w:rPr>
              <w:t>法人或其他组织</w:t>
            </w:r>
            <w:r>
              <w:rPr>
                <w:color w:val="auto"/>
                <w:highlight w:val="none"/>
              </w:rPr>
              <w:t>，需提供成立</w:t>
            </w:r>
            <w:r>
              <w:rPr>
                <w:rFonts w:hint="eastAsia"/>
                <w:color w:val="auto"/>
                <w:highlight w:val="none"/>
              </w:rPr>
              <w:t>之日起至响应文件提交截止时间前</w:t>
            </w:r>
            <w:r>
              <w:rPr>
                <w:color w:val="auto"/>
                <w:highlight w:val="none"/>
              </w:rPr>
              <w:t>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s="宋体"/>
                <w:bCs/>
                <w:color w:val="auto"/>
                <w:szCs w:val="21"/>
                <w:highlight w:val="none"/>
              </w:rPr>
              <w:t>）</w:t>
            </w:r>
          </w:p>
          <w:p w14:paraId="2404D8D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EE7846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 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A9BB77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 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18BBF22">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8.中小企业声明函（格式后附）；</w:t>
            </w:r>
            <w:r>
              <w:rPr>
                <w:rFonts w:hint="eastAsia"/>
                <w:color w:val="auto"/>
                <w:highlight w:val="none"/>
              </w:rPr>
              <w:t>【如属于残疾人福利性单位的提供残疾人福利性单位声明函，属于监狱企业的提供由省级以上监狱管理局、戒毒管理局（含新疆生产建设兵团）出具的属于监狱企业的证明文件】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F291113">
            <w:pPr>
              <w:snapToGrid w:val="0"/>
              <w:spacing w:line="360" w:lineRule="auto"/>
              <w:jc w:val="left"/>
              <w:rPr>
                <w:rFonts w:hint="eastAsia" w:ascii="宋体" w:hAnsi="宋体" w:cs="宋体"/>
                <w:b/>
                <w:bCs/>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具备有效的《食品经营许可证》（复印件）</w:t>
            </w:r>
            <w:r>
              <w:rPr>
                <w:rFonts w:hint="eastAsia" w:ascii="宋体" w:hAnsi="宋体" w:cs="宋体"/>
                <w:color w:val="auto"/>
                <w:szCs w:val="21"/>
                <w:highlight w:val="none"/>
                <w:lang w:val="en-US" w:eastAsia="zh-CN"/>
              </w:rPr>
              <w:t>,</w:t>
            </w:r>
            <w:r>
              <w:rPr>
                <w:rFonts w:hint="eastAsia"/>
                <w:color w:val="auto"/>
                <w:highlight w:val="none"/>
              </w:rPr>
              <w:t>如供应商的食品经营许可证与营业执照合并办理的，须提供扫描营业执照二维码后的有效备案信息截图</w:t>
            </w:r>
            <w:r>
              <w:rPr>
                <w:rFonts w:hint="eastAsia" w:ascii="宋体" w:hAnsi="宋体" w:cs="宋体"/>
                <w:color w:val="auto"/>
                <w:szCs w:val="21"/>
                <w:highlight w:val="none"/>
              </w:rPr>
              <w:t>；</w:t>
            </w:r>
            <w:r>
              <w:rPr>
                <w:rFonts w:hint="eastAsia" w:ascii="宋体" w:hAnsi="宋体" w:cs="宋体"/>
                <w:b/>
                <w:bCs/>
                <w:color w:val="auto"/>
                <w:szCs w:val="21"/>
                <w:highlight w:val="none"/>
              </w:rPr>
              <w:t>（必须提供，否则响应文件按无效响应处理）</w:t>
            </w:r>
          </w:p>
          <w:p w14:paraId="787F1F39">
            <w:pPr>
              <w:snapToGrid w:val="0"/>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10.代理服务费承诺书</w:t>
            </w:r>
            <w:r>
              <w:rPr>
                <w:rFonts w:hint="eastAsia" w:ascii="宋体" w:hAnsi="宋体" w:cs="宋体"/>
                <w:color w:val="auto"/>
                <w:szCs w:val="21"/>
                <w:highlight w:val="none"/>
                <w:lang w:eastAsia="zh-CN"/>
              </w:rPr>
              <w:t>（格式后附）</w:t>
            </w:r>
          </w:p>
          <w:p w14:paraId="77AB668D">
            <w:pPr>
              <w:snapToGrid w:val="0"/>
              <w:spacing w:line="360" w:lineRule="auto"/>
              <w:jc w:val="left"/>
              <w:rPr>
                <w:rFonts w:ascii="宋体" w:hAnsi="宋体"/>
                <w:i/>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 除谈判文件规定必须提供以外，供应商认为需要提供的其他证明材料。</w:t>
            </w:r>
          </w:p>
          <w:p w14:paraId="0869AA95">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462A2E85">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w:t>
            </w:r>
            <w:r>
              <w:rPr>
                <w:rFonts w:hint="eastAsia"/>
                <w:b/>
                <w:color w:val="auto"/>
                <w:highlight w:val="none"/>
              </w:rPr>
              <w:t>电子签章</w:t>
            </w:r>
            <w:r>
              <w:rPr>
                <w:rFonts w:hint="eastAsia" w:ascii="宋体" w:hAnsi="宋体" w:cs="宋体"/>
                <w:b/>
                <w:color w:val="auto"/>
                <w:szCs w:val="21"/>
                <w:highlight w:val="none"/>
              </w:rPr>
              <w:t>，否则响应文件按无效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p>
        </w:tc>
      </w:tr>
      <w:tr w14:paraId="13789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4A4701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3FE23191">
            <w:pPr>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14:paraId="4C08C7BE">
            <w:pPr>
              <w:spacing w:line="360" w:lineRule="auto"/>
              <w:rPr>
                <w:rFonts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54F7BE35">
            <w:pPr>
              <w:spacing w:line="360" w:lineRule="auto"/>
              <w:rPr>
                <w:rFonts w:ascii="宋体" w:hAnsi="宋体" w:cs="宋体"/>
                <w:color w:val="auto"/>
                <w:szCs w:val="21"/>
                <w:highlight w:val="none"/>
              </w:rPr>
            </w:pPr>
            <w:r>
              <w:rPr>
                <w:rFonts w:hint="eastAsia" w:ascii="宋体" w:hAnsi="宋体" w:cs="宋体"/>
                <w:color w:val="auto"/>
                <w:szCs w:val="21"/>
                <w:highlight w:val="none"/>
              </w:rPr>
              <w:t>2.供应商认为需要提供的其他有关资料。</w:t>
            </w:r>
          </w:p>
        </w:tc>
      </w:tr>
      <w:tr w14:paraId="5C0C8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C0D6B9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14:paraId="1706C60B">
            <w:pPr>
              <w:spacing w:line="360" w:lineRule="auto"/>
              <w:rPr>
                <w:rFonts w:ascii="宋体" w:hAnsi="宋体" w:cs="宋体"/>
                <w:color w:val="auto"/>
                <w:szCs w:val="21"/>
                <w:highlight w:val="none"/>
              </w:rPr>
            </w:pPr>
            <w:r>
              <w:rPr>
                <w:rFonts w:hint="eastAsia" w:ascii="宋体" w:hAnsi="宋体" w:cs="宋体"/>
                <w:color w:val="auto"/>
                <w:szCs w:val="21"/>
                <w:highlight w:val="none"/>
              </w:rPr>
              <w:t>商务技术文件</w:t>
            </w:r>
          </w:p>
          <w:p w14:paraId="30D48425">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0C342E65">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2.法定代表人身份证明书及法定代表人有效身份证正反面复印件（格式后附）；（</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737E3CC2">
            <w:pPr>
              <w:spacing w:line="360" w:lineRule="auto"/>
              <w:rPr>
                <w:rFonts w:ascii="宋体" w:hAnsi="宋体" w:cs="宋体"/>
                <w:b/>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158DC8CB">
            <w:pPr>
              <w:spacing w:line="360" w:lineRule="auto"/>
              <w:rPr>
                <w:rFonts w:ascii="宋体" w:hAnsi="宋体" w:cs="宋体"/>
                <w:color w:val="auto"/>
                <w:szCs w:val="21"/>
                <w:highlight w:val="none"/>
              </w:rPr>
            </w:pPr>
            <w:r>
              <w:rPr>
                <w:rFonts w:hint="eastAsia" w:ascii="宋体" w:hAnsi="宋体" w:cs="宋体"/>
                <w:color w:val="auto"/>
                <w:szCs w:val="21"/>
                <w:highlight w:val="none"/>
              </w:rPr>
              <w:t>4.竞标保证金提交凭证；（</w:t>
            </w:r>
            <w:r>
              <w:rPr>
                <w:rFonts w:hint="eastAsia"/>
                <w:b/>
                <w:bCs/>
                <w:color w:val="auto"/>
                <w:highlight w:val="none"/>
              </w:rPr>
              <w:t>必须提供</w:t>
            </w:r>
            <w:r>
              <w:rPr>
                <w:rFonts w:hint="eastAsia" w:ascii="宋体" w:hAnsi="宋体" w:cs="宋体"/>
                <w:b/>
                <w:color w:val="auto"/>
                <w:szCs w:val="21"/>
                <w:highlight w:val="none"/>
              </w:rPr>
              <w:t>，否则响应文件按无效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2B9DAAB5">
            <w:pPr>
              <w:spacing w:line="360" w:lineRule="auto"/>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54720DE3">
            <w:pPr>
              <w:spacing w:line="360" w:lineRule="auto"/>
              <w:rPr>
                <w:rFonts w:ascii="宋体" w:hAnsi="宋体" w:cs="宋体"/>
                <w:color w:val="auto"/>
                <w:szCs w:val="21"/>
                <w:highlight w:val="none"/>
              </w:rPr>
            </w:pPr>
            <w:r>
              <w:rPr>
                <w:rFonts w:hint="eastAsia" w:ascii="宋体" w:hAnsi="宋体" w:cs="宋体"/>
                <w:color w:val="auto"/>
                <w:szCs w:val="21"/>
                <w:highlight w:val="none"/>
              </w:rPr>
              <w:t>6.售后服务承诺（格式自拟）；（</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176173D3">
            <w:pPr>
              <w:spacing w:line="360" w:lineRule="auto"/>
              <w:rPr>
                <w:rFonts w:ascii="宋体" w:hAnsi="宋体" w:cs="宋体"/>
                <w:color w:val="auto"/>
                <w:szCs w:val="21"/>
                <w:highlight w:val="none"/>
              </w:rPr>
            </w:pPr>
            <w:r>
              <w:rPr>
                <w:rFonts w:hint="eastAsia" w:ascii="宋体" w:hAnsi="宋体" w:cs="宋体"/>
                <w:color w:val="auto"/>
                <w:szCs w:val="21"/>
                <w:highlight w:val="none"/>
              </w:rPr>
              <w:t>7.货物配置清单（均不含报价）（格式后附）；（</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426D1FD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8.技术要求偏离表（格式后附）；（</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0F07FFB7">
            <w:pP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9.应急采购服务（承诺函）；</w:t>
            </w:r>
            <w:r>
              <w:rPr>
                <w:rFonts w:hint="eastAsia" w:ascii="宋体" w:hAnsi="宋体" w:cs="宋体"/>
                <w:color w:val="auto"/>
                <w:szCs w:val="21"/>
                <w:highlight w:val="none"/>
              </w:rPr>
              <w:t>（格式自拟）（</w:t>
            </w:r>
            <w:r>
              <w:rPr>
                <w:rFonts w:hint="eastAsia" w:ascii="宋体" w:hAnsi="宋体" w:cs="宋体"/>
                <w:b/>
                <w:color w:val="auto"/>
                <w:szCs w:val="21"/>
                <w:highlight w:val="none"/>
              </w:rPr>
              <w:t>必须提供，否则响应文件按无效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r>
              <w:rPr>
                <w:rFonts w:hint="eastAsia" w:ascii="宋体" w:hAnsi="宋体" w:cs="宋体"/>
                <w:color w:val="auto"/>
                <w:szCs w:val="21"/>
                <w:highlight w:val="none"/>
              </w:rPr>
              <w:t>）</w:t>
            </w:r>
          </w:p>
          <w:p w14:paraId="7603CD90">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.供应商认为需要提供的其他有关资料。</w:t>
            </w:r>
          </w:p>
          <w:p w14:paraId="12190BF3">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注：以上标明“必须提供”材料复印件的，必须加盖供应商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w:t>
            </w:r>
            <w:r>
              <w:rPr>
                <w:rFonts w:hint="eastAsia" w:ascii="宋体" w:hAnsi="宋体" w:cs="宋体"/>
                <w:b/>
                <w:bCs/>
                <w:color w:val="auto"/>
                <w:szCs w:val="21"/>
                <w:highlight w:val="none"/>
              </w:rPr>
              <w:t>响应</w:t>
            </w:r>
            <w:r>
              <w:rPr>
                <w:rFonts w:hint="eastAsia" w:ascii="宋体" w:hAnsi="宋体" w:cs="宋体"/>
                <w:b/>
                <w:color w:val="auto"/>
                <w:szCs w:val="21"/>
                <w:highlight w:val="none"/>
              </w:rPr>
              <w:t>处理。</w:t>
            </w:r>
          </w:p>
        </w:tc>
      </w:tr>
      <w:tr w14:paraId="22527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A9EE4B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54BD875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w:t>
            </w:r>
            <w:r>
              <w:rPr>
                <w:rFonts w:hint="eastAsia" w:ascii="宋体" w:hAnsi="宋体" w:cs="宋体"/>
                <w:color w:val="auto"/>
                <w:szCs w:val="21"/>
                <w:highlight w:val="none"/>
                <w:lang w:eastAsia="zh-CN"/>
              </w:rPr>
              <w:t>标</w:t>
            </w:r>
            <w:r>
              <w:rPr>
                <w:rFonts w:hint="eastAsia" w:ascii="宋体" w:hAnsi="宋体" w:cs="宋体"/>
                <w:color w:val="auto"/>
                <w:szCs w:val="21"/>
                <w:highlight w:val="none"/>
              </w:rPr>
              <w:t>报价包括</w:t>
            </w:r>
            <w:r>
              <w:rPr>
                <w:rFonts w:ascii="宋体" w:hAnsi="宋体"/>
                <w:color w:val="auto"/>
                <w:szCs w:val="21"/>
                <w:highlight w:val="none"/>
              </w:rPr>
              <w:t>货物及货物运抵指定交货地点的各种费用和售后服务、税金、验收检验及其它所有费用的总和</w:t>
            </w:r>
            <w:r>
              <w:rPr>
                <w:rFonts w:hint="eastAsia" w:ascii="宋体" w:hAnsi="宋体" w:cs="宋体"/>
                <w:color w:val="auto"/>
                <w:szCs w:val="21"/>
                <w:highlight w:val="none"/>
              </w:rPr>
              <w:t>。</w:t>
            </w:r>
          </w:p>
        </w:tc>
      </w:tr>
      <w:tr w14:paraId="5A343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E34BFE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14:paraId="0D5319DA">
            <w:pPr>
              <w:pStyle w:val="6"/>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90</w:t>
            </w:r>
            <w:r>
              <w:rPr>
                <w:rFonts w:hint="eastAsia" w:ascii="宋体" w:hAnsi="宋体" w:cs="宋体"/>
                <w:color w:val="auto"/>
                <w:kern w:val="2"/>
                <w:sz w:val="21"/>
                <w:szCs w:val="21"/>
                <w:highlight w:val="none"/>
              </w:rPr>
              <w:t>日。</w:t>
            </w:r>
          </w:p>
        </w:tc>
      </w:tr>
      <w:tr w14:paraId="4D32C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48A866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21DF8D6F">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□本项目不收取竞标保证金。</w:t>
            </w:r>
          </w:p>
          <w:p w14:paraId="7C4A9559">
            <w:pPr>
              <w:snapToGrid w:val="0"/>
              <w:spacing w:line="360" w:lineRule="auto"/>
              <w:rPr>
                <w:rFonts w:ascii="宋体" w:hAnsi="宋体"/>
                <w:color w:val="auto"/>
                <w:szCs w:val="21"/>
                <w:highlight w:val="none"/>
              </w:rPr>
            </w:pPr>
            <w:r>
              <w:rPr>
                <w:rFonts w:hint="eastAsia" w:ascii="宋体" w:hAnsi="宋体"/>
                <w:color w:val="auto"/>
                <w:szCs w:val="21"/>
                <w:highlight w:val="none"/>
              </w:rPr>
              <w:t>☑本项目收取竞标保证金，具体规定如下：</w:t>
            </w:r>
          </w:p>
          <w:p w14:paraId="1A2EBB7B">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竞标保证金人民币</w:t>
            </w:r>
            <w:r>
              <w:rPr>
                <w:rFonts w:hint="eastAsia" w:ascii="宋体" w:hAnsi="宋体" w:cs="宋体"/>
                <w:color w:val="auto"/>
                <w:kern w:val="0"/>
                <w:szCs w:val="21"/>
                <w:highlight w:val="none"/>
                <w:u w:val="single"/>
                <w:lang w:val="en-US" w:eastAsia="zh-CN"/>
              </w:rPr>
              <w:t>10000</w:t>
            </w:r>
            <w:bookmarkStart w:id="78" w:name="_GoBack"/>
            <w:bookmarkEnd w:id="78"/>
            <w:r>
              <w:rPr>
                <w:rFonts w:hint="eastAsia" w:ascii="宋体" w:hAnsi="宋体" w:cs="宋体"/>
                <w:color w:val="auto"/>
                <w:kern w:val="0"/>
                <w:szCs w:val="21"/>
                <w:highlight w:val="none"/>
              </w:rPr>
              <w:t>元。</w:t>
            </w:r>
          </w:p>
          <w:p w14:paraId="4ECCECB1">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竞标保证金的交纳方式：银行转账、支票、汇票、本票或者银行、保险机构出具的保函（包含电子保函），禁止采用现钞方式。采用银行转账方式的，在响应文件提交截止时间前交至指定账户并且到账（开户银行：中信银行南宁东葛支行，开户名称：云之龙咨询集团有限公司贺州分公司，银行账号：8113001013400074446）；采用支票、汇票、本票或者保函等方式的，在响应文件提交截止时间前，供应商必须提交单独密封的支票、汇票、本票或者保函原件（电子保函须提交复印件并加盖供应商公章）。否则视为无效竞标保证金。</w:t>
            </w:r>
          </w:p>
          <w:p w14:paraId="6DA93F9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相关要求：</w:t>
            </w:r>
          </w:p>
          <w:p w14:paraId="3326526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6FA71B3E">
            <w:pPr>
              <w:snapToGrid w:val="0"/>
              <w:spacing w:line="360" w:lineRule="auto"/>
              <w:rPr>
                <w:color w:val="auto"/>
                <w:highlight w:val="none"/>
              </w:rPr>
            </w:pPr>
            <w:r>
              <w:rPr>
                <w:rFonts w:hint="eastAsia" w:ascii="宋体" w:hAnsi="宋体"/>
                <w:color w:val="auto"/>
                <w:szCs w:val="21"/>
                <w:highlight w:val="none"/>
              </w:rPr>
              <w:t>2.竞标保证金采用支票、汇票、本票或者银行、保险机构出具的保函</w:t>
            </w:r>
            <w:r>
              <w:rPr>
                <w:rFonts w:hint="eastAsia"/>
                <w:color w:val="auto"/>
                <w:highlight w:val="none"/>
              </w:rPr>
              <w:t>（包含电子保函）</w:t>
            </w:r>
            <w:r>
              <w:rPr>
                <w:rFonts w:hint="eastAsia" w:ascii="宋体" w:hAnsi="宋体"/>
                <w:color w:val="auto"/>
                <w:szCs w:val="21"/>
                <w:highlight w:val="none"/>
              </w:rPr>
              <w:t>交纳方式的，供应商应将支票、汇票、本票或者银行、保险机构出具的保函</w:t>
            </w:r>
            <w:r>
              <w:rPr>
                <w:rFonts w:hint="eastAsia"/>
                <w:color w:val="auto"/>
                <w:highlight w:val="none"/>
              </w:rPr>
              <w:t>（包含电子保函）</w:t>
            </w:r>
            <w:r>
              <w:rPr>
                <w:rFonts w:hint="eastAsia" w:ascii="宋体" w:hAnsi="宋体"/>
                <w:color w:val="auto"/>
                <w:szCs w:val="21"/>
                <w:highlight w:val="none"/>
              </w:rPr>
              <w:t>的复印件作为竞标保证金提交凭证，放置于</w:t>
            </w:r>
            <w:r>
              <w:rPr>
                <w:rFonts w:hint="eastAsia" w:ascii="宋体" w:hAnsi="宋体" w:cs="宋体"/>
                <w:color w:val="auto"/>
                <w:szCs w:val="21"/>
                <w:highlight w:val="none"/>
              </w:rPr>
              <w:t>商务技术文件</w:t>
            </w:r>
            <w:r>
              <w:rPr>
                <w:rFonts w:hint="eastAsia" w:ascii="宋体" w:hAnsi="宋体"/>
                <w:color w:val="auto"/>
                <w:szCs w:val="21"/>
                <w:highlight w:val="none"/>
              </w:rPr>
              <w:t>中，</w:t>
            </w:r>
            <w:r>
              <w:rPr>
                <w:rFonts w:hint="eastAsia" w:ascii="宋体" w:hAnsi="宋体" w:cs="宋体"/>
                <w:b/>
                <w:color w:val="auto"/>
                <w:szCs w:val="21"/>
                <w:highlight w:val="none"/>
              </w:rPr>
              <w:t>否则响应文件按无效处理</w:t>
            </w:r>
            <w:r>
              <w:rPr>
                <w:rFonts w:hint="eastAsia" w:ascii="宋体" w:hAnsi="宋体"/>
                <w:color w:val="auto"/>
                <w:szCs w:val="21"/>
                <w:highlight w:val="none"/>
              </w:rPr>
              <w:t>。供应商必须</w:t>
            </w:r>
            <w:r>
              <w:rPr>
                <w:rFonts w:hint="eastAsia"/>
                <w:color w:val="auto"/>
                <w:highlight w:val="none"/>
              </w:rPr>
              <w:t xml:space="preserve">在响应文件提交截止时间前采用现场或邮寄方式（现场提交地址：贺州市八步区翔云街87号金丰大厦5层；邮寄地址：贺州市八步区翔云街87号金丰大厦5层，收件人：黄宝娟、蒋红梅、康瀞予，联系方式： </w:t>
            </w:r>
            <w:r>
              <w:rPr>
                <w:rFonts w:hint="eastAsia" w:ascii="宋体" w:hAnsi="宋体" w:cs="宋体"/>
                <w:color w:val="auto"/>
                <w:highlight w:val="none"/>
              </w:rPr>
              <w:t>0774-5285056）</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支票、汇票、本票或者银行、保险机构出具的保函原件（电子保函须提交复印件并加盖供应商公章）提交给采购人或者采购代理机构。</w:t>
            </w:r>
          </w:p>
          <w:p w14:paraId="4E065FC3">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3.供应商为联合体的，可以由联合体中的一方或者多方共同交纳竞标保证金，其交纳的保证金对联合体各方均具有约束力。</w:t>
            </w:r>
          </w:p>
          <w:p w14:paraId="384AAD06">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34C597FE">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1.竞标保证金在响应文件提交截止时间后提交的，或者不按规定交纳方式交纳的，或者未足额交纳的（包含保函额度不足的），视为无效竞标保证金。</w:t>
            </w:r>
          </w:p>
          <w:p w14:paraId="300EE775">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2.供应商采用现钞方式或者从个人账户（自然人竞标除外）转出的竞标保证金，视为无效竞标保证金。</w:t>
            </w:r>
          </w:p>
          <w:p w14:paraId="72F5EFC1">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3.支票、汇票或者本票出现无效或者背书情形的，视为无效竞标保证金。</w:t>
            </w:r>
          </w:p>
          <w:p w14:paraId="61DC973E">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4.保函有效期低于竞标有效期的，视为无效竞标保证金。</w:t>
            </w:r>
          </w:p>
          <w:p w14:paraId="5E52E08C">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5.竞标保证金采用银行、保险机构出具的保函（包含电子保函）为有条件保函的，视为无效竞标保证金。</w:t>
            </w:r>
          </w:p>
        </w:tc>
      </w:tr>
      <w:tr w14:paraId="6307D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A1DF51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7912" w:type="dxa"/>
            <w:vAlign w:val="center"/>
          </w:tcPr>
          <w:p w14:paraId="6461D4D8">
            <w:pPr>
              <w:autoSpaceDE w:val="0"/>
              <w:autoSpaceDN w:val="0"/>
              <w:adjustRightIn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p w14:paraId="316D4529">
            <w:pPr>
              <w:autoSpaceDE w:val="0"/>
              <w:autoSpaceDN w:val="0"/>
              <w:adjustRightInd w:val="0"/>
              <w:spacing w:line="360" w:lineRule="auto"/>
              <w:textAlignment w:val="bottom"/>
              <w:rPr>
                <w:rFonts w:ascii="宋体" w:hAnsi="宋体"/>
                <w:color w:val="auto"/>
                <w:szCs w:val="21"/>
                <w:highlight w:val="none"/>
              </w:rPr>
            </w:pPr>
            <w:r>
              <w:rPr>
                <w:rFonts w:hint="eastAsia" w:ascii="宋体" w:hAnsi="宋体"/>
                <w:color w:val="auto"/>
                <w:szCs w:val="21"/>
                <w:highlight w:val="none"/>
              </w:rPr>
              <w:t>□</w:t>
            </w:r>
            <w:r>
              <w:rPr>
                <w:rFonts w:hint="eastAsia"/>
                <w:color w:val="auto"/>
                <w:highlight w:val="none"/>
              </w:rPr>
              <w:t>本项目接受电子备份响应文件。</w:t>
            </w:r>
          </w:p>
        </w:tc>
      </w:tr>
      <w:tr w14:paraId="5B5B8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33F5A9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14155F3B">
            <w:pPr>
              <w:spacing w:line="360" w:lineRule="auto"/>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响应文件提交截止时间：详见竞争性谈判公告。</w:t>
            </w:r>
          </w:p>
          <w:p w14:paraId="1C8F2A0F">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响应文件提交地点：详见竞争性谈判公告。</w:t>
            </w:r>
          </w:p>
        </w:tc>
      </w:tr>
      <w:tr w14:paraId="7F903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D887F2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43A02FE4">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谈判小组的人数：</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人。</w:t>
            </w:r>
          </w:p>
        </w:tc>
      </w:tr>
      <w:tr w14:paraId="0E0DA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2BA4B77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14:paraId="7638B0E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首次响应文件开启时间详见“竞争性谈判公告”</w:t>
            </w:r>
          </w:p>
          <w:p w14:paraId="35D3B50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首次响应文件解密时间：</w:t>
            </w:r>
            <w:r>
              <w:rPr>
                <w:rFonts w:hAnsi="宋体"/>
                <w:color w:val="auto"/>
                <w:highlight w:val="none"/>
                <w:u w:val="single"/>
              </w:rPr>
              <w:t xml:space="preserve"> </w:t>
            </w:r>
            <w:r>
              <w:rPr>
                <w:rFonts w:hint="eastAsia" w:hAnsi="宋体"/>
                <w:color w:val="auto"/>
                <w:highlight w:val="none"/>
                <w:u w:val="single"/>
              </w:rPr>
              <w:t>30</w:t>
            </w:r>
            <w:r>
              <w:rPr>
                <w:rFonts w:hAnsi="宋体"/>
                <w:color w:val="auto"/>
                <w:highlight w:val="none"/>
                <w:u w:val="single"/>
              </w:rPr>
              <w:t xml:space="preserve"> </w:t>
            </w:r>
            <w:r>
              <w:rPr>
                <w:rFonts w:hint="eastAsia" w:hAnsi="宋体"/>
                <w:color w:val="auto"/>
                <w:highlight w:val="none"/>
              </w:rPr>
              <w:t>分钟</w:t>
            </w:r>
          </w:p>
        </w:tc>
      </w:tr>
      <w:tr w14:paraId="6F907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2264E49E">
            <w:pPr>
              <w:spacing w:line="360" w:lineRule="auto"/>
              <w:jc w:val="center"/>
              <w:rPr>
                <w:rFonts w:ascii="宋体" w:hAnsi="宋体" w:cs="宋体"/>
                <w:color w:val="auto"/>
                <w:szCs w:val="21"/>
                <w:highlight w:val="none"/>
              </w:rPr>
            </w:pPr>
            <w:r>
              <w:rPr>
                <w:rFonts w:ascii="宋体" w:hAnsi="宋体" w:cs="宋体"/>
                <w:color w:val="auto"/>
                <w:szCs w:val="21"/>
                <w:highlight w:val="none"/>
              </w:rPr>
              <w:t>26</w:t>
            </w:r>
          </w:p>
        </w:tc>
        <w:tc>
          <w:tcPr>
            <w:tcW w:w="7912" w:type="dxa"/>
            <w:vAlign w:val="center"/>
          </w:tcPr>
          <w:p w14:paraId="6DD606C8">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评审价相同时，按照最后报价由低到高顺序依次推荐；最后报价相同时，按节能、环保产品累计金额由高到低顺序依次推荐；节能、环保产品累计金额也相同时，按以下原则确定成交候选人的顺序：</w:t>
            </w:r>
          </w:p>
          <w:p w14:paraId="2EDECEA2">
            <w:pPr>
              <w:spacing w:line="360" w:lineRule="auto"/>
              <w:contextualSpacing/>
              <w:rPr>
                <w:rFonts w:ascii="宋体" w:hAnsi="宋体" w:cs="宋体"/>
                <w:iCs/>
                <w:color w:val="auto"/>
                <w:szCs w:val="21"/>
                <w:highlight w:val="none"/>
              </w:rPr>
            </w:pPr>
            <w:r>
              <w:rPr>
                <w:rFonts w:hint="eastAsia" w:ascii="宋体" w:hAnsi="宋体" w:cs="宋体"/>
                <w:iCs/>
                <w:color w:val="auto"/>
                <w:szCs w:val="21"/>
                <w:highlight w:val="none"/>
              </w:rPr>
              <w:t>☑带“▲”的实质性要求正偏离项数多的优先、均无正偏离或者正偏离项数一致时负偏离项数少的优先、质保期长优先、交付时间（交货期）短优先、响应时间短优先的顺序推荐。</w:t>
            </w:r>
          </w:p>
          <w:p w14:paraId="77656633">
            <w:pPr>
              <w:snapToGrid w:val="0"/>
              <w:spacing w:line="360" w:lineRule="auto"/>
              <w:rPr>
                <w:rFonts w:ascii="宋体" w:hAnsi="宋体" w:cs="宋体"/>
                <w:color w:val="auto"/>
                <w:szCs w:val="21"/>
                <w:highlight w:val="none"/>
              </w:rPr>
            </w:pPr>
            <w:r>
              <w:rPr>
                <w:rFonts w:hint="eastAsia" w:ascii="宋体" w:hAnsi="宋体" w:cs="宋体"/>
                <w:iCs/>
                <w:color w:val="auto"/>
                <w:szCs w:val="21"/>
                <w:highlight w:val="none"/>
              </w:rPr>
              <w:t>□由谈判小组推荐代表随机抽取。</w:t>
            </w:r>
          </w:p>
        </w:tc>
      </w:tr>
      <w:tr w14:paraId="19799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50C798FD">
            <w:pPr>
              <w:spacing w:line="360" w:lineRule="auto"/>
              <w:jc w:val="center"/>
              <w:rPr>
                <w:rFonts w:ascii="宋体" w:hAnsi="宋体" w:cs="宋体"/>
                <w:color w:val="auto"/>
                <w:szCs w:val="21"/>
                <w:highlight w:val="none"/>
              </w:rPr>
            </w:pPr>
          </w:p>
        </w:tc>
        <w:tc>
          <w:tcPr>
            <w:tcW w:w="7912" w:type="dxa"/>
            <w:vAlign w:val="center"/>
          </w:tcPr>
          <w:p w14:paraId="21AB10E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73868D2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14:paraId="2F5FE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71CD8C1">
            <w:pPr>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14:paraId="16461CB8">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□本项目不收取履约保证金。</w:t>
            </w:r>
          </w:p>
          <w:p w14:paraId="11FAAD92">
            <w:pPr>
              <w:autoSpaceDE w:val="0"/>
              <w:autoSpaceDN w:val="0"/>
              <w:snapToGrid w:val="0"/>
              <w:spacing w:line="360" w:lineRule="auto"/>
              <w:textAlignment w:val="bottom"/>
              <w:rPr>
                <w:rFonts w:hint="eastAsia" w:ascii="宋体" w:hAnsi="宋体"/>
                <w:color w:val="auto"/>
                <w:szCs w:val="21"/>
                <w:highlight w:val="none"/>
              </w:rPr>
            </w:pPr>
            <w:r>
              <w:rPr>
                <w:rFonts w:hint="eastAsia" w:ascii="MS Mincho" w:hAnsi="MS Mincho" w:eastAsia="MS Mincho" w:cs="MS Mincho"/>
                <w:color w:val="auto"/>
                <w:szCs w:val="21"/>
                <w:highlight w:val="none"/>
              </w:rPr>
              <w:t>☑</w:t>
            </w:r>
            <w:r>
              <w:rPr>
                <w:rFonts w:hint="eastAsia" w:ascii="宋体" w:hAnsi="宋体"/>
                <w:color w:val="auto"/>
                <w:szCs w:val="21"/>
                <w:highlight w:val="none"/>
              </w:rPr>
              <w:t>本项目收取履约保证金，具体规定如下：</w:t>
            </w:r>
          </w:p>
          <w:p w14:paraId="34791F4D">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履约保证金金额：</w:t>
            </w:r>
            <w:r>
              <w:rPr>
                <w:rFonts w:hint="eastAsia" w:ascii="宋体" w:hAnsi="宋体" w:cs="宋体"/>
                <w:color w:val="auto"/>
                <w:szCs w:val="21"/>
                <w:highlight w:val="none"/>
                <w:u w:val="single"/>
                <w:lang w:eastAsia="zh-CN"/>
              </w:rPr>
              <w:t>贰万元整（</w:t>
            </w:r>
            <w:r>
              <w:rPr>
                <w:rFonts w:hint="eastAsia" w:ascii="宋体" w:hAnsi="宋体" w:cs="宋体"/>
                <w:color w:val="auto"/>
                <w:szCs w:val="21"/>
                <w:highlight w:val="none"/>
                <w:u w:val="single"/>
                <w:lang w:val="en-US" w:eastAsia="zh-CN"/>
              </w:rPr>
              <w:t>¥20000.00</w:t>
            </w:r>
            <w:r>
              <w:rPr>
                <w:rFonts w:hint="eastAsia" w:ascii="宋体" w:hAnsi="宋体" w:cs="宋体"/>
                <w:color w:val="auto"/>
                <w:szCs w:val="21"/>
                <w:highlight w:val="none"/>
                <w:u w:val="single"/>
                <w:lang w:eastAsia="zh-CN"/>
              </w:rPr>
              <w:t>）</w:t>
            </w:r>
          </w:p>
          <w:p w14:paraId="2EE1A03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履约保证金提交方式：银行转账、支票、汇票、本票或者银行、保险机构出具的保函等非现金方式。</w:t>
            </w:r>
          </w:p>
          <w:p w14:paraId="5B00E95A">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履约保证金缴纳期限：</w:t>
            </w:r>
            <w:r>
              <w:rPr>
                <w:rFonts w:hint="eastAsia" w:ascii="宋体" w:hAnsi="宋体"/>
                <w:color w:val="auto"/>
                <w:szCs w:val="21"/>
                <w:highlight w:val="none"/>
                <w:u w:val="single"/>
              </w:rPr>
              <w:t>签订合同前</w:t>
            </w:r>
            <w:r>
              <w:rPr>
                <w:rFonts w:hint="eastAsia" w:ascii="宋体" w:hAnsi="宋体"/>
                <w:color w:val="auto"/>
                <w:szCs w:val="21"/>
                <w:highlight w:val="none"/>
              </w:rPr>
              <w:t>。</w:t>
            </w:r>
          </w:p>
          <w:p w14:paraId="1319731D">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 xml:space="preserve"> 由成交供应商向履约保证金收取单位提供《广西壮族自治区政府采购项目合同验收书》（详见桂财采〔2015〕22号），保证金收取单位在收到合格材料后5个工作日内办理退还手续（不计利息） 。</w:t>
            </w:r>
          </w:p>
          <w:p w14:paraId="0FAB3FD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履约保证金指定账户：</w:t>
            </w:r>
          </w:p>
          <w:p w14:paraId="5FF752DD">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开户名称：广西壮族自治区钟山监狱</w:t>
            </w:r>
          </w:p>
          <w:p w14:paraId="6BDE5C49">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开户银行：中国农业银行钟山兴钟支行</w:t>
            </w:r>
          </w:p>
          <w:p w14:paraId="007F168A">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银行账号：2032 9401 0400 00535</w:t>
            </w:r>
          </w:p>
          <w:p w14:paraId="18E73485">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备注：</w:t>
            </w:r>
          </w:p>
          <w:p w14:paraId="7F369CE2">
            <w:pPr>
              <w:spacing w:line="360" w:lineRule="auto"/>
              <w:contextualSpacing/>
              <w:rPr>
                <w:rFonts w:ascii="宋体" w:hAnsi="宋体" w:cs="宋体"/>
                <w:b/>
                <w:color w:val="auto"/>
                <w:kern w:val="0"/>
                <w:sz w:val="24"/>
                <w:highlight w:val="none"/>
              </w:rPr>
            </w:pPr>
            <w:r>
              <w:rPr>
                <w:rFonts w:hint="eastAsia" w:ascii="宋体" w:hAnsi="宋体" w:cs="宋体"/>
                <w:b/>
                <w:color w:val="auto"/>
                <w:szCs w:val="21"/>
                <w:highlight w:val="none"/>
              </w:rPr>
              <w:t>1</w:t>
            </w:r>
            <w:r>
              <w:rPr>
                <w:rFonts w:ascii="宋体" w:hAnsi="宋体" w:cs="宋体"/>
                <w:b/>
                <w:color w:val="auto"/>
                <w:szCs w:val="21"/>
                <w:highlight w:val="none"/>
              </w:rPr>
              <w:t>.</w:t>
            </w:r>
            <w:r>
              <w:rPr>
                <w:rFonts w:hint="eastAsia" w:ascii="宋体" w:hAnsi="宋体"/>
                <w:b/>
                <w:color w:val="auto"/>
                <w:szCs w:val="21"/>
                <w:highlight w:val="none"/>
              </w:rPr>
              <w:t xml:space="preserve"> </w:t>
            </w:r>
            <w:bookmarkStart w:id="56" w:name="_Hlk54170335"/>
            <w:r>
              <w:rPr>
                <w:rFonts w:hint="eastAsia" w:ascii="宋体" w:hAnsi="宋体"/>
                <w:b/>
                <w:color w:val="auto"/>
                <w:szCs w:val="21"/>
                <w:highlight w:val="none"/>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ascii="宋体" w:hAnsi="宋体" w:cs="宋体"/>
                <w:b/>
                <w:color w:val="auto"/>
                <w:kern w:val="0"/>
                <w:sz w:val="24"/>
                <w:highlight w:val="none"/>
              </w:rPr>
              <w:t>。</w:t>
            </w:r>
            <w:bookmarkEnd w:id="56"/>
          </w:p>
          <w:p w14:paraId="00D7F700">
            <w:pPr>
              <w:spacing w:line="360" w:lineRule="auto"/>
              <w:contextualSpacing/>
              <w:rPr>
                <w:rFonts w:ascii="宋体" w:hAnsi="宋体" w:cs="宋体"/>
                <w:b/>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w:t>
            </w:r>
            <w:r>
              <w:rPr>
                <w:rFonts w:hint="eastAsia" w:ascii="宋体" w:hAnsi="宋体"/>
                <w:b/>
                <w:color w:val="auto"/>
                <w:szCs w:val="21"/>
                <w:highlight w:val="none"/>
              </w:rPr>
              <w:t xml:space="preserve"> 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r>
              <w:rPr>
                <w:rFonts w:ascii="宋体" w:hAnsi="宋体" w:cs="宋体"/>
                <w:b/>
                <w:color w:val="auto"/>
                <w:szCs w:val="21"/>
                <w:highlight w:val="none"/>
              </w:rPr>
              <w:t>3.</w:t>
            </w:r>
            <w:r>
              <w:rPr>
                <w:rFonts w:hint="eastAsia" w:ascii="宋体" w:hAnsi="宋体" w:cs="宋体"/>
                <w:b/>
                <w:color w:val="auto"/>
                <w:szCs w:val="21"/>
                <w:highlight w:val="none"/>
              </w:rPr>
              <w:t>采用银行、保险机构出具的保函的，必须为无条件保函，否则不予签订合同。</w:t>
            </w:r>
          </w:p>
          <w:p w14:paraId="324FA426">
            <w:pPr>
              <w:snapToGrid w:val="0"/>
              <w:spacing w:line="360" w:lineRule="auto"/>
              <w:rPr>
                <w:rFonts w:ascii="宋体" w:hAnsi="宋体" w:cs="宋体"/>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供应商为联合体的，由联合体任意一方按规定提交的履约保证金，视为有效履约保证金。</w:t>
            </w:r>
          </w:p>
        </w:tc>
      </w:tr>
      <w:tr w14:paraId="389E3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C55E102">
            <w:pPr>
              <w:spacing w:line="360" w:lineRule="auto"/>
              <w:jc w:val="center"/>
              <w:rPr>
                <w:rFonts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.1</w:t>
            </w:r>
          </w:p>
        </w:tc>
        <w:tc>
          <w:tcPr>
            <w:tcW w:w="7912" w:type="dxa"/>
            <w:vAlign w:val="center"/>
          </w:tcPr>
          <w:p w14:paraId="73F7A80B">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14:paraId="01F00756">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351CA8FC">
            <w:pPr>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5F073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0B093D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14:paraId="6066B95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47D8C827">
            <w:pPr>
              <w:pStyle w:val="12"/>
              <w:spacing w:line="360" w:lineRule="auto"/>
              <w:contextualSpacing/>
              <w:rPr>
                <w:rFonts w:hint="eastAsia"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rPr>
              <w:t>云之龙咨询集团有限公司</w:t>
            </w:r>
            <w:r>
              <w:rPr>
                <w:rFonts w:hint="eastAsia" w:hAnsi="宋体" w:cs="宋体"/>
                <w:color w:val="auto"/>
                <w:kern w:val="2"/>
                <w:sz w:val="21"/>
                <w:highlight w:val="none"/>
              </w:rPr>
              <w:t>，联系电话：</w:t>
            </w:r>
            <w:r>
              <w:rPr>
                <w:rFonts w:hint="eastAsia" w:hAnsi="宋体" w:cs="宋体"/>
                <w:color w:val="auto"/>
                <w:kern w:val="2"/>
                <w:sz w:val="21"/>
                <w:highlight w:val="none"/>
                <w:u w:val="single"/>
              </w:rPr>
              <w:t>0774-5285056</w:t>
            </w:r>
            <w:r>
              <w:rPr>
                <w:rFonts w:hint="eastAsia" w:hAnsi="宋体" w:cs="宋体"/>
                <w:color w:val="auto"/>
                <w:kern w:val="2"/>
                <w:sz w:val="21"/>
                <w:highlight w:val="none"/>
              </w:rPr>
              <w:t>，通讯地址：</w:t>
            </w:r>
            <w:r>
              <w:rPr>
                <w:rFonts w:hint="eastAsia" w:hAnsi="宋体" w:cs="宋体"/>
                <w:color w:val="auto"/>
                <w:kern w:val="2"/>
                <w:sz w:val="21"/>
                <w:highlight w:val="none"/>
                <w:u w:val="single"/>
              </w:rPr>
              <w:t>贺州市八步区翔云街87号金丰大厦5层</w:t>
            </w:r>
          </w:p>
          <w:p w14:paraId="7DB0BC60">
            <w:pPr>
              <w:pStyle w:val="12"/>
              <w:snapToGrid w:val="0"/>
              <w:spacing w:line="360" w:lineRule="auto"/>
              <w:rPr>
                <w:rFonts w:hAnsi="宋体" w:cs="宋体"/>
                <w:color w:val="auto"/>
                <w:kern w:val="2"/>
                <w:sz w:val="21"/>
                <w:highlight w:val="none"/>
              </w:rPr>
            </w:pPr>
            <w:r>
              <w:rPr>
                <w:rFonts w:hint="eastAsia" w:hAnsi="宋体" w:cs="宋体"/>
                <w:color w:val="auto"/>
                <w:kern w:val="2"/>
                <w:sz w:val="21"/>
                <w:highlight w:val="none"/>
              </w:rPr>
              <w:t>业务时间：工作日每天上午8时00分到12时00分，下午3时00分到6时00分。</w:t>
            </w:r>
          </w:p>
        </w:tc>
      </w:tr>
      <w:tr w14:paraId="047FE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01BF5E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.1</w:t>
            </w:r>
          </w:p>
        </w:tc>
        <w:tc>
          <w:tcPr>
            <w:tcW w:w="7912" w:type="dxa"/>
            <w:vAlign w:val="center"/>
          </w:tcPr>
          <w:p w14:paraId="3A7D0833">
            <w:pPr>
              <w:pStyle w:val="12"/>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14:paraId="1F801DD2">
            <w:pPr>
              <w:pStyle w:val="12"/>
              <w:snapToGrid w:val="0"/>
              <w:spacing w:line="360" w:lineRule="auto"/>
              <w:rPr>
                <w:rFonts w:hAnsi="宋体" w:cs="宋体"/>
                <w:color w:val="auto"/>
                <w:kern w:val="2"/>
                <w:sz w:val="21"/>
                <w:highlight w:val="none"/>
              </w:rPr>
            </w:pPr>
            <w:r>
              <w:rPr>
                <w:rFonts w:hint="eastAsia" w:hAnsi="宋体" w:cs="宋体"/>
                <w:color w:val="auto"/>
                <w:kern w:val="2"/>
                <w:sz w:val="21"/>
                <w:highlight w:val="none"/>
              </w:rPr>
              <w:t>☑本项目代理服务费由成交供应商一次性向采购代理机构支付。</w:t>
            </w:r>
          </w:p>
          <w:p w14:paraId="32BAD407">
            <w:pPr>
              <w:pStyle w:val="12"/>
              <w:snapToGrid w:val="0"/>
              <w:spacing w:line="360" w:lineRule="auto"/>
              <w:rPr>
                <w:rFonts w:hAnsi="宋体" w:cs="宋体"/>
                <w:color w:val="auto"/>
                <w:kern w:val="2"/>
                <w:sz w:val="21"/>
                <w:highlight w:val="none"/>
              </w:rPr>
            </w:pPr>
            <w:r>
              <w:rPr>
                <w:rFonts w:hint="eastAsia" w:hAnsi="宋体" w:cs="宋体"/>
                <w:color w:val="auto"/>
                <w:kern w:val="2"/>
                <w:sz w:val="21"/>
                <w:highlight w:val="none"/>
              </w:rPr>
              <w:t>□采购人支付。</w:t>
            </w:r>
          </w:p>
          <w:p w14:paraId="3C4AA0C4">
            <w:pPr>
              <w:pStyle w:val="12"/>
              <w:snapToGrid w:val="0"/>
              <w:spacing w:line="360" w:lineRule="auto"/>
              <w:rPr>
                <w:rFonts w:hAnsi="宋体" w:cs="宋体"/>
                <w:color w:val="auto"/>
                <w:sz w:val="21"/>
                <w:highlight w:val="none"/>
              </w:rPr>
            </w:pPr>
            <w:r>
              <w:rPr>
                <w:rFonts w:hint="eastAsia" w:hAnsi="宋体" w:cs="宋体"/>
                <w:color w:val="auto"/>
                <w:sz w:val="21"/>
                <w:highlight w:val="none"/>
              </w:rPr>
              <w:t>2.采购代理费收取标准：</w:t>
            </w:r>
          </w:p>
          <w:p w14:paraId="0333894F">
            <w:pPr>
              <w:pStyle w:val="12"/>
              <w:snapToGrid w:val="0"/>
              <w:spacing w:line="360" w:lineRule="auto"/>
              <w:rPr>
                <w:rFonts w:hAnsi="宋体" w:cs="宋体"/>
                <w:color w:val="auto"/>
                <w:sz w:val="21"/>
                <w:highlight w:val="none"/>
              </w:rPr>
            </w:pPr>
            <w:r>
              <w:rPr>
                <w:rFonts w:hint="eastAsia" w:hAnsi="宋体" w:cs="宋体"/>
                <w:color w:val="auto"/>
                <w:sz w:val="21"/>
                <w:highlight w:val="none"/>
              </w:rPr>
              <w:t>□以成交金额为计费额，按本须知正文第32.1条规定的货物类标准采用差额定率累进法计算出收费基准价格，采购代理收费以收费基准价格收取。</w:t>
            </w:r>
          </w:p>
          <w:p w14:paraId="7956BFC9">
            <w:pPr>
              <w:pStyle w:val="12"/>
              <w:snapToGrid w:val="0"/>
              <w:spacing w:line="360" w:lineRule="auto"/>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lang w:eastAsia="zh-CN"/>
              </w:rPr>
              <w:t>壹万伍仟壹佰壹拾元整</w:t>
            </w:r>
            <w:r>
              <w:rPr>
                <w:rFonts w:hint="eastAsia" w:hAnsi="宋体" w:cs="宋体"/>
                <w:color w:val="auto"/>
                <w:sz w:val="21"/>
                <w:highlight w:val="none"/>
                <w:u w:val="single"/>
              </w:rPr>
              <w:t>（</w:t>
            </w:r>
            <w:r>
              <w:rPr>
                <w:rFonts w:ascii="Arial" w:hAnsi="Arial" w:cs="Arial"/>
                <w:color w:val="auto"/>
                <w:sz w:val="21"/>
                <w:highlight w:val="none"/>
                <w:u w:val="single"/>
              </w:rPr>
              <w:t>¥</w:t>
            </w:r>
            <w:r>
              <w:rPr>
                <w:rFonts w:hint="eastAsia" w:hAnsi="宋体" w:cs="宋体"/>
                <w:color w:val="auto"/>
                <w:sz w:val="21"/>
                <w:highlight w:val="none"/>
                <w:u w:val="single"/>
                <w:lang w:val="en-US" w:eastAsia="zh-CN"/>
              </w:rPr>
              <w:t>15110.00</w:t>
            </w:r>
            <w:r>
              <w:rPr>
                <w:rFonts w:hint="eastAsia" w:hAnsi="宋体" w:cs="宋体"/>
                <w:color w:val="auto"/>
                <w:sz w:val="21"/>
                <w:highlight w:val="none"/>
                <w:u w:val="single"/>
              </w:rPr>
              <w:t>）。</w:t>
            </w:r>
          </w:p>
          <w:p w14:paraId="200BEC0A">
            <w:pPr>
              <w:pStyle w:val="12"/>
              <w:snapToGrid w:val="0"/>
              <w:spacing w:line="360" w:lineRule="auto"/>
              <w:rPr>
                <w:rFonts w:hAnsi="宋体" w:cs="宋体"/>
                <w:color w:val="auto"/>
                <w:sz w:val="21"/>
                <w:highlight w:val="none"/>
              </w:rPr>
            </w:pPr>
            <w:r>
              <w:rPr>
                <w:rFonts w:hint="eastAsia" w:hAnsi="宋体" w:cs="宋体"/>
                <w:color w:val="auto"/>
                <w:sz w:val="21"/>
                <w:highlight w:val="none"/>
              </w:rPr>
              <w:t>3. 采购代理费收取银行账户</w:t>
            </w:r>
          </w:p>
          <w:p w14:paraId="2C34B067">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开户名称：开户名称：云之龙咨询集团有限公司贺州分公司</w:t>
            </w:r>
          </w:p>
          <w:p w14:paraId="00683D82">
            <w:pPr>
              <w:pStyle w:val="12"/>
              <w:snapToGrid w:val="0"/>
              <w:spacing w:line="360" w:lineRule="auto"/>
              <w:rPr>
                <w:rFonts w:hint="eastAsia" w:hAnsi="宋体" w:cs="宋体"/>
                <w:color w:val="auto"/>
                <w:sz w:val="21"/>
                <w:highlight w:val="none"/>
              </w:rPr>
            </w:pPr>
            <w:r>
              <w:rPr>
                <w:rFonts w:hint="eastAsia" w:hAnsi="宋体" w:cs="宋体"/>
                <w:color w:val="auto"/>
                <w:sz w:val="21"/>
                <w:highlight w:val="none"/>
              </w:rPr>
              <w:t>开户银行：8113001014800158356</w:t>
            </w:r>
          </w:p>
          <w:p w14:paraId="662FF005">
            <w:pPr>
              <w:pStyle w:val="12"/>
              <w:snapToGrid w:val="0"/>
              <w:spacing w:line="360" w:lineRule="auto"/>
              <w:rPr>
                <w:rFonts w:hAnsi="宋体" w:cs="宋体"/>
                <w:color w:val="auto"/>
                <w:sz w:val="21"/>
                <w:highlight w:val="none"/>
                <w:u w:val="single"/>
              </w:rPr>
            </w:pPr>
            <w:r>
              <w:rPr>
                <w:rFonts w:hint="eastAsia" w:hAnsi="宋体" w:cs="宋体"/>
                <w:color w:val="auto"/>
                <w:sz w:val="21"/>
                <w:highlight w:val="none"/>
              </w:rPr>
              <w:t>银行账号：中信银行南宁东葛支行</w:t>
            </w:r>
          </w:p>
        </w:tc>
      </w:tr>
      <w:tr w14:paraId="7CAE9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E12CE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14:paraId="6798F446">
            <w:pPr>
              <w:pStyle w:val="12"/>
              <w:snapToGrid w:val="0"/>
              <w:spacing w:line="360" w:lineRule="auto"/>
              <w:rPr>
                <w:rFonts w:hAnsi="宋体" w:cs="宋体"/>
                <w:color w:val="auto"/>
                <w:sz w:val="21"/>
                <w:highlight w:val="none"/>
              </w:rPr>
            </w:pPr>
            <w:r>
              <w:rPr>
                <w:rFonts w:hint="eastAsia" w:hAnsi="宋体" w:cs="宋体"/>
                <w:color w:val="auto"/>
                <w:sz w:val="21"/>
                <w:highlight w:val="none"/>
              </w:rPr>
              <w:t>解释：</w:t>
            </w:r>
            <w:r>
              <w:rPr>
                <w:rFonts w:hAnsi="宋体" w:cs="宋体"/>
                <w:color w:val="auto"/>
                <w:sz w:val="21"/>
                <w:highlight w:val="none"/>
              </w:rPr>
              <w:t>构成本</w:t>
            </w:r>
            <w:r>
              <w:rPr>
                <w:rFonts w:hint="eastAsia" w:hAnsi="宋体" w:cs="宋体"/>
                <w:color w:val="auto"/>
                <w:sz w:val="21"/>
                <w:highlight w:val="none"/>
              </w:rPr>
              <w:t>谈判文件</w:t>
            </w:r>
            <w:r>
              <w:rPr>
                <w:rFonts w:hAnsi="宋体" w:cs="宋体"/>
                <w:color w:val="auto"/>
                <w:sz w:val="21"/>
                <w:highlight w:val="none"/>
              </w:rPr>
              <w:t>的各个组成文件应互为解释，互为说明；除</w:t>
            </w:r>
            <w:r>
              <w:rPr>
                <w:rFonts w:hint="eastAsia" w:hAnsi="宋体" w:cs="宋体"/>
                <w:color w:val="auto"/>
                <w:sz w:val="21"/>
                <w:highlight w:val="none"/>
              </w:rPr>
              <w:t>谈判文件</w:t>
            </w:r>
            <w:r>
              <w:rPr>
                <w:rFonts w:hAnsi="宋体" w:cs="宋体"/>
                <w:color w:val="auto"/>
                <w:sz w:val="21"/>
                <w:highlight w:val="none"/>
              </w:rPr>
              <w:t>中有特别规定外，仅适用于</w:t>
            </w:r>
            <w:r>
              <w:rPr>
                <w:rFonts w:hint="eastAsia" w:hAnsi="宋体" w:cs="宋体"/>
                <w:color w:val="auto"/>
                <w:sz w:val="21"/>
                <w:highlight w:val="none"/>
              </w:rPr>
              <w:t>竞标</w:t>
            </w:r>
            <w:r>
              <w:rPr>
                <w:rFonts w:hAnsi="宋体" w:cs="宋体"/>
                <w:color w:val="auto"/>
                <w:sz w:val="21"/>
                <w:highlight w:val="none"/>
              </w:rPr>
              <w:t>阶段的规定，按</w:t>
            </w:r>
            <w:r>
              <w:rPr>
                <w:rFonts w:hint="eastAsia" w:hAnsi="宋体" w:cs="宋体"/>
                <w:color w:val="auto"/>
                <w:sz w:val="21"/>
                <w:highlight w:val="none"/>
              </w:rPr>
              <w:t>更正公告（澄清公告）</w:t>
            </w:r>
            <w:r>
              <w:rPr>
                <w:rFonts w:hAnsi="宋体" w:cs="宋体"/>
                <w:color w:val="auto"/>
                <w:sz w:val="21"/>
                <w:highlight w:val="none"/>
              </w:rPr>
              <w:t>、</w:t>
            </w:r>
            <w:r>
              <w:rPr>
                <w:rFonts w:hint="eastAsia" w:hAnsi="宋体" w:cs="宋体"/>
                <w:color w:val="auto"/>
                <w:sz w:val="21"/>
                <w:highlight w:val="none"/>
              </w:rPr>
              <w:t>竞争性谈判</w:t>
            </w:r>
            <w:r>
              <w:rPr>
                <w:rFonts w:hAnsi="宋体" w:cs="宋体"/>
                <w:color w:val="auto"/>
                <w:sz w:val="21"/>
                <w:highlight w:val="none"/>
              </w:rPr>
              <w:t>公告、</w:t>
            </w:r>
            <w:r>
              <w:rPr>
                <w:rFonts w:hint="eastAsia" w:hAnsi="宋体" w:cs="宋体"/>
                <w:color w:val="auto"/>
                <w:sz w:val="21"/>
                <w:highlight w:val="none"/>
              </w:rPr>
              <w:t>供应商</w:t>
            </w:r>
            <w:r>
              <w:rPr>
                <w:rFonts w:hAnsi="宋体" w:cs="宋体"/>
                <w:color w:val="auto"/>
                <w:sz w:val="21"/>
                <w:highlight w:val="none"/>
              </w:rPr>
              <w:t>须知</w:t>
            </w:r>
            <w:r>
              <w:rPr>
                <w:rFonts w:hint="eastAsia" w:hAnsi="宋体" w:cs="宋体"/>
                <w:color w:val="auto"/>
                <w:sz w:val="21"/>
                <w:highlight w:val="none"/>
              </w:rPr>
              <w:t>、采购需求</w:t>
            </w:r>
            <w:r>
              <w:rPr>
                <w:rFonts w:hAnsi="宋体" w:cs="宋体"/>
                <w:color w:val="auto"/>
                <w:sz w:val="21"/>
                <w:highlight w:val="none"/>
              </w:rPr>
              <w:t>、</w:t>
            </w:r>
            <w:r>
              <w:rPr>
                <w:rFonts w:hint="eastAsia" w:hAnsi="宋体" w:cs="宋体"/>
                <w:color w:val="auto"/>
                <w:sz w:val="21"/>
                <w:highlight w:val="none"/>
              </w:rPr>
              <w:t>评审程序和评定成交的标准</w:t>
            </w:r>
            <w:r>
              <w:rPr>
                <w:rFonts w:hAnsi="宋体" w:cs="宋体"/>
                <w:color w:val="auto"/>
                <w:sz w:val="21"/>
                <w:highlight w:val="none"/>
              </w:rPr>
              <w:t>、</w:t>
            </w:r>
            <w:r>
              <w:rPr>
                <w:rFonts w:hint="eastAsia" w:hAnsi="宋体" w:cs="宋体"/>
                <w:color w:val="auto"/>
                <w:sz w:val="21"/>
                <w:highlight w:val="none"/>
              </w:rPr>
              <w:t>响应</w:t>
            </w:r>
            <w:r>
              <w:rPr>
                <w:rFonts w:hAnsi="宋体" w:cs="宋体"/>
                <w:color w:val="auto"/>
                <w:sz w:val="21"/>
                <w:highlight w:val="none"/>
              </w:rPr>
              <w:t>文件格式</w:t>
            </w:r>
            <w:r>
              <w:rPr>
                <w:rFonts w:hint="eastAsia" w:hAnsi="宋体" w:cs="宋体"/>
                <w:color w:val="auto"/>
                <w:sz w:val="21"/>
                <w:highlight w:val="none"/>
              </w:rPr>
              <w:t>、合同文本</w:t>
            </w:r>
            <w:r>
              <w:rPr>
                <w:rFonts w:hAnsi="宋体" w:cs="宋体"/>
                <w:color w:val="auto"/>
                <w:sz w:val="21"/>
                <w:highlight w:val="none"/>
              </w:rPr>
              <w:t>的先后顺序解释；同一组成文件中就同一事项的规定或约定不一致的，以编排顺序在后者为准；同一组成文件不同版本之间有不一致的，以形成时间在后者为准；</w:t>
            </w:r>
            <w:r>
              <w:rPr>
                <w:rFonts w:hint="eastAsia" w:hAnsi="宋体" w:cs="宋体"/>
                <w:color w:val="auto"/>
                <w:sz w:val="21"/>
                <w:highlight w:val="none"/>
              </w:rPr>
              <w:t>更正公告（澄清公告）</w:t>
            </w:r>
            <w:r>
              <w:rPr>
                <w:rFonts w:hAnsi="宋体" w:cs="宋体"/>
                <w:color w:val="auto"/>
                <w:sz w:val="21"/>
                <w:highlight w:val="none"/>
              </w:rPr>
              <w:t>与同步更新的</w:t>
            </w:r>
            <w:r>
              <w:rPr>
                <w:rFonts w:hint="eastAsia" w:hAnsi="宋体" w:cs="宋体"/>
                <w:color w:val="auto"/>
                <w:sz w:val="21"/>
                <w:highlight w:val="none"/>
              </w:rPr>
              <w:t>谈判文件</w:t>
            </w:r>
            <w:r>
              <w:rPr>
                <w:rFonts w:hAnsi="宋体" w:cs="宋体"/>
                <w:color w:val="auto"/>
                <w:sz w:val="21"/>
                <w:highlight w:val="none"/>
              </w:rPr>
              <w:t>不一致时以</w:t>
            </w:r>
            <w:r>
              <w:rPr>
                <w:rFonts w:hint="eastAsia" w:hAnsi="宋体" w:cs="宋体"/>
                <w:color w:val="auto"/>
                <w:sz w:val="21"/>
                <w:highlight w:val="none"/>
              </w:rPr>
              <w:t>更正公告（澄清公告）</w:t>
            </w:r>
            <w:r>
              <w:rPr>
                <w:rFonts w:hAnsi="宋体" w:cs="宋体"/>
                <w:color w:val="auto"/>
                <w:sz w:val="21"/>
                <w:highlight w:val="none"/>
              </w:rPr>
              <w:t>为准。按本款前述规定仍不能形成结论的，由</w:t>
            </w:r>
            <w:r>
              <w:rPr>
                <w:rFonts w:hint="eastAsia" w:hAnsi="宋体" w:cs="宋体"/>
                <w:color w:val="auto"/>
                <w:sz w:val="21"/>
                <w:highlight w:val="none"/>
              </w:rPr>
              <w:t>采购</w:t>
            </w:r>
            <w:r>
              <w:rPr>
                <w:rFonts w:hAnsi="宋体" w:cs="宋体"/>
                <w:color w:val="auto"/>
                <w:sz w:val="21"/>
                <w:highlight w:val="none"/>
              </w:rPr>
              <w:t>人</w:t>
            </w:r>
            <w:r>
              <w:rPr>
                <w:rFonts w:hint="eastAsia" w:hAnsi="宋体" w:cs="宋体"/>
                <w:color w:val="auto"/>
                <w:sz w:val="21"/>
                <w:highlight w:val="none"/>
              </w:rPr>
              <w:t>或者采购代理机构</w:t>
            </w:r>
            <w:r>
              <w:rPr>
                <w:rFonts w:hAnsi="宋体" w:cs="宋体"/>
                <w:color w:val="auto"/>
                <w:sz w:val="21"/>
                <w:highlight w:val="none"/>
              </w:rPr>
              <w:t>负责解释。</w:t>
            </w:r>
          </w:p>
        </w:tc>
      </w:tr>
      <w:tr w14:paraId="0B8DA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118F72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12" w:type="dxa"/>
            <w:vAlign w:val="center"/>
          </w:tcPr>
          <w:p w14:paraId="1340E7D9">
            <w:pPr>
              <w:pStyle w:val="12"/>
              <w:snapToGrid w:val="0"/>
              <w:spacing w:line="360" w:lineRule="auto"/>
              <w:rPr>
                <w:rFonts w:hAnsi="宋体" w:cs="宋体"/>
                <w:color w:val="auto"/>
                <w:sz w:val="21"/>
                <w:highlight w:val="none"/>
              </w:rPr>
            </w:pPr>
            <w:r>
              <w:rPr>
                <w:rFonts w:hint="eastAsia" w:hAnsi="宋体" w:cs="宋体"/>
                <w:color w:val="auto"/>
                <w:sz w:val="21"/>
                <w:highlight w:val="none"/>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7B7471A4">
            <w:pPr>
              <w:pStyle w:val="12"/>
              <w:snapToGrid w:val="0"/>
              <w:spacing w:line="360" w:lineRule="auto"/>
              <w:rPr>
                <w:rFonts w:hAnsi="宋体" w:cs="宋体"/>
                <w:bCs/>
                <w:color w:val="auto"/>
                <w:sz w:val="21"/>
                <w:highlight w:val="none"/>
              </w:rPr>
            </w:pPr>
            <w:r>
              <w:rPr>
                <w:rFonts w:hint="eastAsia" w:hAnsi="宋体" w:cs="宋体"/>
                <w:bCs/>
                <w:color w:val="auto"/>
                <w:sz w:val="21"/>
                <w:highlight w:val="none"/>
              </w:rPr>
              <w:t>2.本谈判文件所称的“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74A8BC5A">
            <w:pPr>
              <w:pStyle w:val="12"/>
              <w:snapToGrid w:val="0"/>
              <w:spacing w:line="360" w:lineRule="auto"/>
              <w:rPr>
                <w:rFonts w:hAnsi="宋体" w:cs="宋体"/>
                <w:bCs/>
                <w:color w:val="auto"/>
                <w:sz w:val="21"/>
                <w:highlight w:val="none"/>
              </w:rPr>
            </w:pPr>
            <w:r>
              <w:rPr>
                <w:rFonts w:hint="eastAsia" w:hAnsi="宋体" w:cs="宋体"/>
                <w:color w:val="auto"/>
                <w:sz w:val="21"/>
                <w:highlight w:val="none"/>
              </w:rPr>
              <w:t>3.供应商为其他组织或者自然人时，本谈判文件规定的法定代表人指负责人或者自然人。本谈判文件所称负责人是指参加竞标的其他组织</w:t>
            </w:r>
            <w:r>
              <w:rPr>
                <w:rFonts w:hint="eastAsia" w:hAnsi="宋体" w:cs="宋体"/>
                <w:bCs/>
                <w:color w:val="auto"/>
                <w:sz w:val="21"/>
                <w:highlight w:val="none"/>
              </w:rPr>
              <w:t>营业执照或者执业许可证等证照上</w:t>
            </w:r>
            <w:r>
              <w:rPr>
                <w:rFonts w:hint="eastAsia" w:hAnsi="宋体" w:cs="宋体"/>
                <w:color w:val="auto"/>
                <w:sz w:val="21"/>
                <w:highlight w:val="none"/>
              </w:rPr>
              <w:t>的负责人，本谈判文件所称自然人指参与竞标的自然人本人，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1FB482ED">
            <w:pPr>
              <w:pStyle w:val="12"/>
              <w:snapToGrid w:val="0"/>
              <w:spacing w:line="360" w:lineRule="auto"/>
              <w:rPr>
                <w:rFonts w:hAnsi="宋体" w:cs="宋体"/>
                <w:color w:val="auto"/>
                <w:sz w:val="21"/>
                <w:highlight w:val="none"/>
              </w:rPr>
            </w:pPr>
            <w:r>
              <w:rPr>
                <w:rFonts w:hint="eastAsia" w:hAnsi="宋体" w:cs="宋体"/>
                <w:color w:val="auto"/>
                <w:sz w:val="21"/>
                <w:highlight w:val="none"/>
              </w:rPr>
              <w:t>4.本谈判文件中描述供应商的“签字”是指供应商的法定代表人或者委托代理人亲自在文件规定签署处亲笔写上个人的名字的行为，私章、签字章、印鉴、影印等其他形式均不能代替亲笔签字。</w:t>
            </w:r>
          </w:p>
          <w:p w14:paraId="382A640A">
            <w:pPr>
              <w:pStyle w:val="12"/>
              <w:snapToGrid w:val="0"/>
              <w:spacing w:line="360" w:lineRule="auto"/>
              <w:rPr>
                <w:rFonts w:hAnsi="宋体" w:cs="宋体"/>
                <w:color w:val="auto"/>
                <w:sz w:val="21"/>
                <w:highlight w:val="none"/>
              </w:rPr>
            </w:pPr>
            <w:r>
              <w:rPr>
                <w:rFonts w:hAnsi="宋体" w:cs="宋体"/>
                <w:color w:val="auto"/>
                <w:sz w:val="21"/>
                <w:highlight w:val="none"/>
              </w:rPr>
              <w:t>5.</w:t>
            </w:r>
            <w:r>
              <w:rPr>
                <w:rFonts w:hint="eastAsia" w:hAnsi="宋体" w:cs="宋体"/>
                <w:color w:val="auto"/>
                <w:sz w:val="21"/>
                <w:highlight w:val="none"/>
              </w:rPr>
              <w:t>本谈判文件所称的“以上”“以下”“以内”“届满”，包括本数；所称的“不满”“超过”“以外”，不包括本数。</w:t>
            </w:r>
          </w:p>
        </w:tc>
      </w:tr>
    </w:tbl>
    <w:p w14:paraId="2FD07526">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7F29C371">
      <w:pPr>
        <w:spacing w:line="400" w:lineRule="exact"/>
        <w:jc w:val="center"/>
        <w:rPr>
          <w:rFonts w:ascii="宋体" w:hAnsi="宋体"/>
          <w:b/>
          <w:color w:val="auto"/>
          <w:sz w:val="32"/>
          <w:szCs w:val="32"/>
          <w:highlight w:val="none"/>
        </w:rPr>
      </w:pPr>
    </w:p>
    <w:p w14:paraId="71287FB9">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3BD49400">
      <w:pPr>
        <w:spacing w:line="400" w:lineRule="exact"/>
        <w:rPr>
          <w:rFonts w:ascii="宋体" w:hAnsi="宋体"/>
          <w:color w:val="auto"/>
          <w:szCs w:val="21"/>
          <w:highlight w:val="none"/>
        </w:rPr>
      </w:pPr>
    </w:p>
    <w:p w14:paraId="46AFC48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 适用范围</w:t>
      </w:r>
    </w:p>
    <w:p w14:paraId="49D46D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358ECC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本竞争性谈判文件（以下简称谈判文件）适用于本项目的所有采购程序和环节（法律、法规另有规定的，从其规定）。</w:t>
      </w:r>
    </w:p>
    <w:p w14:paraId="582E1BD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 定义</w:t>
      </w:r>
    </w:p>
    <w:p w14:paraId="138F1A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154C7D15">
      <w:pPr>
        <w:spacing w:line="360" w:lineRule="auto"/>
        <w:ind w:firstLine="420" w:firstLineChars="200"/>
        <w:rPr>
          <w:rFonts w:ascii="宋体" w:hAnsi="宋体"/>
          <w:b/>
          <w:color w:val="auto"/>
          <w:szCs w:val="21"/>
          <w:highlight w:val="none"/>
        </w:rPr>
      </w:pPr>
      <w:r>
        <w:rPr>
          <w:rFonts w:hint="eastAsia" w:ascii="宋体" w:hAnsi="宋体" w:cs="宋体"/>
          <w:color w:val="auto"/>
          <w:szCs w:val="21"/>
          <w:highlight w:val="none"/>
        </w:rPr>
        <w:t>2.2“采购代理机构”</w:t>
      </w:r>
      <w:r>
        <w:rPr>
          <w:rFonts w:hint="eastAsia" w:ascii="宋体" w:hAnsi="宋体"/>
          <w:b/>
          <w:color w:val="auto"/>
          <w:szCs w:val="21"/>
          <w:highlight w:val="none"/>
        </w:rPr>
        <w:t>是指政府采购集中采购机构和集中采购机构以外的采购代理机构。</w:t>
      </w:r>
    </w:p>
    <w:p w14:paraId="3769E6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7AEE53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2.4“货物”是指各种形态和种类的物品，包括原材料、燃料、设备、产品等。</w:t>
      </w:r>
    </w:p>
    <w:p w14:paraId="43B4EF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2.5“竞标”是指按照本项目竞争性谈判公告或者邀请函规定的方式供应商获取谈判文件、提交响应文件并希望获得标的的行为。</w:t>
      </w:r>
    </w:p>
    <w:p w14:paraId="51A143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2.6“售后服务” 是指包含但不限于供应商须承担的备品备件、包装、运输、装卸、保险、货到就位以及安装、调试、培训、保修和其他类似的义务。</w:t>
      </w:r>
    </w:p>
    <w:p w14:paraId="2A9A6D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14:paraId="5584C1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是指：供应商根据本谈判文件要求，编制包含资格证明、报价、商务技术等所有内容的文件。</w:t>
      </w:r>
    </w:p>
    <w:p w14:paraId="5F1542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 “实质性要求”是指采购需求中带“▲”的条款或者不能负偏离的条款或者已经指明不满足按响应文件按无效处理的条款。</w:t>
      </w:r>
    </w:p>
    <w:p w14:paraId="3B79B0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2.10“正偏离”，是指响应文件对谈判文件“采购需求”中有关条款作出优于条款要求并有利于采购人的响应情形；</w:t>
      </w:r>
    </w:p>
    <w:p w14:paraId="421A99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2.11“负偏离”，是指响应文件对谈判文件“采购需求”中有关条款作出的响应不满足条款要求，导致采购人要求不能得到满足的情形。</w:t>
      </w:r>
    </w:p>
    <w:p w14:paraId="0CE966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14:paraId="49EAB2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2.13“首次报价”是指供应商提交的首次响应文件中的竞标报价。</w:t>
      </w:r>
    </w:p>
    <w:p w14:paraId="3B3EC92D">
      <w:pPr>
        <w:spacing w:line="360" w:lineRule="auto"/>
        <w:ind w:firstLine="482" w:firstLineChars="200"/>
        <w:contextualSpacing/>
        <w:rPr>
          <w:rFonts w:ascii="黑体" w:hAnsi="黑体" w:eastAsia="黑体" w:cs="宋体"/>
          <w:b/>
          <w:bCs/>
          <w:color w:val="auto"/>
          <w:sz w:val="24"/>
          <w:highlight w:val="none"/>
        </w:rPr>
      </w:pPr>
      <w:r>
        <w:rPr>
          <w:rFonts w:hint="eastAsia" w:ascii="黑体" w:hAnsi="黑体" w:eastAsia="黑体" w:cs="宋体"/>
          <w:b/>
          <w:bCs/>
          <w:color w:val="auto"/>
          <w:sz w:val="24"/>
          <w:highlight w:val="none"/>
        </w:rPr>
        <w:t>3. 供应商的资格条件</w:t>
      </w:r>
    </w:p>
    <w:p w14:paraId="3A5FA2B1">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3E9C95B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 竞标费用</w:t>
      </w:r>
    </w:p>
    <w:p w14:paraId="56A394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竞标费用：供应商应承担参与本次采购活动有关的所有费用，包括但不限于获取谈判文件、勘查现场、编制和提交响应文件、参加谈判与应答、签订合同等，不论竞标结果如何，均应自行承担。</w:t>
      </w:r>
    </w:p>
    <w:p w14:paraId="201E1A6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44FF62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64EDF5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bCs/>
          <w:color w:val="auto"/>
          <w:szCs w:val="21"/>
          <w:highlight w:val="none"/>
        </w:rPr>
        <w:t>如接受联合体竞标，</w:t>
      </w:r>
      <w:r>
        <w:rPr>
          <w:rFonts w:hint="eastAsia" w:ascii="宋体" w:hAnsi="宋体" w:cs="宋体"/>
          <w:color w:val="auto"/>
          <w:szCs w:val="21"/>
          <w:highlight w:val="none"/>
        </w:rPr>
        <w:t>联合体竞标要求详见“供应商须知前附表”。</w:t>
      </w:r>
    </w:p>
    <w:p w14:paraId="7E91BC68">
      <w:pPr>
        <w:spacing w:line="360" w:lineRule="auto"/>
        <w:ind w:firstLine="420" w:firstLineChars="200"/>
        <w:rPr>
          <w:rFonts w:ascii="宋体" w:hAnsi="宋体"/>
          <w:bCs/>
          <w:color w:val="auto"/>
          <w:szCs w:val="21"/>
          <w:highlight w:val="none"/>
        </w:rPr>
      </w:pPr>
      <w:bookmarkStart w:id="57" w:name="_Hlk66782192"/>
      <w:r>
        <w:rPr>
          <w:rFonts w:hint="eastAsia" w:ascii="宋体" w:hAnsi="宋体"/>
          <w:bCs/>
          <w:color w:val="auto"/>
          <w:szCs w:val="21"/>
          <w:highlight w:val="none"/>
        </w:rPr>
        <w:t>5.3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57"/>
    </w:p>
    <w:p w14:paraId="281B31A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7A127CB5">
      <w:pPr>
        <w:pStyle w:val="4"/>
        <w:keepNext w:val="0"/>
        <w:keepLines w:val="0"/>
        <w:spacing w:before="0" w:after="0" w:line="360" w:lineRule="auto"/>
        <w:ind w:left="420" w:leftChars="200"/>
        <w:rPr>
          <w:rFonts w:ascii="宋体" w:hAnsi="宋体"/>
          <w:b w:val="0"/>
          <w:color w:val="auto"/>
          <w:sz w:val="21"/>
          <w:szCs w:val="21"/>
          <w:highlight w:val="none"/>
        </w:rPr>
      </w:pPr>
      <w:bookmarkStart w:id="58" w:name="_Toc254970673"/>
      <w:bookmarkStart w:id="59" w:name="_Toc254970532"/>
      <w:r>
        <w:rPr>
          <w:rFonts w:hint="eastAsia" w:ascii="宋体" w:hAnsi="宋体"/>
          <w:b w:val="0"/>
          <w:color w:val="auto"/>
          <w:sz w:val="21"/>
          <w:szCs w:val="21"/>
          <w:highlight w:val="none"/>
        </w:rPr>
        <w:t>6.1本项目不允许转包。</w:t>
      </w:r>
    </w:p>
    <w:p w14:paraId="7EBB8399">
      <w:pPr>
        <w:pStyle w:val="4"/>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的行政许可。</w:t>
      </w:r>
    </w:p>
    <w:p w14:paraId="2AE04D43">
      <w:pPr>
        <w:pStyle w:val="4"/>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14:paraId="5F7136FF">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58"/>
      <w:bookmarkEnd w:id="59"/>
    </w:p>
    <w:p w14:paraId="5C66169C">
      <w:pPr>
        <w:spacing w:line="360" w:lineRule="auto"/>
        <w:ind w:firstLine="420" w:firstLineChars="200"/>
        <w:rPr>
          <w:rFonts w:ascii="宋体" w:hAnsi="宋体" w:cs="宋体"/>
          <w:color w:val="auto"/>
          <w:szCs w:val="21"/>
          <w:highlight w:val="none"/>
        </w:rPr>
      </w:pPr>
      <w:bookmarkStart w:id="60" w:name="_8.1提供相同品牌产品且通过资格审查、符合性审查的不同投标人参加同一合"/>
      <w:bookmarkEnd w:id="60"/>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"_8.1"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7.1</w:t>
      </w:r>
      <w:r>
        <w:rPr>
          <w:rFonts w:hint="eastAsia" w:ascii="宋体" w:hAnsi="宋体" w:cs="宋体"/>
          <w:color w:val="auto"/>
          <w:szCs w:val="21"/>
          <w:highlight w:val="none"/>
        </w:rPr>
        <w:fldChar w:fldCharType="end"/>
      </w:r>
      <w:r>
        <w:rPr>
          <w:rFonts w:hint="eastAsia" w:ascii="宋体" w:hAnsi="宋体" w:cs="宋体"/>
          <w:color w:val="auto"/>
          <w:szCs w:val="21"/>
          <w:highlight w:val="none"/>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推荐资格，其他响应文件按无效处理。</w:t>
      </w:r>
    </w:p>
    <w:p w14:paraId="7C07B0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14:paraId="372976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w:t>
      </w:r>
      <w:r>
        <w:rPr>
          <w:rFonts w:hint="eastAsia" w:ascii="宋体" w:hAnsi="宋体"/>
          <w:color w:val="auto"/>
          <w:szCs w:val="21"/>
          <w:highlight w:val="none"/>
        </w:rPr>
        <w:t xml:space="preserve">如果本谈判文件要求提供供应商或制造商的资格、信誉、荣誉、业绩与企业认证等材料的，资格、信誉、荣誉、业绩与企业认证等必须为供应商或者制造商所拥有或自身获得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p w14:paraId="57C2E9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7.3供应商应仔细阅读谈判文件的所有内容，按照谈判文件的要求提交响应文件，并对所提供的全部资料的真实性承担法律责任。</w:t>
      </w:r>
    </w:p>
    <w:p w14:paraId="42691F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29DA9A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7.5在政府采购活动中，采购人员及相关人员与供应商有下列利害关系之一的，应当回避：</w:t>
      </w:r>
    </w:p>
    <w:p w14:paraId="41A883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643A8E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6F1F0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186EB5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36131F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1247D8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BB73D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7.6有下列情形之一的视为供应商相互串通竞标，响应文件将被视为无效：</w:t>
      </w:r>
    </w:p>
    <w:p w14:paraId="0B7153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50C716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406325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66CB69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388C61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878A3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（6）不同供应商的竞标保证金从同一单位或者个人账户转出。</w:t>
      </w:r>
    </w:p>
    <w:p w14:paraId="72382D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7.7供应商有下列情形之一的，属于恶意串通行为</w:t>
      </w:r>
      <w:bookmarkStart w:id="61" w:name="_Hlk54682620"/>
      <w:r>
        <w:rPr>
          <w:rFonts w:hint="eastAsia" w:ascii="宋体" w:hAnsi="宋体" w:cs="宋体"/>
          <w:color w:val="auto"/>
          <w:szCs w:val="21"/>
          <w:highlight w:val="none"/>
        </w:rPr>
        <w:t>，将报同级监督管理部门</w:t>
      </w:r>
      <w:bookmarkEnd w:id="61"/>
      <w:r>
        <w:rPr>
          <w:rFonts w:hint="eastAsia" w:ascii="宋体" w:hAnsi="宋体" w:cs="宋体"/>
          <w:color w:val="auto"/>
          <w:szCs w:val="21"/>
          <w:highlight w:val="none"/>
        </w:rPr>
        <w:t>：</w:t>
      </w:r>
    </w:p>
    <w:p w14:paraId="505028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179524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E90A2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56699F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127B9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613A4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6FFF4B8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4F27D319">
      <w:pPr>
        <w:spacing w:line="360" w:lineRule="auto"/>
        <w:ind w:left="1" w:firstLine="417" w:firstLineChars="199"/>
        <w:jc w:val="center"/>
        <w:rPr>
          <w:rFonts w:ascii="宋体" w:hAnsi="宋体"/>
          <w:color w:val="auto"/>
          <w:highlight w:val="none"/>
        </w:rPr>
      </w:pPr>
      <w:bookmarkStart w:id="62" w:name="_Toc254970675"/>
      <w:bookmarkStart w:id="63" w:name="_Toc254970534"/>
    </w:p>
    <w:p w14:paraId="4A5F173F">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二、谈判文件</w:t>
      </w:r>
      <w:bookmarkEnd w:id="62"/>
      <w:bookmarkEnd w:id="63"/>
    </w:p>
    <w:p w14:paraId="266CEE67">
      <w:pPr>
        <w:spacing w:line="360" w:lineRule="auto"/>
        <w:jc w:val="center"/>
        <w:rPr>
          <w:rFonts w:ascii="宋体" w:hAnsi="宋体"/>
          <w:color w:val="auto"/>
          <w:szCs w:val="21"/>
          <w:highlight w:val="none"/>
        </w:rPr>
      </w:pPr>
    </w:p>
    <w:p w14:paraId="70B3526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8.谈判文件的构成</w:t>
      </w:r>
    </w:p>
    <w:p w14:paraId="5099F7F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（1）竞争性谈判公告；</w:t>
      </w:r>
    </w:p>
    <w:p w14:paraId="0342168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（2）供应商须知； </w:t>
      </w:r>
    </w:p>
    <w:p w14:paraId="267AD8F1">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7B0F4F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（4）响应文件格式</w:t>
      </w:r>
    </w:p>
    <w:p w14:paraId="7BB23BEC">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（5）合同文本；</w:t>
      </w:r>
    </w:p>
    <w:p w14:paraId="7A0A3E4E">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（6）评审程序和评定成交的标准；</w:t>
      </w:r>
    </w:p>
    <w:p w14:paraId="72BC067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2D354B5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供应商应认真阅读谈判文件的采购需求，如供应商对谈判文件有疑问的，如要求采购人作出澄清或者修改的，供应商尽可能在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523834D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10.谈判文件的澄清和修改</w:t>
      </w:r>
    </w:p>
    <w:p w14:paraId="789F116B">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6FEA43C0">
      <w:pPr>
        <w:spacing w:line="360" w:lineRule="auto"/>
        <w:rPr>
          <w:rFonts w:ascii="宋体" w:hAnsi="宋体"/>
          <w:color w:val="auto"/>
          <w:szCs w:val="21"/>
          <w:highlight w:val="none"/>
        </w:rPr>
      </w:pPr>
    </w:p>
    <w:p w14:paraId="6485C42B">
      <w:pPr>
        <w:spacing w:line="360" w:lineRule="auto"/>
        <w:jc w:val="center"/>
        <w:rPr>
          <w:rFonts w:ascii="宋体" w:hAnsi="宋体"/>
          <w:b/>
          <w:color w:val="auto"/>
          <w:szCs w:val="21"/>
          <w:highlight w:val="none"/>
        </w:rPr>
      </w:pPr>
      <w:r>
        <w:rPr>
          <w:rFonts w:hint="eastAsia" w:ascii="宋体" w:hAnsi="宋体"/>
          <w:b/>
          <w:color w:val="auto"/>
          <w:sz w:val="32"/>
          <w:szCs w:val="32"/>
          <w:highlight w:val="none"/>
        </w:rPr>
        <w:t>三、响应文件的编制</w:t>
      </w:r>
    </w:p>
    <w:p w14:paraId="02326DE9">
      <w:pPr>
        <w:spacing w:line="360" w:lineRule="auto"/>
        <w:rPr>
          <w:rFonts w:ascii="宋体" w:hAnsi="宋体"/>
          <w:color w:val="auto"/>
          <w:szCs w:val="21"/>
          <w:highlight w:val="none"/>
        </w:rPr>
      </w:pPr>
    </w:p>
    <w:p w14:paraId="25CB5FC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136929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供应商必须按照谈判文件的要求编制响应文件，并对其提交的响应文件的真实性、合法性承担法律责任。响应文件必须对谈判文件作出实质性响应。</w:t>
      </w:r>
    </w:p>
    <w:p w14:paraId="233A3F8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7C0D19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w:t>
      </w:r>
      <w:r>
        <w:rPr>
          <w:rFonts w:hint="eastAsia" w:ascii="宋体" w:hAnsi="宋体" w:cs="宋体"/>
          <w:color w:val="auto"/>
          <w:szCs w:val="21"/>
          <w:highlight w:val="none"/>
        </w:rPr>
        <w:t>响应文件由资格证明文件、报价文件、商务技术文件三部分组成。</w:t>
      </w:r>
    </w:p>
    <w:p w14:paraId="284F4AB4">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r>
        <w:rPr>
          <w:rFonts w:hint="eastAsia" w:ascii="宋体" w:hAnsi="宋体" w:cs="宋体"/>
          <w:color w:val="auto"/>
          <w:szCs w:val="21"/>
          <w:highlight w:val="none"/>
        </w:rPr>
        <w:t>资格证明文件：详见“供应商须知前附表”</w:t>
      </w:r>
    </w:p>
    <w:p w14:paraId="6CBCE034">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2报价文件：详见“供应商须知前附表”</w:t>
      </w:r>
    </w:p>
    <w:p w14:paraId="77AB18EF">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0501766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0A42E4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谈判文件已有明确规定的，使用谈判文件规定的计量单位；谈判文件没有规定的，应采用中华人民共和国法定计量单位，货币种类为人民币，否则视同未响应。</w:t>
      </w:r>
    </w:p>
    <w:p w14:paraId="0B835C5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4F67D0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供应商没有按照谈判文件要求提供全部资料，或者供应商没有对谈判文件在各方面作出实质性响应可能导致其响应文件按无效处理，是供应商应当考虑的风险。</w:t>
      </w:r>
    </w:p>
    <w:p w14:paraId="5DC6A4A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284BB6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15.1竞标报价应按谈判文件中“竞标报价表”格式填写。</w:t>
      </w:r>
    </w:p>
    <w:p w14:paraId="4B1E6823">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15.2竞标报价的内容详见“供应商须知前附表”。</w:t>
      </w:r>
    </w:p>
    <w:p w14:paraId="4533CDD1">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6CE4DB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487EC7FD">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7683F29A">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410A5C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659EBE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14:paraId="3CA696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r>
        <w:rPr>
          <w:rFonts w:hint="eastAsia" w:ascii="宋体" w:hAnsi="宋体" w:cs="宋体"/>
          <w:color w:val="auto"/>
          <w:szCs w:val="21"/>
          <w:highlight w:val="none"/>
        </w:rPr>
        <w:t>竞标报价（包含首次报价、最后报价）超过分项采购预算金额或者最高限价的，其响应文件将按无效处理。</w:t>
      </w:r>
    </w:p>
    <w:p w14:paraId="2528994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011336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7BBEC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r>
        <w:rPr>
          <w:rFonts w:hint="eastAsia" w:ascii="宋体" w:hAnsi="宋体"/>
          <w:color w:val="auto"/>
          <w:szCs w:val="21"/>
          <w:highlight w:val="none"/>
        </w:rPr>
        <w:t>承诺的竞标有效期低于采购文件规定期限的，供应商的响应文件作无效处理。</w:t>
      </w:r>
    </w:p>
    <w:p w14:paraId="03DE9B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01DE189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17.竞标保证金</w:t>
      </w:r>
    </w:p>
    <w:p w14:paraId="148ACB3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17.1供应商须按“供应商须知前附表”的规定提交竞标保证金。</w:t>
      </w:r>
    </w:p>
    <w:p w14:paraId="4433C21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17.2竞标保证金的退还</w:t>
      </w:r>
    </w:p>
    <w:p w14:paraId="592B13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olor w:val="auto"/>
          <w:szCs w:val="21"/>
          <w:highlight w:val="none"/>
        </w:rPr>
        <w:t>；</w:t>
      </w:r>
      <w:r>
        <w:rPr>
          <w:rFonts w:hint="eastAsia" w:ascii="宋体" w:hAnsi="宋体" w:cs="宋体"/>
          <w:color w:val="auto"/>
          <w:szCs w:val="21"/>
          <w:highlight w:val="none"/>
        </w:rPr>
        <w:t xml:space="preserve">成交供应商的竞标保证金自签订合同之日起5个工作日内退还。 </w:t>
      </w:r>
    </w:p>
    <w:p w14:paraId="05277D5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17.3竞标保证金不计息。</w:t>
      </w:r>
    </w:p>
    <w:p w14:paraId="0D2DAC5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17.4供应商有下列情形之一的，竞标保证金将不予退还： </w:t>
      </w:r>
    </w:p>
    <w:p w14:paraId="351B8D6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09410C2F">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18DE7BC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784EF5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（4）除因不可抗力或者谈判文件认可的情形以外，成交供应商不与采购人签订合同的；</w:t>
      </w:r>
    </w:p>
    <w:p w14:paraId="4764A157">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4864EB2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60281CFB">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 响应文件编制的要求</w:t>
      </w:r>
    </w:p>
    <w:p w14:paraId="0707D1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按照本项目谈判文件规定的格式和顺序和广西政府采购云平台的要求编制并加密。响应文件内容不完整、编排混乱导致响应文件被误读、漏读或者查找不到相关内容的，由此引发的后果由供应商承担。</w:t>
      </w:r>
    </w:p>
    <w:p w14:paraId="3675E9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170C5D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76D73EB1">
      <w:pPr>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w:t>
      </w:r>
      <w:r>
        <w:rPr>
          <w:rFonts w:hint="eastAsia" w:ascii="宋体" w:hAnsi="宋体" w:cs="宋体"/>
          <w:b/>
          <w:bCs/>
          <w:color w:val="auto"/>
          <w:szCs w:val="21"/>
          <w:highlight w:val="none"/>
        </w:rPr>
        <w:t>并与广西政府采购云平台中获取采购文件的供应商名称一致，</w:t>
      </w:r>
      <w:r>
        <w:rPr>
          <w:rFonts w:hint="eastAsia" w:ascii="宋体" w:hAnsi="宋体" w:cs="宋体"/>
          <w:color w:val="auto"/>
          <w:szCs w:val="21"/>
          <w:highlight w:val="none"/>
        </w:rPr>
        <w:t>供应商为自然人的，标注的供应商名称应与身份证姓名及签名一致，</w:t>
      </w:r>
      <w:r>
        <w:rPr>
          <w:rFonts w:hint="eastAsia" w:ascii="宋体" w:hAnsi="宋体" w:cs="宋体"/>
          <w:b/>
          <w:bCs/>
          <w:color w:val="auto"/>
          <w:szCs w:val="21"/>
          <w:highlight w:val="none"/>
        </w:rPr>
        <w:t>否则其响应文件按无效响应处理。</w:t>
      </w:r>
    </w:p>
    <w:p w14:paraId="56375A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06100928">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70B7B2FE">
      <w:pPr>
        <w:spacing w:line="360" w:lineRule="auto"/>
        <w:ind w:firstLine="420" w:firstLineChars="200"/>
        <w:rPr>
          <w:rFonts w:ascii="黑体" w:hAnsi="黑体" w:eastAsia="黑体"/>
          <w:color w:val="auto"/>
          <w:sz w:val="24"/>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”的文件，是否接受电子备份响应文件详见</w:t>
      </w:r>
      <w:r>
        <w:rPr>
          <w:rFonts w:hint="eastAsia" w:hAnsi="宋体"/>
          <w:bCs/>
          <w:color w:val="auto"/>
          <w:szCs w:val="21"/>
          <w:highlight w:val="none"/>
        </w:rPr>
        <w:t>“供应商须知前附表”。</w:t>
      </w:r>
    </w:p>
    <w:p w14:paraId="4C76F68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1639A1C5">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r>
        <w:rPr>
          <w:rFonts w:hint="eastAsia" w:hAnsi="宋体"/>
          <w:b/>
          <w:color w:val="auto"/>
          <w:highlight w:val="none"/>
        </w:rPr>
        <w:t xml:space="preserve"> </w:t>
      </w:r>
    </w:p>
    <w:p w14:paraId="32B4723E">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未在规定时间内提交或者未按照谈判文件要求加密的电子响应文件，广西政府采购云平台将拒收。</w:t>
      </w:r>
    </w:p>
    <w:p w14:paraId="24DCF02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43F24EFD">
      <w:pPr>
        <w:snapToGrid w:val="0"/>
        <w:spacing w:line="360" w:lineRule="auto"/>
        <w:ind w:firstLine="420"/>
        <w:jc w:val="left"/>
        <w:rPr>
          <w:rFonts w:ascii="宋体" w:hAnsi="宋体"/>
          <w:color w:val="auto"/>
          <w:szCs w:val="21"/>
          <w:highlight w:val="none"/>
        </w:rPr>
      </w:pPr>
      <w:bookmarkStart w:id="64" w:name="_Toc254970543"/>
      <w:bookmarkStart w:id="65"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64"/>
    <w:bookmarkEnd w:id="65"/>
    <w:p w14:paraId="32DE6A51">
      <w:pPr>
        <w:pStyle w:val="52"/>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1D03274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22.响应文件的退回</w:t>
      </w:r>
    </w:p>
    <w:p w14:paraId="7A160A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6B8D832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6D90DF27">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供应商在响应文件提交截止时间后向采购人、采购代理机构书面申请撤回响应文件的，将根据本须知正文第17.4条的规定不予退还其竞标保证金。</w:t>
      </w:r>
    </w:p>
    <w:p w14:paraId="47809E4A">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四、评审及谈判</w:t>
      </w:r>
    </w:p>
    <w:p w14:paraId="4E4A3187">
      <w:pPr>
        <w:spacing w:line="360" w:lineRule="auto"/>
        <w:ind w:left="420" w:firstLine="420"/>
        <w:rPr>
          <w:rFonts w:ascii="宋体" w:hAnsi="宋体"/>
          <w:color w:val="auto"/>
          <w:szCs w:val="21"/>
          <w:highlight w:val="none"/>
        </w:rPr>
      </w:pPr>
    </w:p>
    <w:p w14:paraId="0A00C5C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24.谈判小组成立</w:t>
      </w:r>
    </w:p>
    <w:p w14:paraId="614319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2D1215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11B6F5D7">
      <w:pPr>
        <w:spacing w:line="360" w:lineRule="auto"/>
        <w:ind w:firstLine="420" w:firstLineChars="200"/>
        <w:rPr>
          <w:rFonts w:hAnsi="宋体"/>
          <w:bCs/>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6388FB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24.4参加过采购项目前期咨询论证的专家，不得参加该采购项目的评审活动。</w:t>
      </w:r>
    </w:p>
    <w:p w14:paraId="03F4F0F4">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 xml:space="preserve"> 首次响应文件的开启和解密</w:t>
      </w:r>
    </w:p>
    <w:p w14:paraId="4153AD8F">
      <w:pPr>
        <w:spacing w:line="360" w:lineRule="auto"/>
        <w:ind w:firstLine="420"/>
        <w:rPr>
          <w:rFonts w:ascii="黑体" w:hAnsi="黑体" w:eastAsia="黑体" w:cs="宋体"/>
          <w:b/>
          <w:bCs/>
          <w:color w:val="auto"/>
          <w:sz w:val="24"/>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间通过电子交易平台组织响应文件开启，供应商的法定代表人或其委托代理人须携带加密时所用的CA锁，按平台提示和谈判文件的规定登录到广西政府采购云平台电子开标大厅签到，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3AF3988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 评审程序和评定成交的标准</w:t>
      </w:r>
    </w:p>
    <w:p w14:paraId="3A86DA0E">
      <w:pPr>
        <w:spacing w:line="360" w:lineRule="auto"/>
        <w:ind w:firstLine="420" w:firstLineChars="200"/>
        <w:rPr>
          <w:color w:val="auto"/>
          <w:highlight w:val="none"/>
        </w:rPr>
      </w:pPr>
      <w:r>
        <w:rPr>
          <w:rFonts w:hint="eastAsia"/>
          <w:color w:val="auto"/>
          <w:highlight w:val="none"/>
        </w:rPr>
        <w:t>26.1谈判小组按照“第四章  评审程序和评定成交的标准”规定的评审程序对响应文件进行评审，并按照评定成交的标准推荐成交候选供应商。评审价相同时，成交候选供应商推荐顺序见</w:t>
      </w:r>
      <w:r>
        <w:rPr>
          <w:rFonts w:hint="eastAsia" w:ascii="宋体" w:hAnsi="宋体"/>
          <w:color w:val="auto"/>
          <w:szCs w:val="21"/>
          <w:highlight w:val="none"/>
        </w:rPr>
        <w:t>“供应商须知前附表”。</w:t>
      </w:r>
    </w:p>
    <w:p w14:paraId="2CD64B7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6.2 </w:t>
      </w:r>
      <w:r>
        <w:rPr>
          <w:rFonts w:hint="eastAsia" w:ascii="宋体" w:hAnsi="宋体"/>
          <w:color w:val="auto"/>
          <w:szCs w:val="21"/>
          <w:highlight w:val="none"/>
        </w:rPr>
        <w:t>商务/技术要求允许负偏离的条款数详见“供应商须知前附表”。</w:t>
      </w:r>
    </w:p>
    <w:p w14:paraId="592367E3">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4E5CE4C4">
      <w:pPr>
        <w:spacing w:line="360" w:lineRule="auto"/>
        <w:ind w:firstLine="420" w:firstLineChars="200"/>
        <w:rPr>
          <w:rFonts w:hAnsi="宋体"/>
          <w:color w:val="auto"/>
          <w:highlight w:val="none"/>
        </w:rPr>
      </w:pPr>
      <w:r>
        <w:rPr>
          <w:rFonts w:hint="eastAsia" w:ascii="宋体" w:hAnsi="宋体"/>
          <w:color w:val="auto"/>
          <w:highlight w:val="none"/>
        </w:rPr>
        <w:t>2</w:t>
      </w:r>
      <w:r>
        <w:rPr>
          <w:rFonts w:ascii="宋体" w:hAnsi="宋体"/>
          <w:color w:val="auto"/>
          <w:highlight w:val="none"/>
        </w:rPr>
        <w:t>6.</w:t>
      </w:r>
      <w:r>
        <w:rPr>
          <w:rFonts w:hint="eastAsia" w:ascii="宋体" w:hAnsi="宋体"/>
          <w:color w:val="auto"/>
          <w:highlight w:val="none"/>
        </w:rPr>
        <w:t>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6E3D9299">
      <w:pPr>
        <w:spacing w:line="360" w:lineRule="auto"/>
        <w:ind w:firstLine="420" w:firstLineChars="200"/>
        <w:rPr>
          <w:rFonts w:hAnsi="宋体"/>
          <w:color w:val="auto"/>
          <w:highlight w:val="none"/>
        </w:rPr>
      </w:pPr>
      <w:r>
        <w:rPr>
          <w:rFonts w:hint="eastAsia" w:hAnsi="宋体"/>
          <w:color w:val="auto"/>
          <w:highlight w:val="none"/>
        </w:rPr>
        <w:t xml:space="preserve">（1）电子交易平台发生故障而无法登录访问的； </w:t>
      </w:r>
    </w:p>
    <w:p w14:paraId="44B4800E">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38789583">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30235467">
      <w:pPr>
        <w:spacing w:line="360" w:lineRule="auto"/>
        <w:ind w:firstLine="420" w:firstLineChars="200"/>
        <w:rPr>
          <w:rFonts w:hAnsi="宋体"/>
          <w:color w:val="auto"/>
          <w:highlight w:val="none"/>
        </w:rPr>
      </w:pPr>
      <w:r>
        <w:rPr>
          <w:rFonts w:hint="eastAsia" w:hAnsi="宋体"/>
          <w:color w:val="auto"/>
          <w:highlight w:val="none"/>
        </w:rPr>
        <w:t xml:space="preserve">（4）病毒发作导致不能进行正常操作的； </w:t>
      </w:r>
    </w:p>
    <w:p w14:paraId="4188B1B0">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57559457">
      <w:pPr>
        <w:spacing w:line="360" w:lineRule="auto"/>
        <w:ind w:firstLine="420" w:firstLineChars="200"/>
        <w:rPr>
          <w:rFonts w:hAnsi="宋体"/>
          <w:color w:val="auto"/>
          <w:highlight w:val="none"/>
        </w:rPr>
      </w:pPr>
      <w:r>
        <w:rPr>
          <w:rFonts w:hint="eastAsia" w:ascii="宋体" w:hAnsi="宋体"/>
          <w:color w:val="auto"/>
          <w:highlight w:val="none"/>
        </w:rPr>
        <w:t>26.</w:t>
      </w:r>
      <w:r>
        <w:rPr>
          <w:rFonts w:ascii="宋体" w:hAnsi="宋体"/>
          <w:color w:val="auto"/>
          <w:highlight w:val="none"/>
        </w:rPr>
        <w:t>5</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D825E9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43CBF09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采购</w:t>
      </w:r>
      <w:r>
        <w:rPr>
          <w:rFonts w:hint="eastAsia" w:ascii="宋体" w:hAnsi="宋体" w:cs="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2E7653EB">
      <w:pPr>
        <w:pStyle w:val="7"/>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27</w:t>
      </w:r>
      <w:r>
        <w:rPr>
          <w:rFonts w:hint="eastAsia" w:ascii="宋体" w:hAnsi="宋体" w:cs="宋体"/>
          <w:color w:val="auto"/>
          <w:kern w:val="0"/>
          <w:szCs w:val="21"/>
          <w:highlight w:val="none"/>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cs="Courier New"/>
          <w:color w:val="auto"/>
          <w:szCs w:val="21"/>
          <w:highlight w:val="none"/>
        </w:rPr>
        <w:t>成交供应商享受《政府采购促进中小企业发展管理办法》（财库〔2020〕46号）规定的中小企业扶持政策的，采购人、采购代理机构应当随成交结果公开成交供应商的《中小企业声明函》。</w:t>
      </w:r>
    </w:p>
    <w:p w14:paraId="642495EB">
      <w:pPr>
        <w:pStyle w:val="7"/>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27.3出现下列情形之一的，采购人或者采购代理机构应当终止竞争性谈判采购活动，发布项目终止公告并说明原因，重新开展采购活动：</w:t>
      </w:r>
    </w:p>
    <w:p w14:paraId="690EC911">
      <w:pPr>
        <w:pStyle w:val="7"/>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（1）因情况变化，不再符合规定的竞争性谈判采购方式适用情形的；</w:t>
      </w:r>
    </w:p>
    <w:p w14:paraId="261C182D">
      <w:pPr>
        <w:pStyle w:val="7"/>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（2）出现影响采购公正的违法、违规行为的；</w:t>
      </w:r>
    </w:p>
    <w:p w14:paraId="01822240">
      <w:pPr>
        <w:pStyle w:val="7"/>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（3）在采购过程中符合竞争要求的供应商或者报价未超过采购预算的供应商不足3家的，但“第四章 评审程序和评定成交的标准”第3.7条规定的情形除外。</w:t>
      </w:r>
    </w:p>
    <w:p w14:paraId="36E731A1">
      <w:pPr>
        <w:pStyle w:val="7"/>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14:paraId="1CE37EA8">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351B7F0E">
      <w:pPr>
        <w:pStyle w:val="7"/>
        <w:spacing w:line="360" w:lineRule="auto"/>
        <w:ind w:firstLine="420" w:firstLineChars="200"/>
        <w:rPr>
          <w:color w:val="auto"/>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 “供应商须知前附表”。成交供应商未按规定提交履约保证金的，视为拒绝</w:t>
      </w:r>
      <w:r>
        <w:rPr>
          <w:rFonts w:ascii="宋体" w:hAnsi="宋体" w:cs="宋体"/>
          <w:color w:val="auto"/>
          <w:szCs w:val="21"/>
          <w:highlight w:val="none"/>
        </w:rPr>
        <w:t>与采购人</w:t>
      </w:r>
      <w:r>
        <w:rPr>
          <w:rFonts w:hint="eastAsia" w:ascii="宋体" w:hAnsi="宋体" w:cs="宋体"/>
          <w:color w:val="auto"/>
          <w:szCs w:val="21"/>
          <w:highlight w:val="none"/>
        </w:rPr>
        <w:t>签订合同。</w:t>
      </w:r>
    </w:p>
    <w:p w14:paraId="54D0FD1D">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.2在履约保证金退还日期前，若成交供应商的开户名称、开户银行、账号有变动的，请以书面形式通知履约保证金收取单位，否则由此产生的后果由成交供应商自负。</w:t>
      </w:r>
    </w:p>
    <w:p w14:paraId="7E1B919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06EDC3B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74CB263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0C93361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36B5BAE6">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65C00F8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E8EE44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29.5采购人或成交供应商不得单方面向合同另一方提出任何谈判文件没有约定的条件或不合理的要求，作为签订合同的条件；也不得协商另行订立背离谈判文件和合同实质性内容的协议。</w:t>
      </w:r>
    </w:p>
    <w:p w14:paraId="78AFEB0C">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1FB22FF8">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2709F36D">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697A75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EA14DA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1E76A056">
      <w:pPr>
        <w:pStyle w:val="5"/>
        <w:spacing w:after="120" w:line="360" w:lineRule="auto"/>
        <w:rPr>
          <w:rFonts w:ascii="宋体" w:hAnsi="宋体"/>
          <w:color w:val="auto"/>
          <w:szCs w:val="21"/>
          <w:highlight w:val="none"/>
        </w:rPr>
      </w:pPr>
      <w:r>
        <w:rPr>
          <w:rFonts w:ascii="宋体" w:hAnsi="宋体" w:cs="宋体"/>
          <w:color w:val="auto"/>
          <w:highlight w:val="none"/>
        </w:rPr>
        <w:t>31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p>
    <w:p w14:paraId="06689786">
      <w:pPr>
        <w:spacing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color w:val="auto"/>
          <w:highlight w:val="none"/>
          <w:shd w:val="clear" w:color="auto" w:fill="FFFFFF"/>
        </w:rPr>
        <w:t>接收质疑函的方式、联系部门、联系电话和通讯地址等信息</w:t>
      </w:r>
      <w:r>
        <w:rPr>
          <w:rFonts w:hint="eastAsia" w:ascii="宋体" w:hAnsi="宋体" w:cs="宋体"/>
          <w:color w:val="auto"/>
          <w:szCs w:val="21"/>
          <w:highlight w:val="none"/>
        </w:rPr>
        <w:t>详见“供应商须知前附表”</w:t>
      </w:r>
      <w:r>
        <w:rPr>
          <w:rFonts w:hint="eastAsia" w:ascii="宋体" w:hAnsi="宋体" w:cs="宋体"/>
          <w:color w:val="auto"/>
          <w:highlight w:val="none"/>
        </w:rPr>
        <w:t>。具体质疑起算时间如下：</w:t>
      </w:r>
    </w:p>
    <w:p w14:paraId="3E31D8B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（1）对可以质疑的谈判文件提出质疑的，为获取谈判文件之日；</w:t>
      </w:r>
    </w:p>
    <w:p w14:paraId="6D2A98E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747AC76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2BA4395D">
      <w:pPr>
        <w:spacing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491ABFB8">
      <w:pPr>
        <w:spacing w:line="360" w:lineRule="auto"/>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.4供应商提出质疑应当提交质疑函和必要的证明材料，针对同一采购程序环节的质疑必须在法定质疑期内一次性提出。质疑函应当包括下列内容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38D38DD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445717E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17F633B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77631F2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5C50AE0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5DACABE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12803F5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279F551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408EBCA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C76EF8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3B23BC3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7DEAD019">
      <w:pPr>
        <w:spacing w:line="360" w:lineRule="auto"/>
        <w:ind w:firstLine="420" w:firstLineChars="200"/>
        <w:rPr>
          <w:rFonts w:ascii="宋体" w:hAnsi="宋体" w:cs="宋体"/>
          <w:b/>
          <w:bCs/>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8AB091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其他内容</w:t>
      </w:r>
    </w:p>
    <w:p w14:paraId="0F085111">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.1代理服务收取标准详见“供应商须知前附表”，供应商为联合体的，可以由联合体中的一方或者多方共同交纳代理服务费：</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2402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7ECFCAA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517ACB23">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6CE754ED">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44F8F9E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42705CF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3FA7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9188860">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11F4946C">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151FA9D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10D1C3E8">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5177E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09A2C9B">
            <w:pPr>
              <w:spacing w:line="360" w:lineRule="auto"/>
              <w:rPr>
                <w:rFonts w:ascii="宋体" w:hAnsi="宋体" w:cs="宋体"/>
                <w:color w:val="auto"/>
                <w:szCs w:val="21"/>
                <w:highlight w:val="none"/>
              </w:rPr>
            </w:pPr>
            <w:r>
              <w:rPr>
                <w:rFonts w:hint="eastAsia" w:ascii="宋体" w:hAnsi="宋体" w:cs="宋体"/>
                <w:color w:val="auto"/>
                <w:szCs w:val="21"/>
                <w:highlight w:val="none"/>
              </w:rPr>
              <w:t>100万～500万元</w:t>
            </w:r>
          </w:p>
        </w:tc>
        <w:tc>
          <w:tcPr>
            <w:tcW w:w="1659" w:type="dxa"/>
          </w:tcPr>
          <w:p w14:paraId="5A20383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31A0ACB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1BBB23E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6D47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245E94D">
            <w:pPr>
              <w:spacing w:line="360" w:lineRule="auto"/>
              <w:rPr>
                <w:rFonts w:ascii="宋体" w:hAnsi="宋体" w:cs="宋体"/>
                <w:color w:val="auto"/>
                <w:szCs w:val="21"/>
                <w:highlight w:val="none"/>
              </w:rPr>
            </w:pPr>
            <w:r>
              <w:rPr>
                <w:rFonts w:hint="eastAsia" w:ascii="宋体" w:hAnsi="宋体" w:cs="宋体"/>
                <w:color w:val="auto"/>
                <w:szCs w:val="21"/>
                <w:highlight w:val="none"/>
              </w:rPr>
              <w:t>500万～1000万元</w:t>
            </w:r>
          </w:p>
        </w:tc>
        <w:tc>
          <w:tcPr>
            <w:tcW w:w="1659" w:type="dxa"/>
          </w:tcPr>
          <w:p w14:paraId="349F34CB">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6FEDEFA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367E218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6BD5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E5EBADB">
            <w:pPr>
              <w:spacing w:line="360" w:lineRule="auto"/>
              <w:rPr>
                <w:rFonts w:ascii="宋体" w:hAnsi="宋体" w:cs="宋体"/>
                <w:color w:val="auto"/>
                <w:szCs w:val="21"/>
                <w:highlight w:val="none"/>
              </w:rPr>
            </w:pPr>
            <w:r>
              <w:rPr>
                <w:rFonts w:hint="eastAsia" w:ascii="宋体" w:hAnsi="宋体" w:cs="宋体"/>
                <w:color w:val="auto"/>
                <w:szCs w:val="21"/>
                <w:highlight w:val="none"/>
              </w:rPr>
              <w:t>1000万～5000万元</w:t>
            </w:r>
          </w:p>
        </w:tc>
        <w:tc>
          <w:tcPr>
            <w:tcW w:w="1659" w:type="dxa"/>
          </w:tcPr>
          <w:p w14:paraId="185DAE8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59B9A6C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43E2E4E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22D9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9653A15">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0C9770C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1F925A2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4CDD17C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1372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14C7B81">
            <w:pPr>
              <w:spacing w:line="360" w:lineRule="auto"/>
              <w:rPr>
                <w:rFonts w:ascii="宋体" w:hAnsi="宋体" w:cs="宋体"/>
                <w:color w:val="auto"/>
                <w:szCs w:val="21"/>
                <w:highlight w:val="none"/>
              </w:rPr>
            </w:pPr>
            <w:r>
              <w:rPr>
                <w:rFonts w:hint="eastAsia" w:ascii="宋体" w:hAnsi="宋体" w:cs="宋体"/>
                <w:color w:val="auto"/>
                <w:szCs w:val="21"/>
                <w:highlight w:val="none"/>
              </w:rPr>
              <w:t>1亿～5亿元</w:t>
            </w:r>
          </w:p>
        </w:tc>
        <w:tc>
          <w:tcPr>
            <w:tcW w:w="1659" w:type="dxa"/>
          </w:tcPr>
          <w:p w14:paraId="2EB92B57">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418F563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4846B83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414C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73EDA43">
            <w:pPr>
              <w:spacing w:line="360" w:lineRule="auto"/>
              <w:rPr>
                <w:rFonts w:ascii="宋体" w:hAnsi="宋体" w:cs="宋体"/>
                <w:color w:val="auto"/>
                <w:szCs w:val="21"/>
                <w:highlight w:val="none"/>
              </w:rPr>
            </w:pPr>
            <w:r>
              <w:rPr>
                <w:rFonts w:hint="eastAsia" w:ascii="宋体" w:hAnsi="宋体" w:cs="宋体"/>
                <w:color w:val="auto"/>
                <w:szCs w:val="21"/>
                <w:highlight w:val="none"/>
              </w:rPr>
              <w:t>5亿～10亿元</w:t>
            </w:r>
          </w:p>
        </w:tc>
        <w:tc>
          <w:tcPr>
            <w:tcW w:w="1659" w:type="dxa"/>
          </w:tcPr>
          <w:p w14:paraId="07BE93BC">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5B380B3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11EEDFC8">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33A9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7CEA0F2">
            <w:pPr>
              <w:spacing w:line="360" w:lineRule="auto"/>
              <w:rPr>
                <w:rFonts w:ascii="宋体" w:hAnsi="宋体" w:cs="宋体"/>
                <w:color w:val="auto"/>
                <w:szCs w:val="21"/>
                <w:highlight w:val="none"/>
              </w:rPr>
            </w:pPr>
            <w:r>
              <w:rPr>
                <w:rFonts w:hint="eastAsia" w:ascii="宋体" w:hAnsi="宋体" w:cs="宋体"/>
                <w:color w:val="auto"/>
                <w:szCs w:val="21"/>
                <w:highlight w:val="none"/>
              </w:rPr>
              <w:t>10亿～50亿元</w:t>
            </w:r>
          </w:p>
        </w:tc>
        <w:tc>
          <w:tcPr>
            <w:tcW w:w="1659" w:type="dxa"/>
          </w:tcPr>
          <w:p w14:paraId="062AE0D5">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0469A183">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343890CE">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14C8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59BC3ED">
            <w:pPr>
              <w:spacing w:line="360" w:lineRule="auto"/>
              <w:rPr>
                <w:rFonts w:ascii="宋体" w:hAnsi="宋体" w:cs="宋体"/>
                <w:color w:val="auto"/>
                <w:szCs w:val="21"/>
                <w:highlight w:val="none"/>
              </w:rPr>
            </w:pPr>
            <w:r>
              <w:rPr>
                <w:rFonts w:hint="eastAsia" w:ascii="宋体" w:hAnsi="宋体" w:cs="宋体"/>
                <w:color w:val="auto"/>
                <w:szCs w:val="21"/>
                <w:highlight w:val="none"/>
              </w:rPr>
              <w:t>50亿～100亿元</w:t>
            </w:r>
          </w:p>
        </w:tc>
        <w:tc>
          <w:tcPr>
            <w:tcW w:w="1659" w:type="dxa"/>
          </w:tcPr>
          <w:p w14:paraId="7356095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3145012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7BF5C743">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2C2F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EC8B287">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64AC4CA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5ED92386">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6B8E55C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5A1D4338">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 xml:space="preserve">注： </w:t>
      </w:r>
    </w:p>
    <w:p w14:paraId="4B2988E6">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41AC4227">
      <w:pPr>
        <w:spacing w:line="360" w:lineRule="auto"/>
        <w:ind w:firstLine="420" w:firstLineChars="200"/>
        <w:contextualSpacing/>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3EA461B5">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货物采购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42EFFFA1">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100 万元 ×l.5 %＝ 1.5 万元</w:t>
      </w:r>
    </w:p>
    <w:p w14:paraId="062299AB">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 150 － 100 ）万元 ×1.1%＝ 0.55 万元</w:t>
      </w:r>
    </w:p>
    <w:p w14:paraId="5D042390">
      <w:pPr>
        <w:spacing w:line="360" w:lineRule="auto"/>
        <w:ind w:firstLine="420" w:firstLineChars="200"/>
        <w:contextualSpacing/>
        <w:rPr>
          <w:rFonts w:ascii="宋体" w:hAnsi="宋体" w:cs="宋体"/>
          <w:color w:val="auto"/>
          <w:highlight w:val="none"/>
        </w:rPr>
      </w:pPr>
      <w:r>
        <w:rPr>
          <w:rFonts w:ascii="宋体" w:hAnsi="宋体" w:cs="宋体"/>
          <w:color w:val="auto"/>
          <w:highlight w:val="none"/>
        </w:rPr>
        <w:t>合计收费＝ 1.5 ＋ 0.55＝ 2.05 （万元）</w:t>
      </w:r>
    </w:p>
    <w:p w14:paraId="5DE3D33B">
      <w:pPr>
        <w:spacing w:line="360" w:lineRule="auto"/>
        <w:ind w:firstLine="482" w:firstLineChars="200"/>
        <w:contextualSpacing/>
        <w:rPr>
          <w:rFonts w:ascii="黑体" w:hAnsi="黑体" w:eastAsia="黑体" w:cs="宋体"/>
          <w:b/>
          <w:bCs/>
          <w:color w:val="auto"/>
          <w:sz w:val="24"/>
          <w:highlight w:val="none"/>
        </w:rPr>
      </w:pPr>
      <w:r>
        <w:rPr>
          <w:rFonts w:ascii="黑体" w:hAnsi="黑体" w:eastAsia="黑体" w:cs="宋体"/>
          <w:b/>
          <w:bCs/>
          <w:color w:val="auto"/>
          <w:sz w:val="24"/>
          <w:highlight w:val="none"/>
        </w:rPr>
        <w:t>33. 需要补充的其他内容</w:t>
      </w:r>
    </w:p>
    <w:p w14:paraId="1F9E7273">
      <w:pPr>
        <w:pStyle w:val="12"/>
        <w:spacing w:line="360" w:lineRule="auto"/>
        <w:ind w:firstLine="420" w:firstLineChars="200"/>
        <w:contextualSpacing/>
        <w:rPr>
          <w:rFonts w:hAnsi="宋体"/>
          <w:color w:val="auto"/>
          <w:sz w:val="21"/>
          <w:highlight w:val="none"/>
        </w:rPr>
      </w:pPr>
      <w:r>
        <w:rPr>
          <w:rFonts w:hAnsi="宋体"/>
          <w:color w:val="auto"/>
          <w:sz w:val="21"/>
          <w:highlight w:val="none"/>
        </w:rPr>
        <w:t>33.1</w:t>
      </w:r>
      <w:r>
        <w:rPr>
          <w:rFonts w:hint="eastAsia" w:hAnsi="宋体" w:cs="宋体"/>
          <w:color w:val="auto"/>
          <w:sz w:val="21"/>
          <w:highlight w:val="none"/>
        </w:rPr>
        <w:t>本谈判文件解释规则详见</w:t>
      </w:r>
      <w:r>
        <w:rPr>
          <w:rFonts w:hint="eastAsia" w:hAnsi="宋体"/>
          <w:color w:val="auto"/>
          <w:sz w:val="21"/>
          <w:highlight w:val="none"/>
        </w:rPr>
        <w:t>“供应商须知前附表”。</w:t>
      </w:r>
    </w:p>
    <w:p w14:paraId="3A8F06A5">
      <w:pPr>
        <w:spacing w:line="360" w:lineRule="auto"/>
        <w:ind w:firstLine="420" w:firstLineChars="200"/>
        <w:contextualSpacing/>
        <w:rPr>
          <w:rFonts w:hAnsi="宋体"/>
          <w:color w:val="auto"/>
          <w:highlight w:val="none"/>
        </w:rPr>
      </w:pPr>
      <w:r>
        <w:rPr>
          <w:rFonts w:ascii="宋体" w:hAnsi="宋体" w:cs="宋体"/>
          <w:color w:val="auto"/>
          <w:kern w:val="0"/>
          <w:szCs w:val="21"/>
          <w:highlight w:val="none"/>
        </w:rPr>
        <w:t>33.2</w:t>
      </w:r>
      <w:r>
        <w:rPr>
          <w:rFonts w:hint="eastAsia" w:ascii="宋体" w:hAnsi="宋体" w:cs="宋体"/>
          <w:color w:val="auto"/>
          <w:kern w:val="0"/>
          <w:szCs w:val="21"/>
          <w:highlight w:val="none"/>
        </w:rPr>
        <w:t xml:space="preserve"> 其他事</w:t>
      </w:r>
      <w:r>
        <w:rPr>
          <w:rFonts w:hint="eastAsia" w:hAnsi="宋体"/>
          <w:color w:val="auto"/>
          <w:highlight w:val="none"/>
        </w:rPr>
        <w:t>项详见“供应商须知前附表”。</w:t>
      </w:r>
    </w:p>
    <w:p w14:paraId="2476C68C">
      <w:pPr>
        <w:pStyle w:val="12"/>
        <w:spacing w:line="360" w:lineRule="auto"/>
        <w:ind w:firstLine="400" w:firstLineChars="200"/>
        <w:contextualSpacing/>
        <w:rPr>
          <w:rFonts w:hAnsi="宋体"/>
          <w:color w:val="auto"/>
          <w:sz w:val="21"/>
          <w:highlight w:val="none"/>
        </w:rPr>
      </w:pPr>
      <w:r>
        <w:rPr>
          <w:rFonts w:hint="eastAsia" w:hAnsi="宋体"/>
          <w:color w:val="auto"/>
          <w:highlight w:val="none"/>
        </w:rPr>
        <w:t>3</w:t>
      </w:r>
      <w:r>
        <w:rPr>
          <w:rFonts w:hAnsi="宋体"/>
          <w:color w:val="auto"/>
          <w:highlight w:val="none"/>
        </w:rPr>
        <w:t>3.3</w:t>
      </w:r>
      <w:bookmarkStart w:id="66" w:name="_Hlk65857140"/>
      <w:r>
        <w:rPr>
          <w:rFonts w:hint="eastAsia" w:hAnsi="宋体"/>
          <w:color w:val="auto"/>
          <w:sz w:val="21"/>
          <w:highlight w:val="none"/>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6EAAFF04">
      <w:pPr>
        <w:pStyle w:val="12"/>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3714024C">
      <w:pPr>
        <w:pStyle w:val="12"/>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62F3BDB3">
      <w:pPr>
        <w:pStyle w:val="12"/>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0F0F1989">
      <w:pPr>
        <w:pStyle w:val="12"/>
        <w:spacing w:line="360" w:lineRule="auto"/>
        <w:ind w:firstLine="420" w:firstLineChars="200"/>
        <w:contextualSpacing/>
        <w:rPr>
          <w:rFonts w:hAnsi="宋体"/>
          <w:color w:val="auto"/>
          <w:sz w:val="21"/>
          <w:highlight w:val="none"/>
        </w:rPr>
      </w:pPr>
      <w:r>
        <w:rPr>
          <w:rFonts w:hint="eastAsia" w:hAnsi="宋体"/>
          <w:color w:val="auto"/>
          <w:sz w:val="21"/>
          <w:highlight w:val="none"/>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62652C85">
      <w:pPr>
        <w:spacing w:line="360" w:lineRule="auto"/>
        <w:ind w:firstLine="420" w:firstLineChars="200"/>
        <w:contextualSpacing/>
        <w:rPr>
          <w:rFonts w:ascii="宋体" w:hAnsi="宋体" w:cs="宋体"/>
          <w:color w:val="auto"/>
          <w:highlight w:val="none"/>
        </w:rPr>
      </w:pPr>
      <w:r>
        <w:rPr>
          <w:rFonts w:hint="eastAsia" w:hAnsi="宋体"/>
          <w:color w:val="auto"/>
          <w:highlight w:val="none"/>
        </w:rPr>
        <w:t>依据本谈判文件规定享受扶持政策获得政府采购合同的，小微企业不得将合同分包给大中型企业，中型企业不得将合同分包给大型企业。</w:t>
      </w:r>
      <w:bookmarkEnd w:id="66"/>
    </w:p>
    <w:p w14:paraId="7FA3C5E4">
      <w:pPr>
        <w:pStyle w:val="9"/>
        <w:ind w:left="1" w:firstLine="3" w:firstLineChars="1"/>
        <w:rPr>
          <w:rFonts w:ascii="宋体"/>
          <w:b/>
          <w:bCs/>
          <w:color w:val="auto"/>
          <w:sz w:val="18"/>
          <w:szCs w:val="18"/>
          <w:highlight w:val="none"/>
        </w:rPr>
      </w:pPr>
      <w:r>
        <w:rPr>
          <w:rFonts w:ascii="黑体" w:hAnsi="黑体" w:eastAsia="黑体" w:cs="黑体"/>
          <w:bCs/>
          <w:color w:val="auto"/>
          <w:sz w:val="32"/>
          <w:szCs w:val="32"/>
          <w:highlight w:val="none"/>
        </w:rPr>
        <w:br w:type="page"/>
      </w:r>
    </w:p>
    <w:p w14:paraId="11E3BD47">
      <w:pPr>
        <w:pStyle w:val="12"/>
        <w:snapToGrid w:val="0"/>
        <w:spacing w:before="120" w:after="120"/>
        <w:rPr>
          <w:rFonts w:hAnsi="宋体"/>
          <w:color w:val="auto"/>
          <w:highlight w:val="none"/>
        </w:rPr>
      </w:pPr>
    </w:p>
    <w:p w14:paraId="35A36161">
      <w:pPr>
        <w:jc w:val="left"/>
        <w:rPr>
          <w:rFonts w:hAnsi="宋体"/>
          <w:b/>
          <w:color w:val="auto"/>
          <w:sz w:val="32"/>
          <w:szCs w:val="32"/>
          <w:highlight w:val="none"/>
        </w:rPr>
      </w:pPr>
    </w:p>
    <w:p w14:paraId="2AD0E394">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color w:val="auto"/>
          <w:highlight w:val="none"/>
        </w:rPr>
      </w:pPr>
      <w:bookmarkStart w:id="67" w:name="_Toc74322010"/>
      <w:r>
        <w:rPr>
          <w:rFonts w:hint="eastAsia"/>
          <w:color w:val="auto"/>
          <w:highlight w:val="none"/>
        </w:rPr>
        <w:t>第三章 采购需求</w:t>
      </w:r>
      <w:bookmarkEnd w:id="67"/>
    </w:p>
    <w:p w14:paraId="5C95292C">
      <w:pPr>
        <w:spacing w:line="440" w:lineRule="exact"/>
        <w:jc w:val="center"/>
        <w:rPr>
          <w:rFonts w:ascii="宋体" w:hAnsi="宋体"/>
          <w:b/>
          <w:color w:val="auto"/>
          <w:sz w:val="32"/>
          <w:szCs w:val="32"/>
          <w:highlight w:val="none"/>
        </w:rPr>
      </w:pPr>
      <w:r>
        <w:rPr>
          <w:rFonts w:hint="eastAsia" w:ascii="宋体" w:hAnsi="宋体"/>
          <w:b/>
          <w:color w:val="auto"/>
          <w:sz w:val="32"/>
          <w:szCs w:val="32"/>
          <w:highlight w:val="none"/>
        </w:rPr>
        <w:t>采购项目技术规格、参数及要求</w:t>
      </w:r>
    </w:p>
    <w:p w14:paraId="06216DCD">
      <w:pPr>
        <w:spacing w:line="440" w:lineRule="exact"/>
        <w:jc w:val="left"/>
        <w:rPr>
          <w:rFonts w:ascii="宋体" w:hAnsi="宋体" w:cs="宋体"/>
          <w:color w:val="auto"/>
          <w:szCs w:val="21"/>
          <w:highlight w:val="none"/>
        </w:rPr>
      </w:pPr>
    </w:p>
    <w:p w14:paraId="67E4E7A9">
      <w:pPr>
        <w:spacing w:line="360" w:lineRule="auto"/>
        <w:jc w:val="left"/>
        <w:rPr>
          <w:color w:val="auto"/>
          <w:highlight w:val="none"/>
        </w:rPr>
      </w:pPr>
      <w:r>
        <w:rPr>
          <w:rFonts w:hint="eastAsia" w:ascii="宋体" w:hAnsi="宋体" w:cs="宋体"/>
          <w:color w:val="auto"/>
          <w:szCs w:val="21"/>
          <w:highlight w:val="none"/>
        </w:rPr>
        <w:t>说明：</w:t>
      </w:r>
    </w:p>
    <w:p w14:paraId="1CD85F5C">
      <w:pPr>
        <w:spacing w:line="360" w:lineRule="auto"/>
        <w:ind w:firstLine="420" w:firstLineChars="200"/>
        <w:jc w:val="left"/>
        <w:rPr>
          <w:rFonts w:ascii="宋体" w:hAnsi="宋体" w:cs="宋体"/>
          <w:color w:val="auto"/>
          <w:szCs w:val="21"/>
          <w:highlight w:val="none"/>
        </w:rPr>
      </w:pPr>
      <w:r>
        <w:rPr>
          <w:rFonts w:hint="eastAsia"/>
          <w:color w:val="auto"/>
          <w:highlight w:val="none"/>
        </w:rPr>
        <w:t>1. 为落实政府采购政策需满足的要求</w:t>
      </w:r>
    </w:p>
    <w:p w14:paraId="2976230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（1）本竞争性谈判采购文件所称中小企业必须符合《政府采购促进中小企业发展管理办法》（财库〔2020〕46号）的规定。</w:t>
      </w:r>
    </w:p>
    <w:p w14:paraId="6E62AEF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 评审程序和评定成交的标准”。</w:t>
      </w:r>
    </w:p>
    <w:p w14:paraId="527DCC13">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 “实质性要求”是指采购需求中带“▲”的条款或者不能负偏离的条款或者已经指明不满足按响应文件按无效处理的条款。</w:t>
      </w:r>
    </w:p>
    <w:p w14:paraId="2A8C6C67">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3.采购需求中出现的品牌、型号或者生产供应商仅起参考作用，不属于指定品牌、型号或者生产供应商的情形。供应商可参照或者选用其他相当的品牌、型号或者生产供应商替代。</w:t>
      </w:r>
    </w:p>
    <w:p w14:paraId="7EAFCD40">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4. 供应商应根据自身实际情况如实响应谈判文件，对谈判文件提出的要求和条件作出明确响应，否则将作无效响应处理。对于重要技术条款或技术参数应当在响应文件中提供技术支持资料，技术支持资料以谈判文件中规定的形式为准，否则将视为无效技术支持资料。</w:t>
      </w:r>
    </w:p>
    <w:p w14:paraId="0F871ACC">
      <w:pPr>
        <w:spacing w:line="360" w:lineRule="auto"/>
        <w:ind w:firstLine="424" w:firstLineChars="202"/>
        <w:jc w:val="left"/>
        <w:rPr>
          <w:rFonts w:ascii="宋体" w:hAnsi="宋体"/>
          <w:color w:val="auto"/>
          <w:szCs w:val="21"/>
          <w:highlight w:val="none"/>
        </w:rPr>
      </w:pPr>
      <w:r>
        <w:rPr>
          <w:rFonts w:hint="eastAsia" w:ascii="宋体" w:hAnsi="宋体" w:cs="宋体"/>
          <w:color w:val="auto"/>
          <w:szCs w:val="21"/>
          <w:highlight w:val="none"/>
        </w:rPr>
        <w:t>5.</w:t>
      </w:r>
      <w:r>
        <w:rPr>
          <w:rFonts w:hint="eastAsia"/>
          <w:color w:val="auto"/>
          <w:highlight w:val="none"/>
        </w:rPr>
        <w:t>供应商必须自行为其竞标产品侵犯他人的知识产权或者专利成果的行为承担相应法律责任。</w:t>
      </w:r>
    </w:p>
    <w:p w14:paraId="5D24BEE6">
      <w:pPr>
        <w:spacing w:line="360" w:lineRule="auto"/>
        <w:ind w:firstLine="420" w:firstLineChars="200"/>
        <w:jc w:val="left"/>
        <w:rPr>
          <w:rFonts w:hint="eastAsia" w:ascii="宋体" w:hAnsi="宋体" w:cs="Arial"/>
          <w:bCs/>
          <w:color w:val="auto"/>
          <w:szCs w:val="21"/>
          <w:highlight w:val="none"/>
          <w:u w:val="single"/>
        </w:rPr>
      </w:pPr>
      <w:bookmarkStart w:id="68" w:name="_Hlk48036094"/>
      <w:r>
        <w:rPr>
          <w:rFonts w:hint="eastAsia" w:ascii="宋体" w:hAnsi="宋体" w:cs="宋体"/>
          <w:color w:val="auto"/>
          <w:szCs w:val="21"/>
          <w:highlight w:val="none"/>
        </w:rPr>
        <w:t>6.所属行业依照《中小企业划型标准规定》（工信部联企业〔2011〕300号）及《国民经济行业分类》（GB/T4754-2017）的有关规定执行。本项目标的所属行业为“</w:t>
      </w:r>
      <w:r>
        <w:rPr>
          <w:rFonts w:hint="eastAsia" w:ascii="宋体" w:hAnsi="宋体" w:cs="宋体"/>
          <w:b/>
          <w:bCs/>
          <w:color w:val="auto"/>
          <w:szCs w:val="21"/>
          <w:highlight w:val="none"/>
          <w:lang w:eastAsia="zh-CN"/>
        </w:rPr>
        <w:t>批发业</w:t>
      </w:r>
      <w:r>
        <w:rPr>
          <w:rFonts w:hint="eastAsia" w:ascii="宋体" w:hAnsi="宋体" w:cs="宋体"/>
          <w:color w:val="auto"/>
          <w:szCs w:val="21"/>
          <w:highlight w:val="none"/>
        </w:rPr>
        <w:t>”</w:t>
      </w:r>
    </w:p>
    <w:p w14:paraId="63697169">
      <w:pPr>
        <w:spacing w:line="360" w:lineRule="auto"/>
        <w:ind w:firstLine="420" w:firstLineChars="200"/>
        <w:jc w:val="left"/>
        <w:rPr>
          <w:rFonts w:hint="eastAsia" w:ascii="宋体" w:hAnsi="宋体" w:cs="Arial"/>
          <w:bCs/>
          <w:color w:val="auto"/>
          <w:szCs w:val="21"/>
          <w:highlight w:val="none"/>
          <w:u w:val="single"/>
        </w:rPr>
      </w:pPr>
    </w:p>
    <w:p w14:paraId="03FD40D2">
      <w:pPr>
        <w:spacing w:line="360" w:lineRule="auto"/>
        <w:ind w:firstLine="420" w:firstLineChars="200"/>
        <w:jc w:val="left"/>
        <w:rPr>
          <w:rFonts w:hint="eastAsia" w:ascii="宋体" w:hAnsi="宋体" w:cs="Arial"/>
          <w:bCs/>
          <w:color w:val="auto"/>
          <w:szCs w:val="21"/>
          <w:highlight w:val="none"/>
          <w:u w:val="single"/>
        </w:rPr>
      </w:pPr>
    </w:p>
    <w:p w14:paraId="44556E58">
      <w:pPr>
        <w:spacing w:line="360" w:lineRule="auto"/>
        <w:ind w:firstLine="420" w:firstLineChars="200"/>
        <w:jc w:val="left"/>
        <w:rPr>
          <w:rFonts w:hint="eastAsia" w:ascii="宋体" w:hAnsi="宋体" w:cs="Arial"/>
          <w:bCs/>
          <w:color w:val="auto"/>
          <w:szCs w:val="21"/>
          <w:highlight w:val="none"/>
          <w:u w:val="single"/>
        </w:rPr>
      </w:pPr>
    </w:p>
    <w:p w14:paraId="75F9A81F">
      <w:pPr>
        <w:spacing w:line="360" w:lineRule="auto"/>
        <w:ind w:firstLine="420" w:firstLineChars="200"/>
        <w:jc w:val="left"/>
        <w:rPr>
          <w:rFonts w:hint="eastAsia" w:ascii="宋体" w:hAnsi="宋体" w:cs="Arial"/>
          <w:bCs/>
          <w:color w:val="auto"/>
          <w:szCs w:val="21"/>
          <w:highlight w:val="none"/>
          <w:u w:val="single"/>
        </w:rPr>
      </w:pPr>
    </w:p>
    <w:p w14:paraId="67DF2E5E">
      <w:pPr>
        <w:spacing w:line="360" w:lineRule="auto"/>
        <w:ind w:firstLine="420" w:firstLineChars="200"/>
        <w:jc w:val="left"/>
        <w:rPr>
          <w:rFonts w:hint="eastAsia" w:ascii="宋体" w:hAnsi="宋体" w:cs="Arial"/>
          <w:bCs/>
          <w:color w:val="auto"/>
          <w:szCs w:val="21"/>
          <w:highlight w:val="none"/>
          <w:u w:val="single"/>
        </w:rPr>
      </w:pPr>
    </w:p>
    <w:p w14:paraId="1F467A28">
      <w:pPr>
        <w:spacing w:line="360" w:lineRule="auto"/>
        <w:ind w:firstLine="420" w:firstLineChars="200"/>
        <w:jc w:val="left"/>
        <w:rPr>
          <w:rFonts w:hint="eastAsia" w:ascii="宋体" w:hAnsi="宋体" w:cs="Arial"/>
          <w:bCs/>
          <w:color w:val="auto"/>
          <w:szCs w:val="21"/>
          <w:highlight w:val="none"/>
          <w:u w:val="single"/>
        </w:rPr>
      </w:pPr>
    </w:p>
    <w:p w14:paraId="0CCDD6F0">
      <w:pPr>
        <w:spacing w:line="360" w:lineRule="auto"/>
        <w:ind w:firstLine="420" w:firstLineChars="200"/>
        <w:jc w:val="left"/>
        <w:rPr>
          <w:rFonts w:hint="eastAsia" w:ascii="宋体" w:hAnsi="宋体" w:cs="Arial"/>
          <w:bCs/>
          <w:color w:val="auto"/>
          <w:szCs w:val="21"/>
          <w:highlight w:val="none"/>
          <w:u w:val="single"/>
        </w:rPr>
      </w:pPr>
    </w:p>
    <w:p w14:paraId="1CA6E2FE">
      <w:pPr>
        <w:spacing w:line="360" w:lineRule="auto"/>
        <w:ind w:firstLine="420" w:firstLineChars="200"/>
        <w:jc w:val="left"/>
        <w:rPr>
          <w:rFonts w:hint="eastAsia" w:ascii="宋体" w:hAnsi="宋体" w:cs="Arial"/>
          <w:bCs/>
          <w:color w:val="auto"/>
          <w:szCs w:val="21"/>
          <w:highlight w:val="none"/>
          <w:u w:val="single"/>
        </w:rPr>
      </w:pPr>
      <w:r>
        <w:rPr>
          <w:rFonts w:hint="eastAsia" w:ascii="宋体" w:hAnsi="宋体" w:cs="Arial"/>
          <w:bCs/>
          <w:color w:val="auto"/>
          <w:szCs w:val="21"/>
          <w:highlight w:val="none"/>
          <w:u w:val="single"/>
        </w:rPr>
        <w:t xml:space="preserve">1 </w:t>
      </w:r>
      <w:r>
        <w:rPr>
          <w:rFonts w:hint="eastAsia" w:ascii="宋体" w:hAnsi="宋体"/>
          <w:b/>
          <w:color w:val="auto"/>
          <w:szCs w:val="21"/>
          <w:highlight w:val="none"/>
        </w:rPr>
        <w:t>分标      采购预算：</w:t>
      </w:r>
      <w:r>
        <w:rPr>
          <w:rFonts w:hint="eastAsia" w:ascii="宋体" w:hAnsi="宋体"/>
          <w:color w:val="auto"/>
          <w:szCs w:val="21"/>
          <w:highlight w:val="none"/>
        </w:rPr>
        <w:t>1009614</w:t>
      </w:r>
      <w:r>
        <w:rPr>
          <w:rFonts w:hint="eastAsia" w:ascii="宋体" w:hAnsi="宋体"/>
          <w:color w:val="auto"/>
          <w:szCs w:val="21"/>
          <w:highlight w:val="none"/>
          <w:lang w:val="en-US" w:eastAsia="zh-CN"/>
        </w:rPr>
        <w:t>.00</w:t>
      </w:r>
      <w:r>
        <w:rPr>
          <w:rFonts w:hint="eastAsia" w:ascii="宋体" w:hAnsi="宋体" w:cs="Arial"/>
          <w:bCs/>
          <w:color w:val="auto"/>
          <w:szCs w:val="21"/>
          <w:highlight w:val="none"/>
          <w:u w:val="none"/>
        </w:rPr>
        <w:t xml:space="preserve">元 </w:t>
      </w:r>
    </w:p>
    <w:p w14:paraId="34CDC6E1">
      <w:pPr>
        <w:spacing w:line="360" w:lineRule="auto"/>
        <w:ind w:firstLine="422" w:firstLineChars="200"/>
        <w:jc w:val="left"/>
        <w:rPr>
          <w:rFonts w:hint="eastAsia" w:ascii="宋体" w:hAnsi="宋体" w:cs="Arial"/>
          <w:bCs/>
          <w:color w:val="auto"/>
          <w:szCs w:val="21"/>
          <w:highlight w:val="none"/>
          <w:u w:val="single"/>
        </w:rPr>
      </w:pPr>
      <w:r>
        <w:rPr>
          <w:rFonts w:hint="eastAsia" w:ascii="宋体" w:hAnsi="宋体" w:cs="宋体"/>
          <w:b/>
          <w:bCs/>
          <w:color w:val="auto"/>
          <w:kern w:val="0"/>
          <w:szCs w:val="21"/>
          <w:highlight w:val="none"/>
        </w:rPr>
        <w:t>本项目的核心产品为：第2项“米粉（湿）”</w:t>
      </w:r>
      <w:r>
        <w:rPr>
          <w:rFonts w:hint="eastAsia" w:ascii="宋体" w:hAnsi="宋体" w:cs="宋体"/>
          <w:bCs/>
          <w:color w:val="auto"/>
          <w:kern w:val="0"/>
          <w:szCs w:val="21"/>
          <w:highlight w:val="none"/>
        </w:rPr>
        <w:t>。</w:t>
      </w:r>
    </w:p>
    <w:tbl>
      <w:tblPr>
        <w:tblStyle w:val="21"/>
        <w:tblW w:w="9303" w:type="dxa"/>
        <w:tblInd w:w="-181"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646"/>
        <w:gridCol w:w="1629"/>
        <w:gridCol w:w="246"/>
        <w:gridCol w:w="915"/>
        <w:gridCol w:w="5867"/>
      </w:tblGrid>
      <w:tr w14:paraId="4743BA8E">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tcMar>
              <w:left w:w="103" w:type="dxa"/>
            </w:tcMar>
            <w:vAlign w:val="center"/>
          </w:tcPr>
          <w:p w14:paraId="6ABC415A">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875" w:type="dxa"/>
            <w:gridSpan w:val="2"/>
            <w:tcBorders>
              <w:top w:val="single" w:color="000000" w:sz="4" w:space="0"/>
              <w:left w:val="single" w:color="000000" w:sz="4" w:space="0"/>
              <w:bottom w:val="single" w:color="000000" w:sz="4" w:space="0"/>
            </w:tcBorders>
            <w:tcMar>
              <w:left w:w="103" w:type="dxa"/>
            </w:tcMar>
            <w:vAlign w:val="center"/>
          </w:tcPr>
          <w:p w14:paraId="4C90B180">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标的名称</w:t>
            </w:r>
          </w:p>
        </w:tc>
        <w:tc>
          <w:tcPr>
            <w:tcW w:w="915" w:type="dxa"/>
            <w:tcBorders>
              <w:top w:val="single" w:color="000000" w:sz="4" w:space="0"/>
              <w:left w:val="single" w:color="000000" w:sz="4" w:space="0"/>
              <w:bottom w:val="single" w:color="000000" w:sz="4" w:space="0"/>
            </w:tcBorders>
            <w:tcMar>
              <w:left w:w="103" w:type="dxa"/>
            </w:tcMar>
            <w:vAlign w:val="center"/>
          </w:tcPr>
          <w:p w14:paraId="1FF34ACE">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年度采购预估量</w:t>
            </w:r>
          </w:p>
        </w:tc>
        <w:tc>
          <w:tcPr>
            <w:tcW w:w="5867" w:type="dxa"/>
            <w:tcBorders>
              <w:top w:val="single" w:color="000000" w:sz="4" w:space="0"/>
              <w:left w:val="single" w:color="000000" w:sz="4" w:space="0"/>
              <w:bottom w:val="single" w:color="000000" w:sz="4" w:space="0"/>
              <w:right w:val="single" w:color="000000" w:sz="4" w:space="0"/>
            </w:tcBorders>
            <w:tcMar>
              <w:left w:w="103" w:type="dxa"/>
            </w:tcMar>
            <w:vAlign w:val="center"/>
          </w:tcPr>
          <w:p w14:paraId="7AA32BD6">
            <w:pPr>
              <w:spacing w:line="360" w:lineRule="auto"/>
              <w:jc w:val="center"/>
              <w:rPr>
                <w:rFonts w:ascii="宋体" w:hAnsi="宋体" w:cs="宋体"/>
                <w:b/>
                <w:bCs/>
                <w:color w:val="auto"/>
                <w:szCs w:val="21"/>
                <w:highlight w:val="none"/>
              </w:rPr>
            </w:pPr>
            <w:r>
              <w:rPr>
                <w:rFonts w:hint="eastAsia" w:ascii="宋体" w:hAnsi="宋体" w:cs="宋体"/>
                <w:b/>
                <w:color w:val="auto"/>
                <w:szCs w:val="21"/>
                <w:highlight w:val="none"/>
              </w:rPr>
              <w:t>▲</w:t>
            </w:r>
            <w:r>
              <w:rPr>
                <w:rFonts w:hint="eastAsia" w:ascii="宋体" w:hAnsi="宋体" w:cs="宋体"/>
                <w:b/>
                <w:bCs/>
                <w:color w:val="auto"/>
                <w:szCs w:val="21"/>
                <w:highlight w:val="none"/>
              </w:rPr>
              <w:t>技术要求</w:t>
            </w:r>
          </w:p>
        </w:tc>
      </w:tr>
      <w:tr w14:paraId="65DAD31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646" w:type="dxa"/>
            <w:tcBorders>
              <w:top w:val="single" w:color="000000" w:sz="4" w:space="0"/>
              <w:left w:val="single" w:color="000000" w:sz="4" w:space="0"/>
              <w:bottom w:val="single" w:color="000000" w:sz="4" w:space="0"/>
            </w:tcBorders>
            <w:tcMar>
              <w:left w:w="103" w:type="dxa"/>
            </w:tcMar>
            <w:vAlign w:val="center"/>
          </w:tcPr>
          <w:p w14:paraId="19A4594D">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p>
        </w:tc>
        <w:tc>
          <w:tcPr>
            <w:tcW w:w="1875" w:type="dxa"/>
            <w:gridSpan w:val="2"/>
            <w:tcBorders>
              <w:top w:val="single" w:color="000000" w:sz="4" w:space="0"/>
              <w:left w:val="single" w:color="000000" w:sz="4" w:space="0"/>
              <w:bottom w:val="single" w:color="000000" w:sz="4" w:space="0"/>
            </w:tcBorders>
            <w:tcMar>
              <w:left w:w="103" w:type="dxa"/>
            </w:tcMar>
            <w:vAlign w:val="center"/>
          </w:tcPr>
          <w:p w14:paraId="238CE6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面粉</w:t>
            </w:r>
          </w:p>
        </w:tc>
        <w:tc>
          <w:tcPr>
            <w:tcW w:w="915" w:type="dxa"/>
            <w:tcBorders>
              <w:top w:val="single" w:color="000000" w:sz="4" w:space="0"/>
              <w:left w:val="single" w:color="000000" w:sz="4" w:space="0"/>
              <w:bottom w:val="single" w:color="000000" w:sz="4" w:space="0"/>
            </w:tcBorders>
            <w:tcMar>
              <w:left w:w="103" w:type="dxa"/>
            </w:tcMar>
            <w:vAlign w:val="center"/>
          </w:tcPr>
          <w:p w14:paraId="6B687730">
            <w:pPr>
              <w:keepNext w:val="0"/>
              <w:keepLines w:val="0"/>
              <w:pageBreakBefore w:val="0"/>
              <w:widowControl w:val="0"/>
              <w:kinsoku/>
              <w:wordWrap/>
              <w:overflowPunct/>
              <w:topLinePunct w:val="0"/>
              <w:autoSpaceDE/>
              <w:autoSpaceDN/>
              <w:bidi w:val="0"/>
              <w:adjustRightInd/>
              <w:snapToGrid/>
              <w:spacing w:line="360" w:lineRule="auto"/>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15800公斤</w:t>
            </w:r>
          </w:p>
        </w:tc>
        <w:tc>
          <w:tcPr>
            <w:tcW w:w="5867" w:type="dxa"/>
            <w:tcBorders>
              <w:top w:val="single" w:color="000000" w:sz="4" w:space="0"/>
              <w:left w:val="single" w:color="000000" w:sz="4" w:space="0"/>
              <w:bottom w:val="single" w:color="000000" w:sz="4" w:space="0"/>
              <w:right w:val="single" w:color="000000" w:sz="4" w:space="0"/>
            </w:tcBorders>
            <w:tcMar>
              <w:left w:w="103" w:type="dxa"/>
            </w:tcMar>
            <w:vAlign w:val="center"/>
          </w:tcPr>
          <w:p w14:paraId="5F78E9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1.高筋面粉；</w:t>
            </w:r>
          </w:p>
          <w:p w14:paraId="6EFC251E">
            <w:pPr>
              <w:jc w:val="left"/>
              <w:rPr>
                <w:rFonts w:ascii="宋体" w:hAnsi="宋体" w:cs="宋体"/>
                <w:b/>
                <w:bCs/>
                <w:color w:val="auto"/>
                <w:szCs w:val="21"/>
                <w:highlight w:val="none"/>
              </w:rPr>
            </w:pPr>
            <w:r>
              <w:rPr>
                <w:rFonts w:hint="eastAsia" w:asciiTheme="minorEastAsia" w:hAnsiTheme="minorEastAsia" w:eastAsiaTheme="minorEastAsia"/>
                <w:color w:val="auto"/>
                <w:szCs w:val="21"/>
                <w:highlight w:val="none"/>
              </w:rPr>
              <w:t>2.生产用的小麦原料储存期不超过2年；</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3.</w:t>
            </w:r>
            <w:r>
              <w:rPr>
                <w:rFonts w:hint="eastAsia" w:ascii="宋体" w:hAnsi="宋体"/>
                <w:color w:val="auto"/>
                <w:szCs w:val="21"/>
                <w:highlight w:val="none"/>
              </w:rPr>
              <w:t>符合</w:t>
            </w:r>
            <w:r>
              <w:rPr>
                <w:rFonts w:hint="eastAsia" w:ascii="宋体" w:hAnsi="宋体" w:cs="宋体"/>
                <w:color w:val="auto"/>
                <w:szCs w:val="21"/>
                <w:highlight w:val="none"/>
              </w:rPr>
              <w:t>《小麦粉》（GB/T 1355-2021）</w:t>
            </w:r>
            <w:r>
              <w:rPr>
                <w:rFonts w:hint="eastAsia" w:asciiTheme="minorEastAsia" w:hAnsiTheme="minorEastAsia" w:eastAsiaTheme="minorEastAsia"/>
                <w:color w:val="auto"/>
                <w:szCs w:val="21"/>
                <w:highlight w:val="none"/>
              </w:rPr>
              <w:t>标准要求：对照检验粉色麸星≤85%，全部通过CB30号筛，含砂量≤0.02%，水分≤13.5%，脂肪酸值≤80,无异常色泽和气味，新鲜不变质，无虫、无污染、无砂泥等杂质。</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4.面粉包装用密封性能好、无毒、无害塑料编织袋，每袋25公斤，包装的正面需印有</w:t>
            </w:r>
            <w:r>
              <w:rPr>
                <w:rFonts w:hint="eastAsia" w:ascii="宋体" w:hAnsi="宋体"/>
                <w:color w:val="auto"/>
                <w:szCs w:val="21"/>
                <w:highlight w:val="none"/>
              </w:rPr>
              <w:t>厂家企业名称</w:t>
            </w:r>
            <w:r>
              <w:rPr>
                <w:rFonts w:hint="eastAsia" w:asciiTheme="minorEastAsia" w:hAnsiTheme="minorEastAsia" w:eastAsiaTheme="minorEastAsia"/>
                <w:color w:val="auto"/>
                <w:szCs w:val="21"/>
                <w:highlight w:val="none"/>
              </w:rPr>
              <w:t>、地址、联系电话及生产日期等字样。</w:t>
            </w:r>
          </w:p>
        </w:tc>
      </w:tr>
      <w:tr w14:paraId="1584F73D">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c>
          <w:tcPr>
            <w:tcW w:w="646" w:type="dxa"/>
            <w:tcBorders>
              <w:top w:val="single" w:color="000000" w:sz="4" w:space="0"/>
              <w:left w:val="single" w:color="000000" w:sz="4" w:space="0"/>
              <w:bottom w:val="single" w:color="000000" w:sz="4" w:space="0"/>
            </w:tcBorders>
            <w:tcMar>
              <w:left w:w="103" w:type="dxa"/>
            </w:tcMar>
            <w:vAlign w:val="center"/>
          </w:tcPr>
          <w:p w14:paraId="512DF580">
            <w:pPr>
              <w:spacing w:line="360"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p>
        </w:tc>
        <w:tc>
          <w:tcPr>
            <w:tcW w:w="1875" w:type="dxa"/>
            <w:gridSpan w:val="2"/>
            <w:tcBorders>
              <w:top w:val="single" w:color="000000" w:sz="4" w:space="0"/>
              <w:left w:val="single" w:color="000000" w:sz="4" w:space="0"/>
              <w:bottom w:val="single" w:color="000000" w:sz="4" w:space="0"/>
            </w:tcBorders>
            <w:tcMar>
              <w:left w:w="103" w:type="dxa"/>
            </w:tcMar>
            <w:vAlign w:val="center"/>
          </w:tcPr>
          <w:p w14:paraId="4086D5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米粉（湿）</w:t>
            </w:r>
          </w:p>
        </w:tc>
        <w:tc>
          <w:tcPr>
            <w:tcW w:w="915" w:type="dxa"/>
            <w:tcBorders>
              <w:top w:val="single" w:color="000000" w:sz="4" w:space="0"/>
              <w:left w:val="single" w:color="000000" w:sz="4" w:space="0"/>
              <w:bottom w:val="single" w:color="000000" w:sz="4" w:space="0"/>
            </w:tcBorders>
            <w:tcMar>
              <w:left w:w="103" w:type="dxa"/>
            </w:tcMar>
            <w:vAlign w:val="center"/>
          </w:tcPr>
          <w:p w14:paraId="12E734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240000公斤</w:t>
            </w:r>
          </w:p>
        </w:tc>
        <w:tc>
          <w:tcPr>
            <w:tcW w:w="5867" w:type="dxa"/>
            <w:tcBorders>
              <w:top w:val="single" w:color="000000" w:sz="4" w:space="0"/>
              <w:left w:val="single" w:color="000000" w:sz="4" w:space="0"/>
              <w:bottom w:val="single" w:color="000000" w:sz="4" w:space="0"/>
              <w:right w:val="single" w:color="000000" w:sz="4" w:space="0"/>
            </w:tcBorders>
            <w:tcMar>
              <w:left w:w="103" w:type="dxa"/>
            </w:tcMar>
            <w:vAlign w:val="center"/>
          </w:tcPr>
          <w:p w14:paraId="4DE112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供应的米粉必须符合《中华人民共和国食品安全法》的要求，达到国家食品标准和卫生标准，无泥沙、异臭味；</w:t>
            </w:r>
          </w:p>
          <w:p w14:paraId="569FBF57">
            <w:pPr>
              <w:jc w:val="left"/>
              <w:rPr>
                <w:rFonts w:ascii="宋体" w:hAnsi="宋体" w:cs="宋体"/>
                <w:b/>
                <w:bCs/>
                <w:color w:val="auto"/>
                <w:szCs w:val="21"/>
                <w:highlight w:val="none"/>
              </w:rPr>
            </w:pPr>
            <w:r>
              <w:rPr>
                <w:rFonts w:hint="eastAsia" w:asciiTheme="minorEastAsia" w:hAnsiTheme="minorEastAsia" w:eastAsiaTheme="minorEastAsia"/>
                <w:color w:val="auto"/>
                <w:szCs w:val="21"/>
                <w:highlight w:val="none"/>
                <w:lang w:val="en-US" w:eastAsia="zh-CN"/>
              </w:rPr>
              <w:t>2.</w:t>
            </w:r>
            <w:r>
              <w:rPr>
                <w:rFonts w:hint="eastAsia" w:ascii="宋体" w:hAnsi="宋体"/>
                <w:color w:val="auto"/>
                <w:szCs w:val="21"/>
                <w:highlight w:val="none"/>
              </w:rPr>
              <w:t>当天生产的新鲜湿米粉（切粉、圆粉、粉皮）、无隔夜、异味、霉变、杂质、生虫等。</w:t>
            </w:r>
          </w:p>
        </w:tc>
      </w:tr>
      <w:tr w14:paraId="4199D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03" w:type="dxa"/>
            <w:gridSpan w:val="5"/>
            <w:tcBorders>
              <w:top w:val="single" w:color="auto" w:sz="4" w:space="0"/>
              <w:left w:val="single" w:color="auto" w:sz="4" w:space="0"/>
              <w:bottom w:val="single" w:color="auto" w:sz="4" w:space="0"/>
              <w:right w:val="single" w:color="auto" w:sz="4" w:space="0"/>
            </w:tcBorders>
          </w:tcPr>
          <w:p w14:paraId="5F1547BF">
            <w:pPr>
              <w:spacing w:line="360" w:lineRule="auto"/>
              <w:rPr>
                <w:rFonts w:ascii="宋体" w:hAnsi="宋体" w:cs="宋体"/>
                <w:color w:val="auto"/>
                <w:szCs w:val="21"/>
                <w:highlight w:val="none"/>
              </w:rPr>
            </w:pPr>
            <w:r>
              <w:rPr>
                <w:rFonts w:hint="eastAsia" w:ascii="宋体" w:hAnsi="宋体" w:cs="宋体"/>
                <w:b/>
                <w:color w:val="auto"/>
                <w:szCs w:val="21"/>
                <w:highlight w:val="none"/>
              </w:rPr>
              <w:t>▲一、商务要求</w:t>
            </w:r>
          </w:p>
        </w:tc>
      </w:tr>
      <w:tr w14:paraId="01874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75" w:type="dxa"/>
            <w:gridSpan w:val="2"/>
            <w:tcBorders>
              <w:top w:val="single" w:color="auto" w:sz="4" w:space="0"/>
              <w:left w:val="single" w:color="auto" w:sz="4" w:space="0"/>
              <w:bottom w:val="single" w:color="auto" w:sz="4" w:space="0"/>
              <w:right w:val="single" w:color="auto" w:sz="4" w:space="0"/>
            </w:tcBorders>
            <w:vAlign w:val="center"/>
          </w:tcPr>
          <w:p w14:paraId="4830B56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竞标报价</w:t>
            </w:r>
          </w:p>
        </w:tc>
        <w:tc>
          <w:tcPr>
            <w:tcW w:w="7028" w:type="dxa"/>
            <w:gridSpan w:val="3"/>
            <w:tcBorders>
              <w:top w:val="single" w:color="auto" w:sz="4" w:space="0"/>
              <w:left w:val="single" w:color="auto" w:sz="4" w:space="0"/>
              <w:bottom w:val="single" w:color="auto" w:sz="4" w:space="0"/>
              <w:right w:val="single" w:color="auto" w:sz="4" w:space="0"/>
            </w:tcBorders>
            <w:vAlign w:val="center"/>
          </w:tcPr>
          <w:p w14:paraId="5890AF31">
            <w:pPr>
              <w:numPr>
                <w:ilvl w:val="0"/>
                <w:numId w:val="0"/>
              </w:num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本项目竞标应以价格折扣报价（以%表示）。</w:t>
            </w:r>
          </w:p>
          <w:p w14:paraId="39E0FB8B">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r>
              <w:rPr>
                <w:rFonts w:hint="eastAsia" w:ascii="宋体" w:hAnsi="宋体" w:cs="宋体"/>
                <w:b w:val="0"/>
                <w:bCs w:val="0"/>
                <w:color w:val="auto"/>
                <w:szCs w:val="21"/>
                <w:highlight w:val="none"/>
                <w:lang w:val="en-US" w:eastAsia="zh-CN"/>
              </w:rPr>
              <w:t>2.</w:t>
            </w:r>
            <w:r>
              <w:rPr>
                <w:rFonts w:hint="eastAsia" w:ascii="宋体" w:hAnsi="宋体" w:cs="宋体"/>
                <w:b/>
                <w:bCs/>
                <w:color w:val="auto"/>
                <w:szCs w:val="21"/>
                <w:highlight w:val="none"/>
              </w:rPr>
              <w:t>竞标报价范围：≤100%</w:t>
            </w:r>
            <w:r>
              <w:rPr>
                <w:rFonts w:hint="eastAsia" w:ascii="宋体" w:hAnsi="宋体" w:cs="宋体"/>
                <w:color w:val="auto"/>
                <w:szCs w:val="21"/>
                <w:highlight w:val="none"/>
              </w:rPr>
              <w:t>（如：供货产品打九折即竞标折扣为90%，以此类推），价格折扣必须是固定的（如90%），不得存在区间值（如：90%～100%）。</w:t>
            </w:r>
            <w:r>
              <w:rPr>
                <w:rFonts w:hint="eastAsia"/>
                <w:color w:val="auto"/>
                <w:highlight w:val="none"/>
              </w:rPr>
              <w:t>供应商</w:t>
            </w:r>
            <w:r>
              <w:rPr>
                <w:rFonts w:hint="eastAsia" w:ascii="宋体" w:hAnsi="宋体" w:cs="宋体"/>
                <w:color w:val="auto"/>
                <w:szCs w:val="21"/>
                <w:highlight w:val="none"/>
              </w:rPr>
              <w:t>必须就《采购需求》中的全部内容作完整唯一报价，不接受有选择的报价，且所报的</w:t>
            </w:r>
            <w:r>
              <w:rPr>
                <w:rFonts w:hint="eastAsia"/>
                <w:color w:val="auto"/>
                <w:highlight w:val="none"/>
              </w:rPr>
              <w:t>价格</w:t>
            </w:r>
            <w:r>
              <w:rPr>
                <w:rFonts w:hint="eastAsia" w:ascii="宋体" w:hAnsi="宋体" w:cs="宋体"/>
                <w:color w:val="auto"/>
                <w:szCs w:val="21"/>
                <w:highlight w:val="none"/>
              </w:rPr>
              <w:t>折扣应当适用于每种食材，否则，</w:t>
            </w:r>
            <w:r>
              <w:rPr>
                <w:rFonts w:hint="eastAsia" w:ascii="宋体" w:hAnsi="宋体" w:cs="宋体"/>
                <w:b/>
                <w:bCs/>
                <w:color w:val="auto"/>
                <w:szCs w:val="21"/>
                <w:highlight w:val="none"/>
              </w:rPr>
              <w:t>作无效报价处理。</w:t>
            </w:r>
            <w:r>
              <w:rPr>
                <w:rFonts w:hint="eastAsia" w:ascii="宋体" w:hAnsi="宋体" w:cs="宋体"/>
                <w:color w:val="auto"/>
                <w:szCs w:val="21"/>
                <w:highlight w:val="none"/>
                <w:lang w:val="en-US" w:eastAsia="zh-CN"/>
              </w:rPr>
              <w:t>3.供货和定价方式：采购单价=基准单价×成交折扣，以钟山县市场价格作为供应基准价。合同签订之日后，以双方进行市场调查后确定的钟山县市场价格作为供应基准价，每三个月由成交供应商与采购人在钟山县城市场进行联合价格调查后确定基准价。</w:t>
            </w:r>
          </w:p>
          <w:p w14:paraId="070C0D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.竞标报价必须包含货物及货物运抵指定交货地点的各种费用和售后服务、税金、验收检验及其它所有费用的总和。</w:t>
            </w:r>
          </w:p>
        </w:tc>
      </w:tr>
      <w:tr w14:paraId="2D659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2275" w:type="dxa"/>
            <w:gridSpan w:val="2"/>
            <w:tcBorders>
              <w:top w:val="single" w:color="auto" w:sz="4" w:space="0"/>
              <w:left w:val="single" w:color="auto" w:sz="4" w:space="0"/>
              <w:bottom w:val="single" w:color="auto" w:sz="4" w:space="0"/>
              <w:right w:val="single" w:color="auto" w:sz="4" w:space="0"/>
            </w:tcBorders>
            <w:vAlign w:val="center"/>
          </w:tcPr>
          <w:p w14:paraId="77951650">
            <w:pPr>
              <w:spacing w:line="360" w:lineRule="auto"/>
              <w:ind w:left="0" w:leftChars="0" w:right="0" w:rightChars="0" w:firstLine="0" w:firstLineChars="0"/>
              <w:jc w:val="center"/>
              <w:rPr>
                <w:rFonts w:ascii="宋体" w:hAnsi="宋体" w:cs="宋体"/>
                <w:color w:val="auto"/>
                <w:szCs w:val="21"/>
                <w:highlight w:val="none"/>
              </w:rPr>
            </w:pPr>
            <w:r>
              <w:rPr>
                <w:rFonts w:hint="eastAsia" w:ascii="宋体" w:hAnsi="宋体" w:cs="宋体"/>
                <w:color w:val="auto"/>
                <w:szCs w:val="21"/>
                <w:highlight w:val="none"/>
              </w:rPr>
              <w:t>合同签订时间</w:t>
            </w:r>
          </w:p>
        </w:tc>
        <w:tc>
          <w:tcPr>
            <w:tcW w:w="7028" w:type="dxa"/>
            <w:gridSpan w:val="3"/>
            <w:tcBorders>
              <w:top w:val="single" w:color="auto" w:sz="4" w:space="0"/>
              <w:left w:val="single" w:color="auto" w:sz="4" w:space="0"/>
              <w:bottom w:val="single" w:color="auto" w:sz="4" w:space="0"/>
              <w:right w:val="single" w:color="auto" w:sz="4" w:space="0"/>
            </w:tcBorders>
            <w:vAlign w:val="center"/>
          </w:tcPr>
          <w:p w14:paraId="3A21D21A">
            <w:pPr>
              <w:spacing w:line="360" w:lineRule="auto"/>
              <w:ind w:left="0" w:leftChars="0" w:right="0" w:rightChars="0" w:firstLine="0" w:firstLineChars="0"/>
              <w:jc w:val="left"/>
              <w:rPr>
                <w:rFonts w:ascii="宋体" w:hAnsi="宋体" w:cs="宋体"/>
                <w:color w:val="auto"/>
                <w:szCs w:val="21"/>
                <w:highlight w:val="none"/>
              </w:rPr>
            </w:pPr>
            <w:r>
              <w:rPr>
                <w:rFonts w:hint="eastAsia" w:ascii="宋体" w:hAnsi="宋体" w:cs="宋体"/>
                <w:bCs/>
                <w:color w:val="auto"/>
                <w:szCs w:val="21"/>
                <w:highlight w:val="none"/>
              </w:rPr>
              <w:t>自成交通知书发出之日起</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日内。</w:t>
            </w:r>
          </w:p>
        </w:tc>
      </w:tr>
      <w:tr w14:paraId="5DA51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75" w:type="dxa"/>
            <w:gridSpan w:val="2"/>
            <w:tcBorders>
              <w:top w:val="single" w:color="auto" w:sz="4" w:space="0"/>
              <w:left w:val="single" w:color="auto" w:sz="4" w:space="0"/>
              <w:bottom w:val="single" w:color="auto" w:sz="4" w:space="0"/>
              <w:right w:val="single" w:color="auto" w:sz="4" w:space="0"/>
            </w:tcBorders>
            <w:vAlign w:val="center"/>
          </w:tcPr>
          <w:p w14:paraId="2CCF0897">
            <w:pPr>
              <w:wordWrap w:val="0"/>
              <w:topLinePunct/>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合同履行期限和地点</w:t>
            </w:r>
          </w:p>
        </w:tc>
        <w:tc>
          <w:tcPr>
            <w:tcW w:w="7028" w:type="dxa"/>
            <w:gridSpan w:val="3"/>
            <w:tcBorders>
              <w:top w:val="single" w:color="auto" w:sz="4" w:space="0"/>
              <w:left w:val="single" w:color="auto" w:sz="4" w:space="0"/>
              <w:bottom w:val="single" w:color="auto" w:sz="4" w:space="0"/>
              <w:right w:val="single" w:color="auto" w:sz="4" w:space="0"/>
            </w:tcBorders>
            <w:vAlign w:val="center"/>
          </w:tcPr>
          <w:p w14:paraId="0FF1A41F">
            <w:pPr>
              <w:wordWrap w:val="0"/>
              <w:topLinePunct/>
              <w:spacing w:line="360" w:lineRule="auto"/>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合同履行期限：</w:t>
            </w:r>
            <w:r>
              <w:rPr>
                <w:rFonts w:hint="eastAsia" w:ascii="宋体" w:hAnsi="宋体"/>
                <w:color w:val="auto"/>
                <w:szCs w:val="21"/>
                <w:highlight w:val="none"/>
              </w:rPr>
              <w:t>自签订合同之日起6个月，本项目采购量为采购预估量，供应商根据采购人每天需求量供货，采购量以6个月实际采购量为准。</w:t>
            </w:r>
          </w:p>
          <w:p w14:paraId="35B99722">
            <w:pPr>
              <w:wordWrap w:val="0"/>
              <w:topLinePunct/>
              <w:spacing w:line="360" w:lineRule="auto"/>
              <w:jc w:val="left"/>
              <w:rPr>
                <w:rFonts w:ascii="宋体" w:hAnsi="宋体" w:cs="宋体"/>
                <w:color w:val="auto"/>
                <w:szCs w:val="21"/>
                <w:highlight w:val="none"/>
              </w:rPr>
            </w:pPr>
            <w:r>
              <w:rPr>
                <w:rFonts w:hint="eastAsia" w:ascii="宋体" w:hAnsi="宋体" w:cs="宋体"/>
                <w:color w:val="auto"/>
                <w:szCs w:val="21"/>
                <w:highlight w:val="none"/>
              </w:rPr>
              <w:t>2.地点：</w:t>
            </w:r>
            <w:r>
              <w:rPr>
                <w:rFonts w:hint="eastAsia" w:ascii="宋体" w:hAnsi="宋体"/>
                <w:color w:val="auto"/>
                <w:szCs w:val="21"/>
                <w:highlight w:val="none"/>
              </w:rPr>
              <w:t>广西壮族自治区钟山监狱采购人指定地点，并按要求负责卸货。</w:t>
            </w:r>
          </w:p>
        </w:tc>
      </w:tr>
      <w:tr w14:paraId="18EE2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75" w:type="dxa"/>
            <w:gridSpan w:val="2"/>
            <w:tcBorders>
              <w:top w:val="single" w:color="auto" w:sz="4" w:space="0"/>
              <w:left w:val="single" w:color="auto" w:sz="4" w:space="0"/>
              <w:bottom w:val="single" w:color="auto" w:sz="4" w:space="0"/>
              <w:right w:val="single" w:color="auto" w:sz="4" w:space="0"/>
            </w:tcBorders>
            <w:vAlign w:val="center"/>
          </w:tcPr>
          <w:p w14:paraId="4F1EDB5C">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质保期</w:t>
            </w:r>
          </w:p>
        </w:tc>
        <w:tc>
          <w:tcPr>
            <w:tcW w:w="7028" w:type="dxa"/>
            <w:gridSpan w:val="3"/>
            <w:tcBorders>
              <w:top w:val="single" w:color="auto" w:sz="4" w:space="0"/>
              <w:left w:val="single" w:color="auto" w:sz="4" w:space="0"/>
              <w:bottom w:val="single" w:color="auto" w:sz="4" w:space="0"/>
              <w:right w:val="single" w:color="auto" w:sz="4" w:space="0"/>
            </w:tcBorders>
            <w:vAlign w:val="center"/>
          </w:tcPr>
          <w:p w14:paraId="167484A2">
            <w:pPr>
              <w:spacing w:line="360" w:lineRule="auto"/>
              <w:rPr>
                <w:rFonts w:ascii="宋体" w:hAnsi="宋体" w:cs="宋体"/>
                <w:bCs/>
                <w:color w:val="auto"/>
                <w:szCs w:val="21"/>
                <w:highlight w:val="none"/>
              </w:rPr>
            </w:pPr>
            <w:r>
              <w:rPr>
                <w:rFonts w:hint="eastAsia" w:ascii="宋体" w:hAnsi="宋体" w:cs="宋体"/>
                <w:color w:val="auto"/>
                <w:szCs w:val="21"/>
                <w:highlight w:val="none"/>
              </w:rPr>
              <w:t>按国家或行业规定标准执行。</w:t>
            </w:r>
          </w:p>
        </w:tc>
      </w:tr>
      <w:tr w14:paraId="2CAC5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75" w:type="dxa"/>
            <w:gridSpan w:val="2"/>
            <w:tcBorders>
              <w:top w:val="single" w:color="auto" w:sz="4" w:space="0"/>
              <w:left w:val="single" w:color="auto" w:sz="4" w:space="0"/>
              <w:bottom w:val="single" w:color="auto" w:sz="4" w:space="0"/>
              <w:right w:val="single" w:color="auto" w:sz="4" w:space="0"/>
            </w:tcBorders>
            <w:vAlign w:val="center"/>
          </w:tcPr>
          <w:p w14:paraId="5E94075F">
            <w:pPr>
              <w:spacing w:line="360" w:lineRule="auto"/>
              <w:jc w:val="center"/>
              <w:rPr>
                <w:rFonts w:hint="eastAsia" w:ascii="宋体" w:hAnsi="宋体"/>
                <w:color w:val="auto"/>
                <w:szCs w:val="21"/>
                <w:highlight w:val="none"/>
              </w:rPr>
            </w:pPr>
            <w:r>
              <w:rPr>
                <w:rFonts w:hint="eastAsia" w:ascii="宋体" w:hAnsi="宋体" w:cs="宋体"/>
                <w:color w:val="auto"/>
                <w:szCs w:val="21"/>
                <w:highlight w:val="none"/>
              </w:rPr>
              <w:t>质量验收</w:t>
            </w:r>
          </w:p>
        </w:tc>
        <w:tc>
          <w:tcPr>
            <w:tcW w:w="7028" w:type="dxa"/>
            <w:gridSpan w:val="3"/>
            <w:tcBorders>
              <w:top w:val="single" w:color="auto" w:sz="4" w:space="0"/>
              <w:left w:val="single" w:color="auto" w:sz="4" w:space="0"/>
              <w:bottom w:val="single" w:color="auto" w:sz="4" w:space="0"/>
              <w:right w:val="single" w:color="auto" w:sz="4" w:space="0"/>
            </w:tcBorders>
            <w:vAlign w:val="center"/>
          </w:tcPr>
          <w:p w14:paraId="0B1327D2">
            <w:pPr>
              <w:numPr>
                <w:ilvl w:val="0"/>
                <w:numId w:val="0"/>
              </w:num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供货时间及方式：根据采购人实际需求品种数量，每日上午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时前必须到达广西壮族自治区钟山监狱采购人指定地点，运费及装卸费由成交供应商承担。</w:t>
            </w:r>
          </w:p>
          <w:p w14:paraId="4386A50B">
            <w:pPr>
              <w:numPr>
                <w:ilvl w:val="0"/>
                <w:numId w:val="0"/>
              </w:num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运输方式：</w:t>
            </w:r>
            <w:r>
              <w:rPr>
                <w:rFonts w:hint="eastAsia" w:ascii="宋体" w:hAnsi="宋体" w:cs="宋体"/>
                <w:color w:val="auto"/>
                <w:szCs w:val="21"/>
                <w:highlight w:val="none"/>
              </w:rPr>
              <w:t>符合安全卫生标准的封闭厢式保鲜专用配送车辆及符合食品运输要求的固定司机。司机相关证照（驾驶证）、司机及配送人员健康证等报采购人备案。</w:t>
            </w:r>
          </w:p>
          <w:p w14:paraId="172C488C">
            <w:pPr>
              <w:numPr>
                <w:ilvl w:val="0"/>
                <w:numId w:val="0"/>
              </w:num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3.要求在钟山县设有采购负责人，如在钟山县未设置有采购负责人的，需承诺在钟山县设有采购负责人，在合同履行期内必须在1小时内提供应急采购服务(需提供承诺函)。</w:t>
            </w:r>
          </w:p>
          <w:p w14:paraId="1AABBC30">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严格按国家食品卫生标准要求执行，《中华人民共和国食品安全法》禁止经营的食品一律不得采购和使用，严禁使用“三无”、有毒、有害、过期、变质、假冒伪劣等不合格食品原材料加工食品。</w:t>
            </w:r>
          </w:p>
          <w:p w14:paraId="76C2CF3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配货时如供应商提供的产品发生质量问题，供应商实行“包退包换”，并承担所发生的费用。</w:t>
            </w:r>
          </w:p>
        </w:tc>
      </w:tr>
      <w:tr w14:paraId="5371C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75" w:type="dxa"/>
            <w:gridSpan w:val="2"/>
            <w:tcBorders>
              <w:top w:val="single" w:color="auto" w:sz="4" w:space="0"/>
              <w:left w:val="single" w:color="auto" w:sz="4" w:space="0"/>
              <w:bottom w:val="single" w:color="auto" w:sz="4" w:space="0"/>
              <w:right w:val="single" w:color="auto" w:sz="4" w:space="0"/>
            </w:tcBorders>
            <w:vAlign w:val="center"/>
          </w:tcPr>
          <w:p w14:paraId="04F6F06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7028" w:type="dxa"/>
            <w:gridSpan w:val="3"/>
            <w:tcBorders>
              <w:top w:val="single" w:color="auto" w:sz="4" w:space="0"/>
              <w:left w:val="single" w:color="auto" w:sz="4" w:space="0"/>
              <w:bottom w:val="single" w:color="auto" w:sz="4" w:space="0"/>
              <w:right w:val="single" w:color="auto" w:sz="4" w:space="0"/>
            </w:tcBorders>
            <w:vAlign w:val="center"/>
          </w:tcPr>
          <w:p w14:paraId="2A4196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本项目无预付款，签订合同后，</w:t>
            </w:r>
            <w:r>
              <w:rPr>
                <w:rFonts w:hint="eastAsia" w:hAnsi="宋体" w:cs="宋体"/>
                <w:color w:val="auto"/>
                <w:sz w:val="21"/>
                <w:highlight w:val="none"/>
                <w:lang w:eastAsia="zh-CN"/>
              </w:rPr>
              <w:t>按月</w:t>
            </w:r>
            <w:r>
              <w:rPr>
                <w:rFonts w:hint="eastAsia" w:hAnsi="宋体" w:cs="宋体"/>
                <w:color w:val="auto"/>
                <w:sz w:val="21"/>
                <w:highlight w:val="none"/>
              </w:rPr>
              <w:t>结算</w:t>
            </w:r>
            <w:r>
              <w:rPr>
                <w:rFonts w:hint="eastAsia" w:ascii="宋体" w:hAnsi="宋体" w:cs="宋体"/>
                <w:color w:val="auto"/>
                <w:szCs w:val="21"/>
                <w:highlight w:val="none"/>
              </w:rPr>
              <w:t>合同款，且成交供应商须提交合法发票，采购人收到发票之日起</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个工作日内支付结算款金额</w:t>
            </w:r>
            <w:r>
              <w:rPr>
                <w:rFonts w:hint="eastAsia" w:ascii="宋体" w:hAnsi="宋体" w:cs="宋体"/>
                <w:color w:val="auto"/>
                <w:szCs w:val="21"/>
                <w:highlight w:val="none"/>
                <w:lang w:eastAsia="zh-CN"/>
              </w:rPr>
              <w:t>，如成交供应商未提供合法有效发票的，采购人有权拒绝付款，且不承担违约责任</w:t>
            </w:r>
            <w:r>
              <w:rPr>
                <w:rFonts w:hint="eastAsia" w:ascii="宋体" w:hAnsi="宋体" w:cs="宋体"/>
                <w:color w:val="auto"/>
                <w:szCs w:val="21"/>
                <w:highlight w:val="none"/>
              </w:rPr>
              <w:t xml:space="preserve">。 </w:t>
            </w:r>
          </w:p>
        </w:tc>
      </w:tr>
      <w:tr w14:paraId="00CEF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9" w:hRule="atLeast"/>
        </w:trPr>
        <w:tc>
          <w:tcPr>
            <w:tcW w:w="2275" w:type="dxa"/>
            <w:gridSpan w:val="2"/>
            <w:tcBorders>
              <w:top w:val="single" w:color="auto" w:sz="4" w:space="0"/>
              <w:left w:val="single" w:color="auto" w:sz="4" w:space="0"/>
              <w:bottom w:val="single" w:color="auto" w:sz="4" w:space="0"/>
              <w:right w:val="single" w:color="auto" w:sz="4" w:space="0"/>
            </w:tcBorders>
            <w:vAlign w:val="center"/>
          </w:tcPr>
          <w:p w14:paraId="1C79C7A6">
            <w:pPr>
              <w:snapToGrid w:val="0"/>
              <w:spacing w:line="360" w:lineRule="auto"/>
              <w:jc w:val="center"/>
              <w:rPr>
                <w:rFonts w:hint="eastAsia" w:ascii="宋体" w:hAnsi="宋体"/>
                <w:color w:val="auto"/>
                <w:szCs w:val="21"/>
                <w:highlight w:val="none"/>
              </w:rPr>
            </w:pPr>
            <w:r>
              <w:rPr>
                <w:rFonts w:hint="eastAsia" w:ascii="宋体" w:hAnsi="宋体" w:cs="宋体"/>
                <w:color w:val="auto"/>
                <w:szCs w:val="21"/>
                <w:highlight w:val="none"/>
              </w:rPr>
              <w:t>安全责任</w:t>
            </w:r>
          </w:p>
        </w:tc>
        <w:tc>
          <w:tcPr>
            <w:tcW w:w="7028" w:type="dxa"/>
            <w:gridSpan w:val="3"/>
            <w:tcBorders>
              <w:top w:val="single" w:color="auto" w:sz="4" w:space="0"/>
              <w:left w:val="single" w:color="auto" w:sz="4" w:space="0"/>
              <w:bottom w:val="single" w:color="auto" w:sz="4" w:space="0"/>
              <w:right w:val="single" w:color="auto" w:sz="4" w:space="0"/>
            </w:tcBorders>
          </w:tcPr>
          <w:p w14:paraId="2FFCD6FC">
            <w:pPr>
              <w:spacing w:line="312" w:lineRule="auto"/>
              <w:rPr>
                <w:rFonts w:hint="eastAsia"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成交供应商应充分理解并认真遵循本竞争性谈判文件要求。所提供的货物必须满足竞争性谈判文件要求，并可追溯，检验合格、无毒、无害、无辐射、无侵权，符合国家有关卫生、质量、包装和保质标准。</w:t>
            </w:r>
          </w:p>
          <w:p w14:paraId="0CAF44F0">
            <w:pPr>
              <w:spacing w:line="312" w:lineRule="auto"/>
              <w:rPr>
                <w:rFonts w:hint="eastAsia"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成交供应商在成交前未购买</w:t>
            </w:r>
            <w:r>
              <w:rPr>
                <w:rFonts w:hint="eastAsia" w:ascii="宋体" w:hAnsi="宋体" w:cs="宋体"/>
                <w:color w:val="auto"/>
                <w:szCs w:val="21"/>
                <w:highlight w:val="none"/>
              </w:rPr>
              <w:t>食品安全责任</w:t>
            </w:r>
            <w:r>
              <w:rPr>
                <w:rFonts w:hint="eastAsia" w:ascii="宋体" w:hAnsi="宋体" w:cs="宋体"/>
                <w:bCs/>
                <w:color w:val="auto"/>
                <w:szCs w:val="21"/>
                <w:highlight w:val="none"/>
              </w:rPr>
              <w:t>类保险</w:t>
            </w:r>
            <w:r>
              <w:rPr>
                <w:rFonts w:hint="eastAsia" w:ascii="宋体" w:hAnsi="宋体" w:cs="宋体"/>
                <w:color w:val="auto"/>
                <w:szCs w:val="21"/>
                <w:highlight w:val="none"/>
              </w:rPr>
              <w:t>的，</w:t>
            </w:r>
            <w:r>
              <w:rPr>
                <w:rFonts w:hint="eastAsia" w:ascii="宋体" w:hAnsi="宋体" w:cs="宋体"/>
                <w:bCs/>
                <w:color w:val="auto"/>
                <w:szCs w:val="21"/>
                <w:highlight w:val="none"/>
              </w:rPr>
              <w:t>签订合同后一个月内必须到相关的保险公司进行投保，投保险种为投保险种为食品安全责任类保险（投保金额保额超过</w:t>
            </w:r>
            <w:r>
              <w:rPr>
                <w:rFonts w:hint="eastAsia" w:ascii="宋体" w:hAnsi="宋体" w:cs="宋体"/>
                <w:bCs/>
                <w:color w:val="auto"/>
                <w:szCs w:val="21"/>
                <w:highlight w:val="none"/>
                <w:lang w:val="en-US" w:eastAsia="zh-CN"/>
              </w:rPr>
              <w:t>101</w:t>
            </w:r>
            <w:r>
              <w:rPr>
                <w:rFonts w:hint="eastAsia" w:ascii="宋体" w:hAnsi="宋体" w:cs="宋体"/>
                <w:bCs/>
                <w:color w:val="auto"/>
                <w:szCs w:val="21"/>
                <w:highlight w:val="none"/>
              </w:rPr>
              <w:t>万元</w:t>
            </w:r>
            <w:r>
              <w:rPr>
                <w:rFonts w:hint="eastAsia" w:ascii="宋体" w:hAnsi="宋体" w:cs="宋体"/>
                <w:bCs/>
                <w:color w:val="auto"/>
                <w:szCs w:val="21"/>
                <w:highlight w:val="none"/>
              </w:rPr>
              <w:t>，保期应覆盖本项目合同履约期限</w:t>
            </w:r>
            <w:r>
              <w:rPr>
                <w:rFonts w:hint="eastAsia" w:ascii="宋体" w:hAnsi="宋体" w:cs="宋体"/>
                <w:bCs/>
                <w:color w:val="auto"/>
                <w:szCs w:val="21"/>
                <w:highlight w:val="none"/>
                <w:lang w:eastAsia="zh-CN"/>
              </w:rPr>
              <w:t>并将保单复印件提供给采购人存档</w:t>
            </w:r>
            <w:r>
              <w:rPr>
                <w:rFonts w:hint="eastAsia" w:ascii="宋体" w:hAnsi="宋体" w:cs="宋体"/>
                <w:bCs/>
                <w:color w:val="auto"/>
                <w:szCs w:val="21"/>
                <w:highlight w:val="none"/>
              </w:rPr>
              <w:t>）。</w:t>
            </w:r>
          </w:p>
          <w:p w14:paraId="0549D431">
            <w:pPr>
              <w:spacing w:line="312" w:lineRule="auto"/>
              <w:rPr>
                <w:rFonts w:hint="eastAsia"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安全监管要求：</w:t>
            </w:r>
          </w:p>
          <w:p w14:paraId="3919984C">
            <w:pPr>
              <w:spacing w:line="312" w:lineRule="auto"/>
              <w:rPr>
                <w:rFonts w:hint="eastAsia" w:ascii="宋体" w:hAnsi="宋体" w:cs="宋体"/>
                <w:bCs/>
                <w:color w:val="auto"/>
                <w:szCs w:val="21"/>
                <w:highlight w:val="none"/>
              </w:rPr>
            </w:pPr>
            <w:r>
              <w:rPr>
                <w:rFonts w:hint="eastAsia" w:ascii="宋体" w:hAnsi="宋体" w:cs="宋体"/>
                <w:bCs/>
                <w:color w:val="auto"/>
                <w:szCs w:val="21"/>
                <w:highlight w:val="none"/>
              </w:rPr>
              <w:t>（1）建立健全并严格执行各项食品卫生安全管理制度。严格执行原材料进货查验制度、购销登记制度、索证索票制度、商品质量承诺制度、检测检验制度以及其他按照行业管理规定必须健全的各项管理制度。</w:t>
            </w:r>
          </w:p>
          <w:p w14:paraId="5CF84E03">
            <w:pP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2）如因供应商的食材质量问题，导致采购人发生食品安全事故，因此造成的损失和责任由供应商全部承担；造成重大食品安全事故的，采购人可以单方解除合同，供应商要赔偿因此造成的全部损失并依法承担有关责任。</w:t>
            </w:r>
          </w:p>
        </w:tc>
      </w:tr>
      <w:tr w14:paraId="072F0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275" w:type="dxa"/>
            <w:gridSpan w:val="2"/>
            <w:tcBorders>
              <w:top w:val="single" w:color="auto" w:sz="4" w:space="0"/>
              <w:left w:val="single" w:color="auto" w:sz="4" w:space="0"/>
              <w:bottom w:val="single" w:color="auto" w:sz="4" w:space="0"/>
              <w:right w:val="single" w:color="auto" w:sz="4" w:space="0"/>
            </w:tcBorders>
            <w:vAlign w:val="center"/>
          </w:tcPr>
          <w:p w14:paraId="0FFD54F2">
            <w:pPr>
              <w:spacing w:line="360" w:lineRule="auto"/>
              <w:ind w:left="0" w:leftChars="0" w:right="0" w:rightChars="0" w:firstLine="0" w:firstLineChars="0"/>
              <w:jc w:val="center"/>
              <w:rPr>
                <w:rFonts w:hint="eastAsia" w:ascii="宋体" w:hAnsi="宋体"/>
                <w:color w:val="auto"/>
                <w:szCs w:val="21"/>
                <w:highlight w:val="none"/>
              </w:rPr>
            </w:pPr>
            <w:r>
              <w:rPr>
                <w:rFonts w:hint="eastAsia" w:ascii="宋体" w:hAnsi="宋体" w:cs="宋体"/>
                <w:b w:val="0"/>
                <w:bCs w:val="0"/>
                <w:color w:val="auto"/>
                <w:szCs w:val="21"/>
                <w:highlight w:val="none"/>
              </w:rPr>
              <w:t>验收标准</w:t>
            </w:r>
          </w:p>
        </w:tc>
        <w:tc>
          <w:tcPr>
            <w:tcW w:w="7028" w:type="dxa"/>
            <w:gridSpan w:val="3"/>
            <w:tcBorders>
              <w:top w:val="single" w:color="auto" w:sz="4" w:space="0"/>
              <w:left w:val="single" w:color="auto" w:sz="4" w:space="0"/>
              <w:bottom w:val="single" w:color="auto" w:sz="4" w:space="0"/>
              <w:right w:val="single" w:color="auto" w:sz="4" w:space="0"/>
            </w:tcBorders>
            <w:vAlign w:val="center"/>
          </w:tcPr>
          <w:p w14:paraId="7D91DC2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货物的验收工作由采购人和成交供应商共同进行。成交供应商提供的产品须经过采购人验收人员的感官检验、外观检验和试用检验，若产品外观、包装、形式不符合要求、感官检验不能达到食品卫生要求，当即拒收；整改后成交供应商不能满足食品的质量及售后服务要求时，采购人有权进行处罚或终止合同。</w:t>
            </w:r>
          </w:p>
          <w:p w14:paraId="33A083C6">
            <w:pPr>
              <w:spacing w:line="360" w:lineRule="auto"/>
              <w:rPr>
                <w:rFonts w:ascii="宋体" w:hAnsi="宋体"/>
                <w:b/>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tc>
      </w:tr>
      <w:tr w14:paraId="2A049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03" w:type="dxa"/>
            <w:gridSpan w:val="5"/>
            <w:tcBorders>
              <w:top w:val="single" w:color="auto" w:sz="4" w:space="0"/>
              <w:left w:val="single" w:color="auto" w:sz="4" w:space="0"/>
              <w:bottom w:val="single" w:color="auto" w:sz="4" w:space="0"/>
              <w:right w:val="single" w:color="auto" w:sz="4" w:space="0"/>
            </w:tcBorders>
            <w:vAlign w:val="center"/>
          </w:tcPr>
          <w:p w14:paraId="70631044">
            <w:pPr>
              <w:spacing w:line="360" w:lineRule="auto"/>
              <w:rPr>
                <w:rFonts w:ascii="宋体" w:hAnsi="宋体" w:cs="宋体"/>
                <w:color w:val="auto"/>
                <w:szCs w:val="21"/>
                <w:highlight w:val="none"/>
              </w:rPr>
            </w:pPr>
            <w:r>
              <w:rPr>
                <w:rFonts w:hint="eastAsia" w:ascii="宋体" w:hAnsi="宋体" w:cs="宋体"/>
                <w:b/>
                <w:bCs/>
                <w:color w:val="auto"/>
                <w:szCs w:val="21"/>
                <w:highlight w:val="none"/>
              </w:rPr>
              <w:t>二、与实现项目目标相关的其他要求</w:t>
            </w:r>
          </w:p>
        </w:tc>
      </w:tr>
      <w:tr w14:paraId="31376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75" w:type="dxa"/>
            <w:gridSpan w:val="2"/>
            <w:tcBorders>
              <w:top w:val="single" w:color="auto" w:sz="4" w:space="0"/>
              <w:left w:val="single" w:color="auto" w:sz="4" w:space="0"/>
              <w:bottom w:val="single" w:color="auto" w:sz="4" w:space="0"/>
              <w:right w:val="single" w:color="auto" w:sz="4" w:space="0"/>
            </w:tcBorders>
            <w:vAlign w:val="center"/>
          </w:tcPr>
          <w:p w14:paraId="7038211F">
            <w:pPr>
              <w:spacing w:line="360" w:lineRule="auto"/>
              <w:jc w:val="center"/>
              <w:rPr>
                <w:rFonts w:ascii="宋体" w:hAnsi="宋体" w:cs="宋体"/>
                <w:color w:val="auto"/>
                <w:szCs w:val="21"/>
                <w:highlight w:val="none"/>
              </w:rPr>
            </w:pPr>
            <w:r>
              <w:rPr>
                <w:rFonts w:hint="eastAsia" w:ascii="宋体" w:hAnsi="宋体" w:eastAsia="宋体" w:cs="宋体"/>
                <w:color w:val="auto"/>
                <w:sz w:val="21"/>
                <w:szCs w:val="21"/>
                <w:highlight w:val="none"/>
              </w:rPr>
              <w:t>进口产品说明</w:t>
            </w:r>
          </w:p>
        </w:tc>
        <w:tc>
          <w:tcPr>
            <w:tcW w:w="7028" w:type="dxa"/>
            <w:gridSpan w:val="3"/>
            <w:tcBorders>
              <w:top w:val="single" w:color="auto" w:sz="4" w:space="0"/>
              <w:left w:val="single" w:color="auto" w:sz="4" w:space="0"/>
              <w:bottom w:val="single" w:color="auto" w:sz="4" w:space="0"/>
              <w:right w:val="single" w:color="auto" w:sz="4" w:space="0"/>
            </w:tcBorders>
            <w:vAlign w:val="center"/>
          </w:tcPr>
          <w:p w14:paraId="09637457">
            <w:pPr>
              <w:spacing w:line="360" w:lineRule="auto"/>
              <w:rPr>
                <w:rFonts w:ascii="宋体" w:hAnsi="宋体" w:cs="宋体"/>
                <w:color w:val="auto"/>
                <w:szCs w:val="21"/>
                <w:highlight w:val="none"/>
              </w:rPr>
            </w:pPr>
            <w:r>
              <w:rPr>
                <w:rFonts w:hint="eastAsia" w:ascii="宋体" w:hAnsi="宋体" w:cs="宋体"/>
                <w:color w:val="auto"/>
                <w:szCs w:val="21"/>
                <w:highlight w:val="none"/>
              </w:rPr>
              <w:t>☑本分标货物不接受进口产品（即通过中国海关报关验放进入中国境内且产自关境外的产品）参与竞标，</w:t>
            </w:r>
            <w:r>
              <w:rPr>
                <w:rFonts w:hint="eastAsia" w:ascii="宋体" w:hAnsi="宋体" w:cs="宋体"/>
                <w:b/>
                <w:color w:val="auto"/>
                <w:szCs w:val="21"/>
                <w:highlight w:val="none"/>
              </w:rPr>
              <w:t>如有进口产品参与竞标的，其响应文件按无效响应处理</w:t>
            </w:r>
            <w:r>
              <w:rPr>
                <w:rFonts w:hint="eastAsia" w:ascii="宋体" w:hAnsi="宋体" w:cs="宋体"/>
                <w:color w:val="auto"/>
                <w:szCs w:val="21"/>
                <w:highlight w:val="none"/>
              </w:rPr>
              <w:t>。</w:t>
            </w:r>
          </w:p>
        </w:tc>
      </w:tr>
    </w:tbl>
    <w:p w14:paraId="3C3FE2B8">
      <w:pPr>
        <w:spacing w:line="360" w:lineRule="auto"/>
        <w:ind w:firstLine="310" w:firstLineChars="147"/>
        <w:jc w:val="left"/>
        <w:rPr>
          <w:rFonts w:ascii="宋体" w:hAnsi="宋体"/>
          <w:b/>
          <w:color w:val="auto"/>
          <w:szCs w:val="21"/>
          <w:highlight w:val="none"/>
        </w:rPr>
      </w:pPr>
    </w:p>
    <w:bookmarkEnd w:id="68"/>
    <w:p w14:paraId="581E2FF3">
      <w:pPr>
        <w:rPr>
          <w:rFonts w:ascii="黑体" w:hAnsi="黑体" w:eastAsia="黑体" w:cs="黑体"/>
          <w:color w:val="auto"/>
          <w:sz w:val="32"/>
          <w:szCs w:val="32"/>
          <w:highlight w:val="none"/>
        </w:rPr>
      </w:pPr>
      <w:r>
        <w:rPr>
          <w:rFonts w:hint="eastAsia" w:ascii="宋体" w:hAnsi="宋体" w:cs="宋体"/>
          <w:color w:val="auto"/>
          <w:sz w:val="20"/>
          <w:szCs w:val="20"/>
          <w:highlight w:val="none"/>
        </w:rPr>
        <w:br w:type="page"/>
      </w:r>
      <w:r>
        <w:rPr>
          <w:rFonts w:hint="eastAsia" w:ascii="黑体" w:hAnsi="黑体" w:eastAsia="黑体" w:cs="黑体"/>
          <w:color w:val="auto"/>
          <w:sz w:val="32"/>
          <w:szCs w:val="32"/>
          <w:highlight w:val="none"/>
        </w:rPr>
        <w:t>附件2：</w:t>
      </w:r>
    </w:p>
    <w:p w14:paraId="4EF72E36">
      <w:pPr>
        <w:pStyle w:val="9"/>
        <w:jc w:val="center"/>
        <w:rPr>
          <w:b/>
          <w:color w:val="auto"/>
          <w:sz w:val="28"/>
          <w:szCs w:val="28"/>
          <w:highlight w:val="none"/>
        </w:rPr>
      </w:pPr>
      <w:r>
        <w:rPr>
          <w:rFonts w:hint="eastAsia"/>
          <w:b/>
          <w:color w:val="auto"/>
          <w:sz w:val="28"/>
          <w:szCs w:val="28"/>
          <w:highlight w:val="none"/>
        </w:rPr>
        <w:t>中小企业划型标准规定</w:t>
      </w:r>
    </w:p>
    <w:p w14:paraId="5DF4D093">
      <w:pPr>
        <w:pStyle w:val="9"/>
        <w:jc w:val="center"/>
        <w:rPr>
          <w:rFonts w:ascii="宋体" w:hAnsi="宋体"/>
          <w:color w:val="auto"/>
          <w:szCs w:val="21"/>
          <w:highlight w:val="none"/>
        </w:rPr>
      </w:pPr>
      <w:r>
        <w:rPr>
          <w:rFonts w:hint="eastAsia" w:ascii="宋体" w:hAnsi="宋体"/>
          <w:color w:val="auto"/>
          <w:szCs w:val="21"/>
          <w:highlight w:val="none"/>
        </w:rPr>
        <w:t>工信部联企业〔2011〕300号</w:t>
      </w:r>
    </w:p>
    <w:p w14:paraId="6F04D511">
      <w:pPr>
        <w:pStyle w:val="9"/>
        <w:rPr>
          <w:color w:val="auto"/>
          <w:szCs w:val="21"/>
          <w:highlight w:val="none"/>
        </w:rPr>
      </w:pPr>
    </w:p>
    <w:p w14:paraId="3043DBD0">
      <w:pPr>
        <w:pStyle w:val="9"/>
        <w:rPr>
          <w:color w:val="auto"/>
          <w:szCs w:val="21"/>
          <w:highlight w:val="none"/>
        </w:rPr>
      </w:pPr>
      <w:r>
        <w:rPr>
          <w:rFonts w:hint="eastAsia"/>
          <w:color w:val="auto"/>
          <w:szCs w:val="21"/>
          <w:highlight w:val="none"/>
        </w:rPr>
        <w:t>　　一、根据《中华人民共和国中小企业促进法》和《国务院关于进一步促进中小企业发展的若干意见》</w:t>
      </w:r>
      <w:r>
        <w:rPr>
          <w:color w:val="auto"/>
          <w:szCs w:val="21"/>
          <w:highlight w:val="none"/>
        </w:rPr>
        <w:t>(</w:t>
      </w:r>
      <w:r>
        <w:rPr>
          <w:rFonts w:hint="eastAsia"/>
          <w:color w:val="auto"/>
          <w:szCs w:val="21"/>
          <w:highlight w:val="none"/>
        </w:rPr>
        <w:t>国发〔2009〕36号</w:t>
      </w:r>
      <w:r>
        <w:rPr>
          <w:color w:val="auto"/>
          <w:szCs w:val="21"/>
          <w:highlight w:val="none"/>
        </w:rPr>
        <w:t>)</w:t>
      </w:r>
      <w:r>
        <w:rPr>
          <w:rFonts w:hint="eastAsia"/>
          <w:color w:val="auto"/>
          <w:szCs w:val="21"/>
          <w:highlight w:val="none"/>
        </w:rPr>
        <w:t>，制定本规定。</w:t>
      </w:r>
    </w:p>
    <w:p w14:paraId="05DDD1B1">
      <w:pPr>
        <w:pStyle w:val="9"/>
        <w:rPr>
          <w:color w:val="auto"/>
          <w:szCs w:val="21"/>
          <w:highlight w:val="none"/>
        </w:rPr>
      </w:pPr>
      <w:r>
        <w:rPr>
          <w:rFonts w:hint="eastAsia"/>
          <w:color w:val="auto"/>
          <w:szCs w:val="21"/>
          <w:highlight w:val="none"/>
        </w:rPr>
        <w:t>　　二、中小企业划分为中型、小型、微型三种类型，具体标准根据企业从业人员、营业收入、资产总额等指标，结合行业特点制定。</w:t>
      </w:r>
    </w:p>
    <w:p w14:paraId="0CF89164">
      <w:pPr>
        <w:pStyle w:val="9"/>
        <w:rPr>
          <w:color w:val="auto"/>
          <w:szCs w:val="21"/>
          <w:highlight w:val="none"/>
        </w:rPr>
      </w:pPr>
      <w:r>
        <w:rPr>
          <w:rFonts w:hint="eastAsia"/>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DC90051">
      <w:pPr>
        <w:pStyle w:val="9"/>
        <w:rPr>
          <w:color w:val="auto"/>
          <w:szCs w:val="21"/>
          <w:highlight w:val="none"/>
        </w:rPr>
      </w:pPr>
      <w:r>
        <w:rPr>
          <w:rFonts w:hint="eastAsia"/>
          <w:color w:val="auto"/>
          <w:szCs w:val="21"/>
          <w:highlight w:val="none"/>
        </w:rPr>
        <w:t>　　四、各行业划型标准为：</w:t>
      </w:r>
    </w:p>
    <w:p w14:paraId="470C92FE">
      <w:pPr>
        <w:pStyle w:val="9"/>
        <w:rPr>
          <w:color w:val="auto"/>
          <w:szCs w:val="21"/>
          <w:highlight w:val="none"/>
        </w:rPr>
      </w:pPr>
      <w:r>
        <w:rPr>
          <w:rFonts w:hint="eastAsia"/>
          <w:color w:val="auto"/>
          <w:szCs w:val="21"/>
          <w:highlight w:val="none"/>
        </w:rPr>
        <w:t>　　（一）农、林、牧、渔业。营业收入</w:t>
      </w:r>
      <w:r>
        <w:rPr>
          <w:color w:val="auto"/>
          <w:szCs w:val="21"/>
          <w:highlight w:val="none"/>
        </w:rPr>
        <w:t>20000</w:t>
      </w:r>
      <w:r>
        <w:rPr>
          <w:rFonts w:hint="eastAsia"/>
          <w:color w:val="auto"/>
          <w:szCs w:val="21"/>
          <w:highlight w:val="none"/>
        </w:rPr>
        <w:t>万元以下的为中小微型企业。其中，营业收入</w:t>
      </w:r>
      <w:r>
        <w:rPr>
          <w:color w:val="auto"/>
          <w:szCs w:val="21"/>
          <w:highlight w:val="none"/>
        </w:rPr>
        <w:t>500</w:t>
      </w:r>
      <w:r>
        <w:rPr>
          <w:rFonts w:hint="eastAsia"/>
          <w:color w:val="auto"/>
          <w:szCs w:val="21"/>
          <w:highlight w:val="none"/>
        </w:rPr>
        <w:t>万元及以上的为中型企业，营业收入</w:t>
      </w:r>
      <w:r>
        <w:rPr>
          <w:color w:val="auto"/>
          <w:szCs w:val="21"/>
          <w:highlight w:val="none"/>
        </w:rPr>
        <w:t>50</w:t>
      </w:r>
      <w:r>
        <w:rPr>
          <w:rFonts w:hint="eastAsia"/>
          <w:color w:val="auto"/>
          <w:szCs w:val="21"/>
          <w:highlight w:val="none"/>
        </w:rPr>
        <w:t>万元及以上的为小型企业，营业收入</w:t>
      </w:r>
      <w:r>
        <w:rPr>
          <w:color w:val="auto"/>
          <w:szCs w:val="21"/>
          <w:highlight w:val="none"/>
        </w:rPr>
        <w:t>50</w:t>
      </w:r>
      <w:r>
        <w:rPr>
          <w:rFonts w:hint="eastAsia"/>
          <w:color w:val="auto"/>
          <w:szCs w:val="21"/>
          <w:highlight w:val="none"/>
        </w:rPr>
        <w:t>万元以下的为微型企业。</w:t>
      </w:r>
    </w:p>
    <w:p w14:paraId="7B945E42">
      <w:pPr>
        <w:pStyle w:val="9"/>
        <w:rPr>
          <w:color w:val="auto"/>
          <w:szCs w:val="21"/>
          <w:highlight w:val="none"/>
        </w:rPr>
      </w:pPr>
      <w:r>
        <w:rPr>
          <w:rFonts w:hint="eastAsia"/>
          <w:color w:val="auto"/>
          <w:szCs w:val="21"/>
          <w:highlight w:val="none"/>
        </w:rPr>
        <w:t>　　（二）工业。从业人员</w:t>
      </w:r>
      <w:r>
        <w:rPr>
          <w:color w:val="auto"/>
          <w:szCs w:val="21"/>
          <w:highlight w:val="none"/>
        </w:rPr>
        <w:t>1000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300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300</w:t>
      </w:r>
      <w:r>
        <w:rPr>
          <w:rFonts w:hint="eastAsia"/>
          <w:color w:val="auto"/>
          <w:szCs w:val="21"/>
          <w:highlight w:val="none"/>
        </w:rPr>
        <w:t>万元以下的为微型企业。</w:t>
      </w:r>
    </w:p>
    <w:p w14:paraId="6F7060B5">
      <w:pPr>
        <w:pStyle w:val="9"/>
        <w:rPr>
          <w:color w:val="auto"/>
          <w:szCs w:val="21"/>
          <w:highlight w:val="none"/>
        </w:rPr>
      </w:pPr>
      <w:r>
        <w:rPr>
          <w:rFonts w:hint="eastAsia"/>
          <w:color w:val="auto"/>
          <w:szCs w:val="21"/>
          <w:highlight w:val="none"/>
        </w:rPr>
        <w:t>　　（三）建筑业。营业收入</w:t>
      </w:r>
      <w:r>
        <w:rPr>
          <w:color w:val="auto"/>
          <w:szCs w:val="21"/>
          <w:highlight w:val="none"/>
        </w:rPr>
        <w:t>80000</w:t>
      </w:r>
      <w:r>
        <w:rPr>
          <w:rFonts w:hint="eastAsia"/>
          <w:color w:val="auto"/>
          <w:szCs w:val="21"/>
          <w:highlight w:val="none"/>
        </w:rPr>
        <w:t>万元以下或资产总额</w:t>
      </w:r>
      <w:r>
        <w:rPr>
          <w:color w:val="auto"/>
          <w:szCs w:val="21"/>
          <w:highlight w:val="none"/>
        </w:rPr>
        <w:t>80000</w:t>
      </w:r>
      <w:r>
        <w:rPr>
          <w:rFonts w:hint="eastAsia"/>
          <w:color w:val="auto"/>
          <w:szCs w:val="21"/>
          <w:highlight w:val="none"/>
        </w:rPr>
        <w:t>万元以下的为中小微型企业。其中，营业收入</w:t>
      </w:r>
      <w:r>
        <w:rPr>
          <w:color w:val="auto"/>
          <w:szCs w:val="21"/>
          <w:highlight w:val="none"/>
        </w:rPr>
        <w:t>6000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300</w:t>
      </w:r>
      <w:r>
        <w:rPr>
          <w:rFonts w:hint="eastAsia"/>
          <w:color w:val="auto"/>
          <w:szCs w:val="21"/>
          <w:highlight w:val="none"/>
        </w:rPr>
        <w:t>万元及以上，且资产总额</w:t>
      </w:r>
      <w:r>
        <w:rPr>
          <w:color w:val="auto"/>
          <w:szCs w:val="21"/>
          <w:highlight w:val="none"/>
        </w:rPr>
        <w:t>300</w:t>
      </w:r>
      <w:r>
        <w:rPr>
          <w:rFonts w:hint="eastAsia"/>
          <w:color w:val="auto"/>
          <w:szCs w:val="21"/>
          <w:highlight w:val="none"/>
        </w:rPr>
        <w:t>万元及以上的为小型企业；营业收入</w:t>
      </w:r>
      <w:r>
        <w:rPr>
          <w:color w:val="auto"/>
          <w:szCs w:val="21"/>
          <w:highlight w:val="none"/>
        </w:rPr>
        <w:t>300</w:t>
      </w:r>
      <w:r>
        <w:rPr>
          <w:rFonts w:hint="eastAsia"/>
          <w:color w:val="auto"/>
          <w:szCs w:val="21"/>
          <w:highlight w:val="none"/>
        </w:rPr>
        <w:t>万元以下或资产总额</w:t>
      </w:r>
      <w:r>
        <w:rPr>
          <w:color w:val="auto"/>
          <w:szCs w:val="21"/>
          <w:highlight w:val="none"/>
        </w:rPr>
        <w:t>300</w:t>
      </w:r>
      <w:r>
        <w:rPr>
          <w:rFonts w:hint="eastAsia"/>
          <w:color w:val="auto"/>
          <w:szCs w:val="21"/>
          <w:highlight w:val="none"/>
        </w:rPr>
        <w:t>万元以下的为微型企业。</w:t>
      </w:r>
    </w:p>
    <w:p w14:paraId="6D4E9AA3">
      <w:pPr>
        <w:pStyle w:val="9"/>
        <w:rPr>
          <w:color w:val="auto"/>
          <w:szCs w:val="21"/>
          <w:highlight w:val="none"/>
        </w:rPr>
      </w:pPr>
      <w:r>
        <w:rPr>
          <w:rFonts w:hint="eastAsia"/>
          <w:color w:val="auto"/>
          <w:szCs w:val="21"/>
          <w:highlight w:val="none"/>
        </w:rPr>
        <w:t>　　（四）批发业。从业人员</w:t>
      </w:r>
      <w:r>
        <w:rPr>
          <w:color w:val="auto"/>
          <w:szCs w:val="21"/>
          <w:highlight w:val="none"/>
        </w:rPr>
        <w:t>200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20</w:t>
      </w:r>
      <w:r>
        <w:rPr>
          <w:rFonts w:hint="eastAsia"/>
          <w:color w:val="auto"/>
          <w:szCs w:val="21"/>
          <w:highlight w:val="none"/>
        </w:rPr>
        <w:t>人及以上，且营业收入</w:t>
      </w:r>
      <w:r>
        <w:rPr>
          <w:color w:val="auto"/>
          <w:szCs w:val="21"/>
          <w:highlight w:val="none"/>
        </w:rPr>
        <w:t>5000</w:t>
      </w:r>
      <w:r>
        <w:rPr>
          <w:rFonts w:hint="eastAsia"/>
          <w:color w:val="auto"/>
          <w:szCs w:val="21"/>
          <w:highlight w:val="none"/>
        </w:rPr>
        <w:t>万元及以上的为中型企业；从业人员</w:t>
      </w:r>
      <w:r>
        <w:rPr>
          <w:color w:val="auto"/>
          <w:szCs w:val="21"/>
          <w:highlight w:val="none"/>
        </w:rPr>
        <w:t>5</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万元及以上的为小型企业；从业人员</w:t>
      </w:r>
      <w:r>
        <w:rPr>
          <w:color w:val="auto"/>
          <w:szCs w:val="21"/>
          <w:highlight w:val="none"/>
        </w:rPr>
        <w:t>5</w:t>
      </w:r>
      <w:r>
        <w:rPr>
          <w:rFonts w:hint="eastAsia"/>
          <w:color w:val="auto"/>
          <w:szCs w:val="21"/>
          <w:highlight w:val="none"/>
        </w:rPr>
        <w:t>人以下或营业收入</w:t>
      </w:r>
      <w:r>
        <w:rPr>
          <w:color w:val="auto"/>
          <w:szCs w:val="21"/>
          <w:highlight w:val="none"/>
        </w:rPr>
        <w:t>1000</w:t>
      </w:r>
      <w:r>
        <w:rPr>
          <w:rFonts w:hint="eastAsia"/>
          <w:color w:val="auto"/>
          <w:szCs w:val="21"/>
          <w:highlight w:val="none"/>
        </w:rPr>
        <w:t>万元以下的为微型企业。</w:t>
      </w:r>
    </w:p>
    <w:p w14:paraId="1D776ACB">
      <w:pPr>
        <w:pStyle w:val="9"/>
        <w:rPr>
          <w:color w:val="auto"/>
          <w:szCs w:val="21"/>
          <w:highlight w:val="none"/>
        </w:rPr>
      </w:pPr>
      <w:r>
        <w:rPr>
          <w:rFonts w:hint="eastAsia"/>
          <w:color w:val="auto"/>
          <w:szCs w:val="21"/>
          <w:highlight w:val="none"/>
        </w:rPr>
        <w:t>　　（五）零售业。从业人员</w:t>
      </w:r>
      <w:r>
        <w:rPr>
          <w:color w:val="auto"/>
          <w:szCs w:val="21"/>
          <w:highlight w:val="none"/>
        </w:rPr>
        <w:t>300</w:t>
      </w:r>
      <w:r>
        <w:rPr>
          <w:rFonts w:hint="eastAsia"/>
          <w:color w:val="auto"/>
          <w:szCs w:val="21"/>
          <w:highlight w:val="none"/>
        </w:rPr>
        <w:t>人以下或营业收入</w:t>
      </w:r>
      <w:r>
        <w:rPr>
          <w:color w:val="auto"/>
          <w:szCs w:val="21"/>
          <w:highlight w:val="none"/>
        </w:rPr>
        <w:t>20000</w:t>
      </w:r>
      <w:r>
        <w:rPr>
          <w:rFonts w:hint="eastAsia"/>
          <w:color w:val="auto"/>
          <w:szCs w:val="21"/>
          <w:highlight w:val="none"/>
        </w:rPr>
        <w:t>万元以下的为中小微型企业。其中，从业人员</w:t>
      </w:r>
      <w:r>
        <w:rPr>
          <w:color w:val="auto"/>
          <w:szCs w:val="21"/>
          <w:highlight w:val="none"/>
        </w:rPr>
        <w:t>50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6272CC58">
      <w:pPr>
        <w:pStyle w:val="9"/>
        <w:rPr>
          <w:color w:val="auto"/>
          <w:szCs w:val="21"/>
          <w:highlight w:val="none"/>
        </w:rPr>
      </w:pPr>
      <w:r>
        <w:rPr>
          <w:rFonts w:hint="eastAsia"/>
          <w:color w:val="auto"/>
          <w:szCs w:val="21"/>
          <w:highlight w:val="none"/>
        </w:rPr>
        <w:t>　　（六）交通运输业。从业人员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3000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200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200</w:t>
      </w:r>
      <w:r>
        <w:rPr>
          <w:rFonts w:hint="eastAsia"/>
          <w:color w:val="auto"/>
          <w:szCs w:val="21"/>
          <w:highlight w:val="none"/>
        </w:rPr>
        <w:t>万元以下的为微型企业。</w:t>
      </w:r>
    </w:p>
    <w:p w14:paraId="5C695CDD">
      <w:pPr>
        <w:pStyle w:val="9"/>
        <w:rPr>
          <w:color w:val="auto"/>
          <w:szCs w:val="21"/>
          <w:highlight w:val="none"/>
        </w:rPr>
      </w:pPr>
      <w:r>
        <w:rPr>
          <w:rFonts w:hint="eastAsia"/>
          <w:color w:val="auto"/>
          <w:szCs w:val="21"/>
          <w:highlight w:val="none"/>
        </w:rPr>
        <w:t>　　（七）仓储业。从业人员</w:t>
      </w:r>
      <w:r>
        <w:rPr>
          <w:color w:val="auto"/>
          <w:szCs w:val="21"/>
          <w:highlight w:val="none"/>
        </w:rPr>
        <w:t>200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2D57CF0B">
      <w:pPr>
        <w:pStyle w:val="9"/>
        <w:rPr>
          <w:color w:val="auto"/>
          <w:szCs w:val="21"/>
          <w:highlight w:val="none"/>
        </w:rPr>
      </w:pPr>
      <w:r>
        <w:rPr>
          <w:rFonts w:hint="eastAsia"/>
          <w:color w:val="auto"/>
          <w:szCs w:val="21"/>
          <w:highlight w:val="none"/>
        </w:rPr>
        <w:t>　　（八）邮政业。从业人员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579C798F">
      <w:pPr>
        <w:pStyle w:val="9"/>
        <w:rPr>
          <w:color w:val="auto"/>
          <w:szCs w:val="21"/>
          <w:highlight w:val="none"/>
        </w:rPr>
      </w:pPr>
      <w:r>
        <w:rPr>
          <w:rFonts w:hint="eastAsia"/>
          <w:color w:val="auto"/>
          <w:szCs w:val="21"/>
          <w:highlight w:val="none"/>
        </w:rPr>
        <w:t>　　（九）住宿业。从业人员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52495121">
      <w:pPr>
        <w:pStyle w:val="9"/>
        <w:rPr>
          <w:color w:val="auto"/>
          <w:szCs w:val="21"/>
          <w:highlight w:val="none"/>
        </w:rPr>
      </w:pPr>
      <w:r>
        <w:rPr>
          <w:rFonts w:hint="eastAsia"/>
          <w:color w:val="auto"/>
          <w:szCs w:val="21"/>
          <w:highlight w:val="none"/>
        </w:rPr>
        <w:t>　　（十）餐饮业。从业人员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3CD5A6C3">
      <w:pPr>
        <w:pStyle w:val="9"/>
        <w:rPr>
          <w:color w:val="auto"/>
          <w:szCs w:val="21"/>
          <w:highlight w:val="none"/>
        </w:rPr>
      </w:pPr>
      <w:r>
        <w:rPr>
          <w:rFonts w:hint="eastAsia"/>
          <w:color w:val="auto"/>
          <w:szCs w:val="21"/>
          <w:highlight w:val="none"/>
        </w:rPr>
        <w:t>　　（十一）信息传输业。从业人员</w:t>
      </w:r>
      <w:r>
        <w:rPr>
          <w:color w:val="auto"/>
          <w:szCs w:val="21"/>
          <w:highlight w:val="none"/>
        </w:rPr>
        <w:t>2000</w:t>
      </w:r>
      <w:r>
        <w:rPr>
          <w:rFonts w:hint="eastAsia"/>
          <w:color w:val="auto"/>
          <w:szCs w:val="21"/>
          <w:highlight w:val="none"/>
        </w:rPr>
        <w:t>人以下或营业收入</w:t>
      </w:r>
      <w:r>
        <w:rPr>
          <w:color w:val="auto"/>
          <w:szCs w:val="21"/>
          <w:highlight w:val="none"/>
        </w:rPr>
        <w:t>100000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14:paraId="6447E84C">
      <w:pPr>
        <w:pStyle w:val="9"/>
        <w:rPr>
          <w:color w:val="auto"/>
          <w:szCs w:val="21"/>
          <w:highlight w:val="none"/>
        </w:rPr>
      </w:pPr>
      <w:r>
        <w:rPr>
          <w:rFonts w:hint="eastAsia"/>
          <w:color w:val="auto"/>
          <w:szCs w:val="21"/>
          <w:highlight w:val="none"/>
        </w:rPr>
        <w:t>　　（十二）软件和信息技术服务业。从业人员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50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50</w:t>
      </w:r>
      <w:r>
        <w:rPr>
          <w:rFonts w:hint="eastAsia"/>
          <w:color w:val="auto"/>
          <w:szCs w:val="21"/>
          <w:highlight w:val="none"/>
        </w:rPr>
        <w:t>万元以下的为微型企业。</w:t>
      </w:r>
    </w:p>
    <w:p w14:paraId="7FEBE094">
      <w:pPr>
        <w:pStyle w:val="9"/>
        <w:rPr>
          <w:color w:val="auto"/>
          <w:szCs w:val="21"/>
          <w:highlight w:val="none"/>
        </w:rPr>
      </w:pPr>
      <w:r>
        <w:rPr>
          <w:rFonts w:hint="eastAsia"/>
          <w:color w:val="auto"/>
          <w:szCs w:val="21"/>
          <w:highlight w:val="none"/>
        </w:rPr>
        <w:t>　　（十三）房地产开发经营。营业收入</w:t>
      </w:r>
      <w:r>
        <w:rPr>
          <w:color w:val="auto"/>
          <w:szCs w:val="21"/>
          <w:highlight w:val="none"/>
        </w:rPr>
        <w:t>200000</w:t>
      </w:r>
      <w:r>
        <w:rPr>
          <w:rFonts w:hint="eastAsia"/>
          <w:color w:val="auto"/>
          <w:szCs w:val="21"/>
          <w:highlight w:val="none"/>
        </w:rPr>
        <w:t>万元以下或资产总额</w:t>
      </w:r>
      <w:r>
        <w:rPr>
          <w:color w:val="auto"/>
          <w:szCs w:val="21"/>
          <w:highlight w:val="none"/>
        </w:rPr>
        <w:t>10000</w:t>
      </w:r>
      <w:r>
        <w:rPr>
          <w:rFonts w:hint="eastAsia"/>
          <w:color w:val="auto"/>
          <w:szCs w:val="21"/>
          <w:highlight w:val="none"/>
        </w:rPr>
        <w:t>万元以下的为中小微型企业。其中，营业收入</w:t>
      </w:r>
      <w:r>
        <w:rPr>
          <w:color w:val="auto"/>
          <w:szCs w:val="21"/>
          <w:highlight w:val="none"/>
        </w:rPr>
        <w:t>1000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100</w:t>
      </w:r>
      <w:r>
        <w:rPr>
          <w:rFonts w:hint="eastAsia"/>
          <w:color w:val="auto"/>
          <w:szCs w:val="21"/>
          <w:highlight w:val="none"/>
        </w:rPr>
        <w:t>万元及以上，且资产总额</w:t>
      </w:r>
      <w:r>
        <w:rPr>
          <w:color w:val="auto"/>
          <w:szCs w:val="21"/>
          <w:highlight w:val="none"/>
        </w:rPr>
        <w:t>2000</w:t>
      </w:r>
      <w:r>
        <w:rPr>
          <w:rFonts w:hint="eastAsia"/>
          <w:color w:val="auto"/>
          <w:szCs w:val="21"/>
          <w:highlight w:val="none"/>
        </w:rPr>
        <w:t>万元及以上的为小型企业；营业收入</w:t>
      </w:r>
      <w:r>
        <w:rPr>
          <w:color w:val="auto"/>
          <w:szCs w:val="21"/>
          <w:highlight w:val="none"/>
        </w:rPr>
        <w:t>100</w:t>
      </w:r>
      <w:r>
        <w:rPr>
          <w:rFonts w:hint="eastAsia"/>
          <w:color w:val="auto"/>
          <w:szCs w:val="21"/>
          <w:highlight w:val="none"/>
        </w:rPr>
        <w:t>万元以下或资产总额</w:t>
      </w:r>
      <w:r>
        <w:rPr>
          <w:color w:val="auto"/>
          <w:szCs w:val="21"/>
          <w:highlight w:val="none"/>
        </w:rPr>
        <w:t>2000</w:t>
      </w:r>
      <w:r>
        <w:rPr>
          <w:rFonts w:hint="eastAsia"/>
          <w:color w:val="auto"/>
          <w:szCs w:val="21"/>
          <w:highlight w:val="none"/>
        </w:rPr>
        <w:t>万元以下的为微型企业。</w:t>
      </w:r>
    </w:p>
    <w:p w14:paraId="555ED8F8">
      <w:pPr>
        <w:pStyle w:val="9"/>
        <w:rPr>
          <w:color w:val="auto"/>
          <w:szCs w:val="21"/>
          <w:highlight w:val="none"/>
        </w:rPr>
      </w:pPr>
      <w:r>
        <w:rPr>
          <w:rFonts w:hint="eastAsia"/>
          <w:color w:val="auto"/>
          <w:szCs w:val="21"/>
          <w:highlight w:val="none"/>
        </w:rPr>
        <w:t>　　（十四）物业管理。从业人员</w:t>
      </w:r>
      <w:r>
        <w:rPr>
          <w:color w:val="auto"/>
          <w:szCs w:val="21"/>
          <w:highlight w:val="none"/>
        </w:rPr>
        <w:t>1000</w:t>
      </w:r>
      <w:r>
        <w:rPr>
          <w:rFonts w:hint="eastAsia"/>
          <w:color w:val="auto"/>
          <w:szCs w:val="21"/>
          <w:highlight w:val="none"/>
        </w:rPr>
        <w:t>人以下或营业收入</w:t>
      </w:r>
      <w:r>
        <w:rPr>
          <w:color w:val="auto"/>
          <w:szCs w:val="21"/>
          <w:highlight w:val="none"/>
        </w:rPr>
        <w:t>5000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万元及以上的为小型企业；从业人员</w:t>
      </w:r>
      <w:r>
        <w:rPr>
          <w:color w:val="auto"/>
          <w:szCs w:val="21"/>
          <w:highlight w:val="none"/>
        </w:rPr>
        <w:t>100</w:t>
      </w:r>
      <w:r>
        <w:rPr>
          <w:rFonts w:hint="eastAsia"/>
          <w:color w:val="auto"/>
          <w:szCs w:val="21"/>
          <w:highlight w:val="none"/>
        </w:rPr>
        <w:t>人以下或营业收入</w:t>
      </w:r>
      <w:r>
        <w:rPr>
          <w:color w:val="auto"/>
          <w:szCs w:val="21"/>
          <w:highlight w:val="none"/>
        </w:rPr>
        <w:t>500</w:t>
      </w:r>
      <w:r>
        <w:rPr>
          <w:rFonts w:hint="eastAsia"/>
          <w:color w:val="auto"/>
          <w:szCs w:val="21"/>
          <w:highlight w:val="none"/>
        </w:rPr>
        <w:t>万元以下的为微型企业。</w:t>
      </w:r>
    </w:p>
    <w:p w14:paraId="42583126">
      <w:pPr>
        <w:pStyle w:val="9"/>
        <w:rPr>
          <w:color w:val="auto"/>
          <w:szCs w:val="21"/>
          <w:highlight w:val="none"/>
        </w:rPr>
      </w:pPr>
      <w:r>
        <w:rPr>
          <w:rFonts w:hint="eastAsia"/>
          <w:color w:val="auto"/>
          <w:szCs w:val="21"/>
          <w:highlight w:val="none"/>
        </w:rPr>
        <w:t>　　（十五）租赁和商务服务业。从业人员</w:t>
      </w:r>
      <w:r>
        <w:rPr>
          <w:color w:val="auto"/>
          <w:szCs w:val="21"/>
          <w:highlight w:val="none"/>
        </w:rPr>
        <w:t>300</w:t>
      </w:r>
      <w:r>
        <w:rPr>
          <w:rFonts w:hint="eastAsia"/>
          <w:color w:val="auto"/>
          <w:szCs w:val="21"/>
          <w:highlight w:val="none"/>
        </w:rPr>
        <w:t>人以下或资产总额</w:t>
      </w:r>
      <w:r>
        <w:rPr>
          <w:color w:val="auto"/>
          <w:szCs w:val="21"/>
          <w:highlight w:val="none"/>
        </w:rPr>
        <w:t>120000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人及以上，且资产总额</w:t>
      </w:r>
      <w:r>
        <w:rPr>
          <w:color w:val="auto"/>
          <w:szCs w:val="21"/>
          <w:highlight w:val="none"/>
        </w:rPr>
        <w:t>8000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人及以上，且资产总额</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人以下或资产总额</w:t>
      </w:r>
      <w:r>
        <w:rPr>
          <w:color w:val="auto"/>
          <w:szCs w:val="21"/>
          <w:highlight w:val="none"/>
        </w:rPr>
        <w:t>100</w:t>
      </w:r>
      <w:r>
        <w:rPr>
          <w:rFonts w:hint="eastAsia"/>
          <w:color w:val="auto"/>
          <w:szCs w:val="21"/>
          <w:highlight w:val="none"/>
        </w:rPr>
        <w:t>万元以下的为微型企业。</w:t>
      </w:r>
    </w:p>
    <w:p w14:paraId="707197DC">
      <w:pPr>
        <w:pStyle w:val="9"/>
        <w:rPr>
          <w:color w:val="auto"/>
          <w:szCs w:val="21"/>
          <w:highlight w:val="none"/>
        </w:rPr>
      </w:pPr>
      <w:r>
        <w:rPr>
          <w:rFonts w:hint="eastAsia"/>
          <w:color w:val="auto"/>
          <w:szCs w:val="21"/>
          <w:highlight w:val="none"/>
        </w:rPr>
        <w:t>　　（十六）其他未列明行业。从业人员</w:t>
      </w:r>
      <w:r>
        <w:rPr>
          <w:color w:val="auto"/>
          <w:szCs w:val="21"/>
          <w:highlight w:val="none"/>
        </w:rPr>
        <w:t>300</w:t>
      </w:r>
      <w:r>
        <w:rPr>
          <w:rFonts w:hint="eastAsia"/>
          <w:color w:val="auto"/>
          <w:szCs w:val="21"/>
          <w:highlight w:val="none"/>
        </w:rPr>
        <w:t>人以下的为中小微型企业。其中，从业人员</w:t>
      </w:r>
      <w:r>
        <w:rPr>
          <w:color w:val="auto"/>
          <w:szCs w:val="21"/>
          <w:highlight w:val="none"/>
        </w:rPr>
        <w:t>100</w:t>
      </w:r>
      <w:r>
        <w:rPr>
          <w:rFonts w:hint="eastAsia"/>
          <w:color w:val="auto"/>
          <w:szCs w:val="21"/>
          <w:highlight w:val="none"/>
        </w:rPr>
        <w:t>人及以上的为中型企业；从业人员</w:t>
      </w:r>
      <w:r>
        <w:rPr>
          <w:color w:val="auto"/>
          <w:szCs w:val="21"/>
          <w:highlight w:val="none"/>
        </w:rPr>
        <w:t>10</w:t>
      </w:r>
      <w:r>
        <w:rPr>
          <w:rFonts w:hint="eastAsia"/>
          <w:color w:val="auto"/>
          <w:szCs w:val="21"/>
          <w:highlight w:val="none"/>
        </w:rPr>
        <w:t>人及以上的为小型企业；从业人员</w:t>
      </w:r>
      <w:r>
        <w:rPr>
          <w:color w:val="auto"/>
          <w:szCs w:val="21"/>
          <w:highlight w:val="none"/>
        </w:rPr>
        <w:t>10</w:t>
      </w:r>
      <w:r>
        <w:rPr>
          <w:rFonts w:hint="eastAsia"/>
          <w:color w:val="auto"/>
          <w:szCs w:val="21"/>
          <w:highlight w:val="none"/>
        </w:rPr>
        <w:t>人以下的为微型企业。</w:t>
      </w:r>
    </w:p>
    <w:p w14:paraId="0A3913A8">
      <w:pPr>
        <w:pStyle w:val="9"/>
        <w:rPr>
          <w:color w:val="auto"/>
          <w:szCs w:val="21"/>
          <w:highlight w:val="none"/>
        </w:rPr>
      </w:pPr>
      <w:r>
        <w:rPr>
          <w:rFonts w:hint="eastAsia"/>
          <w:color w:val="auto"/>
          <w:szCs w:val="21"/>
          <w:highlight w:val="none"/>
        </w:rPr>
        <w:t>　　五、企业类型的划分以统计部门的统计数据为依据。</w:t>
      </w:r>
    </w:p>
    <w:p w14:paraId="285AD336">
      <w:pPr>
        <w:pStyle w:val="9"/>
        <w:rPr>
          <w:color w:val="auto"/>
          <w:szCs w:val="21"/>
          <w:highlight w:val="none"/>
        </w:rPr>
      </w:pPr>
      <w:r>
        <w:rPr>
          <w:rFonts w:hint="eastAsia"/>
          <w:color w:val="auto"/>
          <w:szCs w:val="21"/>
          <w:highlight w:val="none"/>
        </w:rPr>
        <w:t>　　六、本规定适用于在中华人民共和国境内依法设立的各类所有制和各种组织形式的企业。个体工商户和本规定以外的行业，参照本规定进行划型。</w:t>
      </w:r>
    </w:p>
    <w:p w14:paraId="07E84BE1">
      <w:pPr>
        <w:pStyle w:val="9"/>
        <w:rPr>
          <w:color w:val="auto"/>
          <w:szCs w:val="21"/>
          <w:highlight w:val="none"/>
        </w:rPr>
      </w:pPr>
      <w:r>
        <w:rPr>
          <w:rFonts w:hint="eastAsia"/>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1F7BCF10">
      <w:pPr>
        <w:pStyle w:val="9"/>
        <w:rPr>
          <w:color w:val="auto"/>
          <w:szCs w:val="21"/>
          <w:highlight w:val="none"/>
        </w:rPr>
      </w:pPr>
      <w:r>
        <w:rPr>
          <w:rFonts w:hint="eastAsia"/>
          <w:color w:val="auto"/>
          <w:szCs w:val="21"/>
          <w:highlight w:val="none"/>
        </w:rPr>
        <w:t>　　八、本规定由工业和信息化部、国家统计局会同有关部门根据《国民经济行业分类》修订情况和企业发展变化情况适时修订。</w:t>
      </w:r>
    </w:p>
    <w:p w14:paraId="2008FED4">
      <w:pPr>
        <w:pStyle w:val="9"/>
        <w:rPr>
          <w:color w:val="auto"/>
          <w:szCs w:val="21"/>
          <w:highlight w:val="none"/>
        </w:rPr>
      </w:pPr>
      <w:r>
        <w:rPr>
          <w:rFonts w:hint="eastAsia"/>
          <w:color w:val="auto"/>
          <w:szCs w:val="21"/>
          <w:highlight w:val="none"/>
        </w:rPr>
        <w:t>　　九、本规定由工业和信息化部、国家统计局会同有关部门负责解释。</w:t>
      </w:r>
    </w:p>
    <w:p w14:paraId="7C5B3F3E">
      <w:pPr>
        <w:pStyle w:val="9"/>
        <w:ind w:firstLine="420"/>
        <w:rPr>
          <w:color w:val="auto"/>
          <w:szCs w:val="21"/>
          <w:highlight w:val="none"/>
        </w:rPr>
      </w:pPr>
      <w:r>
        <w:rPr>
          <w:rFonts w:hint="eastAsia"/>
          <w:color w:val="auto"/>
          <w:szCs w:val="21"/>
          <w:highlight w:val="none"/>
        </w:rPr>
        <w:t>十、本规定自发布之日起执行，原国家经贸委、原国家计委、财政部和国家统计局</w:t>
      </w:r>
      <w:r>
        <w:rPr>
          <w:color w:val="auto"/>
          <w:szCs w:val="21"/>
          <w:highlight w:val="none"/>
        </w:rPr>
        <w:t>2003</w:t>
      </w:r>
      <w:r>
        <w:rPr>
          <w:rFonts w:hint="eastAsia"/>
          <w:color w:val="auto"/>
          <w:szCs w:val="21"/>
          <w:highlight w:val="none"/>
        </w:rPr>
        <w:t>年颁布的《中小企业标准暂行规定》同时废止。</w:t>
      </w:r>
    </w:p>
    <w:p w14:paraId="5174E60C">
      <w:pPr>
        <w:widowControl/>
        <w:jc w:val="left"/>
        <w:rPr>
          <w:rFonts w:ascii="宋体" w:hAnsi="宋体" w:cs="宋体"/>
          <w:color w:val="auto"/>
          <w:sz w:val="20"/>
          <w:szCs w:val="20"/>
          <w:highlight w:val="none"/>
        </w:rPr>
      </w:pPr>
    </w:p>
    <w:p w14:paraId="0F2C276B">
      <w:pPr>
        <w:pStyle w:val="2"/>
        <w:jc w:val="center"/>
        <w:rPr>
          <w:color w:val="auto"/>
          <w:highlight w:val="none"/>
        </w:rPr>
      </w:pPr>
      <w:r>
        <w:rPr>
          <w:rFonts w:ascii="宋体" w:hAnsi="宋体" w:cs="宋体"/>
          <w:color w:val="auto"/>
          <w:sz w:val="20"/>
          <w:szCs w:val="20"/>
          <w:highlight w:val="none"/>
        </w:rPr>
        <w:br w:type="page"/>
      </w:r>
      <w:bookmarkStart w:id="69" w:name="_Toc74322011"/>
      <w:r>
        <w:rPr>
          <w:rFonts w:hint="eastAsia"/>
          <w:color w:val="auto"/>
          <w:highlight w:val="none"/>
        </w:rPr>
        <w:t xml:space="preserve">第四章  </w:t>
      </w:r>
      <w:bookmarkStart w:id="70" w:name="_Hlk68601507"/>
      <w:r>
        <w:rPr>
          <w:rFonts w:hint="eastAsia"/>
          <w:color w:val="auto"/>
          <w:highlight w:val="none"/>
        </w:rPr>
        <w:t>评审程序和评定成交的标准</w:t>
      </w:r>
      <w:bookmarkEnd w:id="69"/>
      <w:bookmarkEnd w:id="70"/>
    </w:p>
    <w:p w14:paraId="151C16BB">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w:t>
      </w:r>
    </w:p>
    <w:p w14:paraId="41484C2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.确认谈判文件</w:t>
      </w:r>
    </w:p>
    <w:p w14:paraId="6CC350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由谈判小组确认谈判文件。</w:t>
      </w:r>
    </w:p>
    <w:p w14:paraId="365BC91A">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.资格审查</w:t>
      </w:r>
    </w:p>
    <w:p w14:paraId="323365B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.1响应文件开启后，谈判小组依法对供应商的资格证明文件进行审查。</w:t>
      </w:r>
    </w:p>
    <w:p w14:paraId="26E3370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谈判小组</w:t>
      </w:r>
      <w:r>
        <w:rPr>
          <w:rFonts w:hint="eastAsia" w:ascii="宋体" w:hAnsi="宋体" w:cs="宋体"/>
          <w:color w:val="auto"/>
          <w:szCs w:val="21"/>
          <w:highlight w:val="none"/>
        </w:rPr>
        <w:t>在资格审查结束前，对供应商进行信用查询。</w:t>
      </w:r>
    </w:p>
    <w:p w14:paraId="11EEDB0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w:t>
      </w:r>
    </w:p>
    <w:p w14:paraId="288B659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4CBA21E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596C7A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w:t>
      </w:r>
      <w:r>
        <w:rPr>
          <w:rFonts w:hint="eastAsia" w:ascii="宋体" w:hAnsi="宋体" w:cs="宋体"/>
          <w:color w:val="auto"/>
          <w:szCs w:val="21"/>
          <w:highlight w:val="none"/>
        </w:rPr>
        <w:t>十二条规定条件的供应商）的，视同联合体存在不良信用记录。</w:t>
      </w:r>
    </w:p>
    <w:p w14:paraId="25640D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2.2资格审查标准为本谈判文件中载明对供应商资格要求的条件。本项目资格审查采用合格制，凡符合谈判文件规定的供应商资格要求的供应商均通过资格审查。</w:t>
      </w:r>
    </w:p>
    <w:p w14:paraId="212504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供应商有下列情形之一的，资格审查不通过，其响应文件按无效处理：</w:t>
      </w:r>
    </w:p>
    <w:p w14:paraId="4B70EE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（1）不具备谈判文件中规定的资格要求的；</w:t>
      </w:r>
    </w:p>
    <w:p w14:paraId="376549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（2）未按谈判文件规定的方式获取本谈判文件的供应商；</w:t>
      </w:r>
    </w:p>
    <w:p w14:paraId="235246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（3）响应文件中的资格证明文件缺少任一项“供应商须知前附表”资格证明文件规定的“必须提供”的文件资料的；</w:t>
      </w:r>
    </w:p>
    <w:p w14:paraId="5CEFF1A8">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0CCB26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615D0A8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.4通过资格审查的合格供应商不足3家（本章</w:t>
      </w:r>
      <w:r>
        <w:rPr>
          <w:rFonts w:ascii="宋体" w:hAnsi="宋体" w:cs="宋体"/>
          <w:color w:val="auto"/>
          <w:szCs w:val="21"/>
          <w:highlight w:val="none"/>
        </w:rPr>
        <w:t>3.7</w:t>
      </w:r>
      <w:r>
        <w:rPr>
          <w:rFonts w:hint="eastAsia" w:ascii="宋体" w:hAnsi="宋体" w:cs="宋体"/>
          <w:color w:val="auto"/>
          <w:szCs w:val="21"/>
          <w:highlight w:val="none"/>
        </w:rPr>
        <w:t>条规定除外）的，不得进入符合性审查环节，应当重新开展采购活动。</w:t>
      </w:r>
    </w:p>
    <w:p w14:paraId="4D79819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.符合性审查</w:t>
      </w:r>
    </w:p>
    <w:p w14:paraId="7B30E7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w:t>
      </w:r>
      <w:r>
        <w:rPr>
          <w:rFonts w:hint="eastAsia" w:ascii="宋体" w:hAnsi="宋体" w:cs="宋体"/>
          <w:color w:val="auto"/>
          <w:szCs w:val="21"/>
          <w:highlight w:val="none"/>
        </w:rPr>
        <w:t>谈判小组应当对符合资格的供应商的响应文件进行竞标报价、商务、技术等实质性要求符合性审查，以确定其是否满足谈判文件的实质性要求。</w:t>
      </w:r>
    </w:p>
    <w:p w14:paraId="2DB656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.2</w:t>
      </w:r>
      <w:r>
        <w:rPr>
          <w:rFonts w:hint="eastAsia" w:ascii="宋体" w:hAnsi="宋体" w:cs="宋体"/>
          <w:color w:val="auto"/>
          <w:szCs w:val="21"/>
          <w:highlight w:val="none"/>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C4AE597">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07DCEE2E">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46FF9AD4">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570853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403B7D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51C696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4ED66D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3A09E6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3A3F4EE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205AF3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06DF1C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2D1AA7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1）响应文件未按谈判文件要求签署、盖章的；</w:t>
      </w:r>
    </w:p>
    <w:p w14:paraId="79C812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2）委托代理人未能出具有效身份证或者出具的身份证与授权委托书中的信息不符的； </w:t>
      </w:r>
    </w:p>
    <w:p w14:paraId="098828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3）提交的竞标保证金无效的或者未按照谈判文件的规定提交竞标保证金；</w:t>
      </w:r>
    </w:p>
    <w:p w14:paraId="15BB46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2AC67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5）商务要求允许负偏离的条款数超过“供应商须知前附表”规定项数的；</w:t>
      </w:r>
    </w:p>
    <w:p w14:paraId="7A7F11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6）未对竞标有效期作出响应或者响应文件承诺的竞标有效期不满足谈判文件要求；</w:t>
      </w:r>
    </w:p>
    <w:p w14:paraId="6F3EB8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7）响应文件的实质性内容未使用中文表述、使用计量单位不符合谈判文件要求的；</w:t>
      </w:r>
    </w:p>
    <w:p w14:paraId="00E41F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8）响应文件中的文件资料因填写不齐全或者内容虚假或者出现其他情形而导致被谈判小组认定无效的；</w:t>
      </w:r>
    </w:p>
    <w:p w14:paraId="523739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9）响应文件含有采购人不能接受的附加条件的；</w:t>
      </w:r>
    </w:p>
    <w:p w14:paraId="42A6CBA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0）属于“供应商须知正文”第7.</w:t>
      </w:r>
      <w:r>
        <w:rPr>
          <w:rFonts w:ascii="宋体" w:hAnsi="宋体" w:cs="宋体"/>
          <w:color w:val="auto"/>
          <w:szCs w:val="21"/>
          <w:highlight w:val="none"/>
        </w:rPr>
        <w:t>5</w:t>
      </w:r>
      <w:r>
        <w:rPr>
          <w:rFonts w:hint="eastAsia" w:ascii="宋体" w:hAnsi="宋体" w:cs="宋体"/>
          <w:color w:val="auto"/>
          <w:szCs w:val="21"/>
          <w:highlight w:val="none"/>
        </w:rPr>
        <w:t>条的情形的；</w:t>
      </w:r>
    </w:p>
    <w:p w14:paraId="6E79FA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11）技术评审允许负偏离的条款数超过“供应商须知前附表”规定项数的；</w:t>
      </w:r>
    </w:p>
    <w:p w14:paraId="7CA4E8E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2）虚假竞标，或者出现其他情形而导致被谈判小组认定无效的；</w:t>
      </w:r>
    </w:p>
    <w:p w14:paraId="3CF7D84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bookmarkStart w:id="71" w:name="_Hlk71704147"/>
      <w:r>
        <w:rPr>
          <w:rFonts w:hint="eastAsia" w:ascii="宋体" w:hAnsi="宋体" w:cs="宋体"/>
          <w:color w:val="auto"/>
          <w:szCs w:val="21"/>
          <w:highlight w:val="none"/>
        </w:rPr>
        <w:t>谈判文件未载明允许提供备选（替代）竞标方案或明确不允许提供备选（替代）竞标方案时，供应商提供了备选（替代）竞标方案的；</w:t>
      </w:r>
      <w:bookmarkEnd w:id="71"/>
    </w:p>
    <w:p w14:paraId="71A7E54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4）响应文件标注的项目名称或者项目编号与谈判文件标注的项目名称或者项目编号不一致的；</w:t>
      </w:r>
    </w:p>
    <w:p w14:paraId="0E07D5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w:t>
      </w:r>
      <w:r>
        <w:rPr>
          <w:rFonts w:hint="eastAsia" w:ascii="宋体" w:hAnsi="宋体"/>
          <w:color w:val="auto"/>
          <w:szCs w:val="21"/>
          <w:highlight w:val="none"/>
        </w:rPr>
        <w:t>谈判文件明确不允许分包，响应文件拟分包的；</w:t>
      </w:r>
    </w:p>
    <w:p w14:paraId="4F44A74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6）未响应谈判文件实质性要求；</w:t>
      </w:r>
    </w:p>
    <w:p w14:paraId="778651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17）法律、法规和谈判文件规定的其他无效情形。</w:t>
      </w:r>
    </w:p>
    <w:p w14:paraId="3F42AF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2）报</w:t>
      </w:r>
      <w:r>
        <w:rPr>
          <w:rFonts w:hint="eastAsia" w:ascii="宋体" w:hAnsi="宋体" w:cs="宋体"/>
          <w:color w:val="auto"/>
          <w:szCs w:val="21"/>
          <w:highlight w:val="none"/>
        </w:rPr>
        <w:t>价评审</w:t>
      </w:r>
    </w:p>
    <w:p w14:paraId="447242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1）响应文件未提供“供应商须知前附表”报价文件中规定的“竞标报价表”的；</w:t>
      </w:r>
    </w:p>
    <w:p w14:paraId="4893C3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2）未采用人民币报价或者未按照谈判文件标明的币种报价的；</w:t>
      </w:r>
    </w:p>
    <w:p w14:paraId="01A738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0A622D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669A6D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635690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响应文件响应的标的数量及单位与竞争性谈判文件要求实质性不一致的。</w:t>
      </w:r>
    </w:p>
    <w:p w14:paraId="111E9DA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012A4D7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28B5804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.8除本章3.7条规定的情形外，通过符合性审查的合格供应商不足3家的，不得进入谈判环节，应当重新开展采购活动。</w:t>
      </w:r>
    </w:p>
    <w:p w14:paraId="2528E7F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谈判程序</w:t>
      </w:r>
    </w:p>
    <w:p w14:paraId="69C50EF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.1</w:t>
      </w:r>
      <w:r>
        <w:rPr>
          <w:rFonts w:hint="eastAsia" w:ascii="宋体" w:hAnsi="宋体" w:cs="宋体"/>
          <w:color w:val="auto"/>
          <w:kern w:val="0"/>
          <w:szCs w:val="21"/>
          <w:highlight w:val="none"/>
        </w:rPr>
        <w:t>谈判小组</w:t>
      </w:r>
      <w:r>
        <w:rPr>
          <w:rFonts w:hint="eastAsia" w:ascii="宋体" w:hAnsi="宋体" w:cs="宋体"/>
          <w:color w:val="auto"/>
          <w:szCs w:val="21"/>
          <w:highlight w:val="none"/>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676A62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3658D34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对谈判文件作出的实质性变动是谈判文件的有效组成部分，由谈判小组及时以电子澄清函形式同时通知所有参加谈判的供应商。</w:t>
      </w:r>
    </w:p>
    <w:p w14:paraId="5825C77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供应商必须按照谈判文件的变动情况和谈判小组的要求以回函的形式重新提交响应文件，并加盖电子签章。参加谈判的供应商未在规定时间内重新提交响应文件的，视同退出谈判，其响应文件按无效处理。</w:t>
      </w:r>
    </w:p>
    <w:p w14:paraId="2940958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谈判中，谈判的任何一方不得透露与谈判有关的其他供应商的技术资料、价格和其他信息。</w:t>
      </w:r>
    </w:p>
    <w:p w14:paraId="758CC7AA">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谈判小组应对谈判过程和重要谈判内容进行记录。</w:t>
      </w:r>
    </w:p>
    <w:p w14:paraId="7FA9A72C">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7除本章第3.7条外，</w:t>
      </w:r>
      <w:r>
        <w:rPr>
          <w:rFonts w:hint="eastAsia" w:ascii="宋体" w:hAnsi="宋体"/>
          <w:color w:val="auto"/>
          <w:szCs w:val="21"/>
          <w:highlight w:val="none"/>
        </w:rPr>
        <w:t>对谈判过程提交的响应文件进行有效性、完整性和响应程度审查，通过审查的合格供应商不足3家的，采购人或者采购代理机构应当重新开展采购活动</w:t>
      </w:r>
      <w:r>
        <w:rPr>
          <w:rFonts w:hint="eastAsia" w:ascii="宋体" w:hAnsi="宋体" w:cs="宋体"/>
          <w:color w:val="auto"/>
          <w:szCs w:val="21"/>
          <w:highlight w:val="none"/>
        </w:rPr>
        <w:t>。</w:t>
      </w:r>
    </w:p>
    <w:p w14:paraId="6481868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 xml:space="preserve"> 最后报价</w:t>
      </w:r>
    </w:p>
    <w:p w14:paraId="3801A4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.1</w:t>
      </w:r>
      <w:r>
        <w:rPr>
          <w:rFonts w:hint="eastAsia" w:ascii="宋体" w:hAnsi="宋体" w:cs="宋体"/>
          <w:color w:val="auto"/>
          <w:szCs w:val="21"/>
          <w:highlight w:val="none"/>
        </w:rPr>
        <w:t>谈判文件能够详细列明采购标的的技术、服务要求的，谈判结束后，谈判小组应当要求所有继续参加谈判的供应商在规定时间内在广西政府采购云平台开标大厅提交最后报价，除本章第3.7条外，提交最后报价的供应商不得少于3家，否则应当重新采购。</w:t>
      </w:r>
    </w:p>
    <w:p w14:paraId="1E0F198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广西政府采购云平台开标大厅提交最后报价。</w:t>
      </w:r>
    </w:p>
    <w:p w14:paraId="63BC926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最后报价是供应商响应文件的有效组成部分。</w:t>
      </w:r>
    </w:p>
    <w:p w14:paraId="5D6AD55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已经提交响应文件的供应商，在提交最后报价之前，可以根据谈判情况退出谈判，退出谈判的供应商的响应文件按无效响应处理。采购人、采购代理机构将退还退出谈判的供应商的保证金。</w:t>
      </w:r>
    </w:p>
    <w:p w14:paraId="3F30FF9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供应商未在规定时间内提交最后报价的，视为退出谈判，其响应文件按无效处理。</w:t>
      </w:r>
    </w:p>
    <w:p w14:paraId="31D3DA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.6</w:t>
      </w:r>
      <w:r>
        <w:rPr>
          <w:rFonts w:hint="eastAsia" w:ascii="宋体" w:hAnsi="宋体" w:cs="宋体"/>
          <w:color w:val="auto"/>
          <w:szCs w:val="21"/>
          <w:highlight w:val="none"/>
        </w:rPr>
        <w:t>最后报价统一开启后，谈判小组对最后报价进行有效性、完整性和响应程度的审查。</w:t>
      </w:r>
    </w:p>
    <w:p w14:paraId="6145C11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3.4</w:t>
      </w:r>
      <w:r>
        <w:rPr>
          <w:rFonts w:hint="eastAsia" w:ascii="宋体" w:hAnsi="宋体" w:cs="宋体"/>
          <w:color w:val="auto"/>
          <w:szCs w:val="21"/>
          <w:highlight w:val="none"/>
        </w:rPr>
        <w:t xml:space="preserve">条的规定修正。 </w:t>
      </w:r>
    </w:p>
    <w:p w14:paraId="500DCE0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5.8</w:t>
      </w:r>
      <w:r>
        <w:rPr>
          <w:rFonts w:hint="eastAsia" w:ascii="宋体" w:hAnsi="宋体" w:cs="宋体"/>
          <w:color w:val="auto"/>
          <w:szCs w:val="21"/>
          <w:highlight w:val="none"/>
        </w:rPr>
        <w:t>修正后的报价出现下列情形的，按无效响应处理：</w:t>
      </w:r>
    </w:p>
    <w:p w14:paraId="2AB5AE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7B0638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0605FE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13171E2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5.9</w:t>
      </w:r>
      <w:r>
        <w:rPr>
          <w:rFonts w:hint="eastAsia" w:ascii="宋体" w:hAnsi="宋体" w:cs="宋体"/>
          <w:color w:val="auto"/>
          <w:szCs w:val="21"/>
          <w:highlight w:val="none"/>
        </w:rPr>
        <w:t>经供应商确认修正后的最后报价作为评审及签订合同的依据。</w:t>
      </w:r>
    </w:p>
    <w:p w14:paraId="5E22A0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，谈判小组应当告知有关供应商</w:t>
      </w:r>
      <w:r>
        <w:rPr>
          <w:rFonts w:hint="eastAsia" w:ascii="宋体" w:hAnsi="宋体" w:cs="宋体"/>
          <w:color w:val="auto"/>
          <w:szCs w:val="21"/>
          <w:highlight w:val="none"/>
        </w:rPr>
        <w:t>。</w:t>
      </w:r>
    </w:p>
    <w:p w14:paraId="4E69D32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1最后报价结束后，谈判小组不得再与供应商进行任何形式的商谈。</w:t>
      </w:r>
    </w:p>
    <w:p w14:paraId="6BC4B3A5">
      <w:pPr>
        <w:spacing w:line="360" w:lineRule="auto"/>
        <w:ind w:firstLine="472" w:firstLineChars="196"/>
        <w:rPr>
          <w:rFonts w:ascii="黑体" w:hAnsi="黑体" w:eastAsia="黑体" w:cs="宋体"/>
          <w:b/>
          <w:bCs/>
          <w:color w:val="auto"/>
          <w:sz w:val="24"/>
          <w:highlight w:val="none"/>
        </w:rPr>
      </w:pPr>
      <w:r>
        <w:rPr>
          <w:rFonts w:ascii="黑体" w:hAnsi="黑体" w:eastAsia="黑体" w:cs="宋体"/>
          <w:b/>
          <w:bCs/>
          <w:color w:val="auto"/>
          <w:sz w:val="24"/>
          <w:highlight w:val="none"/>
        </w:rPr>
        <w:t>6.</w:t>
      </w:r>
      <w:r>
        <w:rPr>
          <w:rFonts w:hint="eastAsia" w:ascii="黑体" w:hAnsi="黑体" w:eastAsia="黑体" w:cs="宋体"/>
          <w:b/>
          <w:bCs/>
          <w:color w:val="auto"/>
          <w:sz w:val="24"/>
          <w:highlight w:val="none"/>
        </w:rPr>
        <w:t xml:space="preserve"> 最后报价政府采购政策性扣除</w:t>
      </w:r>
    </w:p>
    <w:p w14:paraId="58C5278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本项目专门面向中小企业，不进行价格折扣，最终成交供应商的成交金额等于最后报价（如有修正，以确认修正后的最后报价为准）。</w:t>
      </w:r>
    </w:p>
    <w:p w14:paraId="51BB0A4A">
      <w:pPr>
        <w:spacing w:line="360" w:lineRule="auto"/>
        <w:ind w:firstLine="420" w:firstLineChars="200"/>
        <w:rPr>
          <w:rFonts w:ascii="宋体" w:hAnsi="宋体" w:cs="宋体"/>
          <w:color w:val="auto"/>
          <w:highlight w:val="none"/>
        </w:rPr>
      </w:pPr>
    </w:p>
    <w:p w14:paraId="2A5C2185">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二、评定成交的标准</w:t>
      </w:r>
    </w:p>
    <w:p w14:paraId="42774C3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7.</w:t>
      </w:r>
      <w:r>
        <w:rPr>
          <w:rFonts w:hint="eastAsia" w:ascii="黑体" w:hAnsi="黑体" w:eastAsia="黑体" w:cs="宋体"/>
          <w:b/>
          <w:bCs/>
          <w:color w:val="auto"/>
          <w:sz w:val="24"/>
          <w:highlight w:val="none"/>
        </w:rPr>
        <w:t xml:space="preserve"> 成交候选人推荐原则</w:t>
      </w:r>
    </w:p>
    <w:p w14:paraId="6E1205FB">
      <w:pPr>
        <w:spacing w:line="360" w:lineRule="auto"/>
        <w:ind w:firstLine="420" w:firstLineChars="200"/>
        <w:contextualSpacing/>
        <w:rPr>
          <w:rFonts w:hAnsi="宋体"/>
          <w:color w:val="auto"/>
          <w:highlight w:val="none"/>
        </w:rPr>
      </w:pPr>
      <w:r>
        <w:rPr>
          <w:rFonts w:hint="eastAsia" w:ascii="宋体" w:hAnsi="宋体" w:cs="宋体"/>
          <w:color w:val="auto"/>
          <w:highlight w:val="none"/>
        </w:rPr>
        <w:t>谈判小组应当从质量和服务均能满足谈判文件实质性响应要求的供应商中，按照评审价由低到高的顺序提出3名</w:t>
      </w:r>
      <w:r>
        <w:rPr>
          <w:rFonts w:hint="eastAsia"/>
          <w:color w:val="auto"/>
          <w:highlight w:val="none"/>
        </w:rPr>
        <w:t>及</w:t>
      </w:r>
      <w:r>
        <w:rPr>
          <w:rFonts w:hint="eastAsia" w:ascii="宋体" w:hAnsi="宋体" w:cs="宋体"/>
          <w:color w:val="auto"/>
          <w:highlight w:val="none"/>
        </w:rPr>
        <w:t>以上成交候选人（评审价相同时，按照最后报价由低到高顺序依次推荐；最后报价相同时，由谈判小组按“供应商须知前附表”第2</w:t>
      </w:r>
      <w:r>
        <w:rPr>
          <w:rFonts w:ascii="宋体" w:hAnsi="宋体" w:cs="宋体"/>
          <w:color w:val="auto"/>
          <w:highlight w:val="none"/>
        </w:rPr>
        <w:t>6</w:t>
      </w:r>
      <w:r>
        <w:rPr>
          <w:rFonts w:hint="eastAsia" w:ascii="宋体" w:hAnsi="宋体" w:cs="宋体"/>
          <w:color w:val="auto"/>
          <w:highlight w:val="none"/>
        </w:rPr>
        <w:t>条规定的顺序推荐），并编写评审报告，评审报告</w:t>
      </w:r>
      <w:r>
        <w:rPr>
          <w:rFonts w:hint="eastAsia" w:hAnsi="宋体"/>
          <w:color w:val="auto"/>
          <w:highlight w:val="none"/>
        </w:rPr>
        <w:t>通过电子交易平台向采购人、采购代理机构提交。</w:t>
      </w:r>
    </w:p>
    <w:p w14:paraId="7504BEE2">
      <w:pPr>
        <w:spacing w:line="360" w:lineRule="auto"/>
        <w:ind w:firstLine="420" w:firstLineChars="200"/>
        <w:rPr>
          <w:rFonts w:ascii="宋体" w:hAnsi="宋体" w:cs="宋体"/>
          <w:color w:val="auto"/>
          <w:highlight w:val="none"/>
        </w:rPr>
      </w:pPr>
    </w:p>
    <w:p w14:paraId="71123C4A">
      <w:pPr>
        <w:pStyle w:val="2"/>
        <w:jc w:val="center"/>
        <w:rPr>
          <w:color w:val="auto"/>
          <w:highlight w:val="none"/>
        </w:rPr>
      </w:pPr>
      <w:r>
        <w:rPr>
          <w:color w:val="auto"/>
          <w:highlight w:val="none"/>
        </w:rPr>
        <w:br w:type="page"/>
      </w:r>
    </w:p>
    <w:p w14:paraId="5669ACCC">
      <w:pPr>
        <w:rPr>
          <w:color w:val="auto"/>
          <w:highlight w:val="none"/>
        </w:rPr>
      </w:pPr>
    </w:p>
    <w:p w14:paraId="74450B97">
      <w:pPr>
        <w:rPr>
          <w:color w:val="auto"/>
          <w:highlight w:val="none"/>
        </w:rPr>
      </w:pPr>
    </w:p>
    <w:p w14:paraId="03B0EADA">
      <w:pPr>
        <w:rPr>
          <w:color w:val="auto"/>
          <w:highlight w:val="none"/>
        </w:rPr>
      </w:pPr>
    </w:p>
    <w:p w14:paraId="5233EA75">
      <w:pPr>
        <w:rPr>
          <w:color w:val="auto"/>
          <w:highlight w:val="none"/>
        </w:rPr>
      </w:pPr>
    </w:p>
    <w:p w14:paraId="593DE231">
      <w:pPr>
        <w:rPr>
          <w:color w:val="auto"/>
          <w:highlight w:val="none"/>
        </w:rPr>
      </w:pPr>
    </w:p>
    <w:p w14:paraId="33BF4058">
      <w:pPr>
        <w:rPr>
          <w:color w:val="auto"/>
          <w:highlight w:val="none"/>
        </w:rPr>
      </w:pPr>
    </w:p>
    <w:p w14:paraId="57594F79">
      <w:pPr>
        <w:rPr>
          <w:color w:val="auto"/>
          <w:highlight w:val="none"/>
        </w:rPr>
      </w:pPr>
    </w:p>
    <w:p w14:paraId="62C44862">
      <w:pPr>
        <w:rPr>
          <w:color w:val="auto"/>
          <w:highlight w:val="none"/>
        </w:rPr>
      </w:pPr>
    </w:p>
    <w:p w14:paraId="7A2D8933">
      <w:pPr>
        <w:rPr>
          <w:color w:val="auto"/>
          <w:highlight w:val="none"/>
        </w:rPr>
      </w:pPr>
    </w:p>
    <w:p w14:paraId="2E635411">
      <w:pPr>
        <w:rPr>
          <w:color w:val="auto"/>
          <w:highlight w:val="none"/>
        </w:rPr>
      </w:pPr>
    </w:p>
    <w:p w14:paraId="18EF752D">
      <w:pPr>
        <w:rPr>
          <w:color w:val="auto"/>
          <w:highlight w:val="none"/>
        </w:rPr>
      </w:pPr>
    </w:p>
    <w:p w14:paraId="6C49D292">
      <w:pPr>
        <w:rPr>
          <w:color w:val="auto"/>
          <w:highlight w:val="none"/>
        </w:rPr>
      </w:pPr>
    </w:p>
    <w:p w14:paraId="04CDDF10">
      <w:pPr>
        <w:rPr>
          <w:color w:val="auto"/>
          <w:highlight w:val="none"/>
        </w:rPr>
      </w:pPr>
    </w:p>
    <w:p w14:paraId="504E8EB1">
      <w:pPr>
        <w:pStyle w:val="2"/>
        <w:jc w:val="center"/>
        <w:rPr>
          <w:color w:val="auto"/>
          <w:highlight w:val="none"/>
        </w:rPr>
      </w:pPr>
      <w:bookmarkStart w:id="72" w:name="_Toc74322012"/>
      <w:r>
        <w:rPr>
          <w:rFonts w:hint="eastAsia"/>
          <w:color w:val="auto"/>
          <w:highlight w:val="none"/>
        </w:rPr>
        <w:t>第五章 响应文件格式</w:t>
      </w:r>
      <w:bookmarkEnd w:id="72"/>
    </w:p>
    <w:p w14:paraId="0A381100">
      <w:pPr>
        <w:spacing w:line="240" w:lineRule="atLeast"/>
        <w:rPr>
          <w:rFonts w:ascii="宋体" w:hAnsi="宋体"/>
          <w:b/>
          <w:color w:val="auto"/>
          <w:sz w:val="32"/>
          <w:szCs w:val="32"/>
          <w:highlight w:val="none"/>
        </w:rPr>
      </w:pPr>
    </w:p>
    <w:p w14:paraId="09741D03">
      <w:pPr>
        <w:spacing w:line="240" w:lineRule="atLeast"/>
        <w:rPr>
          <w:rFonts w:ascii="宋体" w:hAnsi="宋体"/>
          <w:b/>
          <w:color w:val="auto"/>
          <w:sz w:val="32"/>
          <w:szCs w:val="32"/>
          <w:highlight w:val="none"/>
        </w:rPr>
      </w:pPr>
    </w:p>
    <w:p w14:paraId="2D5E4882">
      <w:pPr>
        <w:spacing w:line="240" w:lineRule="atLeast"/>
        <w:rPr>
          <w:rFonts w:ascii="宋体" w:hAnsi="宋体"/>
          <w:b/>
          <w:color w:val="auto"/>
          <w:sz w:val="32"/>
          <w:szCs w:val="32"/>
          <w:highlight w:val="none"/>
        </w:rPr>
      </w:pPr>
    </w:p>
    <w:p w14:paraId="268DA504">
      <w:pPr>
        <w:spacing w:line="240" w:lineRule="atLeast"/>
        <w:rPr>
          <w:rFonts w:ascii="宋体" w:hAnsi="宋体"/>
          <w:b/>
          <w:color w:val="auto"/>
          <w:sz w:val="32"/>
          <w:szCs w:val="32"/>
          <w:highlight w:val="none"/>
        </w:rPr>
      </w:pPr>
    </w:p>
    <w:p w14:paraId="711999BB">
      <w:pPr>
        <w:spacing w:line="240" w:lineRule="atLeast"/>
        <w:rPr>
          <w:rFonts w:ascii="宋体" w:hAnsi="宋体"/>
          <w:b/>
          <w:color w:val="auto"/>
          <w:sz w:val="32"/>
          <w:szCs w:val="32"/>
          <w:highlight w:val="none"/>
        </w:rPr>
      </w:pPr>
    </w:p>
    <w:p w14:paraId="5F4B918A">
      <w:pPr>
        <w:spacing w:line="240" w:lineRule="atLeast"/>
        <w:rPr>
          <w:rFonts w:ascii="宋体" w:hAnsi="宋体"/>
          <w:b/>
          <w:color w:val="auto"/>
          <w:sz w:val="32"/>
          <w:szCs w:val="32"/>
          <w:highlight w:val="none"/>
        </w:rPr>
      </w:pPr>
    </w:p>
    <w:p w14:paraId="042B368E">
      <w:pPr>
        <w:spacing w:line="240" w:lineRule="atLeast"/>
        <w:rPr>
          <w:rFonts w:ascii="宋体" w:hAnsi="宋体"/>
          <w:b/>
          <w:color w:val="auto"/>
          <w:sz w:val="32"/>
          <w:szCs w:val="32"/>
          <w:highlight w:val="none"/>
        </w:rPr>
      </w:pPr>
    </w:p>
    <w:p w14:paraId="765F4D26">
      <w:pPr>
        <w:spacing w:line="240" w:lineRule="atLeast"/>
        <w:rPr>
          <w:rFonts w:ascii="宋体" w:hAnsi="宋体"/>
          <w:b/>
          <w:color w:val="auto"/>
          <w:sz w:val="32"/>
          <w:szCs w:val="32"/>
          <w:highlight w:val="none"/>
        </w:rPr>
      </w:pPr>
    </w:p>
    <w:p w14:paraId="1C654724">
      <w:pPr>
        <w:spacing w:line="240" w:lineRule="atLeast"/>
        <w:rPr>
          <w:rFonts w:ascii="宋体" w:hAnsi="宋体"/>
          <w:b/>
          <w:color w:val="auto"/>
          <w:sz w:val="32"/>
          <w:szCs w:val="32"/>
          <w:highlight w:val="none"/>
        </w:rPr>
      </w:pPr>
    </w:p>
    <w:p w14:paraId="095870AF">
      <w:pPr>
        <w:spacing w:line="240" w:lineRule="atLeast"/>
        <w:rPr>
          <w:rFonts w:ascii="宋体" w:hAnsi="宋体"/>
          <w:b/>
          <w:color w:val="auto"/>
          <w:sz w:val="32"/>
          <w:szCs w:val="32"/>
          <w:highlight w:val="none"/>
        </w:rPr>
      </w:pPr>
    </w:p>
    <w:p w14:paraId="25EB3361">
      <w:pPr>
        <w:spacing w:line="240" w:lineRule="atLeast"/>
        <w:rPr>
          <w:rFonts w:ascii="宋体" w:hAnsi="宋体"/>
          <w:b/>
          <w:color w:val="auto"/>
          <w:sz w:val="32"/>
          <w:szCs w:val="32"/>
          <w:highlight w:val="none"/>
        </w:rPr>
      </w:pPr>
    </w:p>
    <w:p w14:paraId="3F412837">
      <w:pPr>
        <w:rPr>
          <w:b/>
          <w:color w:val="auto"/>
          <w:sz w:val="32"/>
          <w:szCs w:val="32"/>
          <w:highlight w:val="none"/>
        </w:rPr>
      </w:pPr>
      <w:bookmarkStart w:id="73" w:name="_Toc71365382"/>
      <w:bookmarkStart w:id="74" w:name="_Toc71366060"/>
      <w:r>
        <w:rPr>
          <w:rFonts w:hint="eastAsia"/>
          <w:b/>
          <w:color w:val="auto"/>
          <w:sz w:val="32"/>
          <w:szCs w:val="32"/>
          <w:highlight w:val="none"/>
        </w:rPr>
        <w:br w:type="page"/>
      </w:r>
      <w:r>
        <w:rPr>
          <w:rFonts w:hint="eastAsia"/>
          <w:b/>
          <w:color w:val="auto"/>
          <w:sz w:val="32"/>
          <w:szCs w:val="32"/>
          <w:highlight w:val="none"/>
        </w:rPr>
        <w:t>一、资格证明文件格式</w:t>
      </w:r>
      <w:bookmarkEnd w:id="73"/>
      <w:bookmarkEnd w:id="74"/>
    </w:p>
    <w:p w14:paraId="207AA3A6">
      <w:pPr>
        <w:snapToGrid w:val="0"/>
        <w:spacing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194FE02E">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703C5543">
      <w:pPr>
        <w:snapToGrid w:val="0"/>
        <w:spacing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14:paraId="3C5A2DEB">
      <w:pPr>
        <w:snapToGrid w:val="0"/>
        <w:spacing w:beforeLines="50" w:after="50"/>
        <w:rPr>
          <w:rFonts w:ascii="宋体" w:hAnsi="宋体"/>
          <w:color w:val="auto"/>
          <w:sz w:val="24"/>
          <w:szCs w:val="20"/>
          <w:highlight w:val="none"/>
        </w:rPr>
      </w:pPr>
    </w:p>
    <w:p w14:paraId="3EA693C1">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631CDABD">
      <w:pPr>
        <w:snapToGrid w:val="0"/>
        <w:spacing w:beforeLines="50" w:after="50"/>
        <w:rPr>
          <w:rFonts w:ascii="宋体" w:hAnsi="宋体"/>
          <w:bCs/>
          <w:color w:val="auto"/>
          <w:sz w:val="24"/>
          <w:szCs w:val="20"/>
          <w:highlight w:val="none"/>
        </w:rPr>
      </w:pPr>
    </w:p>
    <w:p w14:paraId="25FFDF69">
      <w:pPr>
        <w:snapToGrid w:val="0"/>
        <w:spacing w:beforeLines="50" w:after="50"/>
        <w:rPr>
          <w:rFonts w:ascii="宋体" w:hAnsi="宋体"/>
          <w:bCs/>
          <w:color w:val="auto"/>
          <w:sz w:val="24"/>
          <w:szCs w:val="20"/>
          <w:highlight w:val="none"/>
        </w:rPr>
      </w:pPr>
    </w:p>
    <w:p w14:paraId="72B4965C">
      <w:pPr>
        <w:snapToGrid w:val="0"/>
        <w:spacing w:beforeLines="50" w:after="50"/>
        <w:rPr>
          <w:rFonts w:ascii="宋体" w:hAnsi="宋体"/>
          <w:bCs/>
          <w:color w:val="auto"/>
          <w:sz w:val="24"/>
          <w:szCs w:val="20"/>
          <w:highlight w:val="none"/>
        </w:rPr>
      </w:pPr>
    </w:p>
    <w:p w14:paraId="30CE953F">
      <w:pPr>
        <w:snapToGrid w:val="0"/>
        <w:spacing w:beforeLines="50" w:after="50"/>
        <w:rPr>
          <w:rFonts w:ascii="宋体" w:hAnsi="宋体"/>
          <w:bCs/>
          <w:color w:val="auto"/>
          <w:sz w:val="24"/>
          <w:szCs w:val="20"/>
          <w:highlight w:val="none"/>
        </w:rPr>
      </w:pPr>
    </w:p>
    <w:p w14:paraId="0D85676D">
      <w:pPr>
        <w:snapToGrid w:val="0"/>
        <w:spacing w:beforeLines="50" w:after="50"/>
        <w:rPr>
          <w:rFonts w:ascii="宋体" w:hAnsi="宋体"/>
          <w:bCs/>
          <w:color w:val="auto"/>
          <w:sz w:val="24"/>
          <w:szCs w:val="20"/>
          <w:highlight w:val="none"/>
        </w:rPr>
      </w:pPr>
    </w:p>
    <w:p w14:paraId="10586936">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6847AEE7">
      <w:pPr>
        <w:snapToGrid w:val="0"/>
        <w:spacing w:beforeLines="50" w:after="50"/>
        <w:ind w:firstLine="720" w:firstLineChars="225"/>
        <w:rPr>
          <w:rFonts w:ascii="宋体" w:hAnsi="宋体" w:cs="仿宋_GB2312"/>
          <w:bCs/>
          <w:color w:val="auto"/>
          <w:sz w:val="32"/>
          <w:szCs w:val="32"/>
          <w:highlight w:val="none"/>
        </w:rPr>
      </w:pPr>
    </w:p>
    <w:p w14:paraId="2CBBB745">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D6227F5">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6F1D563">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72DD5430">
      <w:pPr>
        <w:snapToGrid w:val="0"/>
        <w:spacing w:beforeLines="50" w:after="50"/>
        <w:ind w:firstLine="720" w:firstLineChars="225"/>
        <w:rPr>
          <w:rFonts w:ascii="宋体" w:hAnsi="宋体" w:cs="仿宋_GB2312"/>
          <w:bCs/>
          <w:color w:val="auto"/>
          <w:sz w:val="32"/>
          <w:szCs w:val="32"/>
          <w:highlight w:val="none"/>
        </w:rPr>
      </w:pPr>
    </w:p>
    <w:p w14:paraId="45BB1B0A">
      <w:pPr>
        <w:pStyle w:val="5"/>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08BC6BC">
      <w:pPr>
        <w:snapToGrid w:val="0"/>
        <w:spacing w:beforeLines="50" w:after="50"/>
        <w:ind w:firstLine="640" w:firstLineChars="200"/>
        <w:rPr>
          <w:rFonts w:ascii="宋体" w:hAnsi="宋体" w:cs="仿宋_GB2312"/>
          <w:bCs/>
          <w:color w:val="auto"/>
          <w:sz w:val="32"/>
          <w:szCs w:val="32"/>
          <w:highlight w:val="none"/>
        </w:rPr>
      </w:pPr>
    </w:p>
    <w:p w14:paraId="3301929D">
      <w:pPr>
        <w:pStyle w:val="5"/>
        <w:snapToGrid w:val="0"/>
        <w:spacing w:before="50" w:after="50"/>
        <w:ind w:firstLine="720" w:firstLineChars="225"/>
        <w:rPr>
          <w:rFonts w:ascii="宋体" w:hAnsi="宋体" w:cs="仿宋_GB2312"/>
          <w:bCs/>
          <w:color w:val="auto"/>
          <w:sz w:val="32"/>
          <w:szCs w:val="32"/>
          <w:highlight w:val="none"/>
        </w:rPr>
      </w:pPr>
    </w:p>
    <w:p w14:paraId="40E110EE">
      <w:pPr>
        <w:pStyle w:val="5"/>
        <w:snapToGrid w:val="0"/>
        <w:spacing w:before="50" w:after="50"/>
        <w:ind w:firstLine="720" w:firstLineChars="225"/>
        <w:rPr>
          <w:rFonts w:ascii="宋体" w:hAnsi="宋体" w:cs="仿宋_GB2312"/>
          <w:bCs/>
          <w:color w:val="auto"/>
          <w:sz w:val="32"/>
          <w:szCs w:val="32"/>
          <w:highlight w:val="none"/>
        </w:rPr>
      </w:pPr>
    </w:p>
    <w:p w14:paraId="35832EA1">
      <w:pPr>
        <w:pStyle w:val="5"/>
        <w:snapToGrid w:val="0"/>
        <w:spacing w:before="50" w:after="50"/>
        <w:ind w:firstLine="1280" w:firstLineChars="400"/>
        <w:rPr>
          <w:rFonts w:ascii="宋体" w:hAnsi="宋体" w:cs="仿宋_GB2312"/>
          <w:bCs/>
          <w:color w:val="auto"/>
          <w:sz w:val="32"/>
          <w:szCs w:val="32"/>
          <w:highlight w:val="none"/>
        </w:rPr>
      </w:pPr>
    </w:p>
    <w:p w14:paraId="30A60618">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F636CAA">
      <w:pPr>
        <w:snapToGrid w:val="0"/>
        <w:spacing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60B99B22">
      <w:pPr>
        <w:snapToGrid w:val="0"/>
        <w:spacing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4BB03BEF">
      <w:pPr>
        <w:snapToGrid w:val="0"/>
        <w:spacing w:beforeLines="50" w:after="50" w:line="360" w:lineRule="auto"/>
        <w:rPr>
          <w:rFonts w:ascii="宋体" w:hAnsi="宋体"/>
          <w:color w:val="auto"/>
          <w:sz w:val="24"/>
          <w:szCs w:val="20"/>
          <w:highlight w:val="none"/>
        </w:rPr>
      </w:pPr>
      <w:r>
        <w:rPr>
          <w:rFonts w:ascii="宋体" w:hAnsi="宋体"/>
          <w:color w:val="auto"/>
          <w:sz w:val="24"/>
          <w:szCs w:val="20"/>
          <w:highlight w:val="none"/>
        </w:rPr>
        <w:t xml:space="preserve"> </w:t>
      </w:r>
    </w:p>
    <w:p w14:paraId="6AF4038C">
      <w:pPr>
        <w:spacing w:line="360" w:lineRule="auto"/>
        <w:rPr>
          <w:rFonts w:ascii="宋体" w:hAnsi="宋体"/>
          <w:color w:val="auto"/>
          <w:szCs w:val="21"/>
          <w:highlight w:val="none"/>
        </w:rPr>
      </w:pPr>
    </w:p>
    <w:p w14:paraId="44F966CC">
      <w:pPr>
        <w:spacing w:line="360" w:lineRule="auto"/>
        <w:rPr>
          <w:rFonts w:ascii="宋体" w:hAnsi="宋体"/>
          <w:color w:val="auto"/>
          <w:szCs w:val="21"/>
          <w:highlight w:val="none"/>
        </w:rPr>
      </w:pPr>
    </w:p>
    <w:p w14:paraId="2B1ACFFE">
      <w:pPr>
        <w:spacing w:line="360" w:lineRule="auto"/>
        <w:rPr>
          <w:rFonts w:ascii="宋体" w:hAnsi="宋体"/>
          <w:color w:val="auto"/>
          <w:szCs w:val="21"/>
          <w:highlight w:val="none"/>
        </w:rPr>
      </w:pPr>
    </w:p>
    <w:p w14:paraId="16F4BA4F">
      <w:pPr>
        <w:spacing w:line="360" w:lineRule="auto"/>
        <w:rPr>
          <w:rFonts w:ascii="宋体" w:hAnsi="宋体"/>
          <w:color w:val="auto"/>
          <w:szCs w:val="21"/>
          <w:highlight w:val="none"/>
        </w:rPr>
      </w:pPr>
    </w:p>
    <w:p w14:paraId="30C9B94E">
      <w:pPr>
        <w:spacing w:line="300" w:lineRule="auto"/>
        <w:rPr>
          <w:rFonts w:ascii="宋体" w:hAnsi="宋体"/>
          <w:color w:val="auto"/>
          <w:szCs w:val="21"/>
          <w:highlight w:val="none"/>
        </w:rPr>
      </w:pPr>
    </w:p>
    <w:p w14:paraId="5B578DC1">
      <w:pPr>
        <w:spacing w:line="300" w:lineRule="auto"/>
        <w:rPr>
          <w:rFonts w:ascii="宋体" w:hAnsi="宋体"/>
          <w:color w:val="auto"/>
          <w:szCs w:val="21"/>
          <w:highlight w:val="none"/>
        </w:rPr>
      </w:pPr>
    </w:p>
    <w:p w14:paraId="2C8DA0C9">
      <w:pPr>
        <w:spacing w:line="300" w:lineRule="auto"/>
        <w:rPr>
          <w:rFonts w:ascii="宋体" w:hAnsi="宋体"/>
          <w:color w:val="auto"/>
          <w:szCs w:val="21"/>
          <w:highlight w:val="none"/>
        </w:rPr>
      </w:pPr>
    </w:p>
    <w:p w14:paraId="63F64386">
      <w:pPr>
        <w:spacing w:line="300" w:lineRule="auto"/>
        <w:rPr>
          <w:rFonts w:ascii="宋体" w:hAnsi="宋体"/>
          <w:color w:val="auto"/>
          <w:szCs w:val="21"/>
          <w:highlight w:val="none"/>
        </w:rPr>
      </w:pPr>
    </w:p>
    <w:p w14:paraId="0F28E514">
      <w:pPr>
        <w:spacing w:line="300" w:lineRule="auto"/>
        <w:rPr>
          <w:rFonts w:ascii="宋体" w:hAnsi="宋体"/>
          <w:color w:val="auto"/>
          <w:szCs w:val="21"/>
          <w:highlight w:val="none"/>
        </w:rPr>
      </w:pPr>
    </w:p>
    <w:p w14:paraId="7EB4EDE5">
      <w:pPr>
        <w:spacing w:line="300" w:lineRule="auto"/>
        <w:rPr>
          <w:rFonts w:ascii="宋体" w:hAnsi="宋体"/>
          <w:color w:val="auto"/>
          <w:szCs w:val="21"/>
          <w:highlight w:val="none"/>
        </w:rPr>
      </w:pPr>
    </w:p>
    <w:p w14:paraId="13632770">
      <w:pPr>
        <w:spacing w:line="300" w:lineRule="auto"/>
        <w:rPr>
          <w:rFonts w:ascii="宋体" w:hAnsi="宋体"/>
          <w:color w:val="auto"/>
          <w:szCs w:val="21"/>
          <w:highlight w:val="none"/>
        </w:rPr>
      </w:pPr>
    </w:p>
    <w:p w14:paraId="3362C1F3">
      <w:pPr>
        <w:spacing w:line="300" w:lineRule="auto"/>
        <w:rPr>
          <w:rFonts w:ascii="宋体" w:hAnsi="宋体"/>
          <w:color w:val="auto"/>
          <w:szCs w:val="21"/>
          <w:highlight w:val="none"/>
        </w:rPr>
      </w:pPr>
    </w:p>
    <w:p w14:paraId="18BE4DB8">
      <w:pPr>
        <w:spacing w:line="300" w:lineRule="auto"/>
        <w:rPr>
          <w:rFonts w:ascii="宋体" w:hAnsi="宋体"/>
          <w:color w:val="auto"/>
          <w:szCs w:val="21"/>
          <w:highlight w:val="none"/>
        </w:rPr>
      </w:pPr>
    </w:p>
    <w:p w14:paraId="150E247D">
      <w:pPr>
        <w:spacing w:line="300" w:lineRule="auto"/>
        <w:rPr>
          <w:rFonts w:ascii="宋体" w:hAnsi="宋体"/>
          <w:color w:val="auto"/>
          <w:szCs w:val="21"/>
          <w:highlight w:val="none"/>
        </w:rPr>
      </w:pPr>
    </w:p>
    <w:p w14:paraId="44C7447D">
      <w:pPr>
        <w:spacing w:line="300" w:lineRule="auto"/>
        <w:rPr>
          <w:rFonts w:ascii="宋体" w:hAnsi="宋体"/>
          <w:color w:val="auto"/>
          <w:szCs w:val="21"/>
          <w:highlight w:val="none"/>
        </w:rPr>
      </w:pPr>
    </w:p>
    <w:p w14:paraId="5973A4AD">
      <w:pPr>
        <w:spacing w:line="320" w:lineRule="exact"/>
        <w:jc w:val="left"/>
        <w:rPr>
          <w:rFonts w:ascii="宋体" w:hAnsi="宋体"/>
          <w:color w:val="auto"/>
          <w:szCs w:val="21"/>
          <w:highlight w:val="none"/>
        </w:rPr>
      </w:pPr>
    </w:p>
    <w:p w14:paraId="525E5F92">
      <w:pPr>
        <w:snapToGrid w:val="0"/>
        <w:spacing w:beforeLines="50" w:after="50"/>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供应商直接控股、管理关系信息表</w:t>
      </w:r>
    </w:p>
    <w:p w14:paraId="39F0B309">
      <w:pPr>
        <w:snapToGrid w:val="0"/>
        <w:spacing w:beforeLines="50" w:after="50"/>
        <w:jc w:val="center"/>
        <w:rPr>
          <w:rFonts w:ascii="宋体" w:hAnsi="宋体"/>
          <w:b/>
          <w:color w:val="auto"/>
          <w:sz w:val="32"/>
          <w:szCs w:val="32"/>
          <w:highlight w:val="none"/>
        </w:rPr>
      </w:pPr>
    </w:p>
    <w:p w14:paraId="14AA2388">
      <w:pPr>
        <w:snapToGrid w:val="0"/>
        <w:spacing w:beforeLines="50" w:after="50"/>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7BB75F4E">
      <w:pPr>
        <w:snapToGrid w:val="0"/>
        <w:spacing w:before="50" w:afterLines="50"/>
        <w:jc w:val="center"/>
        <w:rPr>
          <w:rFonts w:ascii="宋体" w:hAnsi="宋体"/>
          <w:b/>
          <w:color w:val="auto"/>
          <w:sz w:val="32"/>
          <w:szCs w:val="32"/>
          <w:highlight w:val="none"/>
        </w:rPr>
      </w:pPr>
    </w:p>
    <w:tbl>
      <w:tblPr>
        <w:tblStyle w:val="2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9E0387D">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68F4A56">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69C31D7">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B1F5FC3">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出资比例</w:t>
            </w:r>
            <w:r>
              <w:rPr>
                <w:rFonts w:hint="eastAsia" w:ascii="宋体" w:hAnsi="宋体" w:cs="宋体"/>
                <w:b/>
                <w:bCs/>
                <w:color w:val="auto"/>
                <w:kern w:val="0"/>
                <w:sz w:val="24"/>
                <w:highlight w:val="none"/>
              </w:rPr>
              <w:t>(%)</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1F3FD75">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DA04C97">
            <w:pPr>
              <w:widowControl/>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6E8B266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7B68EB">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6DB4A1">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8CC216">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DAF5DF">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6C7EE0">
            <w:pPr>
              <w:widowControl/>
              <w:spacing w:line="360" w:lineRule="auto"/>
              <w:jc w:val="center"/>
              <w:rPr>
                <w:rFonts w:ascii="宋体" w:hAnsi="宋体" w:cs="宋体"/>
                <w:color w:val="auto"/>
                <w:kern w:val="0"/>
                <w:sz w:val="28"/>
                <w:szCs w:val="28"/>
                <w:highlight w:val="none"/>
              </w:rPr>
            </w:pPr>
          </w:p>
        </w:tc>
      </w:tr>
      <w:tr w14:paraId="3DACC4A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E5689C">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E8B307">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87D810">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52F95E">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43F5F1">
            <w:pPr>
              <w:widowControl/>
              <w:spacing w:line="360" w:lineRule="auto"/>
              <w:jc w:val="center"/>
              <w:rPr>
                <w:rFonts w:ascii="宋体" w:hAnsi="宋体" w:cs="宋体"/>
                <w:color w:val="auto"/>
                <w:kern w:val="0"/>
                <w:sz w:val="28"/>
                <w:szCs w:val="28"/>
                <w:highlight w:val="none"/>
              </w:rPr>
            </w:pPr>
          </w:p>
        </w:tc>
      </w:tr>
      <w:tr w14:paraId="1A3D8D9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A8DAA9">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28B292">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F6901D">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D5F657">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34064D">
            <w:pPr>
              <w:widowControl/>
              <w:spacing w:line="360" w:lineRule="auto"/>
              <w:jc w:val="center"/>
              <w:rPr>
                <w:rFonts w:ascii="宋体" w:hAnsi="宋体" w:cs="宋体"/>
                <w:color w:val="auto"/>
                <w:kern w:val="0"/>
                <w:sz w:val="28"/>
                <w:szCs w:val="28"/>
                <w:highlight w:val="none"/>
              </w:rPr>
            </w:pPr>
          </w:p>
        </w:tc>
      </w:tr>
      <w:tr w14:paraId="38D0AF6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CC81F7">
            <w:pPr>
              <w:widowControl/>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8B9453">
            <w:pPr>
              <w:widowControl/>
              <w:spacing w:line="360" w:lineRule="auto"/>
              <w:jc w:val="center"/>
              <w:rPr>
                <w:rFonts w:ascii="宋体" w:hAnsi="宋体" w:cs="宋体"/>
                <w:color w:val="auto"/>
                <w:kern w:val="0"/>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88934D">
            <w:pPr>
              <w:widowControl/>
              <w:spacing w:line="360" w:lineRule="auto"/>
              <w:jc w:val="center"/>
              <w:rPr>
                <w:rFonts w:ascii="宋体" w:hAnsi="宋体" w:cs="宋体"/>
                <w:color w:val="auto"/>
                <w:kern w:val="0"/>
                <w:sz w:val="28"/>
                <w:szCs w:val="28"/>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C4C4E0">
            <w:pPr>
              <w:widowControl/>
              <w:spacing w:line="360" w:lineRule="auto"/>
              <w:jc w:val="center"/>
              <w:rPr>
                <w:rFonts w:ascii="宋体" w:hAnsi="宋体" w:cs="宋体"/>
                <w:color w:val="auto"/>
                <w:kern w:val="0"/>
                <w:sz w:val="28"/>
                <w:szCs w:val="28"/>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066849">
            <w:pPr>
              <w:widowControl/>
              <w:spacing w:line="360" w:lineRule="auto"/>
              <w:jc w:val="center"/>
              <w:rPr>
                <w:rFonts w:ascii="宋体" w:hAnsi="宋体" w:cs="宋体"/>
                <w:color w:val="auto"/>
                <w:kern w:val="0"/>
                <w:sz w:val="28"/>
                <w:szCs w:val="28"/>
                <w:highlight w:val="none"/>
              </w:rPr>
            </w:pPr>
          </w:p>
        </w:tc>
      </w:tr>
    </w:tbl>
    <w:p w14:paraId="6B4A6EDB">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4FFC11D0">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C1735FC">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7B9DD0C2">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7C83EC10">
      <w:pPr>
        <w:spacing w:line="360" w:lineRule="auto"/>
        <w:ind w:firstLine="420" w:firstLineChars="200"/>
        <w:contextualSpacing/>
        <w:jc w:val="left"/>
        <w:rPr>
          <w:rFonts w:ascii="宋体" w:hAnsi="宋体" w:cs="宋体"/>
          <w:color w:val="auto"/>
          <w:szCs w:val="21"/>
          <w:highlight w:val="none"/>
        </w:rPr>
      </w:pPr>
    </w:p>
    <w:p w14:paraId="66A43DCC">
      <w:pPr>
        <w:spacing w:line="360" w:lineRule="auto"/>
        <w:ind w:firstLine="560" w:firstLineChars="200"/>
        <w:contextualSpacing/>
        <w:jc w:val="left"/>
        <w:rPr>
          <w:rFonts w:ascii="宋体" w:hAnsi="宋体" w:cs="宋体"/>
          <w:color w:val="auto"/>
          <w:sz w:val="28"/>
          <w:szCs w:val="28"/>
          <w:highlight w:val="none"/>
        </w:rPr>
      </w:pPr>
    </w:p>
    <w:p w14:paraId="2F8CAD98">
      <w:pPr>
        <w:spacing w:line="36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387CBF4B">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供应商名称（电子签章）： </w:t>
      </w:r>
      <w:r>
        <w:rPr>
          <w:rFonts w:hint="eastAsia" w:ascii="宋体" w:hAnsi="宋体" w:cs="宋体"/>
          <w:color w:val="auto"/>
          <w:sz w:val="24"/>
          <w:highlight w:val="none"/>
          <w:u w:val="single"/>
        </w:rPr>
        <w:t xml:space="preserve">                              </w:t>
      </w:r>
    </w:p>
    <w:p w14:paraId="1D0D2EA6">
      <w:pPr>
        <w:spacing w:line="360" w:lineRule="auto"/>
        <w:ind w:right="480" w:firstLine="5280" w:firstLineChars="2200"/>
        <w:contextualSpacing/>
        <w:rPr>
          <w:rFonts w:ascii="宋体" w:hAnsi="宋体" w:cs="宋体"/>
          <w:color w:val="auto"/>
          <w:sz w:val="28"/>
          <w:szCs w:val="28"/>
          <w:highlight w:val="none"/>
        </w:rPr>
      </w:pPr>
      <w:r>
        <w:rPr>
          <w:rFonts w:hint="eastAsia" w:ascii="宋体" w:hAnsi="宋体" w:cs="宋体"/>
          <w:color w:val="auto"/>
          <w:sz w:val="24"/>
          <w:highlight w:val="none"/>
        </w:rPr>
        <w:t>年    月    日</w:t>
      </w:r>
    </w:p>
    <w:p w14:paraId="14F34A5D">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45CE1074">
      <w:pPr>
        <w:snapToGrid w:val="0"/>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146A5605">
      <w:pPr>
        <w:snapToGrid w:val="0"/>
        <w:jc w:val="center"/>
        <w:rPr>
          <w:rFonts w:ascii="宋体" w:hAnsi="宋体"/>
          <w:b/>
          <w:color w:val="auto"/>
          <w:sz w:val="32"/>
          <w:szCs w:val="32"/>
          <w:highlight w:val="none"/>
        </w:rPr>
      </w:pPr>
    </w:p>
    <w:tbl>
      <w:tblPr>
        <w:tblStyle w:val="2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FBAABE5">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83A4961">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A3855BF">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1075422">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A5EAC2F">
            <w:pPr>
              <w:widowControl/>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备注</w:t>
            </w:r>
          </w:p>
        </w:tc>
      </w:tr>
      <w:tr w14:paraId="48B2A14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D10D71">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24D0EE">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33316D">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63B2D6">
            <w:pPr>
              <w:widowControl/>
              <w:wordWrap w:val="0"/>
              <w:spacing w:line="200" w:lineRule="atLeast"/>
              <w:jc w:val="center"/>
              <w:rPr>
                <w:rFonts w:ascii="宋体" w:hAnsi="宋体" w:cs="宋体"/>
                <w:color w:val="auto"/>
                <w:kern w:val="0"/>
                <w:sz w:val="28"/>
                <w:szCs w:val="28"/>
                <w:highlight w:val="none"/>
              </w:rPr>
            </w:pPr>
          </w:p>
        </w:tc>
      </w:tr>
      <w:tr w14:paraId="38C1A50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CA6FE2">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A3E87B">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E19900">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FEA9B7">
            <w:pPr>
              <w:widowControl/>
              <w:wordWrap w:val="0"/>
              <w:spacing w:line="200" w:lineRule="atLeast"/>
              <w:jc w:val="center"/>
              <w:rPr>
                <w:rFonts w:ascii="宋体" w:hAnsi="宋体" w:cs="宋体"/>
                <w:color w:val="auto"/>
                <w:kern w:val="0"/>
                <w:sz w:val="28"/>
                <w:szCs w:val="28"/>
                <w:highlight w:val="none"/>
              </w:rPr>
            </w:pPr>
          </w:p>
        </w:tc>
      </w:tr>
      <w:tr w14:paraId="300C98C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DE1275">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0BE341">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F1B865">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C0F239">
            <w:pPr>
              <w:widowControl/>
              <w:wordWrap w:val="0"/>
              <w:spacing w:line="200" w:lineRule="atLeast"/>
              <w:jc w:val="center"/>
              <w:rPr>
                <w:rFonts w:ascii="宋体" w:hAnsi="宋体" w:cs="宋体"/>
                <w:color w:val="auto"/>
                <w:kern w:val="0"/>
                <w:sz w:val="28"/>
                <w:szCs w:val="28"/>
                <w:highlight w:val="none"/>
              </w:rPr>
            </w:pPr>
          </w:p>
        </w:tc>
      </w:tr>
      <w:tr w14:paraId="42FF5A1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9BFC08">
            <w:pPr>
              <w:widowControl/>
              <w:wordWrap w:val="0"/>
              <w:spacing w:line="20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BD8F73">
            <w:pPr>
              <w:widowControl/>
              <w:wordWrap w:val="0"/>
              <w:spacing w:line="200" w:lineRule="atLeast"/>
              <w:jc w:val="center"/>
              <w:rPr>
                <w:rFonts w:ascii="宋体" w:hAnsi="宋体" w:cs="宋体"/>
                <w:color w:val="auto"/>
                <w:kern w:val="0"/>
                <w:sz w:val="28"/>
                <w:szCs w:val="28"/>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406F79">
            <w:pPr>
              <w:widowControl/>
              <w:wordWrap w:val="0"/>
              <w:spacing w:line="200" w:lineRule="atLeast"/>
              <w:jc w:val="center"/>
              <w:rPr>
                <w:rFonts w:ascii="宋体" w:hAnsi="宋体" w:cs="宋体"/>
                <w:color w:val="auto"/>
                <w:kern w:val="0"/>
                <w:sz w:val="28"/>
                <w:szCs w:val="28"/>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287CDD">
            <w:pPr>
              <w:widowControl/>
              <w:wordWrap w:val="0"/>
              <w:spacing w:line="200" w:lineRule="atLeast"/>
              <w:jc w:val="center"/>
              <w:rPr>
                <w:rFonts w:ascii="宋体" w:hAnsi="宋体" w:cs="宋体"/>
                <w:color w:val="auto"/>
                <w:kern w:val="0"/>
                <w:sz w:val="28"/>
                <w:szCs w:val="28"/>
                <w:highlight w:val="none"/>
              </w:rPr>
            </w:pPr>
          </w:p>
        </w:tc>
      </w:tr>
    </w:tbl>
    <w:p w14:paraId="0B1ADAC2">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41917169">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396C87A2">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04EA376D">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311B20FC">
      <w:pPr>
        <w:spacing w:line="360" w:lineRule="auto"/>
        <w:contextualSpacing/>
        <w:jc w:val="left"/>
        <w:rPr>
          <w:rFonts w:ascii="宋体" w:hAnsi="宋体"/>
          <w:color w:val="auto"/>
          <w:sz w:val="28"/>
          <w:szCs w:val="28"/>
          <w:highlight w:val="none"/>
        </w:rPr>
      </w:pPr>
    </w:p>
    <w:p w14:paraId="2730316E">
      <w:pPr>
        <w:spacing w:line="360" w:lineRule="auto"/>
        <w:contextualSpacing/>
        <w:jc w:val="left"/>
        <w:rPr>
          <w:rFonts w:ascii="宋体" w:hAnsi="宋体"/>
          <w:color w:val="auto"/>
          <w:sz w:val="28"/>
          <w:szCs w:val="28"/>
          <w:highlight w:val="none"/>
        </w:rPr>
      </w:pPr>
    </w:p>
    <w:p w14:paraId="21FD210D">
      <w:pPr>
        <w:spacing w:line="360" w:lineRule="auto"/>
        <w:contextualSpacing/>
        <w:jc w:val="left"/>
        <w:rPr>
          <w:color w:val="auto"/>
          <w:sz w:val="28"/>
          <w:szCs w:val="28"/>
          <w:highlight w:val="none"/>
        </w:rPr>
      </w:pPr>
    </w:p>
    <w:p w14:paraId="67D803F8">
      <w:pPr>
        <w:spacing w:line="360" w:lineRule="auto"/>
        <w:contextualSpacing/>
        <w:jc w:val="left"/>
        <w:rPr>
          <w:color w:val="auto"/>
          <w:sz w:val="28"/>
          <w:szCs w:val="28"/>
          <w:highlight w:val="none"/>
        </w:rPr>
      </w:pPr>
    </w:p>
    <w:p w14:paraId="50C682C5">
      <w:pPr>
        <w:spacing w:line="360" w:lineRule="auto"/>
        <w:contextualSpacing/>
        <w:jc w:val="left"/>
        <w:rPr>
          <w:color w:val="auto"/>
          <w:sz w:val="28"/>
          <w:szCs w:val="28"/>
          <w:highlight w:val="none"/>
        </w:rPr>
      </w:pPr>
    </w:p>
    <w:p w14:paraId="1B4444BD">
      <w:pPr>
        <w:spacing w:line="360" w:lineRule="auto"/>
        <w:contextualSpacing/>
        <w:jc w:val="left"/>
        <w:rPr>
          <w:rFonts w:ascii="宋体" w:hAnsi="宋体"/>
          <w:color w:val="auto"/>
          <w:sz w:val="28"/>
          <w:szCs w:val="28"/>
          <w:highlight w:val="none"/>
        </w:rPr>
      </w:pPr>
    </w:p>
    <w:p w14:paraId="1A04CBCF">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45C688DD">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供应商名称（电子签章）：</w:t>
      </w:r>
      <w:r>
        <w:rPr>
          <w:rFonts w:hint="eastAsia" w:ascii="宋体" w:hAnsi="宋体"/>
          <w:color w:val="auto"/>
          <w:sz w:val="24"/>
          <w:highlight w:val="none"/>
          <w:u w:val="single"/>
        </w:rPr>
        <w:t xml:space="preserve">                </w:t>
      </w:r>
    </w:p>
    <w:p w14:paraId="25B6C9B7">
      <w:pPr>
        <w:spacing w:line="360" w:lineRule="auto"/>
        <w:ind w:right="480" w:firstLine="240" w:firstLineChars="100"/>
        <w:contextualSpacing/>
        <w:jc w:val="center"/>
        <w:rPr>
          <w:rFonts w:ascii="宋体" w:hAnsi="宋体"/>
          <w:color w:val="auto"/>
          <w:sz w:val="28"/>
          <w:szCs w:val="28"/>
          <w:highlight w:val="none"/>
        </w:rPr>
      </w:pPr>
      <w:r>
        <w:rPr>
          <w:rFonts w:hint="eastAsia" w:ascii="宋体" w:hAnsi="宋体"/>
          <w:color w:val="auto"/>
          <w:sz w:val="24"/>
          <w:highlight w:val="none"/>
        </w:rPr>
        <w:t xml:space="preserve">                                        年    月    日</w:t>
      </w:r>
    </w:p>
    <w:p w14:paraId="16B1957C">
      <w:pPr>
        <w:spacing w:line="500" w:lineRule="exact"/>
        <w:jc w:val="center"/>
        <w:rPr>
          <w:rFonts w:ascii="方正小标宋简体" w:hAnsi="宋体" w:eastAsia="方正小标宋简体"/>
          <w:b/>
          <w:color w:val="auto"/>
          <w:sz w:val="32"/>
          <w:szCs w:val="32"/>
          <w:highlight w:val="none"/>
        </w:rPr>
      </w:pPr>
      <w:r>
        <w:rPr>
          <w:rFonts w:ascii="宋体" w:hAnsi="宋体"/>
          <w:b/>
          <w:color w:val="auto"/>
          <w:sz w:val="32"/>
          <w:szCs w:val="32"/>
          <w:highlight w:val="none"/>
        </w:rPr>
        <w:br w:type="page"/>
      </w:r>
      <w:r>
        <w:rPr>
          <w:rFonts w:hint="eastAsia" w:ascii="方正小标宋简体" w:hAnsi="宋体" w:eastAsia="方正小标宋简体"/>
          <w:b/>
          <w:color w:val="auto"/>
          <w:sz w:val="32"/>
          <w:szCs w:val="32"/>
          <w:highlight w:val="none"/>
        </w:rPr>
        <w:t>竞标声明</w:t>
      </w:r>
    </w:p>
    <w:p w14:paraId="1DE97582">
      <w:pPr>
        <w:spacing w:line="320" w:lineRule="exact"/>
        <w:jc w:val="center"/>
        <w:rPr>
          <w:rFonts w:ascii="宋体" w:hAnsi="宋体"/>
          <w:color w:val="auto"/>
          <w:sz w:val="24"/>
          <w:szCs w:val="20"/>
          <w:highlight w:val="none"/>
        </w:rPr>
      </w:pPr>
    </w:p>
    <w:p w14:paraId="75F7AB0D">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33611F8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FAC282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511DB47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33E88D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27D0A1D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7027389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（1）将按谈判文件的约定履行合同责任和义务；</w:t>
      </w:r>
    </w:p>
    <w:p w14:paraId="46BFBA0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（2）已详细审查全部谈判文件，包括补遗文件（如有）；</w:t>
      </w:r>
    </w:p>
    <w:p w14:paraId="3E9F254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7A3A937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（4）响应谈判文件规定的竞标有效期。</w:t>
      </w:r>
    </w:p>
    <w:p w14:paraId="6027693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373EA15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D1CF37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06BD9B6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782B8E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D1B1DF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4CA345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134F5FF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8E3A1D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FABE39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47686E2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8854996">
      <w:pPr>
        <w:pStyle w:val="12"/>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7.与本谈判有关的一切正式往来信函请寄：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邮政编码：</w:t>
      </w:r>
      <w:r>
        <w:rPr>
          <w:rFonts w:hint="eastAsia" w:hAnsi="宋体" w:cs="宋体"/>
          <w:color w:val="auto"/>
          <w:sz w:val="24"/>
          <w:szCs w:val="24"/>
          <w:highlight w:val="none"/>
          <w:u w:val="single"/>
        </w:rPr>
        <w:t xml:space="preserve">    </w:t>
      </w:r>
    </w:p>
    <w:p w14:paraId="1230F9F5">
      <w:pPr>
        <w:pStyle w:val="12"/>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3B4D29D7">
      <w:pPr>
        <w:pStyle w:val="11"/>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账号/行号：</w:t>
      </w:r>
      <w:r>
        <w:rPr>
          <w:rFonts w:hint="eastAsia" w:ascii="宋体" w:hAnsi="宋体" w:cs="宋体"/>
          <w:color w:val="auto"/>
          <w:sz w:val="24"/>
          <w:highlight w:val="none"/>
          <w:u w:val="single"/>
        </w:rPr>
        <w:t xml:space="preserve">           </w:t>
      </w:r>
    </w:p>
    <w:p w14:paraId="3B1C6661">
      <w:pPr>
        <w:pStyle w:val="11"/>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138DAA55">
      <w:pPr>
        <w:pStyle w:val="11"/>
        <w:tabs>
          <w:tab w:val="left" w:pos="939"/>
        </w:tabs>
        <w:spacing w:line="360" w:lineRule="auto"/>
        <w:ind w:left="141" w:leftChars="67" w:firstLine="360" w:firstLineChars="150"/>
        <w:rPr>
          <w:rFonts w:ascii="宋体" w:hAnsi="宋体" w:cs="宋体"/>
          <w:color w:val="auto"/>
          <w:szCs w:val="21"/>
          <w:highlight w:val="none"/>
        </w:rPr>
      </w:pPr>
      <w:r>
        <w:rPr>
          <w:rFonts w:hint="eastAsia" w:ascii="宋体" w:hAnsi="宋体" w:cs="宋体"/>
          <w:color w:val="auto"/>
          <w:sz w:val="24"/>
          <w:highlight w:val="none"/>
        </w:rPr>
        <w:t>特此承诺。</w:t>
      </w:r>
    </w:p>
    <w:p w14:paraId="5AC92382">
      <w:pPr>
        <w:spacing w:line="360" w:lineRule="auto"/>
        <w:contextualSpacing/>
        <w:jc w:val="left"/>
        <w:rPr>
          <w:rFonts w:ascii="宋体" w:hAnsi="宋体"/>
          <w:b/>
          <w:color w:val="auto"/>
          <w:sz w:val="24"/>
          <w:highlight w:val="none"/>
        </w:rPr>
      </w:pPr>
      <w:r>
        <w:rPr>
          <w:rFonts w:hint="eastAsia" w:ascii="宋体" w:hAnsi="宋体"/>
          <w:b/>
          <w:color w:val="auto"/>
          <w:sz w:val="24"/>
          <w:highlight w:val="none"/>
        </w:rPr>
        <w:t xml:space="preserve">    注：如为联合体竞标，盖章处须加盖联合体牵头人电子签章并由联合体牵头人法定代表人分别签字或者盖章或者电子签名，否则响应文件按无效处理。</w:t>
      </w:r>
    </w:p>
    <w:p w14:paraId="4A507AB8">
      <w:pPr>
        <w:spacing w:line="360" w:lineRule="auto"/>
        <w:contextualSpacing/>
        <w:jc w:val="left"/>
        <w:rPr>
          <w:rFonts w:ascii="宋体" w:hAnsi="宋体" w:cs="宋体"/>
          <w:color w:val="auto"/>
          <w:szCs w:val="21"/>
          <w:highlight w:val="none"/>
        </w:rPr>
      </w:pPr>
    </w:p>
    <w:p w14:paraId="188A6CEC">
      <w:pPr>
        <w:spacing w:line="360" w:lineRule="auto"/>
        <w:ind w:firstLine="1807" w:firstLineChars="750"/>
        <w:contextualSpacing/>
        <w:rPr>
          <w:color w:val="auto"/>
          <w:highlight w:val="none"/>
        </w:rPr>
      </w:pPr>
      <w:r>
        <w:rPr>
          <w:rFonts w:hint="eastAsia" w:ascii="宋体" w:hAnsi="宋体"/>
          <w:b/>
          <w:bCs/>
          <w:color w:val="auto"/>
          <w:sz w:val="24"/>
          <w:highlight w:val="none"/>
        </w:rPr>
        <w:t>法定代表人</w:t>
      </w:r>
      <w:r>
        <w:rPr>
          <w:rFonts w:hint="eastAsia" w:ascii="宋体" w:hAnsi="宋体"/>
          <w:color w:val="auto"/>
          <w:sz w:val="24"/>
          <w:highlight w:val="none"/>
        </w:rPr>
        <w:t>（签字或者盖章或者电子签名</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w:t>
      </w:r>
    </w:p>
    <w:p w14:paraId="1EB24638">
      <w:pPr>
        <w:spacing w:line="360" w:lineRule="auto"/>
        <w:ind w:firstLine="3780" w:firstLineChars="1800"/>
        <w:contextualSpacing/>
        <w:rPr>
          <w:rFonts w:ascii="宋体" w:hAnsi="宋体" w:cs="宋体"/>
          <w:color w:val="auto"/>
          <w:szCs w:val="21"/>
          <w:highlight w:val="none"/>
          <w:u w:val="single"/>
        </w:rPr>
      </w:pPr>
      <w:r>
        <w:rPr>
          <w:rFonts w:hint="eastAsia"/>
          <w:color w:val="auto"/>
          <w:highlight w:val="none"/>
        </w:rPr>
        <w:t>供应商名称（电子签章）：</w:t>
      </w:r>
      <w:r>
        <w:rPr>
          <w:rFonts w:hint="eastAsia"/>
          <w:color w:val="auto"/>
          <w:highlight w:val="none"/>
          <w:u w:val="single"/>
        </w:rPr>
        <w:t xml:space="preserve">                               </w:t>
      </w:r>
      <w:r>
        <w:rPr>
          <w:rFonts w:hint="eastAsia"/>
          <w:color w:val="auto"/>
          <w:highlight w:val="none"/>
        </w:rPr>
        <w:t xml:space="preserve">       </w:t>
      </w:r>
      <w:r>
        <w:rPr>
          <w:rFonts w:hint="eastAsia" w:ascii="宋体" w:hAnsi="宋体" w:cs="宋体"/>
          <w:color w:val="auto"/>
          <w:szCs w:val="21"/>
          <w:highlight w:val="none"/>
        </w:rPr>
        <w:t xml:space="preserve">    </w:t>
      </w:r>
    </w:p>
    <w:p w14:paraId="39D039C8">
      <w:pPr>
        <w:spacing w:line="360" w:lineRule="auto"/>
        <w:ind w:right="482" w:firstLine="210" w:firstLineChars="100"/>
        <w:contextualSpacing/>
        <w:jc w:val="center"/>
        <w:rPr>
          <w:rFonts w:ascii="宋体" w:hAnsi="宋体"/>
          <w:color w:val="auto"/>
          <w:szCs w:val="21"/>
          <w:highlight w:val="none"/>
        </w:rPr>
      </w:pPr>
      <w:r>
        <w:rPr>
          <w:rFonts w:hint="eastAsia" w:ascii="宋体" w:hAnsi="宋体" w:cs="宋体"/>
          <w:color w:val="auto"/>
          <w:szCs w:val="21"/>
          <w:highlight w:val="none"/>
        </w:rPr>
        <w:t xml:space="preserve">                                                        </w:t>
      </w:r>
      <w:r>
        <w:rPr>
          <w:rFonts w:hint="eastAsia"/>
          <w:color w:val="auto"/>
          <w:highlight w:val="none"/>
        </w:rPr>
        <w:t xml:space="preserve"> 年    月    日 </w:t>
      </w:r>
    </w:p>
    <w:p w14:paraId="28F822D4">
      <w:pPr>
        <w:spacing w:line="360" w:lineRule="auto"/>
        <w:contextualSpacing/>
        <w:rPr>
          <w:rFonts w:ascii="宋体" w:hAnsi="宋体" w:cs="仿宋_GB2312"/>
          <w:color w:val="auto"/>
          <w:sz w:val="24"/>
          <w:highlight w:val="none"/>
        </w:rPr>
      </w:pPr>
    </w:p>
    <w:p w14:paraId="5EA236A9">
      <w:pPr>
        <w:spacing w:line="360" w:lineRule="auto"/>
        <w:ind w:right="420"/>
        <w:contextualSpacing/>
        <w:jc w:val="left"/>
        <w:rPr>
          <w:rFonts w:ascii="宋体" w:hAnsi="宋体"/>
          <w:b/>
          <w:color w:val="auto"/>
          <w:sz w:val="32"/>
          <w:szCs w:val="32"/>
          <w:highlight w:val="none"/>
        </w:rPr>
      </w:pPr>
      <w:r>
        <w:rPr>
          <w:rFonts w:ascii="宋体" w:hAnsi="宋体"/>
          <w:color w:val="auto"/>
          <w:szCs w:val="21"/>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75971E78">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425AC941">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24A7BE28">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07ECD3D4">
      <w:pPr>
        <w:snapToGrid w:val="0"/>
        <w:spacing w:beforeLines="50" w:after="50"/>
        <w:rPr>
          <w:rFonts w:ascii="宋体" w:hAnsi="宋体"/>
          <w:color w:val="auto"/>
          <w:sz w:val="24"/>
          <w:szCs w:val="20"/>
          <w:highlight w:val="none"/>
        </w:rPr>
      </w:pPr>
    </w:p>
    <w:p w14:paraId="3943F5E2">
      <w:pPr>
        <w:snapToGrid w:val="0"/>
        <w:spacing w:beforeLines="50" w:after="50"/>
        <w:rPr>
          <w:rFonts w:ascii="宋体" w:hAnsi="宋体"/>
          <w:color w:val="auto"/>
          <w:sz w:val="24"/>
          <w:szCs w:val="20"/>
          <w:highlight w:val="none"/>
        </w:rPr>
      </w:pPr>
    </w:p>
    <w:p w14:paraId="20BF34C1">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1A733428">
      <w:pPr>
        <w:snapToGrid w:val="0"/>
        <w:spacing w:beforeLines="50" w:after="50"/>
        <w:rPr>
          <w:rFonts w:ascii="宋体" w:hAnsi="宋体"/>
          <w:bCs/>
          <w:color w:val="auto"/>
          <w:sz w:val="24"/>
          <w:szCs w:val="20"/>
          <w:highlight w:val="none"/>
        </w:rPr>
      </w:pPr>
    </w:p>
    <w:p w14:paraId="729CD7EF">
      <w:pPr>
        <w:snapToGrid w:val="0"/>
        <w:spacing w:beforeLines="50" w:after="50"/>
        <w:rPr>
          <w:rFonts w:ascii="宋体" w:hAnsi="宋体"/>
          <w:bCs/>
          <w:color w:val="auto"/>
          <w:sz w:val="24"/>
          <w:szCs w:val="20"/>
          <w:highlight w:val="none"/>
        </w:rPr>
      </w:pPr>
    </w:p>
    <w:p w14:paraId="5AC08E42">
      <w:pPr>
        <w:snapToGrid w:val="0"/>
        <w:spacing w:beforeLines="50" w:after="50"/>
        <w:rPr>
          <w:rFonts w:ascii="宋体" w:hAnsi="宋体"/>
          <w:bCs/>
          <w:color w:val="auto"/>
          <w:sz w:val="24"/>
          <w:szCs w:val="20"/>
          <w:highlight w:val="none"/>
        </w:rPr>
      </w:pPr>
    </w:p>
    <w:p w14:paraId="6D171D4C">
      <w:pPr>
        <w:snapToGrid w:val="0"/>
        <w:spacing w:beforeLines="50" w:after="50"/>
        <w:rPr>
          <w:rFonts w:ascii="宋体" w:hAnsi="宋体"/>
          <w:bCs/>
          <w:color w:val="auto"/>
          <w:sz w:val="24"/>
          <w:szCs w:val="20"/>
          <w:highlight w:val="none"/>
        </w:rPr>
      </w:pPr>
    </w:p>
    <w:p w14:paraId="240CC0B4">
      <w:pPr>
        <w:snapToGrid w:val="0"/>
        <w:spacing w:beforeLines="50" w:after="50"/>
        <w:rPr>
          <w:rFonts w:ascii="宋体" w:hAnsi="宋体"/>
          <w:bCs/>
          <w:color w:val="auto"/>
          <w:sz w:val="24"/>
          <w:szCs w:val="20"/>
          <w:highlight w:val="none"/>
        </w:rPr>
      </w:pPr>
    </w:p>
    <w:p w14:paraId="1CE4DD8E">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79C5ECF">
      <w:pPr>
        <w:snapToGrid w:val="0"/>
        <w:spacing w:beforeLines="50" w:after="50"/>
        <w:ind w:firstLine="720" w:firstLineChars="225"/>
        <w:rPr>
          <w:rFonts w:ascii="宋体" w:hAnsi="宋体" w:cs="仿宋_GB2312"/>
          <w:bCs/>
          <w:color w:val="auto"/>
          <w:sz w:val="32"/>
          <w:szCs w:val="32"/>
          <w:highlight w:val="none"/>
        </w:rPr>
      </w:pPr>
    </w:p>
    <w:p w14:paraId="152D7EB5">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2CE899C">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1282357">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2A146FF7">
      <w:pPr>
        <w:snapToGrid w:val="0"/>
        <w:spacing w:beforeLines="50" w:after="50"/>
        <w:ind w:firstLine="720" w:firstLineChars="225"/>
        <w:rPr>
          <w:rFonts w:ascii="宋体" w:hAnsi="宋体" w:cs="仿宋_GB2312"/>
          <w:bCs/>
          <w:color w:val="auto"/>
          <w:sz w:val="32"/>
          <w:szCs w:val="32"/>
          <w:highlight w:val="none"/>
        </w:rPr>
      </w:pPr>
    </w:p>
    <w:p w14:paraId="0059021A">
      <w:pPr>
        <w:pStyle w:val="5"/>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6C07C5D8">
      <w:pPr>
        <w:pStyle w:val="5"/>
        <w:snapToGrid w:val="0"/>
        <w:spacing w:before="50" w:after="50"/>
        <w:ind w:firstLine="640" w:firstLineChars="200"/>
        <w:rPr>
          <w:rFonts w:ascii="宋体" w:hAnsi="宋体" w:cs="仿宋_GB2312"/>
          <w:bCs/>
          <w:color w:val="auto"/>
          <w:sz w:val="32"/>
          <w:szCs w:val="32"/>
          <w:highlight w:val="none"/>
        </w:rPr>
      </w:pPr>
    </w:p>
    <w:p w14:paraId="487A0860">
      <w:pPr>
        <w:pStyle w:val="5"/>
        <w:snapToGrid w:val="0"/>
        <w:spacing w:before="50" w:after="50"/>
        <w:ind w:firstLine="720" w:firstLineChars="225"/>
        <w:rPr>
          <w:rFonts w:ascii="宋体" w:hAnsi="宋体" w:cs="仿宋_GB2312"/>
          <w:bCs/>
          <w:color w:val="auto"/>
          <w:sz w:val="32"/>
          <w:szCs w:val="32"/>
          <w:highlight w:val="none"/>
        </w:rPr>
      </w:pPr>
    </w:p>
    <w:p w14:paraId="688DAE20">
      <w:pPr>
        <w:pStyle w:val="5"/>
        <w:snapToGrid w:val="0"/>
        <w:spacing w:before="50" w:after="50"/>
        <w:ind w:firstLine="0"/>
        <w:rPr>
          <w:rFonts w:ascii="宋体" w:hAnsi="宋体" w:cs="仿宋_GB2312"/>
          <w:bCs/>
          <w:color w:val="auto"/>
          <w:sz w:val="32"/>
          <w:szCs w:val="32"/>
          <w:highlight w:val="none"/>
        </w:rPr>
      </w:pPr>
    </w:p>
    <w:p w14:paraId="7B7B21FD">
      <w:pPr>
        <w:pStyle w:val="5"/>
        <w:snapToGrid w:val="0"/>
        <w:spacing w:before="50" w:after="50"/>
        <w:ind w:firstLine="1280" w:firstLineChars="400"/>
        <w:rPr>
          <w:rFonts w:ascii="宋体" w:hAnsi="宋体" w:cs="仿宋_GB2312"/>
          <w:bCs/>
          <w:color w:val="auto"/>
          <w:sz w:val="32"/>
          <w:szCs w:val="32"/>
          <w:highlight w:val="none"/>
        </w:rPr>
      </w:pPr>
    </w:p>
    <w:p w14:paraId="358B2DFF">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E9E4D73">
      <w:pPr>
        <w:snapToGrid w:val="0"/>
        <w:spacing w:beforeLines="50" w:after="50" w:line="360" w:lineRule="auto"/>
        <w:ind w:left="142"/>
        <w:jc w:val="left"/>
        <w:rPr>
          <w:rFonts w:ascii="宋体" w:hAnsi="宋体"/>
          <w:b/>
          <w:bCs/>
          <w:color w:val="auto"/>
          <w:sz w:val="24"/>
          <w:highlight w:val="none"/>
        </w:rPr>
      </w:pPr>
      <w:r>
        <w:rPr>
          <w:rFonts w:ascii="宋体" w:hAnsi="宋体"/>
          <w:color w:val="auto"/>
          <w:szCs w:val="21"/>
          <w:highlight w:val="none"/>
        </w:rPr>
        <w:br w:type="page"/>
      </w:r>
      <w:r>
        <w:rPr>
          <w:rFonts w:hint="eastAsia" w:ascii="宋体" w:hAnsi="宋体"/>
          <w:b/>
          <w:bCs/>
          <w:color w:val="auto"/>
          <w:sz w:val="32"/>
          <w:szCs w:val="32"/>
          <w:highlight w:val="none"/>
        </w:rPr>
        <w:t>2.报价文件目录</w:t>
      </w:r>
    </w:p>
    <w:p w14:paraId="02AEEA31">
      <w:pPr>
        <w:tabs>
          <w:tab w:val="left" w:pos="3479"/>
        </w:tabs>
        <w:spacing w:line="520" w:lineRule="exact"/>
        <w:jc w:val="left"/>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15AFF232">
      <w:pPr>
        <w:tabs>
          <w:tab w:val="left" w:pos="3479"/>
        </w:tabs>
        <w:spacing w:line="520" w:lineRule="exact"/>
        <w:jc w:val="center"/>
        <w:rPr>
          <w:rFonts w:hint="eastAsia" w:ascii="方正小标宋简体" w:hAnsi="方正小标宋简体" w:eastAsia="方正小标宋简体" w:cs="方正小标宋简体"/>
          <w:bCs/>
          <w:color w:val="auto"/>
          <w:sz w:val="32"/>
          <w:szCs w:val="32"/>
          <w:highlight w:val="none"/>
        </w:rPr>
      </w:pPr>
      <w:r>
        <w:rPr>
          <w:rFonts w:ascii="宋体" w:hAnsi="宋体"/>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竞  标  报  价  表</w:t>
      </w:r>
    </w:p>
    <w:p w14:paraId="2DE450EC">
      <w:pPr>
        <w:spacing w:line="520" w:lineRule="exact"/>
        <w:jc w:val="center"/>
        <w:rPr>
          <w:rFonts w:hint="eastAsia" w:ascii="方正小标宋简体" w:hAnsi="方正小标宋简体" w:eastAsia="方正小标宋简体" w:cs="方正小标宋简体"/>
          <w:bCs/>
          <w:color w:val="auto"/>
          <w:sz w:val="32"/>
          <w:szCs w:val="32"/>
          <w:highlight w:val="none"/>
        </w:rPr>
      </w:pPr>
    </w:p>
    <w:p w14:paraId="25BB5F5C">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分标（如有）：</w:t>
      </w:r>
      <w:r>
        <w:rPr>
          <w:rFonts w:hint="eastAsia" w:ascii="宋体" w:hAnsi="宋体" w:cs="仿宋_GB2312"/>
          <w:color w:val="auto"/>
          <w:sz w:val="24"/>
          <w:highlight w:val="none"/>
          <w:u w:val="single"/>
        </w:rPr>
        <w:t xml:space="preserve">            </w:t>
      </w:r>
    </w:p>
    <w:p w14:paraId="26119C84">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3DA2748A">
      <w:pPr>
        <w:snapToGrid w:val="0"/>
        <w:spacing w:before="50" w:after="50" w:line="360" w:lineRule="auto"/>
        <w:ind w:firstLine="5520" w:firstLineChars="2300"/>
        <w:rPr>
          <w:rFonts w:hint="eastAsia" w:ascii="宋体" w:hAnsi="宋体" w:cs="仿宋_GB2312"/>
          <w:color w:val="auto"/>
          <w:sz w:val="24"/>
          <w:highlight w:val="none"/>
        </w:rPr>
      </w:pPr>
    </w:p>
    <w:tbl>
      <w:tblPr>
        <w:tblStyle w:val="21"/>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574"/>
        <w:gridCol w:w="1567"/>
        <w:gridCol w:w="1367"/>
        <w:gridCol w:w="2000"/>
      </w:tblGrid>
      <w:tr w14:paraId="5A3C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693CE4A">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3574" w:type="dxa"/>
            <w:tcBorders>
              <w:top w:val="single" w:color="auto" w:sz="4" w:space="0"/>
              <w:left w:val="single" w:color="auto" w:sz="4" w:space="0"/>
              <w:bottom w:val="single" w:color="auto" w:sz="4" w:space="0"/>
              <w:right w:val="single" w:color="auto" w:sz="4" w:space="0"/>
            </w:tcBorders>
            <w:vAlign w:val="center"/>
          </w:tcPr>
          <w:p w14:paraId="0627D689">
            <w:pPr>
              <w:spacing w:line="440" w:lineRule="exact"/>
              <w:jc w:val="center"/>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项目名称</w:t>
            </w:r>
          </w:p>
        </w:tc>
        <w:tc>
          <w:tcPr>
            <w:tcW w:w="1567" w:type="dxa"/>
            <w:tcBorders>
              <w:top w:val="single" w:color="auto" w:sz="4" w:space="0"/>
              <w:left w:val="single" w:color="auto" w:sz="4" w:space="0"/>
              <w:bottom w:val="single" w:color="auto" w:sz="4" w:space="0"/>
              <w:right w:val="single" w:color="auto" w:sz="4" w:space="0"/>
            </w:tcBorders>
            <w:vAlign w:val="center"/>
          </w:tcPr>
          <w:p w14:paraId="02D1D15A">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数量</w:t>
            </w:r>
          </w:p>
        </w:tc>
        <w:tc>
          <w:tcPr>
            <w:tcW w:w="1367" w:type="dxa"/>
            <w:tcBorders>
              <w:top w:val="single" w:color="auto" w:sz="4" w:space="0"/>
              <w:left w:val="single" w:color="auto" w:sz="4" w:space="0"/>
              <w:bottom w:val="single" w:color="auto" w:sz="4" w:space="0"/>
              <w:right w:val="single" w:color="auto" w:sz="4" w:space="0"/>
            </w:tcBorders>
            <w:vAlign w:val="center"/>
          </w:tcPr>
          <w:p w14:paraId="057447A7">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单位</w:t>
            </w:r>
          </w:p>
        </w:tc>
        <w:tc>
          <w:tcPr>
            <w:tcW w:w="2000" w:type="dxa"/>
            <w:tcBorders>
              <w:top w:val="single" w:color="auto" w:sz="4" w:space="0"/>
              <w:left w:val="single" w:color="auto" w:sz="4" w:space="0"/>
              <w:bottom w:val="single" w:color="auto" w:sz="4" w:space="0"/>
              <w:right w:val="single" w:color="auto" w:sz="4" w:space="0"/>
            </w:tcBorders>
            <w:vAlign w:val="center"/>
          </w:tcPr>
          <w:p w14:paraId="014A6E22">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折扣（%）</w:t>
            </w:r>
          </w:p>
        </w:tc>
      </w:tr>
      <w:tr w14:paraId="61BC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4E761BC8">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3574" w:type="dxa"/>
            <w:tcBorders>
              <w:top w:val="single" w:color="auto" w:sz="4" w:space="0"/>
              <w:left w:val="single" w:color="auto" w:sz="4" w:space="0"/>
              <w:bottom w:val="single" w:color="auto" w:sz="4" w:space="0"/>
              <w:right w:val="single" w:color="auto" w:sz="4" w:space="0"/>
            </w:tcBorders>
            <w:vAlign w:val="center"/>
          </w:tcPr>
          <w:p w14:paraId="7AFACF36">
            <w:pPr>
              <w:spacing w:line="44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罪犯伙房米粉、面粉采购</w:t>
            </w:r>
          </w:p>
        </w:tc>
        <w:tc>
          <w:tcPr>
            <w:tcW w:w="1567" w:type="dxa"/>
            <w:tcBorders>
              <w:top w:val="single" w:color="auto" w:sz="4" w:space="0"/>
              <w:left w:val="single" w:color="auto" w:sz="4" w:space="0"/>
              <w:bottom w:val="single" w:color="auto" w:sz="4" w:space="0"/>
              <w:right w:val="single" w:color="auto" w:sz="4" w:space="0"/>
            </w:tcBorders>
            <w:vAlign w:val="center"/>
          </w:tcPr>
          <w:p w14:paraId="79AC215A">
            <w:pPr>
              <w:spacing w:line="440" w:lineRule="exact"/>
              <w:jc w:val="center"/>
              <w:rPr>
                <w:rFonts w:ascii="宋体" w:hAnsi="宋体" w:cs="宋体"/>
                <w:color w:val="auto"/>
                <w:sz w:val="24"/>
                <w:highlight w:val="none"/>
              </w:rPr>
            </w:pPr>
            <w:r>
              <w:rPr>
                <w:rFonts w:ascii="宋体" w:hAnsi="宋体" w:cs="宋体"/>
                <w:color w:val="auto"/>
                <w:sz w:val="24"/>
                <w:highlight w:val="none"/>
              </w:rPr>
              <w:t>1</w:t>
            </w:r>
          </w:p>
        </w:tc>
        <w:tc>
          <w:tcPr>
            <w:tcW w:w="1367" w:type="dxa"/>
            <w:tcBorders>
              <w:top w:val="single" w:color="auto" w:sz="4" w:space="0"/>
              <w:left w:val="single" w:color="auto" w:sz="4" w:space="0"/>
              <w:bottom w:val="single" w:color="auto" w:sz="4" w:space="0"/>
              <w:right w:val="single" w:color="auto" w:sz="4" w:space="0"/>
            </w:tcBorders>
            <w:vAlign w:val="center"/>
          </w:tcPr>
          <w:p w14:paraId="41BE62B9">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项</w:t>
            </w:r>
          </w:p>
        </w:tc>
        <w:tc>
          <w:tcPr>
            <w:tcW w:w="2000" w:type="dxa"/>
            <w:tcBorders>
              <w:top w:val="single" w:color="auto" w:sz="4" w:space="0"/>
              <w:left w:val="single" w:color="auto" w:sz="4" w:space="0"/>
              <w:bottom w:val="single" w:color="auto" w:sz="4" w:space="0"/>
              <w:right w:val="single" w:color="auto" w:sz="4" w:space="0"/>
            </w:tcBorders>
            <w:vAlign w:val="center"/>
          </w:tcPr>
          <w:p w14:paraId="10870DF6">
            <w:pPr>
              <w:spacing w:line="440" w:lineRule="exact"/>
              <w:jc w:val="center"/>
              <w:rPr>
                <w:rFonts w:ascii="宋体" w:hAnsi="宋体" w:cs="宋体"/>
                <w:color w:val="auto"/>
                <w:sz w:val="24"/>
                <w:highlight w:val="none"/>
              </w:rPr>
            </w:pPr>
          </w:p>
        </w:tc>
      </w:tr>
      <w:tr w14:paraId="324F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0F1551BD">
            <w:pPr>
              <w:snapToGrid w:val="0"/>
              <w:spacing w:before="50" w:after="50"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注：</w:t>
            </w:r>
          </w:p>
          <w:p w14:paraId="0E1A198C">
            <w:pPr>
              <w:snapToGrid w:val="0"/>
              <w:spacing w:before="50" w:after="50"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1.本项目竞标应以价格折扣报价（以%表示）。</w:t>
            </w:r>
          </w:p>
          <w:p w14:paraId="058573B9">
            <w:pPr>
              <w:snapToGrid w:val="0"/>
              <w:spacing w:before="50" w:after="50"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竞标报价范围：≤100%（如：供货产品打九折即竞标折扣为90%，以此类推），价格折扣必须是固定的（如90%），不得存在区间值（如：90%～100%）。供应商必须就《采购需求》中的全部内容作完整唯一报价，不接受有选择的报价，且所报的价格折扣应当适用于每种食材，否则，作无效报价处理。</w:t>
            </w:r>
          </w:p>
          <w:p w14:paraId="7AE6939D">
            <w:pPr>
              <w:snapToGrid w:val="0"/>
              <w:spacing w:before="50" w:after="50"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货和定价方式：采购单价=基准单价×成交折扣，以钟山县市场价格作为供应基准价。合同签订之日后，以双方进行市场调查后确定的钟山县市场价格作为供应基准价，每三个月由成交供应商与采购人在钟山县城市场进行联合价格调查后确定基准价。</w:t>
            </w:r>
          </w:p>
          <w:p w14:paraId="15B6EFEC">
            <w:pPr>
              <w:snapToGrid w:val="0"/>
              <w:spacing w:before="50" w:after="5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4.竞标报价必须包含货物及货物运抵指定交货地点的各种费用和售后服务、税金、验收检验及其它所有费用的总和。</w:t>
            </w:r>
          </w:p>
        </w:tc>
      </w:tr>
    </w:tbl>
    <w:p w14:paraId="111904CE">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14:paraId="695166F1">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2D09DF30">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lang w:val="en-US" w:eastAsia="zh-CN"/>
        </w:rPr>
        <w:t>2</w:t>
      </w:r>
      <w:r>
        <w:rPr>
          <w:rFonts w:hint="eastAsia" w:ascii="宋体" w:hAnsi="宋体" w:cs="仿宋_GB2312"/>
          <w:bCs/>
          <w:color w:val="auto"/>
          <w:sz w:val="24"/>
          <w:highlight w:val="none"/>
        </w:rPr>
        <w:t>.</w:t>
      </w:r>
      <w:r>
        <w:rPr>
          <w:rFonts w:hint="eastAsia" w:ascii="宋体" w:hAnsi="宋体" w:cs="仿宋_GB2312"/>
          <w:color w:val="auto"/>
          <w:sz w:val="24"/>
          <w:highlight w:val="none"/>
        </w:rPr>
        <w:t>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47C020EC">
      <w:pPr>
        <w:pStyle w:val="17"/>
        <w:rPr>
          <w:rFonts w:hint="eastAsia"/>
          <w:color w:val="auto"/>
          <w:highlight w:val="none"/>
        </w:rPr>
      </w:pPr>
    </w:p>
    <w:p w14:paraId="756E50A6">
      <w:pPr>
        <w:pStyle w:val="17"/>
        <w:rPr>
          <w:rFonts w:hint="eastAsia"/>
          <w:color w:val="auto"/>
          <w:highlight w:val="none"/>
        </w:rPr>
      </w:pPr>
    </w:p>
    <w:p w14:paraId="015C697B">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24873DE8">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77DA89DE">
      <w:pPr>
        <w:spacing w:line="360" w:lineRule="auto"/>
        <w:ind w:right="-817" w:rightChars="-389"/>
        <w:contextualSpacing/>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 xml:space="preserve">                      日期：   年   月   日</w:t>
      </w:r>
    </w:p>
    <w:p w14:paraId="3E068E27">
      <w:pPr>
        <w:spacing w:line="360" w:lineRule="auto"/>
        <w:ind w:right="-817" w:rightChars="-389"/>
        <w:contextualSpacing/>
        <w:rPr>
          <w:rFonts w:ascii="仿宋_GB2312" w:hAnsi="仿宋_GB2312" w:eastAsia="仿宋_GB2312" w:cs="仿宋_GB2312"/>
          <w:b/>
          <w:color w:val="auto"/>
          <w:sz w:val="32"/>
          <w:szCs w:val="32"/>
          <w:highlight w:val="none"/>
        </w:rPr>
      </w:pPr>
    </w:p>
    <w:p w14:paraId="739EA4EB">
      <w:pPr>
        <w:tabs>
          <w:tab w:val="left" w:pos="3479"/>
        </w:tabs>
        <w:spacing w:line="520" w:lineRule="exact"/>
        <w:jc w:val="center"/>
        <w:rPr>
          <w:rFonts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 xml:space="preserve">商务技术文件格式 </w:t>
      </w:r>
    </w:p>
    <w:p w14:paraId="72C96703">
      <w:pPr>
        <w:snapToGrid w:val="0"/>
        <w:spacing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26D50CDB">
      <w:pPr>
        <w:snapToGrid w:val="0"/>
        <w:spacing w:beforeLines="50" w:after="50"/>
        <w:rPr>
          <w:rFonts w:ascii="宋体" w:hAnsi="宋体"/>
          <w:bCs/>
          <w:color w:val="auto"/>
          <w:sz w:val="32"/>
          <w:szCs w:val="20"/>
          <w:highlight w:val="none"/>
        </w:rPr>
      </w:pPr>
      <w:r>
        <w:rPr>
          <w:rFonts w:hint="eastAsia" w:ascii="宋体" w:hAnsi="宋体"/>
          <w:color w:val="auto"/>
          <w:sz w:val="24"/>
          <w:highlight w:val="none"/>
        </w:rPr>
        <w:t xml:space="preserve">                                                    </w:t>
      </w:r>
    </w:p>
    <w:p w14:paraId="63181F5F">
      <w:pPr>
        <w:snapToGrid w:val="0"/>
        <w:spacing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14:paraId="05AC5A11">
      <w:pPr>
        <w:snapToGrid w:val="0"/>
        <w:spacing w:beforeLines="50" w:after="50"/>
        <w:rPr>
          <w:rFonts w:ascii="宋体" w:hAnsi="宋体"/>
          <w:color w:val="auto"/>
          <w:sz w:val="24"/>
          <w:szCs w:val="20"/>
          <w:highlight w:val="none"/>
        </w:rPr>
      </w:pPr>
    </w:p>
    <w:p w14:paraId="103411F0">
      <w:pPr>
        <w:snapToGrid w:val="0"/>
        <w:spacing w:beforeLines="50" w:after="50"/>
        <w:rPr>
          <w:rFonts w:ascii="宋体" w:hAnsi="宋体"/>
          <w:color w:val="auto"/>
          <w:sz w:val="24"/>
          <w:szCs w:val="20"/>
          <w:highlight w:val="none"/>
        </w:rPr>
      </w:pPr>
    </w:p>
    <w:p w14:paraId="21DE8FE6">
      <w:pPr>
        <w:snapToGrid w:val="0"/>
        <w:spacing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1AB5CD93">
      <w:pPr>
        <w:snapToGrid w:val="0"/>
        <w:spacing w:beforeLines="50" w:after="50"/>
        <w:rPr>
          <w:rFonts w:ascii="宋体" w:hAnsi="宋体"/>
          <w:bCs/>
          <w:color w:val="auto"/>
          <w:sz w:val="24"/>
          <w:szCs w:val="20"/>
          <w:highlight w:val="none"/>
        </w:rPr>
      </w:pPr>
    </w:p>
    <w:p w14:paraId="2FDCD7CC">
      <w:pPr>
        <w:snapToGrid w:val="0"/>
        <w:spacing w:beforeLines="50" w:after="50"/>
        <w:rPr>
          <w:rFonts w:ascii="宋体" w:hAnsi="宋体"/>
          <w:bCs/>
          <w:color w:val="auto"/>
          <w:sz w:val="24"/>
          <w:szCs w:val="20"/>
          <w:highlight w:val="none"/>
        </w:rPr>
      </w:pPr>
    </w:p>
    <w:p w14:paraId="7EC86A87">
      <w:pPr>
        <w:snapToGrid w:val="0"/>
        <w:spacing w:beforeLines="50" w:after="50"/>
        <w:rPr>
          <w:rFonts w:ascii="宋体" w:hAnsi="宋体"/>
          <w:bCs/>
          <w:color w:val="auto"/>
          <w:sz w:val="24"/>
          <w:szCs w:val="20"/>
          <w:highlight w:val="none"/>
        </w:rPr>
      </w:pPr>
    </w:p>
    <w:p w14:paraId="525A7EB0">
      <w:pPr>
        <w:snapToGrid w:val="0"/>
        <w:spacing w:beforeLines="50" w:after="50"/>
        <w:rPr>
          <w:rFonts w:ascii="宋体" w:hAnsi="宋体"/>
          <w:bCs/>
          <w:color w:val="auto"/>
          <w:sz w:val="24"/>
          <w:szCs w:val="20"/>
          <w:highlight w:val="none"/>
        </w:rPr>
      </w:pPr>
    </w:p>
    <w:p w14:paraId="7047252D">
      <w:pPr>
        <w:snapToGrid w:val="0"/>
        <w:spacing w:beforeLines="50" w:after="50"/>
        <w:rPr>
          <w:rFonts w:ascii="宋体" w:hAnsi="宋体"/>
          <w:bCs/>
          <w:color w:val="auto"/>
          <w:sz w:val="24"/>
          <w:szCs w:val="20"/>
          <w:highlight w:val="none"/>
        </w:rPr>
      </w:pPr>
    </w:p>
    <w:p w14:paraId="36996423">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4A830CE5">
      <w:pPr>
        <w:snapToGrid w:val="0"/>
        <w:spacing w:beforeLines="50" w:after="50"/>
        <w:ind w:firstLine="720" w:firstLineChars="225"/>
        <w:rPr>
          <w:rFonts w:ascii="宋体" w:hAnsi="宋体" w:cs="仿宋_GB2312"/>
          <w:bCs/>
          <w:color w:val="auto"/>
          <w:sz w:val="32"/>
          <w:szCs w:val="32"/>
          <w:highlight w:val="none"/>
        </w:rPr>
      </w:pPr>
    </w:p>
    <w:p w14:paraId="7CA68F91">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9726B82">
      <w:pPr>
        <w:snapToGrid w:val="0"/>
        <w:spacing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73B9EB86">
      <w:pPr>
        <w:snapToGrid w:val="0"/>
        <w:spacing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4F3AF66C">
      <w:pPr>
        <w:snapToGrid w:val="0"/>
        <w:spacing w:beforeLines="50" w:after="50"/>
        <w:ind w:firstLine="720" w:firstLineChars="225"/>
        <w:rPr>
          <w:rFonts w:ascii="宋体" w:hAnsi="宋体" w:cs="仿宋_GB2312"/>
          <w:bCs/>
          <w:color w:val="auto"/>
          <w:sz w:val="32"/>
          <w:szCs w:val="32"/>
          <w:highlight w:val="none"/>
        </w:rPr>
      </w:pPr>
    </w:p>
    <w:p w14:paraId="219DBB33">
      <w:pPr>
        <w:pStyle w:val="5"/>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D19A187">
      <w:pPr>
        <w:pStyle w:val="5"/>
        <w:snapToGrid w:val="0"/>
        <w:spacing w:before="50" w:after="50"/>
        <w:ind w:firstLine="640" w:firstLineChars="200"/>
        <w:rPr>
          <w:rFonts w:ascii="宋体" w:hAnsi="宋体" w:cs="仿宋_GB2312"/>
          <w:bCs/>
          <w:color w:val="auto"/>
          <w:sz w:val="32"/>
          <w:szCs w:val="32"/>
          <w:highlight w:val="none"/>
        </w:rPr>
      </w:pPr>
    </w:p>
    <w:p w14:paraId="152709B3">
      <w:pPr>
        <w:pStyle w:val="5"/>
        <w:snapToGrid w:val="0"/>
        <w:spacing w:before="50" w:after="50"/>
        <w:ind w:firstLine="720" w:firstLineChars="225"/>
        <w:rPr>
          <w:rFonts w:ascii="宋体" w:hAnsi="宋体" w:cs="仿宋_GB2312"/>
          <w:bCs/>
          <w:color w:val="auto"/>
          <w:sz w:val="32"/>
          <w:szCs w:val="32"/>
          <w:highlight w:val="none"/>
        </w:rPr>
      </w:pPr>
    </w:p>
    <w:p w14:paraId="27FE0266">
      <w:pPr>
        <w:pStyle w:val="5"/>
        <w:snapToGrid w:val="0"/>
        <w:spacing w:before="50" w:after="50"/>
        <w:ind w:firstLine="0"/>
        <w:rPr>
          <w:rFonts w:ascii="宋体" w:hAnsi="宋体" w:cs="仿宋_GB2312"/>
          <w:bCs/>
          <w:color w:val="auto"/>
          <w:sz w:val="32"/>
          <w:szCs w:val="32"/>
          <w:highlight w:val="none"/>
        </w:rPr>
      </w:pPr>
    </w:p>
    <w:p w14:paraId="4C8B79A3">
      <w:pPr>
        <w:pStyle w:val="5"/>
        <w:snapToGrid w:val="0"/>
        <w:spacing w:before="50" w:after="50"/>
        <w:ind w:firstLine="1280" w:firstLineChars="400"/>
        <w:rPr>
          <w:rFonts w:ascii="宋体" w:hAnsi="宋体" w:cs="仿宋_GB2312"/>
          <w:bCs/>
          <w:color w:val="auto"/>
          <w:sz w:val="32"/>
          <w:szCs w:val="32"/>
          <w:highlight w:val="none"/>
        </w:rPr>
      </w:pPr>
    </w:p>
    <w:p w14:paraId="1916FB44">
      <w:pPr>
        <w:snapToGrid w:val="0"/>
        <w:spacing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BD8AB0F">
      <w:pPr>
        <w:snapToGrid w:val="0"/>
        <w:spacing w:beforeLines="50" w:after="50" w:line="360" w:lineRule="auto"/>
        <w:ind w:left="142"/>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3EE7330F">
      <w:pPr>
        <w:snapToGrid w:val="0"/>
        <w:spacing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根据谈判文件规定及供应商提供的材料自行编写目录（部分格式后附）。</w:t>
      </w:r>
    </w:p>
    <w:p w14:paraId="4BA51DD1">
      <w:pPr>
        <w:spacing w:line="400" w:lineRule="exact"/>
        <w:rPr>
          <w:rFonts w:ascii="仿宋_GB2312" w:hAnsi="仿宋_GB2312" w:eastAsia="仿宋_GB2312" w:cs="仿宋_GB2312"/>
          <w:color w:val="auto"/>
          <w:sz w:val="32"/>
          <w:szCs w:val="32"/>
          <w:highlight w:val="none"/>
        </w:rPr>
      </w:pPr>
    </w:p>
    <w:p w14:paraId="29B9F66F">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55C93F56">
      <w:pPr>
        <w:spacing w:line="360" w:lineRule="auto"/>
        <w:ind w:firstLine="640" w:firstLineChars="200"/>
        <w:contextualSpacing/>
        <w:rPr>
          <w:rFonts w:ascii="仿宋_GB2312" w:hAnsi="仿宋_GB2312" w:eastAsia="仿宋_GB2312" w:cs="仿宋_GB2312"/>
          <w:color w:val="auto"/>
          <w:sz w:val="32"/>
          <w:szCs w:val="32"/>
          <w:highlight w:val="none"/>
        </w:rPr>
      </w:pPr>
    </w:p>
    <w:p w14:paraId="32F96F75">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4C196AD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14:paraId="0FF07F9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3B87128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3.不同的供应商的响应文件载明的项目管理员为同一个人；</w:t>
      </w:r>
    </w:p>
    <w:p w14:paraId="5E9B7F6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46167AD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4AB8B17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6.不同供应商的竞标保证金从同一单位或者个人账户转出。</w:t>
      </w:r>
    </w:p>
    <w:p w14:paraId="792575A3">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16AAD7A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38146BC8">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4ECD020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0EBADC2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427267C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5.供应商之间事先约定一致抬高或者压低竞标报价，或者在竞争性谈判项目中事先约定轮流以高价位或者低价位成交，或者事先约定由某一特定供应商成交，然后再参加竞标；</w:t>
      </w:r>
    </w:p>
    <w:p w14:paraId="59FD1E3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7FDD42A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41A9C71A">
      <w:pPr>
        <w:spacing w:line="360" w:lineRule="auto"/>
        <w:ind w:firstLine="480" w:firstLineChars="200"/>
        <w:contextualSpacing/>
        <w:rPr>
          <w:rFonts w:ascii="宋体" w:hAnsi="宋体" w:cs="仿宋_GB2312"/>
          <w:color w:val="auto"/>
          <w:sz w:val="24"/>
          <w:highlight w:val="none"/>
        </w:rPr>
      </w:pPr>
    </w:p>
    <w:p w14:paraId="160E2958">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3065ED83">
      <w:pPr>
        <w:spacing w:line="360" w:lineRule="auto"/>
        <w:ind w:firstLine="480" w:firstLineChars="200"/>
        <w:contextualSpacing/>
        <w:rPr>
          <w:rFonts w:ascii="宋体" w:hAnsi="宋体" w:cs="仿宋_GB2312"/>
          <w:color w:val="auto"/>
          <w:sz w:val="24"/>
          <w:highlight w:val="none"/>
        </w:rPr>
      </w:pPr>
    </w:p>
    <w:p w14:paraId="26827A03">
      <w:pPr>
        <w:spacing w:line="360" w:lineRule="auto"/>
        <w:contextualSpacing/>
        <w:rPr>
          <w:rFonts w:ascii="宋体" w:hAnsi="宋体" w:cs="仿宋_GB2312"/>
          <w:color w:val="auto"/>
          <w:sz w:val="24"/>
          <w:highlight w:val="none"/>
        </w:rPr>
      </w:pPr>
    </w:p>
    <w:p w14:paraId="1796EF2C">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供应商名称（电子签章）：</w:t>
      </w:r>
    </w:p>
    <w:p w14:paraId="302BCE62">
      <w:pPr>
        <w:spacing w:line="360" w:lineRule="auto"/>
        <w:ind w:firstLine="480" w:firstLineChars="200"/>
        <w:contextualSpacing/>
        <w:jc w:val="center"/>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72321604">
      <w:pPr>
        <w:spacing w:line="360" w:lineRule="auto"/>
        <w:ind w:firstLine="640" w:firstLineChars="200"/>
        <w:contextualSpacing/>
        <w:jc w:val="center"/>
        <w:rPr>
          <w:rFonts w:ascii="宋体" w:hAnsi="宋体" w:cs="仿宋_GB2312"/>
          <w:color w:val="auto"/>
          <w:sz w:val="32"/>
          <w:szCs w:val="32"/>
          <w:highlight w:val="none"/>
        </w:rPr>
      </w:pPr>
    </w:p>
    <w:p w14:paraId="0BCBCD0F">
      <w:pPr>
        <w:spacing w:beforeLines="100" w:afterLines="50" w:line="520" w:lineRule="exact"/>
        <w:ind w:left="540"/>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14:paraId="5341E7A0">
      <w:pPr>
        <w:spacing w:line="360" w:lineRule="auto"/>
        <w:ind w:left="540"/>
        <w:contextualSpacing/>
        <w:rPr>
          <w:rFonts w:ascii="仿宋_GB2312" w:hAnsi="仿宋_GB2312" w:eastAsia="仿宋_GB2312" w:cs="仿宋_GB2312"/>
          <w:color w:val="auto"/>
          <w:sz w:val="32"/>
          <w:szCs w:val="32"/>
          <w:highlight w:val="none"/>
        </w:rPr>
      </w:pPr>
    </w:p>
    <w:p w14:paraId="224C029E">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0EB0F401">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68D4C466">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43872EE8">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38A62631">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3513DC42">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 xml:space="preserve">   </w:t>
      </w:r>
      <w:r>
        <w:rPr>
          <w:rFonts w:hint="eastAsia" w:ascii="宋体" w:hAnsi="宋体" w:cs="仿宋_GB2312"/>
          <w:color w:val="auto"/>
          <w:sz w:val="24"/>
          <w:highlight w:val="none"/>
          <w:u w:val="single"/>
        </w:rPr>
        <w:t xml:space="preserve">（供应商名称） </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的法定代表人。</w:t>
      </w:r>
    </w:p>
    <w:p w14:paraId="2996C39B">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50AD6D1C">
      <w:pPr>
        <w:spacing w:line="360" w:lineRule="auto"/>
        <w:ind w:left="540"/>
        <w:contextualSpacing/>
        <w:rPr>
          <w:rFonts w:ascii="宋体" w:hAnsi="宋体" w:cs="仿宋_GB2312"/>
          <w:color w:val="auto"/>
          <w:sz w:val="24"/>
          <w:highlight w:val="none"/>
        </w:rPr>
      </w:pPr>
    </w:p>
    <w:p w14:paraId="6E92CDD2">
      <w:pPr>
        <w:spacing w:line="360" w:lineRule="auto"/>
        <w:ind w:left="540"/>
        <w:contextualSpacing/>
        <w:rPr>
          <w:rFonts w:ascii="宋体" w:hAnsi="宋体" w:cs="仿宋_GB2312"/>
          <w:color w:val="auto"/>
          <w:sz w:val="24"/>
          <w:highlight w:val="none"/>
        </w:rPr>
      </w:pPr>
    </w:p>
    <w:p w14:paraId="6B39CE43">
      <w:pPr>
        <w:spacing w:line="360" w:lineRule="auto"/>
        <w:ind w:left="540"/>
        <w:contextualSpacing/>
        <w:rPr>
          <w:rFonts w:ascii="宋体" w:hAnsi="宋体" w:cs="仿宋_GB2312"/>
          <w:color w:val="auto"/>
          <w:sz w:val="24"/>
          <w:highlight w:val="none"/>
        </w:rPr>
      </w:pPr>
    </w:p>
    <w:p w14:paraId="0E024AC5">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4379A1B6">
      <w:pPr>
        <w:spacing w:line="360" w:lineRule="auto"/>
        <w:ind w:left="540"/>
        <w:contextualSpacing/>
        <w:rPr>
          <w:rFonts w:ascii="宋体" w:hAnsi="宋体" w:cs="仿宋_GB2312"/>
          <w:color w:val="auto"/>
          <w:sz w:val="24"/>
          <w:highlight w:val="none"/>
        </w:rPr>
      </w:pPr>
    </w:p>
    <w:p w14:paraId="3B6EB326">
      <w:pPr>
        <w:spacing w:line="360" w:lineRule="auto"/>
        <w:ind w:left="540"/>
        <w:contextualSpacing/>
        <w:jc w:val="right"/>
        <w:rPr>
          <w:rFonts w:ascii="宋体" w:hAnsi="宋体" w:cs="仿宋_GB2312"/>
          <w:color w:val="auto"/>
          <w:sz w:val="24"/>
          <w:highlight w:val="none"/>
        </w:rPr>
      </w:pPr>
      <w:r>
        <w:rPr>
          <w:rFonts w:hint="eastAsia" w:ascii="宋体" w:hAnsi="宋体" w:cs="仿宋_GB2312"/>
          <w:color w:val="auto"/>
          <w:sz w:val="24"/>
          <w:highlight w:val="none"/>
        </w:rPr>
        <w:t>供应商名称（电子签章）：</w:t>
      </w:r>
      <w:r>
        <w:rPr>
          <w:rFonts w:hint="eastAsia" w:ascii="宋体" w:hAnsi="宋体" w:cs="仿宋_GB2312"/>
          <w:color w:val="auto"/>
          <w:sz w:val="24"/>
          <w:highlight w:val="none"/>
          <w:u w:val="single"/>
        </w:rPr>
        <w:t xml:space="preserve">               </w:t>
      </w:r>
    </w:p>
    <w:p w14:paraId="37F0EFC6">
      <w:pPr>
        <w:spacing w:line="360" w:lineRule="auto"/>
        <w:ind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1C44E5D5">
      <w:pPr>
        <w:spacing w:line="360" w:lineRule="auto"/>
        <w:contextualSpacing/>
        <w:jc w:val="center"/>
        <w:rPr>
          <w:rFonts w:ascii="宋体" w:hAnsi="宋体" w:cs="仿宋_GB2312"/>
          <w:b/>
          <w:color w:val="auto"/>
          <w:sz w:val="24"/>
          <w:highlight w:val="none"/>
        </w:rPr>
      </w:pPr>
    </w:p>
    <w:p w14:paraId="64CC3C4A">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58993319">
      <w:pPr>
        <w:adjustRightInd w:val="0"/>
        <w:snapToGrid w:val="0"/>
        <w:spacing w:line="300" w:lineRule="auto"/>
        <w:jc w:val="left"/>
        <w:rPr>
          <w:rFonts w:ascii="宋体" w:hAnsi="宋体"/>
          <w:b/>
          <w:color w:val="auto"/>
          <w:szCs w:val="21"/>
          <w:highlight w:val="none"/>
        </w:rPr>
      </w:pPr>
    </w:p>
    <w:p w14:paraId="008B99F1">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03CE76EF">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（非联合体竞标格式）</w:t>
      </w:r>
    </w:p>
    <w:p w14:paraId="5E291B00">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5FB24E5F">
      <w:pPr>
        <w:spacing w:line="360" w:lineRule="auto"/>
        <w:contextualSpacing/>
        <w:rPr>
          <w:rFonts w:ascii="仿宋_GB2312" w:hAnsi="仿宋_GB2312" w:eastAsia="仿宋_GB2312" w:cs="仿宋_GB2312"/>
          <w:color w:val="auto"/>
          <w:sz w:val="32"/>
          <w:szCs w:val="32"/>
          <w:highlight w:val="none"/>
        </w:rPr>
      </w:pPr>
    </w:p>
    <w:p w14:paraId="506E4D92">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05E3D05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2DED58B0">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48ED911C">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72CA44D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662A4AE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2E6FB31F">
      <w:pPr>
        <w:spacing w:line="360" w:lineRule="auto"/>
        <w:contextualSpacing/>
        <w:rPr>
          <w:rFonts w:ascii="宋体" w:hAnsi="宋体" w:cs="仿宋_GB2312"/>
          <w:color w:val="auto"/>
          <w:sz w:val="24"/>
          <w:highlight w:val="none"/>
        </w:rPr>
      </w:pPr>
    </w:p>
    <w:p w14:paraId="5D6CBD41">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42E001F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1909142E">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w:t>
      </w:r>
    </w:p>
    <w:p w14:paraId="31F62CE2">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供应商名称（电子签章）：                      </w:t>
      </w:r>
    </w:p>
    <w:p w14:paraId="18A6AF40">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14:paraId="3FC49BEE">
      <w:pPr>
        <w:spacing w:line="360" w:lineRule="auto"/>
        <w:contextualSpacing/>
        <w:rPr>
          <w:rFonts w:ascii="宋体" w:hAnsi="宋体" w:cs="仿宋_GB2312"/>
          <w:color w:val="auto"/>
          <w:sz w:val="24"/>
          <w:highlight w:val="none"/>
        </w:rPr>
      </w:pPr>
    </w:p>
    <w:p w14:paraId="56DEE1B8">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05C5ED36">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p w14:paraId="4D452E7A">
      <w:pPr>
        <w:spacing w:line="360" w:lineRule="auto"/>
        <w:ind w:firstLine="420" w:firstLineChars="200"/>
        <w:contextualSpacing/>
        <w:jc w:val="left"/>
        <w:rPr>
          <w:rFonts w:ascii="仿宋_GB2312" w:hAnsi="仿宋_GB2312" w:eastAsia="仿宋_GB2312" w:cs="仿宋_GB2312"/>
          <w:color w:val="auto"/>
          <w:szCs w:val="21"/>
          <w:highlight w:val="none"/>
        </w:rPr>
      </w:pPr>
    </w:p>
    <w:p w14:paraId="3691FCA8">
      <w:pPr>
        <w:spacing w:line="500" w:lineRule="exact"/>
        <w:jc w:val="center"/>
        <w:rPr>
          <w:rFonts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bCs/>
          <w:color w:val="auto"/>
          <w:sz w:val="44"/>
          <w:szCs w:val="44"/>
          <w:highlight w:val="none"/>
        </w:rPr>
        <w:t>商务要求偏离表格式</w:t>
      </w:r>
    </w:p>
    <w:p w14:paraId="16A958D0">
      <w:pPr>
        <w:spacing w:line="500" w:lineRule="exact"/>
        <w:jc w:val="center"/>
        <w:rPr>
          <w:rFonts w:ascii="宋体" w:hAnsi="宋体"/>
          <w:b/>
          <w:i/>
          <w:color w:val="auto"/>
          <w:sz w:val="32"/>
          <w:szCs w:val="32"/>
          <w:highlight w:val="none"/>
        </w:rPr>
      </w:pPr>
    </w:p>
    <w:p w14:paraId="01DE67EF">
      <w:pPr>
        <w:snapToGrid w:val="0"/>
        <w:spacing w:before="50"/>
        <w:jc w:val="left"/>
        <w:rPr>
          <w:rFonts w:ascii="宋体" w:hAnsi="宋体"/>
          <w:color w:val="auto"/>
          <w:sz w:val="24"/>
          <w:highlight w:val="none"/>
        </w:rPr>
      </w:pPr>
    </w:p>
    <w:p w14:paraId="2E7F9AF2">
      <w:pPr>
        <w:pStyle w:val="12"/>
        <w:spacing w:line="360" w:lineRule="auto"/>
        <w:rPr>
          <w:rFonts w:hAnsi="宋体" w:cs="仿宋_GB2312"/>
          <w:color w:val="auto"/>
          <w:sz w:val="24"/>
          <w:szCs w:val="24"/>
          <w:highlight w:val="non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tbl>
      <w:tblPr>
        <w:tblStyle w:val="21"/>
        <w:tblpPr w:leftFromText="180" w:rightFromText="180" w:vertAnchor="text" w:horzAnchor="margin" w:tblpY="3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28821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12C2EA10">
            <w:pPr>
              <w:snapToGrid w:val="0"/>
              <w:spacing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0EC808DC">
            <w:pPr>
              <w:snapToGrid w:val="0"/>
              <w:spacing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14:paraId="006F5551">
            <w:pPr>
              <w:snapToGrid w:val="0"/>
              <w:spacing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14:paraId="04709453">
            <w:pPr>
              <w:snapToGrid w:val="0"/>
              <w:spacing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14:paraId="0C9E9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2178" w:type="dxa"/>
            <w:tcBorders>
              <w:top w:val="single" w:color="auto" w:sz="4" w:space="0"/>
              <w:left w:val="single" w:color="auto" w:sz="4" w:space="0"/>
              <w:bottom w:val="single" w:color="auto" w:sz="4" w:space="0"/>
              <w:right w:val="single" w:color="auto" w:sz="4" w:space="0"/>
            </w:tcBorders>
            <w:vAlign w:val="center"/>
          </w:tcPr>
          <w:p w14:paraId="24920962">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48BBD5B9">
            <w:pPr>
              <w:jc w:val="center"/>
              <w:rPr>
                <w:rFonts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1595DEAF">
            <w:pPr>
              <w:snapToGrid w:val="0"/>
              <w:spacing w:beforeLines="50" w:line="360" w:lineRule="auto"/>
              <w:jc w:val="center"/>
              <w:rPr>
                <w:rFonts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3E4A4BDA">
            <w:pPr>
              <w:snapToGrid w:val="0"/>
              <w:spacing w:beforeLines="50" w:line="360" w:lineRule="auto"/>
              <w:jc w:val="center"/>
              <w:rPr>
                <w:rFonts w:ascii="宋体" w:hAnsi="宋体" w:cs="仿宋_GB2312"/>
                <w:color w:val="auto"/>
                <w:sz w:val="24"/>
                <w:highlight w:val="none"/>
              </w:rPr>
            </w:pPr>
          </w:p>
        </w:tc>
      </w:tr>
      <w:tr w14:paraId="3A4B3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0DD7018A">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516A50A7">
            <w:pPr>
              <w:jc w:val="center"/>
              <w:rPr>
                <w:rFonts w:ascii="宋体" w:hAnsi="宋体"/>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18C61C17">
            <w:pPr>
              <w:snapToGrid w:val="0"/>
              <w:spacing w:beforeLines="50" w:line="360" w:lineRule="auto"/>
              <w:ind w:left="43"/>
              <w:jc w:val="center"/>
              <w:rPr>
                <w:rFonts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5D0F758C">
            <w:pPr>
              <w:snapToGrid w:val="0"/>
              <w:spacing w:beforeLines="50" w:line="360" w:lineRule="auto"/>
              <w:ind w:left="43"/>
              <w:jc w:val="center"/>
              <w:rPr>
                <w:rFonts w:ascii="宋体" w:hAnsi="宋体" w:cs="仿宋_GB2312"/>
                <w:color w:val="auto"/>
                <w:sz w:val="24"/>
                <w:highlight w:val="none"/>
              </w:rPr>
            </w:pPr>
          </w:p>
        </w:tc>
      </w:tr>
      <w:tr w14:paraId="7FF6C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658BDD9F">
            <w:pPr>
              <w:snapToGrid w:val="0"/>
              <w:spacing w:beforeLines="50" w:line="360" w:lineRule="auto"/>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79C491E3">
            <w:pPr>
              <w:snapToGrid w:val="0"/>
              <w:spacing w:beforeLines="50" w:line="360" w:lineRule="auto"/>
              <w:jc w:val="center"/>
              <w:rPr>
                <w:rFonts w:ascii="宋体" w:hAnsi="宋体" w:cs="仿宋_GB2312"/>
                <w:color w:val="auto"/>
                <w:sz w:val="24"/>
                <w:highlight w:val="none"/>
              </w:rPr>
            </w:pPr>
          </w:p>
        </w:tc>
        <w:tc>
          <w:tcPr>
            <w:tcW w:w="2633" w:type="dxa"/>
            <w:tcBorders>
              <w:top w:val="single" w:color="auto" w:sz="4" w:space="0"/>
              <w:left w:val="single" w:color="auto" w:sz="4" w:space="0"/>
              <w:bottom w:val="single" w:color="auto" w:sz="4" w:space="0"/>
              <w:right w:val="single" w:color="auto" w:sz="4" w:space="0"/>
            </w:tcBorders>
            <w:vAlign w:val="center"/>
          </w:tcPr>
          <w:p w14:paraId="736ED859">
            <w:pPr>
              <w:snapToGrid w:val="0"/>
              <w:spacing w:beforeLines="50" w:line="360" w:lineRule="auto"/>
              <w:jc w:val="center"/>
              <w:rPr>
                <w:rFonts w:ascii="宋体" w:hAnsi="宋体" w:cs="仿宋_GB2312"/>
                <w:color w:val="auto"/>
                <w:sz w:val="24"/>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14:paraId="1CA082D7">
            <w:pPr>
              <w:snapToGrid w:val="0"/>
              <w:spacing w:beforeLines="50" w:line="360" w:lineRule="auto"/>
              <w:jc w:val="center"/>
              <w:rPr>
                <w:rFonts w:ascii="宋体" w:hAnsi="宋体" w:cs="仿宋_GB2312"/>
                <w:color w:val="auto"/>
                <w:sz w:val="24"/>
                <w:highlight w:val="none"/>
              </w:rPr>
            </w:pPr>
          </w:p>
        </w:tc>
      </w:tr>
    </w:tbl>
    <w:p w14:paraId="25B01338">
      <w:pPr>
        <w:pStyle w:val="8"/>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37454B3A">
      <w:pPr>
        <w:pStyle w:val="8"/>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说明：应对照谈判文件“第三章 采购需求”中的商务要求逐条明确响应，并作出偏离说明。</w:t>
      </w:r>
    </w:p>
    <w:p w14:paraId="2D24C25E">
      <w:pPr>
        <w:pStyle w:val="8"/>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2.供应商应根据自身的承诺，对照谈判文件要求在“偏离说明”中注明“正偏离”“负偏离”或者“无偏离”。既不属于“正偏离”也不属于“负偏离”即为“无偏离”。</w:t>
      </w:r>
    </w:p>
    <w:p w14:paraId="0A527773">
      <w:pPr>
        <w:spacing w:line="360" w:lineRule="auto"/>
        <w:contextualSpacing/>
        <w:jc w:val="left"/>
        <w:rPr>
          <w:rFonts w:ascii="宋体" w:hAnsi="宋体" w:cs="仿宋_GB2312"/>
          <w:color w:val="auto"/>
          <w:sz w:val="24"/>
          <w:highlight w:val="none"/>
          <w:u w:val="single"/>
        </w:rPr>
      </w:pPr>
    </w:p>
    <w:p w14:paraId="2CAC3F19">
      <w:pPr>
        <w:spacing w:line="360" w:lineRule="auto"/>
        <w:contextualSpacing/>
        <w:jc w:val="left"/>
        <w:rPr>
          <w:rFonts w:ascii="宋体" w:hAnsi="宋体" w:cs="仿宋_GB2312"/>
          <w:color w:val="auto"/>
          <w:sz w:val="24"/>
          <w:highlight w:val="none"/>
          <w:u w:val="single"/>
        </w:rPr>
      </w:pPr>
    </w:p>
    <w:p w14:paraId="4EFC6D44">
      <w:pPr>
        <w:spacing w:line="360" w:lineRule="auto"/>
        <w:ind w:right="-817" w:rightChars="-389"/>
        <w:contextualSpacing/>
        <w:rPr>
          <w:rFonts w:ascii="宋体" w:hAnsi="宋体" w:cs="仿宋_GB2312"/>
          <w:color w:val="auto"/>
          <w:sz w:val="24"/>
          <w:highlight w:val="none"/>
        </w:rPr>
      </w:pPr>
    </w:p>
    <w:p w14:paraId="6DB0782A">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5608CB1A">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08B87449">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1F117E0C">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229E0F53">
      <w:pPr>
        <w:adjustRightInd w:val="0"/>
        <w:snapToGrid w:val="0"/>
        <w:spacing w:line="520" w:lineRule="exact"/>
        <w:jc w:val="center"/>
        <w:rPr>
          <w:rFonts w:ascii="宋体" w:hAnsi="宋体"/>
          <w:b/>
          <w:color w:val="auto"/>
          <w:sz w:val="32"/>
          <w:szCs w:val="32"/>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货物配置清单</w:t>
      </w:r>
    </w:p>
    <w:p w14:paraId="268DDF59">
      <w:pPr>
        <w:spacing w:line="300" w:lineRule="auto"/>
        <w:rPr>
          <w:rFonts w:ascii="宋体" w:hAnsi="宋体"/>
          <w:color w:val="auto"/>
          <w:szCs w:val="21"/>
          <w:highlight w:val="none"/>
        </w:rPr>
      </w:pPr>
    </w:p>
    <w:p w14:paraId="674E9C28">
      <w:pPr>
        <w:spacing w:line="360" w:lineRule="auto"/>
        <w:rPr>
          <w:rFonts w:ascii="宋体" w:hAnsi="宋体" w:cs="仿宋_GB2312"/>
          <w:color w:val="auto"/>
          <w:sz w:val="24"/>
          <w:highlight w:val="none"/>
        </w:rPr>
      </w:pP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361BEACC">
      <w:pPr>
        <w:spacing w:line="360" w:lineRule="auto"/>
        <w:rPr>
          <w:rFonts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62AAB828">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所竞分标：</w:t>
      </w:r>
      <w:r>
        <w:rPr>
          <w:rFonts w:hint="eastAsia" w:ascii="宋体" w:hAnsi="宋体" w:cs="仿宋_GB2312"/>
          <w:color w:val="auto"/>
          <w:sz w:val="24"/>
          <w:highlight w:val="none"/>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245"/>
        <w:gridCol w:w="803"/>
        <w:gridCol w:w="895"/>
        <w:gridCol w:w="1786"/>
        <w:gridCol w:w="1245"/>
        <w:gridCol w:w="737"/>
        <w:gridCol w:w="1496"/>
      </w:tblGrid>
      <w:tr w14:paraId="5E67A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739105DD">
            <w:pPr>
              <w:snapToGrid w:val="0"/>
              <w:spacing w:before="50" w:after="50"/>
              <w:jc w:val="center"/>
              <w:rPr>
                <w:rFonts w:ascii="宋体" w:hAnsi="宋体"/>
                <w:color w:val="auto"/>
                <w:sz w:val="24"/>
                <w:highlight w:val="none"/>
              </w:rPr>
            </w:pPr>
            <w:r>
              <w:rPr>
                <w:rFonts w:hint="eastAsia" w:ascii="宋体" w:hAnsi="宋体"/>
                <w:color w:val="auto"/>
                <w:sz w:val="24"/>
                <w:highlight w:val="none"/>
              </w:rPr>
              <w:t>序号</w:t>
            </w:r>
          </w:p>
        </w:tc>
        <w:tc>
          <w:tcPr>
            <w:tcW w:w="1245" w:type="dxa"/>
            <w:tcBorders>
              <w:top w:val="single" w:color="auto" w:sz="4" w:space="0"/>
              <w:left w:val="single" w:color="auto" w:sz="4" w:space="0"/>
              <w:bottom w:val="single" w:color="auto" w:sz="4" w:space="0"/>
              <w:right w:val="single" w:color="auto" w:sz="4" w:space="0"/>
            </w:tcBorders>
            <w:vAlign w:val="center"/>
          </w:tcPr>
          <w:p w14:paraId="667D5800">
            <w:pPr>
              <w:snapToGrid w:val="0"/>
              <w:spacing w:before="50" w:after="50"/>
              <w:jc w:val="center"/>
              <w:rPr>
                <w:rFonts w:ascii="宋体" w:hAnsi="宋体"/>
                <w:color w:val="auto"/>
                <w:sz w:val="24"/>
                <w:highlight w:val="none"/>
              </w:rPr>
            </w:pPr>
            <w:r>
              <w:rPr>
                <w:rFonts w:hint="eastAsia" w:ascii="宋体" w:hAnsi="宋体"/>
                <w:color w:val="auto"/>
                <w:sz w:val="24"/>
                <w:highlight w:val="none"/>
              </w:rPr>
              <w:t>标的的名称</w:t>
            </w:r>
          </w:p>
        </w:tc>
        <w:tc>
          <w:tcPr>
            <w:tcW w:w="803" w:type="dxa"/>
            <w:tcBorders>
              <w:top w:val="single" w:color="auto" w:sz="4" w:space="0"/>
              <w:left w:val="single" w:color="auto" w:sz="4" w:space="0"/>
              <w:bottom w:val="single" w:color="auto" w:sz="4" w:space="0"/>
              <w:right w:val="single" w:color="auto" w:sz="4" w:space="0"/>
            </w:tcBorders>
            <w:vAlign w:val="center"/>
          </w:tcPr>
          <w:p w14:paraId="31C81C1B">
            <w:pPr>
              <w:snapToGrid w:val="0"/>
              <w:spacing w:before="50" w:after="50"/>
              <w:jc w:val="center"/>
              <w:rPr>
                <w:rFonts w:ascii="宋体" w:hAnsi="宋体"/>
                <w:color w:val="auto"/>
                <w:sz w:val="24"/>
                <w:highlight w:val="none"/>
              </w:rPr>
            </w:pPr>
            <w:r>
              <w:rPr>
                <w:rFonts w:hint="eastAsia" w:ascii="宋体" w:hAnsi="宋体"/>
                <w:color w:val="auto"/>
                <w:sz w:val="24"/>
                <w:highlight w:val="none"/>
              </w:rPr>
              <w:t>年度采购预估量</w:t>
            </w:r>
          </w:p>
        </w:tc>
        <w:tc>
          <w:tcPr>
            <w:tcW w:w="895" w:type="dxa"/>
            <w:tcBorders>
              <w:top w:val="single" w:color="auto" w:sz="4" w:space="0"/>
              <w:left w:val="single" w:color="auto" w:sz="4" w:space="0"/>
              <w:bottom w:val="single" w:color="auto" w:sz="4" w:space="0"/>
              <w:right w:val="single" w:color="auto" w:sz="4" w:space="0"/>
            </w:tcBorders>
            <w:vAlign w:val="center"/>
          </w:tcPr>
          <w:p w14:paraId="05346843">
            <w:pPr>
              <w:snapToGrid w:val="0"/>
              <w:spacing w:before="50" w:after="50"/>
              <w:jc w:val="center"/>
              <w:rPr>
                <w:rFonts w:ascii="宋体" w:hAnsi="宋体"/>
                <w:color w:val="auto"/>
                <w:sz w:val="24"/>
                <w:highlight w:val="none"/>
              </w:rPr>
            </w:pPr>
            <w:r>
              <w:rPr>
                <w:rFonts w:hint="eastAsia" w:ascii="宋体" w:hAnsi="宋体"/>
                <w:color w:val="auto"/>
                <w:sz w:val="24"/>
                <w:highlight w:val="none"/>
              </w:rPr>
              <w:t>品牌</w:t>
            </w:r>
          </w:p>
        </w:tc>
        <w:tc>
          <w:tcPr>
            <w:tcW w:w="1786" w:type="dxa"/>
            <w:tcBorders>
              <w:top w:val="single" w:color="auto" w:sz="4" w:space="0"/>
              <w:left w:val="single" w:color="auto" w:sz="4" w:space="0"/>
              <w:bottom w:val="single" w:color="auto" w:sz="4" w:space="0"/>
              <w:right w:val="single" w:color="auto" w:sz="4" w:space="0"/>
            </w:tcBorders>
          </w:tcPr>
          <w:p w14:paraId="254FC525">
            <w:pPr>
              <w:snapToGrid w:val="0"/>
              <w:spacing w:before="50" w:after="50"/>
              <w:jc w:val="center"/>
              <w:rPr>
                <w:rFonts w:ascii="宋体" w:hAnsi="宋体"/>
                <w:color w:val="auto"/>
                <w:sz w:val="24"/>
                <w:highlight w:val="none"/>
              </w:rPr>
            </w:pPr>
          </w:p>
          <w:p w14:paraId="6C4B208F">
            <w:pPr>
              <w:snapToGrid w:val="0"/>
              <w:spacing w:before="50" w:after="50"/>
              <w:jc w:val="center"/>
              <w:rPr>
                <w:rFonts w:ascii="宋体" w:hAnsi="宋体"/>
                <w:color w:val="auto"/>
                <w:sz w:val="24"/>
                <w:highlight w:val="none"/>
              </w:rPr>
            </w:pPr>
            <w:r>
              <w:rPr>
                <w:rFonts w:hint="eastAsia" w:ascii="宋体" w:hAnsi="宋体"/>
                <w:color w:val="auto"/>
                <w:sz w:val="24"/>
                <w:highlight w:val="none"/>
              </w:rPr>
              <w:t>规格型号</w:t>
            </w:r>
          </w:p>
        </w:tc>
        <w:tc>
          <w:tcPr>
            <w:tcW w:w="1245" w:type="dxa"/>
            <w:tcBorders>
              <w:top w:val="single" w:color="auto" w:sz="4" w:space="0"/>
              <w:left w:val="single" w:color="auto" w:sz="4" w:space="0"/>
              <w:bottom w:val="single" w:color="auto" w:sz="4" w:space="0"/>
              <w:right w:val="single" w:color="auto" w:sz="4" w:space="0"/>
            </w:tcBorders>
            <w:vAlign w:val="center"/>
          </w:tcPr>
          <w:p w14:paraId="1B6AECBC">
            <w:pPr>
              <w:snapToGrid w:val="0"/>
              <w:spacing w:before="50" w:after="50"/>
              <w:jc w:val="center"/>
              <w:rPr>
                <w:rFonts w:ascii="宋体" w:hAnsi="宋体"/>
                <w:color w:val="auto"/>
                <w:sz w:val="24"/>
                <w:highlight w:val="none"/>
              </w:rPr>
            </w:pPr>
            <w:r>
              <w:rPr>
                <w:rFonts w:hint="eastAsia" w:ascii="宋体" w:hAnsi="宋体"/>
                <w:color w:val="auto"/>
                <w:sz w:val="24"/>
                <w:highlight w:val="none"/>
              </w:rPr>
              <w:t>制造商</w:t>
            </w:r>
          </w:p>
        </w:tc>
        <w:tc>
          <w:tcPr>
            <w:tcW w:w="737" w:type="dxa"/>
            <w:tcBorders>
              <w:top w:val="single" w:color="auto" w:sz="4" w:space="0"/>
              <w:left w:val="single" w:color="auto" w:sz="4" w:space="0"/>
              <w:bottom w:val="single" w:color="auto" w:sz="4" w:space="0"/>
              <w:right w:val="single" w:color="auto" w:sz="4" w:space="0"/>
            </w:tcBorders>
            <w:vAlign w:val="center"/>
          </w:tcPr>
          <w:p w14:paraId="73103449">
            <w:pPr>
              <w:snapToGrid w:val="0"/>
              <w:spacing w:before="50" w:after="50"/>
              <w:jc w:val="center"/>
              <w:rPr>
                <w:rFonts w:ascii="宋体" w:hAnsi="宋体"/>
                <w:color w:val="auto"/>
                <w:sz w:val="24"/>
                <w:highlight w:val="none"/>
              </w:rPr>
            </w:pPr>
            <w:r>
              <w:rPr>
                <w:rFonts w:hint="eastAsia" w:ascii="宋体" w:hAnsi="宋体"/>
                <w:color w:val="auto"/>
                <w:sz w:val="24"/>
                <w:highlight w:val="none"/>
              </w:rPr>
              <w:t>原产地</w:t>
            </w:r>
          </w:p>
        </w:tc>
        <w:tc>
          <w:tcPr>
            <w:tcW w:w="1496" w:type="dxa"/>
            <w:tcBorders>
              <w:top w:val="single" w:color="auto" w:sz="4" w:space="0"/>
              <w:left w:val="single" w:color="auto" w:sz="4" w:space="0"/>
              <w:bottom w:val="single" w:color="auto" w:sz="4" w:space="0"/>
              <w:right w:val="single" w:color="auto" w:sz="4" w:space="0"/>
            </w:tcBorders>
            <w:vAlign w:val="center"/>
          </w:tcPr>
          <w:p w14:paraId="40B27632">
            <w:pPr>
              <w:snapToGrid w:val="0"/>
              <w:spacing w:before="50" w:after="50"/>
              <w:jc w:val="center"/>
              <w:rPr>
                <w:rFonts w:ascii="宋体" w:hAnsi="宋体"/>
                <w:color w:val="auto"/>
                <w:sz w:val="24"/>
                <w:highlight w:val="none"/>
              </w:rPr>
            </w:pPr>
            <w:r>
              <w:rPr>
                <w:rFonts w:hint="eastAsia" w:ascii="宋体" w:hAnsi="宋体"/>
                <w:color w:val="auto"/>
                <w:sz w:val="24"/>
                <w:highlight w:val="none"/>
              </w:rPr>
              <w:t>参数性能、指标及配置</w:t>
            </w:r>
          </w:p>
        </w:tc>
      </w:tr>
      <w:tr w14:paraId="26848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04E1DB43">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29425413">
            <w:pPr>
              <w:snapToGrid w:val="0"/>
              <w:spacing w:before="50" w:after="50"/>
              <w:jc w:val="center"/>
              <w:rPr>
                <w:rFonts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0BE22932">
            <w:pPr>
              <w:snapToGrid w:val="0"/>
              <w:spacing w:before="50" w:after="50"/>
              <w:jc w:val="center"/>
              <w:rPr>
                <w:rFonts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330BE562">
            <w:pPr>
              <w:snapToGrid w:val="0"/>
              <w:spacing w:before="50" w:after="50"/>
              <w:jc w:val="center"/>
              <w:rPr>
                <w:rFonts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4FC1C0EC">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0E4ECBC9">
            <w:pPr>
              <w:snapToGrid w:val="0"/>
              <w:spacing w:before="50" w:after="50"/>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3D5903E6">
            <w:pPr>
              <w:snapToGrid w:val="0"/>
              <w:spacing w:before="50" w:after="50"/>
              <w:jc w:val="center"/>
              <w:rPr>
                <w:rFonts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6F89031E">
            <w:pPr>
              <w:snapToGrid w:val="0"/>
              <w:spacing w:before="50" w:after="50"/>
              <w:jc w:val="center"/>
              <w:rPr>
                <w:rFonts w:ascii="宋体" w:hAnsi="宋体"/>
                <w:color w:val="auto"/>
                <w:sz w:val="24"/>
                <w:highlight w:val="none"/>
              </w:rPr>
            </w:pPr>
          </w:p>
        </w:tc>
      </w:tr>
      <w:tr w14:paraId="19857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1887E3F0">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117F6653">
            <w:pPr>
              <w:snapToGrid w:val="0"/>
              <w:spacing w:before="50" w:after="50"/>
              <w:jc w:val="center"/>
              <w:rPr>
                <w:rFonts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388AE9E2">
            <w:pPr>
              <w:snapToGrid w:val="0"/>
              <w:spacing w:before="50" w:after="50"/>
              <w:jc w:val="center"/>
              <w:rPr>
                <w:rFonts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18E0624E">
            <w:pPr>
              <w:snapToGrid w:val="0"/>
              <w:spacing w:before="50" w:after="50"/>
              <w:jc w:val="center"/>
              <w:rPr>
                <w:rFonts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10DC81F6">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53D2062C">
            <w:pPr>
              <w:snapToGrid w:val="0"/>
              <w:spacing w:before="50" w:after="50"/>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391CE65D">
            <w:pPr>
              <w:snapToGrid w:val="0"/>
              <w:spacing w:before="50" w:after="50"/>
              <w:jc w:val="center"/>
              <w:rPr>
                <w:rFonts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3EF25EC1">
            <w:pPr>
              <w:snapToGrid w:val="0"/>
              <w:spacing w:before="50" w:after="50"/>
              <w:jc w:val="center"/>
              <w:rPr>
                <w:rFonts w:ascii="宋体" w:hAnsi="宋体"/>
                <w:color w:val="auto"/>
                <w:sz w:val="24"/>
                <w:highlight w:val="none"/>
              </w:rPr>
            </w:pPr>
          </w:p>
        </w:tc>
      </w:tr>
      <w:tr w14:paraId="1C49C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14:paraId="2528971A">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19D13391">
            <w:pPr>
              <w:snapToGrid w:val="0"/>
              <w:spacing w:before="50" w:after="50"/>
              <w:jc w:val="center"/>
              <w:rPr>
                <w:rFonts w:ascii="宋体" w:hAnsi="宋体"/>
                <w:color w:val="auto"/>
                <w:sz w:val="24"/>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14:paraId="5A843A77">
            <w:pPr>
              <w:snapToGrid w:val="0"/>
              <w:spacing w:before="50" w:after="50"/>
              <w:jc w:val="center"/>
              <w:rPr>
                <w:rFonts w:ascii="宋体" w:hAnsi="宋体"/>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vAlign w:val="center"/>
          </w:tcPr>
          <w:p w14:paraId="223C0658">
            <w:pPr>
              <w:snapToGrid w:val="0"/>
              <w:spacing w:before="50" w:after="50"/>
              <w:jc w:val="center"/>
              <w:rPr>
                <w:rFonts w:ascii="宋体" w:hAnsi="宋体"/>
                <w:color w:val="auto"/>
                <w:sz w:val="24"/>
                <w:highlight w:val="none"/>
              </w:rPr>
            </w:pPr>
          </w:p>
        </w:tc>
        <w:tc>
          <w:tcPr>
            <w:tcW w:w="1786" w:type="dxa"/>
            <w:tcBorders>
              <w:top w:val="single" w:color="auto" w:sz="4" w:space="0"/>
              <w:left w:val="single" w:color="auto" w:sz="4" w:space="0"/>
              <w:bottom w:val="single" w:color="auto" w:sz="4" w:space="0"/>
              <w:right w:val="single" w:color="auto" w:sz="4" w:space="0"/>
            </w:tcBorders>
          </w:tcPr>
          <w:p w14:paraId="67AB34A1">
            <w:pPr>
              <w:snapToGrid w:val="0"/>
              <w:spacing w:before="50" w:after="50"/>
              <w:jc w:val="center"/>
              <w:rPr>
                <w:rFonts w:ascii="宋体" w:hAnsi="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1BFFFF45">
            <w:pPr>
              <w:snapToGrid w:val="0"/>
              <w:spacing w:before="50" w:after="50"/>
              <w:jc w:val="center"/>
              <w:rPr>
                <w:rFonts w:ascii="宋体" w:hAnsi="宋体"/>
                <w:color w:val="auto"/>
                <w:sz w:val="24"/>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14:paraId="7467D9D3">
            <w:pPr>
              <w:snapToGrid w:val="0"/>
              <w:spacing w:before="50" w:after="50"/>
              <w:jc w:val="center"/>
              <w:rPr>
                <w:rFonts w:ascii="宋体" w:hAnsi="宋体"/>
                <w:color w:val="auto"/>
                <w:sz w:val="24"/>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30E0B45F">
            <w:pPr>
              <w:snapToGrid w:val="0"/>
              <w:spacing w:before="50" w:after="50"/>
              <w:jc w:val="center"/>
              <w:rPr>
                <w:rFonts w:ascii="宋体" w:hAnsi="宋体"/>
                <w:color w:val="auto"/>
                <w:sz w:val="24"/>
                <w:highlight w:val="none"/>
              </w:rPr>
            </w:pPr>
          </w:p>
        </w:tc>
      </w:tr>
    </w:tbl>
    <w:p w14:paraId="5401ED8C">
      <w:pPr>
        <w:spacing w:line="360" w:lineRule="auto"/>
        <w:contextualSpacing/>
        <w:rPr>
          <w:rFonts w:ascii="宋体" w:hAnsi="宋体"/>
          <w:color w:val="auto"/>
          <w:sz w:val="24"/>
          <w:highlight w:val="none"/>
        </w:rPr>
      </w:pPr>
      <w:r>
        <w:rPr>
          <w:rFonts w:hint="eastAsia" w:ascii="宋体" w:hAnsi="宋体"/>
          <w:color w:val="auto"/>
          <w:sz w:val="24"/>
          <w:highlight w:val="none"/>
        </w:rPr>
        <w:t>备注：</w:t>
      </w:r>
    </w:p>
    <w:p w14:paraId="35F999F0">
      <w:pPr>
        <w:tabs>
          <w:tab w:val="left" w:pos="1065"/>
        </w:tabs>
        <w:adjustRightInd w:val="0"/>
        <w:spacing w:line="360" w:lineRule="auto"/>
        <w:contextualSpacing/>
        <w:rPr>
          <w:rFonts w:ascii="宋体" w:hAnsi="宋体" w:cs="仿宋_GB2312"/>
          <w:color w:val="auto"/>
          <w:sz w:val="24"/>
          <w:highlight w:val="none"/>
        </w:rPr>
      </w:pPr>
      <w:r>
        <w:rPr>
          <w:rFonts w:hint="eastAsia" w:ascii="宋体" w:hAnsi="宋体"/>
          <w:b/>
          <w:bCs/>
          <w:color w:val="auto"/>
          <w:sz w:val="24"/>
          <w:highlight w:val="none"/>
        </w:rPr>
        <w:t>以上货物配置清单中“标的的名称、数量及单位、品牌、规格型号、制造商、原产地、参数性能、指标及配置”必须如实填写完整，品牌、规格型号没有则填无，填写有缺漏的，响应文件按无效处理</w:t>
      </w:r>
      <w:r>
        <w:rPr>
          <w:rFonts w:hint="eastAsia" w:ascii="宋体" w:hAnsi="宋体"/>
          <w:b/>
          <w:color w:val="auto"/>
          <w:sz w:val="24"/>
          <w:highlight w:val="none"/>
        </w:rPr>
        <w:t>。</w:t>
      </w:r>
      <w:r>
        <w:rPr>
          <w:rFonts w:hint="eastAsia" w:ascii="宋体" w:hAnsi="宋体" w:cs="仿宋_GB2312"/>
          <w:color w:val="auto"/>
          <w:sz w:val="24"/>
          <w:highlight w:val="none"/>
        </w:rPr>
        <w:tab/>
      </w:r>
    </w:p>
    <w:p w14:paraId="648309DF">
      <w:pPr>
        <w:adjustRightInd w:val="0"/>
        <w:spacing w:line="360" w:lineRule="auto"/>
        <w:contextualSpacing/>
        <w:jc w:val="left"/>
        <w:rPr>
          <w:rFonts w:ascii="宋体" w:hAnsi="宋体" w:cs="仿宋_GB2312"/>
          <w:color w:val="auto"/>
          <w:sz w:val="24"/>
          <w:highlight w:val="none"/>
        </w:rPr>
      </w:pPr>
    </w:p>
    <w:p w14:paraId="3FF601BF">
      <w:pPr>
        <w:adjustRightInd w:val="0"/>
        <w:spacing w:line="360" w:lineRule="auto"/>
        <w:contextualSpacing/>
        <w:jc w:val="left"/>
        <w:rPr>
          <w:rFonts w:ascii="宋体" w:hAnsi="宋体" w:cs="仿宋_GB2312"/>
          <w:color w:val="auto"/>
          <w:sz w:val="24"/>
          <w:highlight w:val="none"/>
        </w:rPr>
      </w:pPr>
    </w:p>
    <w:p w14:paraId="5F270410">
      <w:pPr>
        <w:adjustRightInd w:val="0"/>
        <w:spacing w:line="360" w:lineRule="auto"/>
        <w:contextualSpacing/>
        <w:jc w:val="left"/>
        <w:rPr>
          <w:rFonts w:ascii="宋体" w:hAnsi="宋体" w:cs="仿宋_GB2312"/>
          <w:color w:val="auto"/>
          <w:sz w:val="24"/>
          <w:highlight w:val="none"/>
        </w:rPr>
      </w:pPr>
    </w:p>
    <w:p w14:paraId="3A76A475">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4FBEB5DC">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00D81148">
      <w:pPr>
        <w:spacing w:line="360" w:lineRule="auto"/>
        <w:ind w:right="-817" w:rightChars="-389" w:firstLine="2880" w:firstLineChars="12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6E7930A5">
      <w:pPr>
        <w:adjustRightInd w:val="0"/>
        <w:snapToGrid w:val="0"/>
        <w:spacing w:line="300" w:lineRule="auto"/>
        <w:rPr>
          <w:rFonts w:ascii="宋体" w:hAnsi="宋体"/>
          <w:color w:val="auto"/>
          <w:szCs w:val="21"/>
          <w:highlight w:val="none"/>
          <w:u w:val="single"/>
        </w:rPr>
      </w:pPr>
    </w:p>
    <w:p w14:paraId="2A9ED776">
      <w:pPr>
        <w:adjustRightInd w:val="0"/>
        <w:snapToGrid w:val="0"/>
        <w:spacing w:line="300" w:lineRule="auto"/>
        <w:rPr>
          <w:rFonts w:ascii="宋体" w:hAnsi="宋体"/>
          <w:color w:val="auto"/>
          <w:szCs w:val="21"/>
          <w:highlight w:val="none"/>
          <w:u w:val="single"/>
        </w:rPr>
      </w:pPr>
    </w:p>
    <w:p w14:paraId="55E308D8">
      <w:pPr>
        <w:adjustRightInd w:val="0"/>
        <w:snapToGrid w:val="0"/>
        <w:spacing w:line="300" w:lineRule="auto"/>
        <w:rPr>
          <w:rFonts w:ascii="宋体" w:hAnsi="宋体"/>
          <w:color w:val="auto"/>
          <w:szCs w:val="21"/>
          <w:highlight w:val="none"/>
          <w:u w:val="single"/>
        </w:rPr>
      </w:pPr>
    </w:p>
    <w:p w14:paraId="51D8C034">
      <w:pPr>
        <w:adjustRightInd w:val="0"/>
        <w:snapToGrid w:val="0"/>
        <w:spacing w:line="300" w:lineRule="auto"/>
        <w:rPr>
          <w:rFonts w:ascii="宋体" w:hAnsi="宋体"/>
          <w:color w:val="auto"/>
          <w:szCs w:val="21"/>
          <w:highlight w:val="none"/>
          <w:u w:val="single"/>
        </w:rPr>
      </w:pPr>
    </w:p>
    <w:p w14:paraId="3F0BC5F3">
      <w:pPr>
        <w:adjustRightInd w:val="0"/>
        <w:snapToGrid w:val="0"/>
        <w:spacing w:line="300" w:lineRule="auto"/>
        <w:rPr>
          <w:rFonts w:ascii="宋体" w:hAnsi="宋体"/>
          <w:color w:val="auto"/>
          <w:szCs w:val="21"/>
          <w:highlight w:val="none"/>
          <w:u w:val="single"/>
        </w:rPr>
      </w:pPr>
    </w:p>
    <w:p w14:paraId="25B0E289">
      <w:pPr>
        <w:adjustRightInd w:val="0"/>
        <w:snapToGrid w:val="0"/>
        <w:spacing w:line="300" w:lineRule="auto"/>
        <w:rPr>
          <w:rFonts w:ascii="宋体" w:hAnsi="宋体"/>
          <w:color w:val="auto"/>
          <w:szCs w:val="21"/>
          <w:highlight w:val="none"/>
          <w:u w:val="single"/>
        </w:rPr>
      </w:pPr>
    </w:p>
    <w:p w14:paraId="1AC776B3">
      <w:pPr>
        <w:adjustRightInd w:val="0"/>
        <w:snapToGrid w:val="0"/>
        <w:spacing w:line="300" w:lineRule="auto"/>
        <w:rPr>
          <w:rFonts w:ascii="宋体" w:hAnsi="宋体"/>
          <w:color w:val="auto"/>
          <w:szCs w:val="21"/>
          <w:highlight w:val="none"/>
          <w:u w:val="single"/>
        </w:rPr>
      </w:pPr>
    </w:p>
    <w:p w14:paraId="23D84839">
      <w:pPr>
        <w:adjustRightInd w:val="0"/>
        <w:snapToGrid w:val="0"/>
        <w:spacing w:line="300" w:lineRule="auto"/>
        <w:rPr>
          <w:rFonts w:ascii="宋体" w:hAnsi="宋体"/>
          <w:color w:val="auto"/>
          <w:szCs w:val="21"/>
          <w:highlight w:val="none"/>
          <w:u w:val="single"/>
        </w:rPr>
      </w:pPr>
    </w:p>
    <w:p w14:paraId="69506EDA">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119C7BC2">
      <w:pPr>
        <w:spacing w:line="520" w:lineRule="exact"/>
        <w:rPr>
          <w:rFonts w:ascii="仿宋_GB2312" w:hAnsi="仿宋_GB2312" w:eastAsia="仿宋_GB2312" w:cs="仿宋_GB2312"/>
          <w:color w:val="auto"/>
          <w:sz w:val="32"/>
          <w:szCs w:val="32"/>
          <w:highlight w:val="none"/>
        </w:rPr>
      </w:pPr>
    </w:p>
    <w:p w14:paraId="6ED3DEF0">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3B60B02A">
      <w:pPr>
        <w:spacing w:line="360" w:lineRule="auto"/>
        <w:rPr>
          <w:rFonts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p w14:paraId="11D42658">
      <w:pPr>
        <w:spacing w:line="360" w:lineRule="auto"/>
        <w:rPr>
          <w:rFonts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s="仿宋_GB2312"/>
          <w:color w:val="auto"/>
          <w:sz w:val="24"/>
          <w:highlight w:val="none"/>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900"/>
        <w:gridCol w:w="2989"/>
        <w:gridCol w:w="2690"/>
        <w:gridCol w:w="1467"/>
      </w:tblGrid>
      <w:tr w14:paraId="1D618E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33B27623">
            <w:pPr>
              <w:pStyle w:val="10"/>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序号</w:t>
            </w:r>
          </w:p>
        </w:tc>
        <w:tc>
          <w:tcPr>
            <w:tcW w:w="900" w:type="dxa"/>
            <w:tcBorders>
              <w:right w:val="single" w:color="auto" w:sz="4" w:space="0"/>
            </w:tcBorders>
            <w:vAlign w:val="center"/>
          </w:tcPr>
          <w:p w14:paraId="31F9FAEF">
            <w:pPr>
              <w:pStyle w:val="10"/>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2989" w:type="dxa"/>
            <w:tcBorders>
              <w:left w:val="single" w:color="auto" w:sz="4" w:space="0"/>
            </w:tcBorders>
            <w:vAlign w:val="center"/>
          </w:tcPr>
          <w:p w14:paraId="45197946">
            <w:pPr>
              <w:pStyle w:val="10"/>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谈判文件要求</w:t>
            </w:r>
          </w:p>
        </w:tc>
        <w:tc>
          <w:tcPr>
            <w:tcW w:w="2690" w:type="dxa"/>
            <w:vAlign w:val="center"/>
          </w:tcPr>
          <w:p w14:paraId="01631F23">
            <w:pPr>
              <w:pStyle w:val="10"/>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竞标响应</w:t>
            </w:r>
          </w:p>
        </w:tc>
        <w:tc>
          <w:tcPr>
            <w:tcW w:w="1467" w:type="dxa"/>
            <w:vAlign w:val="center"/>
          </w:tcPr>
          <w:p w14:paraId="453AFCF5">
            <w:pPr>
              <w:pStyle w:val="10"/>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偏离说明</w:t>
            </w:r>
          </w:p>
        </w:tc>
      </w:tr>
      <w:tr w14:paraId="19518C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1E786ABA">
            <w:pPr>
              <w:pStyle w:val="10"/>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1</w:t>
            </w:r>
          </w:p>
        </w:tc>
        <w:tc>
          <w:tcPr>
            <w:tcW w:w="900" w:type="dxa"/>
            <w:tcBorders>
              <w:right w:val="single" w:color="auto" w:sz="4" w:space="0"/>
            </w:tcBorders>
            <w:vAlign w:val="center"/>
          </w:tcPr>
          <w:p w14:paraId="24A840CA">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2CE1F463">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690" w:type="dxa"/>
            <w:vAlign w:val="center"/>
          </w:tcPr>
          <w:p w14:paraId="79BE9383">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1467" w:type="dxa"/>
            <w:vAlign w:val="center"/>
          </w:tcPr>
          <w:p w14:paraId="1D8F7389">
            <w:pPr>
              <w:pStyle w:val="10"/>
              <w:spacing w:line="360" w:lineRule="auto"/>
              <w:ind w:firstLine="0" w:firstLineChars="0"/>
              <w:jc w:val="center"/>
              <w:rPr>
                <w:rFonts w:ascii="宋体" w:hAnsi="宋体" w:eastAsia="宋体" w:cs="仿宋_GB2312"/>
                <w:color w:val="auto"/>
                <w:kern w:val="2"/>
                <w:sz w:val="24"/>
                <w:szCs w:val="24"/>
                <w:highlight w:val="none"/>
              </w:rPr>
            </w:pPr>
          </w:p>
        </w:tc>
      </w:tr>
      <w:tr w14:paraId="71C23C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5D82AB32">
            <w:pPr>
              <w:pStyle w:val="10"/>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2</w:t>
            </w:r>
          </w:p>
        </w:tc>
        <w:tc>
          <w:tcPr>
            <w:tcW w:w="900" w:type="dxa"/>
            <w:tcBorders>
              <w:right w:val="single" w:color="auto" w:sz="4" w:space="0"/>
            </w:tcBorders>
            <w:vAlign w:val="center"/>
          </w:tcPr>
          <w:p w14:paraId="3C6524F2">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6D3BE7D5">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690" w:type="dxa"/>
            <w:vAlign w:val="center"/>
          </w:tcPr>
          <w:p w14:paraId="06677481">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1467" w:type="dxa"/>
            <w:vAlign w:val="center"/>
          </w:tcPr>
          <w:p w14:paraId="2FB06A64">
            <w:pPr>
              <w:pStyle w:val="10"/>
              <w:spacing w:line="360" w:lineRule="auto"/>
              <w:ind w:firstLine="0" w:firstLineChars="0"/>
              <w:jc w:val="center"/>
              <w:rPr>
                <w:rFonts w:ascii="宋体" w:hAnsi="宋体" w:eastAsia="宋体" w:cs="仿宋_GB2312"/>
                <w:color w:val="auto"/>
                <w:kern w:val="2"/>
                <w:sz w:val="24"/>
                <w:szCs w:val="24"/>
                <w:highlight w:val="none"/>
              </w:rPr>
            </w:pPr>
          </w:p>
        </w:tc>
      </w:tr>
      <w:tr w14:paraId="7A6881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7BE3267C">
            <w:pPr>
              <w:pStyle w:val="10"/>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3</w:t>
            </w:r>
          </w:p>
        </w:tc>
        <w:tc>
          <w:tcPr>
            <w:tcW w:w="900" w:type="dxa"/>
            <w:tcBorders>
              <w:right w:val="single" w:color="auto" w:sz="4" w:space="0"/>
            </w:tcBorders>
            <w:vAlign w:val="center"/>
          </w:tcPr>
          <w:p w14:paraId="5DAC9DEE">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26FD9BCF">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690" w:type="dxa"/>
            <w:vAlign w:val="center"/>
          </w:tcPr>
          <w:p w14:paraId="27BCFC00">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1467" w:type="dxa"/>
            <w:vAlign w:val="center"/>
          </w:tcPr>
          <w:p w14:paraId="717F817B">
            <w:pPr>
              <w:pStyle w:val="10"/>
              <w:spacing w:line="360" w:lineRule="auto"/>
              <w:ind w:firstLine="0" w:firstLineChars="0"/>
              <w:jc w:val="center"/>
              <w:rPr>
                <w:rFonts w:ascii="宋体" w:hAnsi="宋体" w:eastAsia="宋体" w:cs="仿宋_GB2312"/>
                <w:color w:val="auto"/>
                <w:kern w:val="2"/>
                <w:sz w:val="24"/>
                <w:szCs w:val="24"/>
                <w:highlight w:val="none"/>
              </w:rPr>
            </w:pPr>
          </w:p>
        </w:tc>
      </w:tr>
      <w:tr w14:paraId="54AFF8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049E7AB3">
            <w:pPr>
              <w:pStyle w:val="10"/>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4</w:t>
            </w:r>
          </w:p>
        </w:tc>
        <w:tc>
          <w:tcPr>
            <w:tcW w:w="900" w:type="dxa"/>
            <w:tcBorders>
              <w:right w:val="single" w:color="auto" w:sz="4" w:space="0"/>
            </w:tcBorders>
            <w:vAlign w:val="center"/>
          </w:tcPr>
          <w:p w14:paraId="4C7E80E7">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7A5177F4">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690" w:type="dxa"/>
            <w:vAlign w:val="center"/>
          </w:tcPr>
          <w:p w14:paraId="549D5D26">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1467" w:type="dxa"/>
            <w:vAlign w:val="center"/>
          </w:tcPr>
          <w:p w14:paraId="2411813F">
            <w:pPr>
              <w:pStyle w:val="10"/>
              <w:spacing w:line="360" w:lineRule="auto"/>
              <w:ind w:firstLine="0" w:firstLineChars="0"/>
              <w:jc w:val="center"/>
              <w:rPr>
                <w:rFonts w:ascii="宋体" w:hAnsi="宋体" w:eastAsia="宋体" w:cs="仿宋_GB2312"/>
                <w:color w:val="auto"/>
                <w:kern w:val="2"/>
                <w:sz w:val="24"/>
                <w:szCs w:val="24"/>
                <w:highlight w:val="none"/>
              </w:rPr>
            </w:pPr>
          </w:p>
        </w:tc>
      </w:tr>
      <w:tr w14:paraId="4B6BC0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vAlign w:val="center"/>
          </w:tcPr>
          <w:p w14:paraId="6C3B0051">
            <w:pPr>
              <w:pStyle w:val="10"/>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5</w:t>
            </w:r>
          </w:p>
        </w:tc>
        <w:tc>
          <w:tcPr>
            <w:tcW w:w="900" w:type="dxa"/>
            <w:tcBorders>
              <w:right w:val="single" w:color="auto" w:sz="4" w:space="0"/>
            </w:tcBorders>
            <w:vAlign w:val="center"/>
          </w:tcPr>
          <w:p w14:paraId="07787FBF">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79B84C84">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690" w:type="dxa"/>
            <w:vAlign w:val="center"/>
          </w:tcPr>
          <w:p w14:paraId="2D7EB040">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1467" w:type="dxa"/>
            <w:vAlign w:val="center"/>
          </w:tcPr>
          <w:p w14:paraId="4D4BD994">
            <w:pPr>
              <w:pStyle w:val="10"/>
              <w:spacing w:line="360" w:lineRule="auto"/>
              <w:ind w:firstLine="0" w:firstLineChars="0"/>
              <w:jc w:val="center"/>
              <w:rPr>
                <w:rFonts w:ascii="宋体" w:hAnsi="宋体" w:eastAsia="宋体" w:cs="仿宋_GB2312"/>
                <w:color w:val="auto"/>
                <w:kern w:val="2"/>
                <w:sz w:val="24"/>
                <w:szCs w:val="24"/>
                <w:highlight w:val="none"/>
              </w:rPr>
            </w:pPr>
          </w:p>
        </w:tc>
      </w:tr>
      <w:tr w14:paraId="21029F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vAlign w:val="center"/>
          </w:tcPr>
          <w:p w14:paraId="647F47AC">
            <w:pPr>
              <w:pStyle w:val="10"/>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w:t>
            </w:r>
          </w:p>
        </w:tc>
        <w:tc>
          <w:tcPr>
            <w:tcW w:w="900" w:type="dxa"/>
            <w:tcBorders>
              <w:right w:val="single" w:color="auto" w:sz="4" w:space="0"/>
            </w:tcBorders>
            <w:vAlign w:val="center"/>
          </w:tcPr>
          <w:p w14:paraId="10EC18DB">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989" w:type="dxa"/>
            <w:tcBorders>
              <w:left w:val="single" w:color="auto" w:sz="4" w:space="0"/>
            </w:tcBorders>
            <w:vAlign w:val="center"/>
          </w:tcPr>
          <w:p w14:paraId="3EF74219">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2690" w:type="dxa"/>
            <w:vAlign w:val="center"/>
          </w:tcPr>
          <w:p w14:paraId="253BC9D5">
            <w:pPr>
              <w:pStyle w:val="10"/>
              <w:spacing w:line="360" w:lineRule="auto"/>
              <w:ind w:firstLine="0" w:firstLineChars="0"/>
              <w:jc w:val="center"/>
              <w:rPr>
                <w:rFonts w:ascii="宋体" w:hAnsi="宋体" w:eastAsia="宋体" w:cs="仿宋_GB2312"/>
                <w:color w:val="auto"/>
                <w:kern w:val="2"/>
                <w:sz w:val="24"/>
                <w:szCs w:val="24"/>
                <w:highlight w:val="none"/>
              </w:rPr>
            </w:pPr>
          </w:p>
        </w:tc>
        <w:tc>
          <w:tcPr>
            <w:tcW w:w="1467" w:type="dxa"/>
            <w:tcBorders>
              <w:right w:val="single" w:color="auto" w:sz="4" w:space="0"/>
            </w:tcBorders>
            <w:vAlign w:val="center"/>
          </w:tcPr>
          <w:p w14:paraId="63794250">
            <w:pPr>
              <w:pStyle w:val="10"/>
              <w:spacing w:line="360" w:lineRule="auto"/>
              <w:ind w:firstLine="0" w:firstLineChars="0"/>
              <w:jc w:val="center"/>
              <w:rPr>
                <w:rFonts w:ascii="宋体" w:hAnsi="宋体" w:eastAsia="宋体" w:cs="仿宋_GB2312"/>
                <w:color w:val="auto"/>
                <w:kern w:val="2"/>
                <w:sz w:val="24"/>
                <w:szCs w:val="24"/>
                <w:highlight w:val="none"/>
              </w:rPr>
            </w:pPr>
          </w:p>
        </w:tc>
      </w:tr>
    </w:tbl>
    <w:p w14:paraId="2C394C84">
      <w:pPr>
        <w:pStyle w:val="10"/>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6CF36C51">
      <w:pPr>
        <w:pStyle w:val="10"/>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说明：应对照谈判文件“第三章 采购需求”中的技术要求逐条实质性响应，并作出偏离说明。</w:t>
      </w:r>
    </w:p>
    <w:p w14:paraId="5A77C541">
      <w:pPr>
        <w:pStyle w:val="10"/>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2.供应商应根据竞标设备的性能指标，对照谈判文件要求，在“偏离说明”中注明“正偏离”“负偏离”或者“无偏离”。既不属于“正偏离”也不属于“负偏离”即为“无偏离”。</w:t>
      </w:r>
    </w:p>
    <w:p w14:paraId="117DEAB9">
      <w:pPr>
        <w:pStyle w:val="10"/>
        <w:spacing w:line="360" w:lineRule="auto"/>
        <w:ind w:firstLine="0" w:firstLineChars="0"/>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3.供应商认为其竞标响应有正偏离的，请在技术要求偏离表中列明，且在响应文件中提供竞标产品的彩页或</w:t>
      </w:r>
      <w:r>
        <w:rPr>
          <w:rFonts w:ascii="宋体" w:hAnsi="宋体" w:eastAsia="宋体"/>
          <w:color w:val="auto"/>
          <w:sz w:val="24"/>
          <w:szCs w:val="24"/>
          <w:highlight w:val="none"/>
        </w:rPr>
        <w:t>国家认可有资质的第三方检测机构出具的检测报告复印件</w:t>
      </w:r>
      <w:r>
        <w:rPr>
          <w:rFonts w:hint="eastAsia" w:ascii="宋体" w:hAnsi="宋体" w:eastAsia="宋体"/>
          <w:color w:val="auto"/>
          <w:sz w:val="24"/>
          <w:szCs w:val="24"/>
          <w:highlight w:val="none"/>
        </w:rPr>
        <w:t>或产品生产厂家出具的技术参数说明证明作为佐证，以上佐证材料均需加盖生产厂家或代理商（附生产厂家授权资料）公章。</w:t>
      </w:r>
    </w:p>
    <w:p w14:paraId="2E853967">
      <w:pPr>
        <w:pStyle w:val="10"/>
        <w:spacing w:line="360" w:lineRule="auto"/>
        <w:ind w:firstLine="0" w:firstLineChars="0"/>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4</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如技术要求偏离表中的竞标响应与佐证材料不一致的，以佐证材料为准。</w:t>
      </w:r>
    </w:p>
    <w:p w14:paraId="378513A0">
      <w:pPr>
        <w:pStyle w:val="10"/>
        <w:spacing w:line="360" w:lineRule="auto"/>
        <w:ind w:firstLine="0" w:firstLineChars="0"/>
        <w:contextualSpacing/>
        <w:rPr>
          <w:rFonts w:ascii="宋体" w:hAnsi="宋体" w:eastAsia="宋体" w:cs="仿宋_GB2312"/>
          <w:color w:val="auto"/>
          <w:sz w:val="24"/>
          <w:szCs w:val="24"/>
          <w:highlight w:val="none"/>
        </w:rPr>
      </w:pPr>
    </w:p>
    <w:p w14:paraId="4ED18EB4">
      <w:pPr>
        <w:spacing w:line="360" w:lineRule="auto"/>
        <w:ind w:right="-817" w:rightChars="-389"/>
        <w:contextualSpacing/>
        <w:rPr>
          <w:rFonts w:ascii="宋体" w:hAnsi="宋体" w:cs="仿宋_GB2312"/>
          <w:color w:val="auto"/>
          <w:sz w:val="24"/>
          <w:highlight w:val="none"/>
        </w:rPr>
      </w:pPr>
    </w:p>
    <w:p w14:paraId="4F217770">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3E88E84C">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供应商名称（电子签章）：      </w:t>
      </w:r>
    </w:p>
    <w:p w14:paraId="44DDC002">
      <w:pPr>
        <w:spacing w:line="360" w:lineRule="auto"/>
        <w:ind w:right="-817" w:rightChars="-389" w:firstLine="2880" w:firstLineChars="12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50866CB4">
      <w:pPr>
        <w:snapToGrid w:val="0"/>
        <w:spacing w:beforeLines="50" w:after="50"/>
        <w:jc w:val="left"/>
        <w:rPr>
          <w:rFonts w:ascii="宋体" w:hAnsi="宋体" w:cs="仿宋_GB2312"/>
          <w:color w:val="auto"/>
          <w:sz w:val="24"/>
          <w:highlight w:val="none"/>
        </w:rPr>
      </w:pPr>
      <w:r>
        <w:rPr>
          <w:rFonts w:ascii="宋体" w:hAnsi="宋体" w:cs="仿宋_GB2312"/>
          <w:color w:val="auto"/>
          <w:sz w:val="24"/>
          <w:highlight w:val="none"/>
        </w:rPr>
        <w:br w:type="page"/>
      </w:r>
    </w:p>
    <w:p w14:paraId="521403BB">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代理服务费承诺书</w:t>
      </w:r>
    </w:p>
    <w:p w14:paraId="7535E218">
      <w:pPr>
        <w:snapToGrid w:val="0"/>
        <w:spacing w:before="120" w:beforeLines="50" w:after="50"/>
        <w:jc w:val="center"/>
        <w:rPr>
          <w:rFonts w:hint="eastAsia" w:ascii="宋体" w:hAnsi="宋体"/>
          <w:b/>
          <w:color w:val="auto"/>
          <w:sz w:val="24"/>
          <w:highlight w:val="none"/>
        </w:rPr>
      </w:pPr>
    </w:p>
    <w:p w14:paraId="1E7E3F37">
      <w:pPr>
        <w:spacing w:line="360" w:lineRule="auto"/>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lang w:eastAsia="zh-CN"/>
        </w:rPr>
        <w:t>采购</w:t>
      </w:r>
      <w:r>
        <w:rPr>
          <w:rFonts w:hint="eastAsia" w:ascii="宋体" w:hAnsi="宋体"/>
          <w:color w:val="auto"/>
          <w:sz w:val="24"/>
          <w:highlight w:val="none"/>
          <w:u w:val="single"/>
        </w:rPr>
        <w:t>代理机构名称</w:t>
      </w:r>
      <w:r>
        <w:rPr>
          <w:rFonts w:hint="eastAsia" w:ascii="宋体" w:hAnsi="宋体"/>
          <w:color w:val="auto"/>
          <w:sz w:val="24"/>
          <w:highlight w:val="none"/>
        </w:rPr>
        <w:t>：</w:t>
      </w:r>
    </w:p>
    <w:p w14:paraId="5CE7EBB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本单位参加了贵方组织的</w:t>
      </w:r>
      <w:r>
        <w:rPr>
          <w:rFonts w:hint="eastAsia" w:ascii="宋体" w:hAnsi="宋体"/>
          <w:color w:val="auto"/>
          <w:sz w:val="24"/>
          <w:highlight w:val="none"/>
          <w:u w:val="single"/>
        </w:rPr>
        <w:t xml:space="preserve">  项目名称（项目编号）  </w:t>
      </w:r>
      <w:r>
        <w:rPr>
          <w:rFonts w:hint="eastAsia" w:ascii="宋体" w:hAnsi="宋体"/>
          <w:color w:val="auto"/>
          <w:sz w:val="24"/>
          <w:highlight w:val="none"/>
        </w:rPr>
        <w:t>项目， 在此说明如下：</w:t>
      </w:r>
    </w:p>
    <w:p w14:paraId="5BE4EA94">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1.我方承诺，若本单位</w:t>
      </w:r>
      <w:r>
        <w:rPr>
          <w:rFonts w:hint="eastAsia" w:ascii="宋体" w:hAnsi="宋体"/>
          <w:color w:val="auto"/>
          <w:sz w:val="24"/>
          <w:highlight w:val="none"/>
          <w:lang w:eastAsia="zh-CN"/>
        </w:rPr>
        <w:t>成交</w:t>
      </w:r>
      <w:r>
        <w:rPr>
          <w:rFonts w:hint="eastAsia" w:ascii="宋体" w:hAnsi="宋体"/>
          <w:color w:val="auto"/>
          <w:sz w:val="24"/>
          <w:highlight w:val="none"/>
        </w:rPr>
        <w:t>，保证在发出</w:t>
      </w:r>
      <w:r>
        <w:rPr>
          <w:rFonts w:hint="eastAsia" w:ascii="宋体" w:hAnsi="宋体"/>
          <w:color w:val="auto"/>
          <w:sz w:val="24"/>
          <w:highlight w:val="none"/>
          <w:lang w:eastAsia="zh-CN"/>
        </w:rPr>
        <w:t>成交</w:t>
      </w:r>
      <w:r>
        <w:rPr>
          <w:rFonts w:hint="eastAsia" w:ascii="宋体" w:hAnsi="宋体"/>
          <w:color w:val="auto"/>
          <w:sz w:val="24"/>
          <w:highlight w:val="none"/>
        </w:rPr>
        <w:t>通知书之后，按本项目采购文件的规定标准向贵单位一次性足额支付代理服务费， 在领取</w:t>
      </w:r>
      <w:r>
        <w:rPr>
          <w:rFonts w:hint="eastAsia" w:ascii="宋体" w:hAnsi="宋体"/>
          <w:color w:val="auto"/>
          <w:sz w:val="24"/>
          <w:highlight w:val="none"/>
          <w:lang w:eastAsia="zh-CN"/>
        </w:rPr>
        <w:t>成交</w:t>
      </w:r>
      <w:r>
        <w:rPr>
          <w:rFonts w:hint="eastAsia" w:ascii="宋体" w:hAnsi="宋体"/>
          <w:color w:val="auto"/>
          <w:sz w:val="24"/>
          <w:highlight w:val="none"/>
        </w:rPr>
        <w:t>通知书后，由于被质疑、投诉或者其他原因而导致</w:t>
      </w:r>
      <w:r>
        <w:rPr>
          <w:rFonts w:hint="eastAsia" w:ascii="宋体" w:hAnsi="宋体"/>
          <w:color w:val="auto"/>
          <w:sz w:val="24"/>
          <w:highlight w:val="none"/>
          <w:lang w:eastAsia="zh-CN"/>
        </w:rPr>
        <w:t>成交</w:t>
      </w:r>
      <w:r>
        <w:rPr>
          <w:rFonts w:hint="eastAsia" w:ascii="宋体" w:hAnsi="宋体"/>
          <w:color w:val="auto"/>
          <w:sz w:val="24"/>
          <w:highlight w:val="none"/>
        </w:rPr>
        <w:t>结果改变，我方将放弃对已缴纳的</w:t>
      </w:r>
      <w:r>
        <w:rPr>
          <w:rFonts w:hint="eastAsia" w:ascii="宋体" w:hAnsi="宋体"/>
          <w:color w:val="auto"/>
          <w:sz w:val="24"/>
          <w:highlight w:val="none"/>
          <w:lang w:eastAsia="zh-CN"/>
        </w:rPr>
        <w:t>代理</w:t>
      </w:r>
      <w:r>
        <w:rPr>
          <w:rFonts w:hint="eastAsia" w:ascii="宋体" w:hAnsi="宋体"/>
          <w:color w:val="auto"/>
          <w:sz w:val="24"/>
          <w:highlight w:val="none"/>
        </w:rPr>
        <w:t>服务费追还的一切权利。</w:t>
      </w:r>
    </w:p>
    <w:p w14:paraId="681F9923">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2.本单位选择第</w:t>
      </w:r>
      <w:r>
        <w:rPr>
          <w:rFonts w:hint="eastAsia" w:ascii="宋体" w:hAnsi="宋体"/>
          <w:color w:val="auto"/>
          <w:sz w:val="24"/>
          <w:highlight w:val="none"/>
          <w:u w:val="single"/>
        </w:rPr>
        <w:t xml:space="preserve">     </w:t>
      </w:r>
      <w:r>
        <w:rPr>
          <w:rFonts w:hint="eastAsia" w:ascii="宋体" w:hAnsi="宋体"/>
          <w:color w:val="auto"/>
          <w:sz w:val="24"/>
          <w:highlight w:val="none"/>
        </w:rPr>
        <w:t>种方式作为代理服务费开票类型：</w:t>
      </w:r>
    </w:p>
    <w:p w14:paraId="4CA4F61E">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第一种方式：开具增值税普通发票。开票信息如下：</w:t>
      </w:r>
    </w:p>
    <w:p w14:paraId="2CD248D5">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（1）公司名称_</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58A88F3">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（2）纳税人识别号_</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49B538C">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第二种方式：开具增值税专用发票，开票信息如下：</w:t>
      </w:r>
    </w:p>
    <w:p w14:paraId="51621D19">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5AF6368">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（2）纳税人识别号</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33302FDF">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（3）在税局登记的地址</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7C45EB4">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（4）在税局登记的电话</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4025BAC8">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（5）开户银行</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3BC71B3">
      <w:pPr>
        <w:spacing w:line="360" w:lineRule="auto"/>
        <w:ind w:firstLine="360" w:firstLineChars="150"/>
        <w:rPr>
          <w:rFonts w:hint="eastAsia" w:ascii="宋体" w:hAnsi="宋体"/>
          <w:color w:val="auto"/>
          <w:sz w:val="24"/>
          <w:highlight w:val="none"/>
        </w:rPr>
      </w:pPr>
      <w:r>
        <w:rPr>
          <w:rFonts w:hint="eastAsia" w:ascii="宋体" w:hAnsi="宋体"/>
          <w:color w:val="auto"/>
          <w:sz w:val="24"/>
          <w:highlight w:val="none"/>
        </w:rPr>
        <w:t>（6）银行账户</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ED98195">
      <w:pPr>
        <w:spacing w:line="440" w:lineRule="exact"/>
        <w:rPr>
          <w:rFonts w:hint="eastAsia" w:ascii="宋体" w:hAnsi="宋体"/>
          <w:color w:val="auto"/>
          <w:sz w:val="24"/>
          <w:highlight w:val="none"/>
        </w:rPr>
      </w:pPr>
    </w:p>
    <w:p w14:paraId="150BE72D">
      <w:pPr>
        <w:spacing w:line="440" w:lineRule="exact"/>
        <w:rPr>
          <w:rFonts w:hint="eastAsia" w:ascii="宋体" w:hAnsi="宋体"/>
          <w:color w:val="auto"/>
          <w:sz w:val="24"/>
          <w:highlight w:val="none"/>
        </w:rPr>
      </w:pPr>
    </w:p>
    <w:p w14:paraId="0B486297">
      <w:pPr>
        <w:spacing w:line="440" w:lineRule="exact"/>
        <w:rPr>
          <w:rFonts w:hint="eastAsia" w:ascii="宋体" w:hAnsi="宋体"/>
          <w:color w:val="auto"/>
          <w:sz w:val="24"/>
          <w:highlight w:val="none"/>
        </w:rPr>
      </w:pPr>
    </w:p>
    <w:p w14:paraId="34B33E83">
      <w:pPr>
        <w:snapToGrid w:val="0"/>
        <w:spacing w:line="360" w:lineRule="auto"/>
        <w:ind w:left="-2" w:leftChars="-1" w:right="-817" w:rightChars="-389" w:firstLine="1920" w:firstLineChars="800"/>
        <w:rPr>
          <w:rFonts w:hint="eastAsia" w:ascii="宋体" w:hAnsi="宋体"/>
          <w:color w:val="auto"/>
          <w:sz w:val="24"/>
          <w:highlight w:val="none"/>
        </w:rPr>
      </w:pPr>
      <w:r>
        <w:rPr>
          <w:rFonts w:hint="eastAsia" w:ascii="宋体" w:hAnsi="宋体"/>
          <w:color w:val="auto"/>
          <w:sz w:val="24"/>
          <w:highlight w:val="none"/>
        </w:rPr>
        <w:t xml:space="preserve">法定代表人或者委托代理人（签字或者电子签名）： </w:t>
      </w:r>
    </w:p>
    <w:p w14:paraId="2818E544">
      <w:pPr>
        <w:snapToGrid w:val="0"/>
        <w:spacing w:line="360" w:lineRule="auto"/>
        <w:ind w:left="-3" w:leftChars="-15" w:right="-817" w:rightChars="-389" w:hanging="28" w:hangingChars="12"/>
        <w:rPr>
          <w:rFonts w:hint="eastAsia" w:ascii="宋体" w:hAnsi="宋体"/>
          <w:color w:val="auto"/>
          <w:sz w:val="24"/>
          <w:highlight w:val="none"/>
        </w:rPr>
      </w:pPr>
      <w:r>
        <w:rPr>
          <w:rFonts w:hint="eastAsia" w:ascii="宋体" w:hAnsi="宋体"/>
          <w:color w:val="auto"/>
          <w:sz w:val="24"/>
          <w:highlight w:val="none"/>
        </w:rPr>
        <w:t xml:space="preserve">                                      供应商公章（电子签章）：</w:t>
      </w:r>
    </w:p>
    <w:p w14:paraId="6F421ED2">
      <w:pPr>
        <w:snapToGrid w:val="0"/>
        <w:spacing w:before="50" w:after="50" w:line="360" w:lineRule="auto"/>
        <w:ind w:right="-817" w:rightChars="-389" w:firstLine="4080" w:firstLineChars="1700"/>
        <w:rPr>
          <w:rFonts w:hint="eastAsia" w:ascii="仿宋_GB2312" w:hAnsi="仿宋_GB2312" w:eastAsia="仿宋_GB2312" w:cs="仿宋_GB2312"/>
          <w:b/>
          <w:color w:val="auto"/>
          <w:sz w:val="32"/>
          <w:szCs w:val="32"/>
          <w:highlight w:val="none"/>
        </w:rPr>
      </w:pPr>
      <w:r>
        <w:rPr>
          <w:rFonts w:hint="eastAsia" w:ascii="宋体" w:hAnsi="宋体"/>
          <w:color w:val="auto"/>
          <w:sz w:val="24"/>
          <w:highlight w:val="none"/>
        </w:rPr>
        <w:t xml:space="preserve">                   日期：    年   月   日</w:t>
      </w:r>
    </w:p>
    <w:p w14:paraId="7EC7C3BF">
      <w:pPr>
        <w:snapToGrid w:val="0"/>
        <w:spacing w:beforeLines="50" w:after="50"/>
        <w:jc w:val="left"/>
        <w:rPr>
          <w:rFonts w:ascii="宋体" w:hAnsi="宋体" w:cs="仿宋_GB2312"/>
          <w:color w:val="auto"/>
          <w:sz w:val="24"/>
          <w:highlight w:val="none"/>
        </w:rPr>
      </w:pPr>
    </w:p>
    <w:p w14:paraId="0B1B475A">
      <w:pPr>
        <w:snapToGrid w:val="0"/>
        <w:spacing w:beforeLines="50" w:after="50"/>
        <w:jc w:val="left"/>
        <w:rPr>
          <w:rFonts w:ascii="宋体" w:hAnsi="宋体" w:cs="仿宋_GB2312"/>
          <w:color w:val="auto"/>
          <w:sz w:val="24"/>
          <w:highlight w:val="none"/>
        </w:rPr>
      </w:pPr>
    </w:p>
    <w:p w14:paraId="55BA58D1">
      <w:pPr>
        <w:snapToGrid w:val="0"/>
        <w:spacing w:beforeLines="50" w:after="50"/>
        <w:jc w:val="left"/>
        <w:rPr>
          <w:rFonts w:ascii="宋体" w:hAnsi="宋体" w:cs="仿宋_GB2312"/>
          <w:color w:val="auto"/>
          <w:sz w:val="24"/>
          <w:highlight w:val="none"/>
        </w:rPr>
      </w:pPr>
    </w:p>
    <w:p w14:paraId="7385D460">
      <w:pPr>
        <w:snapToGrid w:val="0"/>
        <w:spacing w:beforeLines="50" w:after="50"/>
        <w:jc w:val="left"/>
        <w:rPr>
          <w:rFonts w:ascii="宋体" w:hAnsi="宋体" w:cs="仿宋_GB2312"/>
          <w:color w:val="auto"/>
          <w:sz w:val="24"/>
          <w:highlight w:val="none"/>
        </w:rPr>
      </w:pPr>
    </w:p>
    <w:p w14:paraId="7873AD02">
      <w:pPr>
        <w:snapToGrid w:val="0"/>
        <w:spacing w:beforeLines="50" w:after="50"/>
        <w:jc w:val="left"/>
        <w:rPr>
          <w:rFonts w:ascii="宋体" w:hAnsi="宋体" w:cs="仿宋_GB2312"/>
          <w:color w:val="auto"/>
          <w:sz w:val="24"/>
          <w:highlight w:val="none"/>
        </w:rPr>
      </w:pPr>
    </w:p>
    <w:p w14:paraId="23438694">
      <w:pPr>
        <w:snapToGrid w:val="0"/>
        <w:spacing w:beforeLines="50" w:after="50"/>
        <w:jc w:val="left"/>
        <w:rPr>
          <w:rFonts w:ascii="宋体" w:hAnsi="宋体"/>
          <w:color w:val="auto"/>
          <w:szCs w:val="21"/>
          <w:highlight w:val="none"/>
        </w:rPr>
      </w:pPr>
      <w:r>
        <w:rPr>
          <w:rFonts w:hint="eastAsia" w:ascii="宋体" w:hAnsi="宋体"/>
          <w:b/>
          <w:bCs/>
          <w:color w:val="auto"/>
          <w:sz w:val="24"/>
          <w:highlight w:val="none"/>
        </w:rPr>
        <w:t>其他文书、文件格式</w:t>
      </w:r>
    </w:p>
    <w:p w14:paraId="78019160">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bookmarkStart w:id="75" w:name="_Toc71365383"/>
      <w:bookmarkStart w:id="76" w:name="_Toc71366061"/>
      <w:r>
        <w:rPr>
          <w:rFonts w:hint="eastAsia" w:ascii="方正小标宋简体" w:hAnsi="方正小标宋简体" w:eastAsia="方正小标宋简体" w:cs="方正小标宋简体"/>
          <w:bCs/>
          <w:color w:val="auto"/>
          <w:sz w:val="44"/>
          <w:szCs w:val="44"/>
          <w:highlight w:val="none"/>
        </w:rPr>
        <w:t>中小企业声明函（货物）</w:t>
      </w:r>
      <w:bookmarkEnd w:id="75"/>
      <w:bookmarkEnd w:id="76"/>
    </w:p>
    <w:p w14:paraId="330FF0C2">
      <w:pPr>
        <w:rPr>
          <w:color w:val="auto"/>
          <w:highlight w:val="none"/>
        </w:rPr>
      </w:pPr>
    </w:p>
    <w:p w14:paraId="2A97DD1C">
      <w:pPr>
        <w:pStyle w:val="9"/>
        <w:spacing w:after="0" w:line="360" w:lineRule="auto"/>
        <w:ind w:left="-426" w:right="142" w:firstLine="640"/>
        <w:contextualSpacing/>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采购活动，提供的货物全部由符合政策要求的中小企业制造。相关企业（含联合体中的中小企业、签订分包意向协议的中小企业）的具体情况如下：</w:t>
      </w:r>
    </w:p>
    <w:p w14:paraId="5E70BC5D">
      <w:pPr>
        <w:tabs>
          <w:tab w:val="left" w:pos="1384"/>
          <w:tab w:val="left" w:pos="4562"/>
          <w:tab w:val="left" w:pos="6803"/>
        </w:tabs>
        <w:spacing w:line="360" w:lineRule="auto"/>
        <w:ind w:left="-426" w:right="-58" w:firstLine="655"/>
        <w:contextualSpacing/>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万元，属于</w:t>
      </w:r>
      <w:r>
        <w:rPr>
          <w:rFonts w:ascii="宋体" w:hAnsi="宋体"/>
          <w:color w:val="auto"/>
          <w:sz w:val="24"/>
          <w:highlight w:val="none"/>
          <w:u w:val="single"/>
        </w:rPr>
        <w:t>（中型企业、小型企业、微型企业）</w:t>
      </w:r>
      <w:r>
        <w:rPr>
          <w:rFonts w:ascii="宋体" w:hAnsi="宋体"/>
          <w:color w:val="auto"/>
          <w:sz w:val="24"/>
          <w:highlight w:val="none"/>
        </w:rPr>
        <w:t>；</w:t>
      </w:r>
    </w:p>
    <w:p w14:paraId="22FD1180">
      <w:pPr>
        <w:tabs>
          <w:tab w:val="left" w:pos="1065"/>
          <w:tab w:val="left" w:pos="6477"/>
        </w:tabs>
        <w:spacing w:line="360" w:lineRule="auto"/>
        <w:ind w:left="-426" w:right="-58" w:firstLine="655"/>
        <w:contextualSpacing/>
        <w:rPr>
          <w:rFonts w:ascii="宋体" w:hAnsi="宋体"/>
          <w:color w:val="auto"/>
          <w:sz w:val="24"/>
          <w:highlight w:val="non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（采购文件中明确的所属行业）</w:t>
      </w:r>
      <w:r>
        <w:rPr>
          <w:rFonts w:ascii="宋体" w:hAnsi="宋体"/>
          <w:color w:val="auto"/>
          <w:sz w:val="24"/>
          <w:highlight w:val="none"/>
        </w:rPr>
        <w:t>行业；制造商为</w:t>
      </w:r>
      <w:r>
        <w:rPr>
          <w:rFonts w:ascii="宋体" w:hAnsi="宋体"/>
          <w:color w:val="auto"/>
          <w:sz w:val="24"/>
          <w:highlight w:val="none"/>
          <w:u w:val="single"/>
        </w:rPr>
        <w:t>（企业名称）</w:t>
      </w:r>
      <w:r>
        <w:rPr>
          <w:rFonts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万元，属于</w:t>
      </w:r>
      <w:r>
        <w:rPr>
          <w:rFonts w:ascii="宋体" w:hAnsi="宋体"/>
          <w:color w:val="auto"/>
          <w:sz w:val="24"/>
          <w:highlight w:val="none"/>
          <w:u w:val="single"/>
        </w:rPr>
        <w:t>（中型企业、小型企业、微型企业）</w:t>
      </w:r>
      <w:r>
        <w:rPr>
          <w:rFonts w:ascii="宋体" w:hAnsi="宋体"/>
          <w:color w:val="auto"/>
          <w:sz w:val="24"/>
          <w:highlight w:val="none"/>
        </w:rPr>
        <w:t>；</w:t>
      </w:r>
    </w:p>
    <w:p w14:paraId="3EDE222B">
      <w:pPr>
        <w:pStyle w:val="9"/>
        <w:spacing w:after="0" w:line="360" w:lineRule="auto"/>
        <w:ind w:left="142" w:right="142"/>
        <w:contextualSpacing/>
        <w:rPr>
          <w:rFonts w:ascii="宋体" w:hAnsi="宋体"/>
          <w:color w:val="auto"/>
          <w:sz w:val="24"/>
          <w:highlight w:val="none"/>
        </w:rPr>
      </w:pPr>
      <w:r>
        <w:rPr>
          <w:rFonts w:ascii="宋体" w:hAnsi="宋体"/>
          <w:color w:val="auto"/>
          <w:sz w:val="24"/>
          <w:highlight w:val="none"/>
        </w:rPr>
        <w:t xml:space="preserve">…… </w:t>
      </w:r>
    </w:p>
    <w:p w14:paraId="11D0DA3B">
      <w:pPr>
        <w:pStyle w:val="9"/>
        <w:spacing w:after="0" w:line="360" w:lineRule="auto"/>
        <w:ind w:left="-405" w:leftChars="-193" w:right="142" w:firstLine="453" w:firstLineChars="189"/>
        <w:contextualSpacing/>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49E34271">
      <w:pPr>
        <w:pStyle w:val="9"/>
        <w:spacing w:after="0" w:line="360" w:lineRule="auto"/>
        <w:ind w:left="-426" w:right="142" w:firstLine="567"/>
        <w:contextualSpacing/>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038A9727">
      <w:pPr>
        <w:pStyle w:val="9"/>
        <w:spacing w:after="0" w:line="360" w:lineRule="auto"/>
        <w:ind w:left="3960" w:right="1808"/>
        <w:contextualSpacing/>
        <w:rPr>
          <w:rFonts w:ascii="宋体" w:hAnsi="宋体"/>
          <w:color w:val="auto"/>
          <w:sz w:val="24"/>
          <w:highlight w:val="none"/>
        </w:rPr>
      </w:pPr>
    </w:p>
    <w:p w14:paraId="613A4E4B">
      <w:pPr>
        <w:pStyle w:val="9"/>
        <w:spacing w:after="0" w:line="360" w:lineRule="auto"/>
        <w:ind w:left="3960" w:right="1808"/>
        <w:contextualSpacing/>
        <w:rPr>
          <w:rFonts w:ascii="宋体" w:hAnsi="宋体"/>
          <w:color w:val="auto"/>
          <w:sz w:val="24"/>
          <w:highlight w:val="none"/>
        </w:rPr>
      </w:pPr>
      <w:r>
        <w:rPr>
          <w:rFonts w:ascii="宋体" w:hAnsi="宋体"/>
          <w:color w:val="auto"/>
          <w:sz w:val="24"/>
          <w:highlight w:val="none"/>
        </w:rPr>
        <w:t xml:space="preserve">企业名称（章）： </w:t>
      </w:r>
    </w:p>
    <w:p w14:paraId="5E801CD4">
      <w:pPr>
        <w:pStyle w:val="9"/>
        <w:spacing w:after="0" w:line="360" w:lineRule="auto"/>
        <w:ind w:left="3960" w:right="1808"/>
        <w:contextualSpacing/>
        <w:rPr>
          <w:rFonts w:ascii="宋体" w:hAnsi="宋体"/>
          <w:color w:val="auto"/>
          <w:sz w:val="24"/>
          <w:highlight w:val="none"/>
        </w:rPr>
      </w:pPr>
      <w:r>
        <w:rPr>
          <w:rFonts w:ascii="宋体" w:hAnsi="宋体"/>
          <w:color w:val="auto"/>
          <w:sz w:val="24"/>
          <w:highlight w:val="none"/>
        </w:rPr>
        <w:t>日</w:t>
      </w:r>
      <w:r>
        <w:rPr>
          <w:rFonts w:hint="eastAsia" w:ascii="宋体" w:hAnsi="宋体"/>
          <w:color w:val="auto"/>
          <w:sz w:val="24"/>
          <w:highlight w:val="none"/>
        </w:rPr>
        <w:t xml:space="preserve"> </w:t>
      </w:r>
      <w:r>
        <w:rPr>
          <w:rFonts w:ascii="宋体" w:hAnsi="宋体"/>
          <w:color w:val="auto"/>
          <w:sz w:val="24"/>
          <w:highlight w:val="none"/>
        </w:rPr>
        <w:t>期：</w:t>
      </w:r>
    </w:p>
    <w:p w14:paraId="15B26BCE">
      <w:pPr>
        <w:pStyle w:val="9"/>
        <w:spacing w:after="0" w:line="360" w:lineRule="auto"/>
        <w:ind w:left="3960" w:right="1808"/>
        <w:contextualSpacing/>
        <w:rPr>
          <w:color w:val="auto"/>
          <w:highlight w:val="none"/>
        </w:rPr>
      </w:pPr>
    </w:p>
    <w:p w14:paraId="123C2FCA">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C25F774">
      <w:pPr>
        <w:spacing w:line="360" w:lineRule="auto"/>
        <w:contextualSpacing/>
        <w:jc w:val="center"/>
        <w:rPr>
          <w:rFonts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35544C6A">
      <w:pPr>
        <w:spacing w:line="520" w:lineRule="exact"/>
        <w:rPr>
          <w:rFonts w:ascii="仿宋_GB2312" w:hAnsi="仿宋_GB2312" w:eastAsia="仿宋_GB2312" w:cs="仿宋_GB2312"/>
          <w:color w:val="auto"/>
          <w:sz w:val="32"/>
          <w:szCs w:val="32"/>
          <w:highlight w:val="none"/>
        </w:rPr>
      </w:pPr>
    </w:p>
    <w:p w14:paraId="03A6100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AC16AA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0459521F">
      <w:pPr>
        <w:spacing w:line="360" w:lineRule="auto"/>
        <w:contextualSpacing/>
        <w:rPr>
          <w:rFonts w:ascii="宋体" w:hAnsi="宋体" w:cs="仿宋_GB2312"/>
          <w:color w:val="auto"/>
          <w:sz w:val="24"/>
          <w:highlight w:val="none"/>
        </w:rPr>
      </w:pPr>
    </w:p>
    <w:p w14:paraId="0644079B">
      <w:pPr>
        <w:spacing w:line="360" w:lineRule="auto"/>
        <w:contextualSpacing/>
        <w:rPr>
          <w:rFonts w:ascii="宋体" w:hAnsi="宋体" w:cs="仿宋_GB2312"/>
          <w:color w:val="auto"/>
          <w:sz w:val="24"/>
          <w:highlight w:val="none"/>
        </w:rPr>
      </w:pPr>
    </w:p>
    <w:p w14:paraId="5797919C">
      <w:pPr>
        <w:spacing w:line="360" w:lineRule="auto"/>
        <w:contextualSpacing/>
        <w:rPr>
          <w:rFonts w:ascii="宋体" w:hAnsi="宋体" w:cs="仿宋_GB2312"/>
          <w:color w:val="auto"/>
          <w:sz w:val="24"/>
          <w:highlight w:val="none"/>
        </w:rPr>
      </w:pPr>
    </w:p>
    <w:p w14:paraId="420EE883">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6EEE7597">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14:paraId="061412BE">
      <w:pPr>
        <w:spacing w:line="360" w:lineRule="auto"/>
        <w:contextualSpacing/>
        <w:rPr>
          <w:rFonts w:ascii="宋体" w:hAnsi="宋体" w:cs="仿宋_GB2312"/>
          <w:color w:val="auto"/>
          <w:sz w:val="24"/>
          <w:highlight w:val="none"/>
        </w:rPr>
      </w:pPr>
    </w:p>
    <w:p w14:paraId="60FB8379">
      <w:pPr>
        <w:spacing w:line="360" w:lineRule="auto"/>
        <w:contextualSpacing/>
        <w:rPr>
          <w:rFonts w:ascii="宋体" w:hAnsi="宋体" w:cs="仿宋_GB2312"/>
          <w:color w:val="auto"/>
          <w:sz w:val="24"/>
          <w:highlight w:val="none"/>
        </w:rPr>
      </w:pPr>
    </w:p>
    <w:p w14:paraId="1667F66D">
      <w:pPr>
        <w:spacing w:line="360" w:lineRule="auto"/>
        <w:contextualSpacing/>
        <w:rPr>
          <w:rFonts w:ascii="宋体" w:hAnsi="宋体" w:cs="仿宋_GB2312"/>
          <w:color w:val="auto"/>
          <w:sz w:val="24"/>
          <w:highlight w:val="none"/>
        </w:rPr>
      </w:pPr>
    </w:p>
    <w:p w14:paraId="7268BA09">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7011AF5B">
      <w:pPr>
        <w:spacing w:line="360" w:lineRule="auto"/>
        <w:jc w:val="center"/>
        <w:rPr>
          <w:rFonts w:ascii="宋体" w:hAnsi="宋体"/>
          <w:b/>
          <w:bCs/>
          <w:color w:val="auto"/>
          <w:sz w:val="32"/>
          <w:szCs w:val="32"/>
          <w:highlight w:val="none"/>
        </w:rPr>
      </w:pPr>
      <w:r>
        <w:rPr>
          <w:rFonts w:ascii="宋体" w:hAnsi="宋体" w:cs="仿宋_GB2312"/>
          <w:color w:val="auto"/>
          <w:sz w:val="24"/>
          <w:highlight w:val="none"/>
        </w:rPr>
        <w:br w:type="page"/>
      </w:r>
      <w:r>
        <w:rPr>
          <w:rFonts w:hint="eastAsia" w:ascii="方正小标宋简体" w:hAnsi="方正小标宋简体" w:eastAsia="方正小标宋简体" w:cs="方正小标宋简体"/>
          <w:color w:val="auto"/>
          <w:sz w:val="44"/>
          <w:szCs w:val="44"/>
          <w:highlight w:val="none"/>
        </w:rPr>
        <w:t>质疑函（格式）</w:t>
      </w:r>
    </w:p>
    <w:p w14:paraId="0BEFBB24">
      <w:pPr>
        <w:spacing w:line="360" w:lineRule="auto"/>
        <w:jc w:val="center"/>
        <w:rPr>
          <w:rFonts w:ascii="宋体" w:hAnsi="宋体"/>
          <w:b/>
          <w:bCs/>
          <w:color w:val="auto"/>
          <w:sz w:val="32"/>
          <w:szCs w:val="32"/>
          <w:highlight w:val="none"/>
        </w:rPr>
      </w:pPr>
    </w:p>
    <w:p w14:paraId="65694AC8">
      <w:pPr>
        <w:pStyle w:val="12"/>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5F6E0466">
      <w:pPr>
        <w:pStyle w:val="12"/>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A7F2435">
      <w:pPr>
        <w:pStyle w:val="12"/>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4C0C234">
      <w:pPr>
        <w:pStyle w:val="12"/>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1A4E8CA4">
      <w:pPr>
        <w:pStyle w:val="12"/>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647DC933">
      <w:pPr>
        <w:pStyle w:val="12"/>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49E3DEAD">
      <w:pPr>
        <w:pStyle w:val="12"/>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E270AB0">
      <w:pPr>
        <w:pStyle w:val="12"/>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1D000EF6">
      <w:pPr>
        <w:pStyle w:val="12"/>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27C3F370">
      <w:pPr>
        <w:pStyle w:val="12"/>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3ACF19D9">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62DC2CFD">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5872E9D8">
      <w:pPr>
        <w:pStyle w:val="12"/>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624A788C">
      <w:pPr>
        <w:pStyle w:val="12"/>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14:paraId="629461AF">
      <w:pPr>
        <w:pStyle w:val="12"/>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14:paraId="5FBA67F4">
      <w:pPr>
        <w:pStyle w:val="12"/>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598BE71F">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62D68618">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41CED3B3">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69F12771">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2DC0614C">
      <w:pPr>
        <w:pStyle w:val="12"/>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69569F1D">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7D674715">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22D96FF6">
      <w:pPr>
        <w:pStyle w:val="12"/>
        <w:spacing w:line="360" w:lineRule="auto"/>
        <w:ind w:left="25" w:leftChars="12" w:firstLine="352" w:firstLineChars="147"/>
        <w:contextualSpacing/>
        <w:rPr>
          <w:rFonts w:hAnsi="宋体"/>
          <w:color w:val="auto"/>
          <w:sz w:val="24"/>
          <w:szCs w:val="24"/>
          <w:highlight w:val="none"/>
        </w:rPr>
      </w:pPr>
    </w:p>
    <w:p w14:paraId="084AA3E4">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14:paraId="3E313977">
      <w:pPr>
        <w:pStyle w:val="12"/>
        <w:spacing w:line="360" w:lineRule="auto"/>
        <w:ind w:left="25" w:leftChars="12" w:firstLine="352" w:firstLineChars="147"/>
        <w:contextualSpacing/>
        <w:rPr>
          <w:rFonts w:hAnsi="宋体"/>
          <w:color w:val="auto"/>
          <w:sz w:val="24"/>
          <w:szCs w:val="24"/>
          <w:highlight w:val="none"/>
        </w:rPr>
      </w:pPr>
    </w:p>
    <w:p w14:paraId="26166765">
      <w:pPr>
        <w:pStyle w:val="12"/>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日期：</w:t>
      </w:r>
    </w:p>
    <w:p w14:paraId="6B046FDB">
      <w:pPr>
        <w:pStyle w:val="12"/>
        <w:spacing w:line="360" w:lineRule="auto"/>
        <w:contextualSpacing/>
        <w:rPr>
          <w:rFonts w:hAnsi="宋体"/>
          <w:b/>
          <w:color w:val="auto"/>
          <w:sz w:val="24"/>
          <w:szCs w:val="24"/>
          <w:highlight w:val="none"/>
        </w:rPr>
      </w:pPr>
    </w:p>
    <w:p w14:paraId="0EC04D9C">
      <w:pPr>
        <w:pStyle w:val="12"/>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57624E6B">
      <w:pPr>
        <w:pStyle w:val="12"/>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4CBB2CD5">
      <w:pPr>
        <w:pStyle w:val="12"/>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AB073E3">
      <w:pPr>
        <w:pStyle w:val="12"/>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6E1DEF3C">
      <w:pPr>
        <w:pStyle w:val="12"/>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08FC8C4D">
      <w:pPr>
        <w:pStyle w:val="12"/>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65DB1062">
      <w:pPr>
        <w:pStyle w:val="12"/>
        <w:snapToGrid w:val="0"/>
        <w:rPr>
          <w:b/>
          <w:color w:val="auto"/>
          <w:sz w:val="24"/>
          <w:szCs w:val="24"/>
          <w:highlight w:val="none"/>
        </w:rPr>
      </w:pPr>
    </w:p>
    <w:p w14:paraId="2C0659D1">
      <w:pPr>
        <w:rPr>
          <w:color w:val="auto"/>
          <w:highlight w:val="none"/>
        </w:rPr>
      </w:pPr>
      <w:r>
        <w:rPr>
          <w:color w:val="auto"/>
          <w:highlight w:val="none"/>
        </w:rPr>
        <w:br w:type="page"/>
      </w:r>
    </w:p>
    <w:p w14:paraId="7E2DBE1B">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61FB25F8">
      <w:pPr>
        <w:pStyle w:val="12"/>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469B88CC">
      <w:pPr>
        <w:pStyle w:val="1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9B4F6EC">
      <w:pPr>
        <w:pStyle w:val="1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0F13F48">
      <w:pPr>
        <w:pStyle w:val="1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0FCF5C53">
      <w:pPr>
        <w:pStyle w:val="1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FA00404">
      <w:pPr>
        <w:pStyle w:val="1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13C482C8">
      <w:pPr>
        <w:pStyle w:val="12"/>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679A8B5">
      <w:pPr>
        <w:pStyle w:val="1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0D96E3D5">
      <w:pPr>
        <w:pStyle w:val="12"/>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2FC3E2E8">
      <w:pPr>
        <w:pStyle w:val="1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72E76742">
      <w:pPr>
        <w:pStyle w:val="1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D7C9079">
      <w:pPr>
        <w:pStyle w:val="1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5ACC61D3">
      <w:pPr>
        <w:pStyle w:val="12"/>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16E400D2">
      <w:pPr>
        <w:pStyle w:val="12"/>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698C75F8">
      <w:pPr>
        <w:pStyle w:val="12"/>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153D08A2">
      <w:pPr>
        <w:pStyle w:val="12"/>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1996023">
      <w:pPr>
        <w:pStyle w:val="12"/>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3C19EDF">
      <w:pPr>
        <w:pStyle w:val="12"/>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2045E48A">
      <w:pPr>
        <w:pStyle w:val="12"/>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37CB9663">
      <w:pPr>
        <w:pStyle w:val="12"/>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3D1D29B2">
      <w:pPr>
        <w:pStyle w:val="12"/>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331F46D6">
      <w:pPr>
        <w:pStyle w:val="12"/>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7DE3BE74">
      <w:pPr>
        <w:pStyle w:val="12"/>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128FE7BC">
      <w:pPr>
        <w:pStyle w:val="12"/>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054E0842">
      <w:pPr>
        <w:pStyle w:val="12"/>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34A239FE">
      <w:pPr>
        <w:pStyle w:val="12"/>
        <w:spacing w:line="360" w:lineRule="auto"/>
        <w:ind w:left="23" w:leftChars="11" w:firstLine="540" w:firstLineChars="225"/>
        <w:rPr>
          <w:rFonts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201D233F">
      <w:pPr>
        <w:pStyle w:val="12"/>
        <w:spacing w:line="360" w:lineRule="auto"/>
        <w:ind w:left="23" w:leftChars="11" w:firstLine="540" w:firstLineChars="225"/>
        <w:rPr>
          <w:rFonts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1E7FF3DB">
      <w:pPr>
        <w:pStyle w:val="12"/>
        <w:spacing w:line="360" w:lineRule="auto"/>
        <w:ind w:left="23" w:leftChars="11" w:firstLine="540" w:firstLineChars="225"/>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E8C2E70">
      <w:pPr>
        <w:pStyle w:val="12"/>
        <w:spacing w:line="360" w:lineRule="auto"/>
        <w:ind w:left="23" w:leftChars="11" w:firstLine="540" w:firstLineChars="225"/>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3776CD72">
      <w:pPr>
        <w:pStyle w:val="12"/>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769FDF52">
      <w:pPr>
        <w:pStyle w:val="12"/>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7E01DDD0">
      <w:pPr>
        <w:pStyle w:val="12"/>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71F00E73">
      <w:pPr>
        <w:pStyle w:val="12"/>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u w:val="single"/>
        </w:rPr>
        <w:t xml:space="preserve">                                                                                        </w:t>
      </w:r>
    </w:p>
    <w:p w14:paraId="6214ADF1">
      <w:pPr>
        <w:pStyle w:val="12"/>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3FCB353">
      <w:pPr>
        <w:pStyle w:val="12"/>
        <w:spacing w:line="360" w:lineRule="auto"/>
        <w:ind w:left="25" w:leftChars="12" w:firstLine="352" w:firstLineChars="147"/>
        <w:rPr>
          <w:rFonts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7BA394FB">
      <w:pPr>
        <w:pStyle w:val="12"/>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720DE432">
      <w:pPr>
        <w:pStyle w:val="12"/>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5CFE327C">
      <w:pPr>
        <w:pStyle w:val="12"/>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51B10D69">
      <w:pPr>
        <w:pStyle w:val="12"/>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2FB843E6">
      <w:pPr>
        <w:pStyle w:val="12"/>
        <w:spacing w:line="360" w:lineRule="auto"/>
        <w:ind w:left="25" w:leftChars="12" w:firstLine="352" w:firstLineChars="147"/>
        <w:rPr>
          <w:rFonts w:hAnsi="宋体"/>
          <w:color w:val="auto"/>
          <w:sz w:val="24"/>
          <w:szCs w:val="24"/>
          <w:highlight w:val="none"/>
        </w:rPr>
      </w:pPr>
    </w:p>
    <w:p w14:paraId="1093E373">
      <w:pPr>
        <w:pStyle w:val="12"/>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14:paraId="6A9573B4">
      <w:pPr>
        <w:pStyle w:val="12"/>
        <w:spacing w:line="360" w:lineRule="auto"/>
        <w:ind w:left="25" w:leftChars="12" w:firstLine="352" w:firstLineChars="147"/>
        <w:rPr>
          <w:rFonts w:hAnsi="宋体"/>
          <w:color w:val="auto"/>
          <w:sz w:val="24"/>
          <w:szCs w:val="24"/>
          <w:highlight w:val="none"/>
        </w:rPr>
      </w:pPr>
    </w:p>
    <w:p w14:paraId="5BD05FE9">
      <w:pPr>
        <w:pStyle w:val="12"/>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3BE724EA">
      <w:pPr>
        <w:pStyle w:val="12"/>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 xml:space="preserve">                                                                                 </w:t>
      </w:r>
    </w:p>
    <w:p w14:paraId="2BB1EC8B">
      <w:pPr>
        <w:pStyle w:val="12"/>
        <w:snapToGrid w:val="0"/>
        <w:spacing w:line="360" w:lineRule="auto"/>
        <w:rPr>
          <w:rFonts w:hAnsi="宋体"/>
          <w:b/>
          <w:color w:val="auto"/>
          <w:sz w:val="24"/>
          <w:szCs w:val="24"/>
          <w:highlight w:val="none"/>
        </w:rPr>
      </w:pPr>
    </w:p>
    <w:p w14:paraId="2F373BD8">
      <w:pPr>
        <w:pStyle w:val="12"/>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56213BB0">
      <w:pPr>
        <w:pStyle w:val="12"/>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6437A831">
      <w:pPr>
        <w:pStyle w:val="12"/>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596EB9E">
      <w:pPr>
        <w:pStyle w:val="12"/>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72B1CCAA">
      <w:pPr>
        <w:pStyle w:val="12"/>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50F4DCA8">
      <w:pPr>
        <w:pStyle w:val="12"/>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5A085CCD">
      <w:pPr>
        <w:pStyle w:val="12"/>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r>
        <w:rPr>
          <w:color w:val="auto"/>
          <w:highlight w:val="none"/>
        </w:rPr>
        <w:br w:type="page"/>
      </w:r>
      <w:bookmarkStart w:id="77" w:name="_Toc74322013"/>
    </w:p>
    <w:p w14:paraId="7B73CACF">
      <w:pPr>
        <w:snapToGrid w:val="0"/>
        <w:spacing w:line="480" w:lineRule="exact"/>
        <w:jc w:val="center"/>
        <w:rPr>
          <w:color w:val="auto"/>
          <w:highlight w:val="none"/>
        </w:rPr>
      </w:pPr>
    </w:p>
    <w:p w14:paraId="1F6AD344">
      <w:pPr>
        <w:snapToGrid w:val="0"/>
        <w:spacing w:line="480" w:lineRule="exact"/>
        <w:jc w:val="center"/>
        <w:rPr>
          <w:color w:val="auto"/>
          <w:highlight w:val="none"/>
        </w:rPr>
      </w:pPr>
    </w:p>
    <w:p w14:paraId="56C65EF2">
      <w:pPr>
        <w:snapToGrid w:val="0"/>
        <w:spacing w:line="480" w:lineRule="exact"/>
        <w:jc w:val="center"/>
        <w:rPr>
          <w:color w:val="auto"/>
          <w:highlight w:val="none"/>
        </w:rPr>
      </w:pPr>
    </w:p>
    <w:p w14:paraId="743B7263">
      <w:pPr>
        <w:snapToGrid w:val="0"/>
        <w:spacing w:line="480" w:lineRule="exact"/>
        <w:jc w:val="center"/>
        <w:rPr>
          <w:color w:val="auto"/>
          <w:highlight w:val="none"/>
        </w:rPr>
      </w:pPr>
    </w:p>
    <w:p w14:paraId="65DF48FA">
      <w:pPr>
        <w:snapToGrid w:val="0"/>
        <w:spacing w:line="480" w:lineRule="exact"/>
        <w:jc w:val="center"/>
        <w:rPr>
          <w:color w:val="auto"/>
          <w:highlight w:val="none"/>
        </w:rPr>
      </w:pPr>
    </w:p>
    <w:p w14:paraId="392228FF">
      <w:pPr>
        <w:snapToGrid w:val="0"/>
        <w:spacing w:line="480" w:lineRule="exact"/>
        <w:jc w:val="center"/>
        <w:rPr>
          <w:color w:val="auto"/>
          <w:highlight w:val="none"/>
        </w:rPr>
      </w:pPr>
    </w:p>
    <w:p w14:paraId="7B1A5D1E">
      <w:pPr>
        <w:snapToGrid w:val="0"/>
        <w:spacing w:line="480" w:lineRule="exact"/>
        <w:jc w:val="center"/>
        <w:rPr>
          <w:color w:val="auto"/>
          <w:highlight w:val="none"/>
        </w:rPr>
      </w:pPr>
    </w:p>
    <w:p w14:paraId="6D489212">
      <w:pPr>
        <w:pStyle w:val="2"/>
        <w:jc w:val="center"/>
        <w:rPr>
          <w:color w:val="auto"/>
          <w:highlight w:val="none"/>
        </w:rPr>
      </w:pPr>
      <w:r>
        <w:rPr>
          <w:rFonts w:hint="eastAsia"/>
          <w:color w:val="auto"/>
          <w:highlight w:val="none"/>
        </w:rPr>
        <w:t>第六章 合同文本</w:t>
      </w:r>
      <w:bookmarkEnd w:id="77"/>
    </w:p>
    <w:p w14:paraId="22A0886F">
      <w:pPr>
        <w:snapToGrid w:val="0"/>
        <w:spacing w:line="480" w:lineRule="exact"/>
        <w:jc w:val="center"/>
        <w:rPr>
          <w:color w:val="auto"/>
          <w:highlight w:val="none"/>
        </w:rPr>
      </w:pPr>
    </w:p>
    <w:p w14:paraId="0A5A2620">
      <w:pPr>
        <w:snapToGrid w:val="0"/>
        <w:ind w:firstLine="648"/>
        <w:jc w:val="center"/>
        <w:rPr>
          <w:rFonts w:ascii="宋体" w:hAnsi="宋体"/>
          <w:b/>
          <w:color w:val="auto"/>
          <w:sz w:val="52"/>
          <w:szCs w:val="52"/>
          <w:highlight w:val="none"/>
        </w:rPr>
      </w:pPr>
      <w:r>
        <w:rPr>
          <w:rFonts w:hint="eastAsia" w:ascii="宋体" w:hAnsi="宋体"/>
          <w:b/>
          <w:bCs/>
          <w:color w:val="auto"/>
          <w:sz w:val="32"/>
          <w:szCs w:val="32"/>
          <w:highlight w:val="none"/>
        </w:rPr>
        <w:br w:type="page"/>
      </w:r>
      <w:r>
        <w:rPr>
          <w:rFonts w:hint="eastAsia" w:ascii="宋体" w:hAnsi="宋体"/>
          <w:b/>
          <w:color w:val="auto"/>
          <w:sz w:val="52"/>
          <w:szCs w:val="52"/>
          <w:highlight w:val="none"/>
        </w:rPr>
        <w:t>政 府 采 购 合 同</w:t>
      </w:r>
    </w:p>
    <w:p w14:paraId="1C8C253C">
      <w:pPr>
        <w:snapToGrid w:val="0"/>
        <w:spacing w:before="240"/>
        <w:ind w:firstLine="648"/>
        <w:jc w:val="center"/>
        <w:rPr>
          <w:rFonts w:ascii="宋体" w:hAnsi="宋体"/>
          <w:bCs/>
          <w:color w:val="auto"/>
          <w:sz w:val="32"/>
          <w:szCs w:val="32"/>
          <w:highlight w:val="none"/>
        </w:rPr>
      </w:pPr>
    </w:p>
    <w:p w14:paraId="7E7B06D3">
      <w:pPr>
        <w:spacing w:line="360" w:lineRule="auto"/>
        <w:jc w:val="center"/>
        <w:rPr>
          <w:rFonts w:hint="eastAsia" w:ascii="宋体" w:hAnsi="Calibri"/>
          <w:b/>
          <w:bCs/>
          <w:color w:val="auto"/>
          <w:sz w:val="44"/>
          <w:highlight w:val="none"/>
        </w:rPr>
      </w:pPr>
      <w:r>
        <w:rPr>
          <w:rFonts w:hint="eastAsia" w:ascii="宋体" w:hAnsi="Calibri"/>
          <w:b/>
          <w:bCs/>
          <w:color w:val="auto"/>
          <w:sz w:val="44"/>
          <w:highlight w:val="none"/>
          <w:u w:val="single"/>
        </w:rPr>
        <w:t xml:space="preserve">         （项目名称）         </w:t>
      </w:r>
      <w:r>
        <w:rPr>
          <w:rFonts w:hint="eastAsia" w:ascii="宋体" w:hAnsi="Calibri"/>
          <w:b/>
          <w:bCs/>
          <w:color w:val="auto"/>
          <w:sz w:val="44"/>
          <w:highlight w:val="none"/>
        </w:rPr>
        <w:t>合同</w:t>
      </w:r>
    </w:p>
    <w:p w14:paraId="45301F27">
      <w:pPr>
        <w:snapToGrid w:val="0"/>
        <w:ind w:firstLine="648"/>
        <w:rPr>
          <w:rFonts w:ascii="宋体" w:hAnsi="宋体"/>
          <w:bCs/>
          <w:color w:val="auto"/>
          <w:sz w:val="32"/>
          <w:szCs w:val="32"/>
          <w:highlight w:val="none"/>
        </w:rPr>
      </w:pPr>
    </w:p>
    <w:p w14:paraId="3195D68F">
      <w:pPr>
        <w:snapToGrid w:val="0"/>
        <w:ind w:firstLine="648"/>
        <w:rPr>
          <w:rFonts w:ascii="宋体" w:hAnsi="宋体"/>
          <w:bCs/>
          <w:color w:val="auto"/>
          <w:sz w:val="32"/>
          <w:szCs w:val="32"/>
          <w:highlight w:val="none"/>
        </w:rPr>
      </w:pPr>
    </w:p>
    <w:p w14:paraId="2CED9E5C">
      <w:pPr>
        <w:snapToGrid w:val="0"/>
        <w:spacing w:line="480" w:lineRule="auto"/>
        <w:rPr>
          <w:rFonts w:hint="eastAsia" w:ascii="宋体" w:hAnsi="宋体"/>
          <w:bCs/>
          <w:color w:val="auto"/>
          <w:sz w:val="32"/>
          <w:szCs w:val="32"/>
          <w:highlight w:val="none"/>
        </w:rPr>
      </w:pPr>
    </w:p>
    <w:p w14:paraId="44E44348">
      <w:pPr>
        <w:snapToGrid w:val="0"/>
        <w:spacing w:line="480" w:lineRule="auto"/>
        <w:ind w:firstLine="648"/>
        <w:rPr>
          <w:rFonts w:ascii="宋体" w:hAnsi="宋体"/>
          <w:bCs/>
          <w:color w:val="auto"/>
          <w:sz w:val="32"/>
          <w:szCs w:val="32"/>
          <w:highlight w:val="none"/>
          <w:u w:val="single"/>
        </w:rPr>
      </w:pPr>
      <w:r>
        <w:rPr>
          <w:rFonts w:hint="eastAsia" w:ascii="宋体" w:hAnsi="宋体"/>
          <w:bCs/>
          <w:color w:val="auto"/>
          <w:sz w:val="32"/>
          <w:szCs w:val="32"/>
          <w:highlight w:val="none"/>
        </w:rPr>
        <w:t>项目编号：</w:t>
      </w:r>
      <w:r>
        <w:rPr>
          <w:rFonts w:hint="eastAsia" w:ascii="宋体" w:hAnsi="宋体"/>
          <w:bCs/>
          <w:color w:val="auto"/>
          <w:sz w:val="32"/>
          <w:szCs w:val="32"/>
          <w:highlight w:val="none"/>
          <w:u w:val="single"/>
        </w:rPr>
        <w:t xml:space="preserve">                     </w:t>
      </w:r>
    </w:p>
    <w:p w14:paraId="4C4F4062">
      <w:pPr>
        <w:snapToGrid w:val="0"/>
        <w:spacing w:line="480" w:lineRule="auto"/>
        <w:ind w:firstLine="648"/>
        <w:rPr>
          <w:rFonts w:ascii="宋体" w:hAnsi="宋体"/>
          <w:bCs/>
          <w:color w:val="auto"/>
          <w:sz w:val="32"/>
          <w:szCs w:val="32"/>
          <w:highlight w:val="none"/>
          <w:u w:val="single"/>
        </w:rPr>
      </w:pPr>
      <w:r>
        <w:rPr>
          <w:rFonts w:hint="eastAsia" w:ascii="宋体" w:hAnsi="宋体"/>
          <w:bCs/>
          <w:color w:val="auto"/>
          <w:sz w:val="32"/>
          <w:szCs w:val="32"/>
          <w:highlight w:val="none"/>
        </w:rPr>
        <w:t>采购计划编号：</w:t>
      </w:r>
      <w:r>
        <w:rPr>
          <w:rFonts w:hint="eastAsia" w:ascii="宋体" w:hAnsi="宋体"/>
          <w:bCs/>
          <w:color w:val="auto"/>
          <w:sz w:val="32"/>
          <w:szCs w:val="32"/>
          <w:highlight w:val="none"/>
          <w:u w:val="single"/>
        </w:rPr>
        <w:t xml:space="preserve">                    </w:t>
      </w:r>
    </w:p>
    <w:p w14:paraId="1D11415B">
      <w:pPr>
        <w:snapToGrid w:val="0"/>
        <w:rPr>
          <w:rFonts w:ascii="宋体" w:hAnsi="宋体"/>
          <w:bCs/>
          <w:color w:val="auto"/>
          <w:sz w:val="32"/>
          <w:szCs w:val="32"/>
          <w:highlight w:val="none"/>
        </w:rPr>
      </w:pPr>
    </w:p>
    <w:p w14:paraId="06595A22">
      <w:pPr>
        <w:snapToGrid w:val="0"/>
        <w:rPr>
          <w:rFonts w:ascii="宋体" w:hAnsi="宋体"/>
          <w:bCs/>
          <w:color w:val="auto"/>
          <w:sz w:val="32"/>
          <w:szCs w:val="32"/>
          <w:highlight w:val="none"/>
        </w:rPr>
      </w:pPr>
    </w:p>
    <w:p w14:paraId="1F1BFF77">
      <w:pPr>
        <w:snapToGrid w:val="0"/>
        <w:rPr>
          <w:rFonts w:hint="eastAsia" w:ascii="宋体" w:hAnsi="宋体"/>
          <w:bCs/>
          <w:color w:val="auto"/>
          <w:sz w:val="32"/>
          <w:szCs w:val="32"/>
          <w:highlight w:val="none"/>
        </w:rPr>
      </w:pPr>
    </w:p>
    <w:p w14:paraId="3758D487">
      <w:pPr>
        <w:snapToGrid w:val="0"/>
        <w:rPr>
          <w:rFonts w:ascii="宋体" w:hAnsi="宋体"/>
          <w:bCs/>
          <w:color w:val="auto"/>
          <w:sz w:val="32"/>
          <w:szCs w:val="32"/>
          <w:highlight w:val="none"/>
        </w:rPr>
      </w:pPr>
    </w:p>
    <w:p w14:paraId="346BEF99">
      <w:pPr>
        <w:snapToGrid w:val="0"/>
        <w:spacing w:line="480" w:lineRule="auto"/>
        <w:rPr>
          <w:rFonts w:ascii="宋体" w:hAnsi="宋体"/>
          <w:bCs/>
          <w:color w:val="auto"/>
          <w:sz w:val="32"/>
          <w:szCs w:val="32"/>
          <w:highlight w:val="none"/>
          <w:u w:val="single"/>
        </w:rPr>
      </w:pPr>
      <w:r>
        <w:rPr>
          <w:rFonts w:hint="eastAsia" w:ascii="宋体" w:hAnsi="宋体"/>
          <w:bCs/>
          <w:color w:val="auto"/>
          <w:sz w:val="32"/>
          <w:szCs w:val="32"/>
          <w:highlight w:val="none"/>
        </w:rPr>
        <w:t>采购人:</w:t>
      </w:r>
      <w:r>
        <w:rPr>
          <w:rFonts w:ascii="宋体" w:hAnsi="宋体"/>
          <w:bCs/>
          <w:color w:val="auto"/>
          <w:sz w:val="32"/>
          <w:szCs w:val="32"/>
          <w:highlight w:val="none"/>
          <w:u w:val="single"/>
        </w:rPr>
        <w:t xml:space="preserve">                             </w:t>
      </w:r>
    </w:p>
    <w:p w14:paraId="362A3064">
      <w:pPr>
        <w:snapToGrid w:val="0"/>
        <w:spacing w:line="480" w:lineRule="auto"/>
        <w:rPr>
          <w:rFonts w:ascii="宋体" w:hAnsi="宋体"/>
          <w:bCs/>
          <w:color w:val="auto"/>
          <w:sz w:val="32"/>
          <w:szCs w:val="32"/>
          <w:highlight w:val="none"/>
          <w:u w:val="single"/>
        </w:rPr>
      </w:pPr>
      <w:r>
        <w:rPr>
          <w:rFonts w:hint="eastAsia" w:ascii="宋体" w:hAnsi="宋体"/>
          <w:bCs/>
          <w:color w:val="auto"/>
          <w:sz w:val="32"/>
          <w:szCs w:val="32"/>
          <w:highlight w:val="none"/>
        </w:rPr>
        <w:t>成交供应商:</w:t>
      </w:r>
      <w:r>
        <w:rPr>
          <w:rFonts w:ascii="宋体" w:hAnsi="宋体"/>
          <w:bCs/>
          <w:color w:val="auto"/>
          <w:sz w:val="32"/>
          <w:szCs w:val="32"/>
          <w:highlight w:val="none"/>
          <w:u w:val="single"/>
        </w:rPr>
        <w:t xml:space="preserve">                             </w:t>
      </w:r>
    </w:p>
    <w:p w14:paraId="2F6C1519">
      <w:pPr>
        <w:widowControl/>
        <w:jc w:val="center"/>
        <w:rPr>
          <w:rFonts w:hint="eastAsia"/>
          <w:color w:val="auto"/>
          <w:sz w:val="24"/>
          <w:highlight w:val="none"/>
        </w:rPr>
      </w:pPr>
      <w:r>
        <w:rPr>
          <w:rFonts w:hint="eastAsia"/>
          <w:color w:val="auto"/>
          <w:sz w:val="24"/>
          <w:highlight w:val="none"/>
        </w:rPr>
        <w:t>签订日期：     年     月    日</w:t>
      </w:r>
    </w:p>
    <w:p w14:paraId="5BEBDB77">
      <w:pPr>
        <w:widowControl/>
        <w:jc w:val="center"/>
        <w:rPr>
          <w:color w:val="auto"/>
          <w:sz w:val="32"/>
          <w:szCs w:val="32"/>
          <w:highlight w:val="none"/>
        </w:rPr>
      </w:pPr>
      <w:r>
        <w:rPr>
          <w:rFonts w:hint="eastAsia"/>
          <w:color w:val="auto"/>
          <w:sz w:val="24"/>
          <w:highlight w:val="none"/>
        </w:rPr>
        <w:br w:type="page"/>
      </w:r>
      <w:r>
        <w:rPr>
          <w:rFonts w:hint="eastAsia" w:ascii="宋体" w:hAnsi="宋体" w:cs="宋体"/>
          <w:b/>
          <w:bCs/>
          <w:color w:val="auto"/>
          <w:kern w:val="0"/>
          <w:sz w:val="32"/>
          <w:szCs w:val="32"/>
          <w:highlight w:val="none"/>
        </w:rPr>
        <w:t>广西壮族自治区政府采购合同</w:t>
      </w:r>
    </w:p>
    <w:p w14:paraId="0F66521D">
      <w:pPr>
        <w:widowControl/>
        <w:jc w:val="left"/>
        <w:rPr>
          <w:rFonts w:hint="eastAsia" w:ascii="宋体" w:hAnsi="宋体" w:cs="宋体"/>
          <w:color w:val="auto"/>
          <w:kern w:val="0"/>
          <w:szCs w:val="21"/>
          <w:highlight w:val="none"/>
        </w:rPr>
      </w:pPr>
    </w:p>
    <w:p w14:paraId="10B86337">
      <w:pPr>
        <w:keepNext w:val="0"/>
        <w:keepLines w:val="0"/>
        <w:pageBreakBefore w:val="0"/>
        <w:widowControl/>
        <w:kinsoku/>
        <w:wordWrap/>
        <w:overflowPunct/>
        <w:topLinePunct w:val="0"/>
        <w:autoSpaceDE/>
        <w:autoSpaceDN/>
        <w:bidi w:val="0"/>
        <w:adjustRightInd/>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 xml:space="preserve">合同编号： </w:t>
      </w:r>
    </w:p>
    <w:p w14:paraId="7B4BF0F0">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kern w:val="0"/>
          <w:szCs w:val="21"/>
          <w:highlight w:val="none"/>
        </w:rPr>
      </w:pPr>
    </w:p>
    <w:p w14:paraId="56C2047B">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采购单位（甲方）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采购计划号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C557A9E">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 xml:space="preserve">供 应 商（乙方）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项目名称编号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297892BD">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 xml:space="preserve">签 订 地 点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签 订 时 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2DE9B4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45FBCCFF">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kern w:val="0"/>
          <w:szCs w:val="21"/>
          <w:highlight w:val="none"/>
        </w:rPr>
      </w:pPr>
    </w:p>
    <w:p w14:paraId="2220C9CB">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根据《中华人民共和国政府采购法》、《中华人民共和国民法典》等法律、法规规定，按照竞争性谈判文件规定条款和</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承诺，甲乙双方签订本合同。</w:t>
      </w:r>
    </w:p>
    <w:p w14:paraId="52ED1BE4">
      <w:pPr>
        <w:keepNext w:val="0"/>
        <w:keepLines w:val="0"/>
        <w:pageBreakBefore w:val="0"/>
        <w:widowControl/>
        <w:kinsoku/>
        <w:wordWrap/>
        <w:overflowPunct/>
        <w:topLinePunct w:val="0"/>
        <w:autoSpaceDE/>
        <w:autoSpaceDN/>
        <w:bidi w:val="0"/>
        <w:adjustRightInd/>
        <w:spacing w:line="360" w:lineRule="auto"/>
        <w:ind w:firstLine="422" w:firstLineChars="200"/>
        <w:jc w:val="left"/>
        <w:textAlignment w:val="auto"/>
        <w:rPr>
          <w:rFonts w:hint="eastAsia" w:ascii="宋体" w:hAnsi="宋体" w:cs="宋体"/>
          <w:color w:val="auto"/>
          <w:szCs w:val="21"/>
          <w:highlight w:val="none"/>
        </w:rPr>
      </w:pPr>
      <w:r>
        <w:rPr>
          <w:rFonts w:hint="eastAsia" w:ascii="宋体" w:hAnsi="宋体" w:cs="宋体"/>
          <w:b/>
          <w:bCs/>
          <w:color w:val="auto"/>
          <w:kern w:val="0"/>
          <w:szCs w:val="21"/>
          <w:highlight w:val="none"/>
        </w:rPr>
        <w:t xml:space="preserve">第一条 合同标的 </w:t>
      </w:r>
    </w:p>
    <w:p w14:paraId="6F709852">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b/>
          <w:bCs/>
          <w:color w:val="auto"/>
          <w:kern w:val="0"/>
          <w:szCs w:val="21"/>
          <w:highlight w:val="none"/>
        </w:rPr>
        <w:t xml:space="preserve">合同标的 </w:t>
      </w:r>
    </w:p>
    <w:tbl>
      <w:tblPr>
        <w:tblStyle w:val="21"/>
        <w:tblW w:w="811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843"/>
        <w:gridCol w:w="1134"/>
        <w:gridCol w:w="1276"/>
        <w:gridCol w:w="1559"/>
        <w:gridCol w:w="1559"/>
      </w:tblGrid>
      <w:tr w14:paraId="5DCD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47" w:type="dxa"/>
            <w:tcBorders>
              <w:top w:val="single" w:color="auto" w:sz="4" w:space="0"/>
              <w:left w:val="single" w:color="auto" w:sz="4" w:space="0"/>
              <w:bottom w:val="single" w:color="auto" w:sz="4" w:space="0"/>
              <w:right w:val="single" w:color="auto" w:sz="4" w:space="0"/>
            </w:tcBorders>
            <w:vAlign w:val="center"/>
          </w:tcPr>
          <w:p w14:paraId="3EB098AC">
            <w:pPr>
              <w:keepNext w:val="0"/>
              <w:keepLines w:val="0"/>
              <w:pageBreakBefore w:val="0"/>
              <w:kinsoku/>
              <w:wordWrap/>
              <w:overflowPunct/>
              <w:topLinePunct w:val="0"/>
              <w:autoSpaceDE/>
              <w:autoSpaceDN/>
              <w:bidi w:val="0"/>
              <w:adjustRightInd/>
              <w:spacing w:line="360" w:lineRule="auto"/>
              <w:ind w:left="0" w:leftChars="0" w:right="0" w:rightChars="0" w:firstLine="0" w:firstLineChars="0"/>
              <w:jc w:val="center"/>
              <w:textAlignment w:val="auto"/>
              <w:rPr>
                <w:color w:val="auto"/>
                <w:szCs w:val="21"/>
                <w:highlight w:val="none"/>
              </w:rPr>
            </w:pPr>
            <w:r>
              <w:rPr>
                <w:rFonts w:hint="eastAsia" w:ascii="宋体" w:hAnsi="宋体" w:cs="宋体"/>
                <w:color w:val="auto"/>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C632FB9">
            <w:pPr>
              <w:keepNext w:val="0"/>
              <w:keepLines w:val="0"/>
              <w:pageBreakBefore w:val="0"/>
              <w:kinsoku/>
              <w:wordWrap/>
              <w:overflowPunct/>
              <w:topLinePunct w:val="0"/>
              <w:autoSpaceDE/>
              <w:autoSpaceDN/>
              <w:bidi w:val="0"/>
              <w:adjustRightInd/>
              <w:spacing w:line="360" w:lineRule="auto"/>
              <w:ind w:left="0" w:leftChars="0" w:right="0" w:rightChars="0" w:firstLine="0" w:firstLineChars="0"/>
              <w:jc w:val="center"/>
              <w:textAlignment w:val="auto"/>
              <w:rPr>
                <w:color w:val="auto"/>
                <w:szCs w:val="21"/>
                <w:highlight w:val="none"/>
              </w:rPr>
            </w:pPr>
            <w:r>
              <w:rPr>
                <w:rFonts w:hint="eastAsia" w:ascii="宋体" w:hAnsi="宋体" w:cs="宋体"/>
                <w:color w:val="auto"/>
                <w:szCs w:val="21"/>
                <w:highlight w:val="none"/>
              </w:rPr>
              <w:t>标的的名称</w:t>
            </w:r>
          </w:p>
        </w:tc>
        <w:tc>
          <w:tcPr>
            <w:tcW w:w="1134" w:type="dxa"/>
            <w:tcBorders>
              <w:top w:val="single" w:color="auto" w:sz="4" w:space="0"/>
              <w:left w:val="single" w:color="auto" w:sz="4" w:space="0"/>
              <w:bottom w:val="single" w:color="auto" w:sz="4" w:space="0"/>
              <w:right w:val="single" w:color="auto" w:sz="4" w:space="0"/>
            </w:tcBorders>
            <w:vAlign w:val="center"/>
          </w:tcPr>
          <w:p w14:paraId="684D7260">
            <w:pPr>
              <w:keepNext w:val="0"/>
              <w:keepLines w:val="0"/>
              <w:pageBreakBefore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color w:val="auto"/>
                <w:szCs w:val="21"/>
                <w:highlight w:val="none"/>
              </w:rPr>
            </w:pPr>
            <w:r>
              <w:rPr>
                <w:rFonts w:hint="eastAsia" w:ascii="宋体" w:hAnsi="宋体" w:cs="宋体"/>
                <w:color w:val="auto"/>
                <w:szCs w:val="21"/>
                <w:highlight w:val="none"/>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26162057">
            <w:pPr>
              <w:keepNext w:val="0"/>
              <w:keepLines w:val="0"/>
              <w:pageBreakBefore w:val="0"/>
              <w:kinsoku/>
              <w:wordWrap/>
              <w:overflowPunct/>
              <w:topLinePunct w:val="0"/>
              <w:autoSpaceDE/>
              <w:autoSpaceDN/>
              <w:bidi w:val="0"/>
              <w:adjustRightInd/>
              <w:spacing w:line="360" w:lineRule="auto"/>
              <w:ind w:left="0" w:leftChars="0" w:right="0" w:rightChars="0" w:firstLine="0" w:firstLineChars="0"/>
              <w:jc w:val="center"/>
              <w:textAlignment w:val="auto"/>
              <w:rPr>
                <w:color w:val="auto"/>
                <w:szCs w:val="21"/>
                <w:highlight w:val="none"/>
              </w:rPr>
            </w:pPr>
            <w:r>
              <w:rPr>
                <w:rFonts w:hint="eastAsia" w:ascii="宋体" w:hAnsi="宋体" w:cs="宋体"/>
                <w:color w:val="auto"/>
                <w:szCs w:val="21"/>
                <w:highlight w:val="none"/>
              </w:rPr>
              <w:t>单位</w:t>
            </w:r>
          </w:p>
        </w:tc>
        <w:tc>
          <w:tcPr>
            <w:tcW w:w="1559" w:type="dxa"/>
            <w:tcBorders>
              <w:top w:val="single" w:color="auto" w:sz="4" w:space="0"/>
              <w:left w:val="single" w:color="auto" w:sz="4" w:space="0"/>
              <w:bottom w:val="single" w:color="auto" w:sz="4" w:space="0"/>
              <w:right w:val="single" w:color="auto" w:sz="4" w:space="0"/>
            </w:tcBorders>
            <w:vAlign w:val="center"/>
          </w:tcPr>
          <w:p w14:paraId="69D96AA4">
            <w:pPr>
              <w:keepNext w:val="0"/>
              <w:keepLines w:val="0"/>
              <w:pageBreakBefore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制造商</w:t>
            </w:r>
          </w:p>
        </w:tc>
        <w:tc>
          <w:tcPr>
            <w:tcW w:w="1559" w:type="dxa"/>
            <w:tcBorders>
              <w:top w:val="single" w:color="auto" w:sz="4" w:space="0"/>
              <w:left w:val="single" w:color="auto" w:sz="4" w:space="0"/>
              <w:bottom w:val="single" w:color="auto" w:sz="4" w:space="0"/>
              <w:right w:val="single" w:color="auto" w:sz="4" w:space="0"/>
            </w:tcBorders>
            <w:vAlign w:val="center"/>
          </w:tcPr>
          <w:p w14:paraId="2AA9EA43">
            <w:pPr>
              <w:keepNext w:val="0"/>
              <w:keepLines w:val="0"/>
              <w:pageBreakBefore w:val="0"/>
              <w:kinsoku/>
              <w:wordWrap/>
              <w:overflowPunct/>
              <w:topLinePunct w:val="0"/>
              <w:autoSpaceDE/>
              <w:autoSpaceDN/>
              <w:bidi w:val="0"/>
              <w:adjustRightInd/>
              <w:spacing w:line="360" w:lineRule="auto"/>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折扣</w:t>
            </w:r>
          </w:p>
        </w:tc>
      </w:tr>
      <w:tr w14:paraId="346F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7" w:type="dxa"/>
            <w:tcBorders>
              <w:top w:val="single" w:color="auto" w:sz="4" w:space="0"/>
              <w:left w:val="single" w:color="auto" w:sz="4" w:space="0"/>
              <w:bottom w:val="single" w:color="auto" w:sz="4" w:space="0"/>
              <w:right w:val="single" w:color="auto" w:sz="4" w:space="0"/>
            </w:tcBorders>
            <w:vAlign w:val="center"/>
          </w:tcPr>
          <w:p w14:paraId="225E40A8">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ascii="宋体" w:hAnsi="宋体"/>
                <w:color w:val="auto"/>
                <w:szCs w:val="21"/>
                <w:highlight w:val="none"/>
              </w:rPr>
            </w:pPr>
            <w:r>
              <w:rPr>
                <w:rFonts w:hint="eastAsia" w:ascii="宋体" w:hAnsi="宋体"/>
                <w:color w:val="auto"/>
                <w:szCs w:val="21"/>
                <w:highlight w:val="none"/>
              </w:rPr>
              <w:t>01</w:t>
            </w:r>
          </w:p>
        </w:tc>
        <w:tc>
          <w:tcPr>
            <w:tcW w:w="1843" w:type="dxa"/>
            <w:tcBorders>
              <w:top w:val="single" w:color="auto" w:sz="4" w:space="0"/>
              <w:left w:val="single" w:color="auto" w:sz="4" w:space="0"/>
              <w:bottom w:val="single" w:color="auto" w:sz="4" w:space="0"/>
              <w:right w:val="single" w:color="auto" w:sz="4" w:space="0"/>
            </w:tcBorders>
            <w:vAlign w:val="center"/>
          </w:tcPr>
          <w:p w14:paraId="0962EEFE">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ascii="宋体" w:hAnsi="宋体"/>
                <w:color w:val="auto"/>
                <w:szCs w:val="21"/>
                <w:highlight w:val="none"/>
              </w:rPr>
            </w:pPr>
            <w:r>
              <w:rPr>
                <w:rFonts w:hint="eastAsia" w:ascii="宋体" w:hAnsi="宋体"/>
                <w:color w:val="auto"/>
                <w:szCs w:val="21"/>
                <w:highlight w:val="none"/>
              </w:rPr>
              <w:t>面粉</w:t>
            </w:r>
          </w:p>
        </w:tc>
        <w:tc>
          <w:tcPr>
            <w:tcW w:w="1134" w:type="dxa"/>
            <w:tcBorders>
              <w:top w:val="single" w:color="auto" w:sz="4" w:space="0"/>
              <w:left w:val="single" w:color="auto" w:sz="4" w:space="0"/>
              <w:bottom w:val="single" w:color="auto" w:sz="4" w:space="0"/>
              <w:right w:val="single" w:color="auto" w:sz="4" w:space="0"/>
            </w:tcBorders>
            <w:vAlign w:val="center"/>
          </w:tcPr>
          <w:p w14:paraId="6D82EDEF">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ascii="宋体" w:hAnsi="宋体"/>
                <w:color w:val="auto"/>
                <w:szCs w:val="21"/>
                <w:highlight w:val="none"/>
              </w:rPr>
            </w:pPr>
            <w:r>
              <w:rPr>
                <w:rFonts w:hint="eastAsia" w:ascii="宋体" w:hAnsi="宋体"/>
                <w:color w:val="auto"/>
                <w:szCs w:val="21"/>
                <w:highlight w:val="none"/>
              </w:rPr>
              <w:t>17800</w:t>
            </w:r>
          </w:p>
        </w:tc>
        <w:tc>
          <w:tcPr>
            <w:tcW w:w="1276" w:type="dxa"/>
            <w:tcBorders>
              <w:top w:val="single" w:color="auto" w:sz="4" w:space="0"/>
              <w:left w:val="single" w:color="auto" w:sz="4" w:space="0"/>
              <w:bottom w:val="single" w:color="auto" w:sz="4" w:space="0"/>
              <w:right w:val="single" w:color="auto" w:sz="4" w:space="0"/>
            </w:tcBorders>
            <w:vAlign w:val="center"/>
          </w:tcPr>
          <w:p w14:paraId="0AB42273">
            <w:pPr>
              <w:keepNext w:val="0"/>
              <w:keepLines w:val="0"/>
              <w:pageBreakBefore w:val="0"/>
              <w:kinsoku/>
              <w:wordWrap/>
              <w:overflowPunct/>
              <w:topLinePunct w:val="0"/>
              <w:autoSpaceDE/>
              <w:autoSpaceDN/>
              <w:bidi w:val="0"/>
              <w:adjustRightInd/>
              <w:ind w:left="0" w:leftChars="0" w:right="0" w:rightChars="0" w:firstLine="0" w:firstLineChars="0"/>
              <w:jc w:val="center"/>
              <w:textAlignment w:val="auto"/>
              <w:rPr>
                <w:color w:val="auto"/>
                <w:highlight w:val="none"/>
              </w:rPr>
            </w:pPr>
            <w:r>
              <w:rPr>
                <w:rFonts w:hint="eastAsia" w:ascii="宋体" w:hAnsi="宋体"/>
                <w:color w:val="auto"/>
                <w:szCs w:val="21"/>
                <w:highlight w:val="none"/>
              </w:rPr>
              <w:t>公斤</w:t>
            </w:r>
          </w:p>
        </w:tc>
        <w:tc>
          <w:tcPr>
            <w:tcW w:w="1559" w:type="dxa"/>
            <w:tcBorders>
              <w:top w:val="single" w:color="auto" w:sz="4" w:space="0"/>
              <w:left w:val="single" w:color="auto" w:sz="4" w:space="0"/>
              <w:bottom w:val="single" w:color="auto" w:sz="4" w:space="0"/>
              <w:right w:val="single" w:color="auto" w:sz="4" w:space="0"/>
            </w:tcBorders>
            <w:vAlign w:val="center"/>
          </w:tcPr>
          <w:p w14:paraId="443E6E1D">
            <w:pPr>
              <w:keepNext w:val="0"/>
              <w:keepLines w:val="0"/>
              <w:pageBreakBefore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997689D">
            <w:pPr>
              <w:keepNext w:val="0"/>
              <w:keepLines w:val="0"/>
              <w:pageBreakBefore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color w:val="auto"/>
                <w:szCs w:val="21"/>
                <w:highlight w:val="none"/>
              </w:rPr>
            </w:pPr>
          </w:p>
        </w:tc>
      </w:tr>
      <w:tr w14:paraId="5F0F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47" w:type="dxa"/>
            <w:tcBorders>
              <w:top w:val="single" w:color="auto" w:sz="4" w:space="0"/>
              <w:left w:val="single" w:color="auto" w:sz="4" w:space="0"/>
              <w:bottom w:val="single" w:color="auto" w:sz="4" w:space="0"/>
              <w:right w:val="single" w:color="auto" w:sz="4" w:space="0"/>
            </w:tcBorders>
            <w:vAlign w:val="center"/>
          </w:tcPr>
          <w:p w14:paraId="4F6DBC2F">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ascii="宋体" w:hAnsi="宋体"/>
                <w:color w:val="auto"/>
                <w:szCs w:val="21"/>
                <w:highlight w:val="none"/>
              </w:rPr>
            </w:pPr>
            <w:r>
              <w:rPr>
                <w:rFonts w:hint="eastAsia" w:ascii="宋体" w:hAnsi="宋体"/>
                <w:color w:val="auto"/>
                <w:szCs w:val="21"/>
                <w:highlight w:val="none"/>
              </w:rPr>
              <w:t>02</w:t>
            </w:r>
          </w:p>
        </w:tc>
        <w:tc>
          <w:tcPr>
            <w:tcW w:w="1843" w:type="dxa"/>
            <w:tcBorders>
              <w:top w:val="single" w:color="auto" w:sz="4" w:space="0"/>
              <w:left w:val="single" w:color="auto" w:sz="4" w:space="0"/>
              <w:bottom w:val="single" w:color="auto" w:sz="4" w:space="0"/>
              <w:right w:val="single" w:color="auto" w:sz="4" w:space="0"/>
            </w:tcBorders>
            <w:vAlign w:val="center"/>
          </w:tcPr>
          <w:p w14:paraId="59F5836F">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ascii="宋体" w:hAnsi="宋体"/>
                <w:color w:val="auto"/>
                <w:szCs w:val="21"/>
                <w:highlight w:val="none"/>
              </w:rPr>
            </w:pPr>
            <w:r>
              <w:rPr>
                <w:rFonts w:hint="eastAsia" w:ascii="宋体" w:hAnsi="宋体"/>
                <w:color w:val="auto"/>
                <w:szCs w:val="21"/>
                <w:highlight w:val="none"/>
              </w:rPr>
              <w:t>米粉（湿）</w:t>
            </w:r>
          </w:p>
        </w:tc>
        <w:tc>
          <w:tcPr>
            <w:tcW w:w="1134" w:type="dxa"/>
            <w:tcBorders>
              <w:top w:val="single" w:color="auto" w:sz="4" w:space="0"/>
              <w:left w:val="single" w:color="auto" w:sz="4" w:space="0"/>
              <w:bottom w:val="single" w:color="auto" w:sz="4" w:space="0"/>
              <w:right w:val="single" w:color="auto" w:sz="4" w:space="0"/>
            </w:tcBorders>
            <w:vAlign w:val="center"/>
          </w:tcPr>
          <w:p w14:paraId="01FEC532">
            <w:pPr>
              <w:keepNext w:val="0"/>
              <w:keepLines w:val="0"/>
              <w:pageBreakBefore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rPr>
                <w:rFonts w:ascii="宋体" w:hAnsi="宋体"/>
                <w:color w:val="auto"/>
                <w:szCs w:val="21"/>
                <w:highlight w:val="none"/>
              </w:rPr>
            </w:pPr>
            <w:r>
              <w:rPr>
                <w:rFonts w:ascii="宋体" w:hAnsi="宋体"/>
                <w:color w:val="auto"/>
                <w:szCs w:val="21"/>
                <w:highlight w:val="none"/>
              </w:rPr>
              <w:t>300000</w:t>
            </w:r>
          </w:p>
        </w:tc>
        <w:tc>
          <w:tcPr>
            <w:tcW w:w="1276" w:type="dxa"/>
            <w:tcBorders>
              <w:top w:val="single" w:color="auto" w:sz="4" w:space="0"/>
              <w:left w:val="single" w:color="auto" w:sz="4" w:space="0"/>
              <w:bottom w:val="single" w:color="auto" w:sz="4" w:space="0"/>
              <w:right w:val="single" w:color="auto" w:sz="4" w:space="0"/>
            </w:tcBorders>
            <w:vAlign w:val="center"/>
          </w:tcPr>
          <w:p w14:paraId="21A2824D">
            <w:pPr>
              <w:keepNext w:val="0"/>
              <w:keepLines w:val="0"/>
              <w:pageBreakBefore w:val="0"/>
              <w:kinsoku/>
              <w:wordWrap/>
              <w:overflowPunct/>
              <w:topLinePunct w:val="0"/>
              <w:autoSpaceDE/>
              <w:autoSpaceDN/>
              <w:bidi w:val="0"/>
              <w:adjustRightInd/>
              <w:ind w:left="0" w:leftChars="0" w:right="0" w:rightChars="0" w:firstLine="0" w:firstLineChars="0"/>
              <w:jc w:val="center"/>
              <w:textAlignment w:val="auto"/>
              <w:rPr>
                <w:color w:val="auto"/>
                <w:highlight w:val="none"/>
              </w:rPr>
            </w:pPr>
            <w:r>
              <w:rPr>
                <w:rFonts w:hint="eastAsia" w:ascii="宋体" w:hAnsi="宋体"/>
                <w:color w:val="auto"/>
                <w:szCs w:val="21"/>
                <w:highlight w:val="none"/>
              </w:rPr>
              <w:t>公斤</w:t>
            </w:r>
          </w:p>
        </w:tc>
        <w:tc>
          <w:tcPr>
            <w:tcW w:w="1559" w:type="dxa"/>
            <w:tcBorders>
              <w:top w:val="single" w:color="auto" w:sz="4" w:space="0"/>
              <w:left w:val="single" w:color="auto" w:sz="4" w:space="0"/>
              <w:bottom w:val="single" w:color="auto" w:sz="4" w:space="0"/>
              <w:right w:val="single" w:color="auto" w:sz="4" w:space="0"/>
            </w:tcBorders>
            <w:vAlign w:val="center"/>
          </w:tcPr>
          <w:p w14:paraId="5A959A73">
            <w:pPr>
              <w:keepNext w:val="0"/>
              <w:keepLines w:val="0"/>
              <w:pageBreakBefore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95C2503">
            <w:pPr>
              <w:keepNext w:val="0"/>
              <w:keepLines w:val="0"/>
              <w:pageBreakBefore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color w:val="auto"/>
                <w:szCs w:val="21"/>
                <w:highlight w:val="none"/>
              </w:rPr>
            </w:pPr>
          </w:p>
        </w:tc>
      </w:tr>
      <w:tr w14:paraId="51F4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118" w:type="dxa"/>
            <w:gridSpan w:val="6"/>
            <w:tcBorders>
              <w:top w:val="single" w:color="auto" w:sz="4" w:space="0"/>
              <w:left w:val="single" w:color="auto" w:sz="4" w:space="0"/>
              <w:bottom w:val="single" w:color="auto" w:sz="4" w:space="0"/>
              <w:right w:val="single" w:color="auto" w:sz="4" w:space="0"/>
            </w:tcBorders>
            <w:vAlign w:val="center"/>
          </w:tcPr>
          <w:p w14:paraId="5F658CCD">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注</w:t>
            </w:r>
          </w:p>
          <w:p w14:paraId="365531FC">
            <w:pPr>
              <w:numPr>
                <w:ilvl w:val="0"/>
                <w:numId w:val="0"/>
              </w:num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本项目竞标应以价格折扣报价（以%表示）。</w:t>
            </w:r>
          </w:p>
          <w:p w14:paraId="4BE24322">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Cs w:val="21"/>
                <w:highlight w:val="none"/>
              </w:rPr>
            </w:pPr>
            <w:r>
              <w:rPr>
                <w:rFonts w:hint="eastAsia" w:ascii="宋体" w:hAnsi="宋体" w:cs="宋体"/>
                <w:b w:val="0"/>
                <w:bCs w:val="0"/>
                <w:color w:val="auto"/>
                <w:szCs w:val="21"/>
                <w:highlight w:val="none"/>
                <w:lang w:val="en-US" w:eastAsia="zh-CN"/>
              </w:rPr>
              <w:t>2.</w:t>
            </w:r>
            <w:r>
              <w:rPr>
                <w:rFonts w:hint="eastAsia" w:ascii="宋体" w:hAnsi="宋体" w:cs="宋体"/>
                <w:b/>
                <w:bCs/>
                <w:color w:val="auto"/>
                <w:szCs w:val="21"/>
                <w:highlight w:val="none"/>
              </w:rPr>
              <w:t>竞标报价范围：≤100%</w:t>
            </w:r>
            <w:r>
              <w:rPr>
                <w:rFonts w:hint="eastAsia" w:ascii="宋体" w:hAnsi="宋体" w:cs="宋体"/>
                <w:color w:val="auto"/>
                <w:szCs w:val="21"/>
                <w:highlight w:val="none"/>
              </w:rPr>
              <w:t>（如：供货产品打九折即竞标折扣为90%，以此类推），价格折扣必须是固定的（如90%），不得存在区间值（如：90%～100%）。</w:t>
            </w:r>
            <w:r>
              <w:rPr>
                <w:rFonts w:hint="eastAsia"/>
                <w:color w:val="auto"/>
                <w:highlight w:val="none"/>
                <w:lang w:eastAsia="zh-CN"/>
              </w:rPr>
              <w:t>乙方</w:t>
            </w:r>
            <w:r>
              <w:rPr>
                <w:rFonts w:hint="eastAsia" w:ascii="宋体" w:hAnsi="宋体" w:cs="宋体"/>
                <w:color w:val="auto"/>
                <w:szCs w:val="21"/>
                <w:highlight w:val="none"/>
              </w:rPr>
              <w:t>必须就《采购需求》中的全部内容作完整唯一报价，不接受有选择的报价，且所报的</w:t>
            </w:r>
            <w:r>
              <w:rPr>
                <w:rFonts w:hint="eastAsia"/>
                <w:color w:val="auto"/>
                <w:highlight w:val="none"/>
              </w:rPr>
              <w:t>价格</w:t>
            </w:r>
            <w:r>
              <w:rPr>
                <w:rFonts w:hint="eastAsia" w:ascii="宋体" w:hAnsi="宋体" w:cs="宋体"/>
                <w:color w:val="auto"/>
                <w:szCs w:val="21"/>
                <w:highlight w:val="none"/>
              </w:rPr>
              <w:t>折扣应当适用于每种食材，否则，</w:t>
            </w:r>
            <w:r>
              <w:rPr>
                <w:rFonts w:hint="eastAsia" w:ascii="宋体" w:hAnsi="宋体" w:cs="宋体"/>
                <w:b/>
                <w:bCs/>
                <w:color w:val="auto"/>
                <w:szCs w:val="21"/>
                <w:highlight w:val="none"/>
              </w:rPr>
              <w:t>作无效报价处理。</w:t>
            </w:r>
          </w:p>
          <w:p w14:paraId="2F874011">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r>
              <w:rPr>
                <w:rFonts w:hint="eastAsia" w:ascii="宋体" w:hAnsi="宋体" w:cs="宋体"/>
                <w:color w:val="auto"/>
                <w:szCs w:val="21"/>
                <w:highlight w:val="none"/>
                <w:lang w:val="en-US" w:eastAsia="zh-CN"/>
              </w:rPr>
              <w:t>3.供货和定价方式：采购单价=基准单价×成交折扣，以钟山县市场价格作为供应基准价。合同签订之日后，以双方进行市场调查后确定的钟山县市场价格作为供应基准价，每三个月由乙方与甲方在钟山县城市场进行联合价格调查后确定基准价。</w:t>
            </w:r>
          </w:p>
          <w:p w14:paraId="245BBC75">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jc w:val="left"/>
              <w:textAlignment w:val="auto"/>
              <w:rPr>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.竞标报价必须包含货物及货物运抵指定交货地点的各种费用和售后服务、税金、验收检验及其它所有费用的总和。</w:t>
            </w:r>
          </w:p>
        </w:tc>
      </w:tr>
    </w:tbl>
    <w:p w14:paraId="0C256BD6">
      <w:pPr>
        <w:keepNext w:val="0"/>
        <w:keepLines w:val="0"/>
        <w:pageBreakBefore w:val="0"/>
        <w:widowControl/>
        <w:kinsoku/>
        <w:wordWrap/>
        <w:overflowPunct/>
        <w:topLinePunct w:val="0"/>
        <w:autoSpaceDE/>
        <w:autoSpaceDN/>
        <w:bidi w:val="0"/>
        <w:adjustRightInd/>
        <w:spacing w:beforeLines="50" w:line="360" w:lineRule="auto"/>
        <w:ind w:firstLine="420" w:firstLineChars="200"/>
        <w:jc w:val="left"/>
        <w:textAlignment w:val="auto"/>
        <w:rPr>
          <w:rFonts w:hint="default" w:ascii="宋体" w:hAnsi="宋体" w:eastAsia="宋体" w:cs="宋体"/>
          <w:b/>
          <w:bCs/>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竞标报价必须包含货物及货物运抵指定交货地点的各种费用和售后服务、税金、验收检验及其它所有费用的总和。</w:t>
      </w:r>
    </w:p>
    <w:p w14:paraId="70A2B49E">
      <w:pPr>
        <w:keepNext w:val="0"/>
        <w:keepLines w:val="0"/>
        <w:pageBreakBefore w:val="0"/>
        <w:widowControl/>
        <w:kinsoku/>
        <w:wordWrap/>
        <w:overflowPunct/>
        <w:topLinePunct w:val="0"/>
        <w:autoSpaceDE/>
        <w:autoSpaceDN/>
        <w:bidi w:val="0"/>
        <w:adjustRightInd/>
        <w:spacing w:beforeLines="50" w:line="360" w:lineRule="auto"/>
        <w:ind w:firstLine="422" w:firstLineChars="200"/>
        <w:jc w:val="left"/>
        <w:textAlignment w:val="auto"/>
        <w:rPr>
          <w:rFonts w:hint="eastAsia" w:ascii="宋体" w:hAnsi="宋体" w:cs="宋体"/>
          <w:color w:val="auto"/>
          <w:szCs w:val="21"/>
          <w:highlight w:val="none"/>
        </w:rPr>
      </w:pPr>
      <w:r>
        <w:rPr>
          <w:rFonts w:hint="eastAsia" w:ascii="宋体" w:hAnsi="宋体" w:cs="宋体"/>
          <w:b/>
          <w:bCs/>
          <w:color w:val="auto"/>
          <w:kern w:val="0"/>
          <w:szCs w:val="21"/>
          <w:highlight w:val="none"/>
        </w:rPr>
        <w:t xml:space="preserve">第二条 质量保证 </w:t>
      </w:r>
    </w:p>
    <w:p w14:paraId="48DC225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严格按国家食品卫生标准要求执行，《中华人民共和国食品安全法》禁止经营的食品一律不得采购和使用，严禁使用“三无”、有毒、有害、过期、变质、假冒伪劣等不合格食品原材料加工食品。</w:t>
      </w:r>
    </w:p>
    <w:p w14:paraId="4930DE95">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安全责任方面要求</w:t>
      </w:r>
    </w:p>
    <w:p w14:paraId="681BAC0F">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 w:val="21"/>
          <w:highlight w:val="none"/>
        </w:rPr>
        <w:t>（1）</w:t>
      </w:r>
      <w:r>
        <w:rPr>
          <w:rFonts w:hint="eastAsia" w:asciiTheme="minorEastAsia" w:hAnsiTheme="minorEastAsia" w:eastAsiaTheme="minorEastAsia" w:cstheme="minorEastAsia"/>
          <w:bCs/>
          <w:color w:val="auto"/>
          <w:szCs w:val="21"/>
          <w:highlight w:val="none"/>
          <w:lang w:eastAsia="zh-CN"/>
        </w:rPr>
        <w:t>乙方</w:t>
      </w:r>
      <w:r>
        <w:rPr>
          <w:rFonts w:hint="eastAsia" w:asciiTheme="minorEastAsia" w:hAnsiTheme="minorEastAsia" w:eastAsiaTheme="minorEastAsia" w:cstheme="minorEastAsia"/>
          <w:bCs/>
          <w:color w:val="auto"/>
          <w:szCs w:val="21"/>
          <w:highlight w:val="none"/>
        </w:rPr>
        <w:t>应充分理解并认真遵循本竞争性谈判文件要求。所提供的货物必须满足竞争性谈判文件要求，并可追溯，检验合格、无毒、无害、无辐射、无侵权，符合国家有关卫生、质量、包装和保质标准。</w:t>
      </w:r>
    </w:p>
    <w:p w14:paraId="4044812F">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eastAsia" w:ascii="宋体" w:hAnsi="宋体" w:cs="宋体"/>
          <w:bCs/>
          <w:color w:val="auto"/>
          <w:szCs w:val="21"/>
          <w:highlight w:val="none"/>
        </w:rPr>
      </w:pPr>
      <w:r>
        <w:rPr>
          <w:rFonts w:hint="eastAsia" w:asciiTheme="minorEastAsia" w:hAnsiTheme="minorEastAsia" w:eastAsiaTheme="minorEastAsia" w:cstheme="minorEastAsia"/>
          <w:color w:val="auto"/>
          <w:sz w:val="21"/>
          <w:highlight w:val="none"/>
        </w:rPr>
        <w:t>（</w:t>
      </w:r>
      <w:r>
        <w:rPr>
          <w:rFonts w:hint="eastAsia" w:asciiTheme="minorEastAsia" w:hAnsiTheme="minorEastAsia" w:eastAsiaTheme="minorEastAsia" w:cstheme="minorEastAsia"/>
          <w:color w:val="auto"/>
          <w:sz w:val="21"/>
          <w:highlight w:val="none"/>
          <w:lang w:val="en-US" w:eastAsia="zh-CN"/>
        </w:rPr>
        <w:t>2</w:t>
      </w:r>
      <w:r>
        <w:rPr>
          <w:rFonts w:hint="eastAsia" w:asciiTheme="minorEastAsia" w:hAnsiTheme="minorEastAsia" w:eastAsiaTheme="minorEastAsia" w:cstheme="minorEastAsia"/>
          <w:color w:val="auto"/>
          <w:sz w:val="21"/>
          <w:highlight w:val="none"/>
        </w:rPr>
        <w:t>）</w:t>
      </w:r>
      <w:r>
        <w:rPr>
          <w:rFonts w:hint="eastAsia" w:ascii="宋体" w:hAnsi="宋体" w:cs="宋体" w:eastAsiaTheme="minorEastAsia"/>
          <w:bCs/>
          <w:color w:val="auto"/>
          <w:szCs w:val="21"/>
          <w:highlight w:val="none"/>
          <w:lang w:eastAsia="zh-CN"/>
        </w:rPr>
        <w:t>乙方</w:t>
      </w:r>
      <w:r>
        <w:rPr>
          <w:rFonts w:hint="eastAsia" w:ascii="宋体" w:hAnsi="宋体" w:cs="宋体"/>
          <w:bCs/>
          <w:color w:val="auto"/>
          <w:szCs w:val="21"/>
          <w:highlight w:val="none"/>
        </w:rPr>
        <w:t>在成交前未购买</w:t>
      </w:r>
      <w:r>
        <w:rPr>
          <w:rFonts w:hint="eastAsia" w:ascii="宋体" w:hAnsi="宋体" w:cs="宋体"/>
          <w:color w:val="auto"/>
          <w:szCs w:val="21"/>
          <w:highlight w:val="none"/>
        </w:rPr>
        <w:t>食品安全责任</w:t>
      </w:r>
      <w:r>
        <w:rPr>
          <w:rFonts w:hint="eastAsia" w:ascii="宋体" w:hAnsi="宋体" w:cs="宋体"/>
          <w:bCs/>
          <w:color w:val="auto"/>
          <w:szCs w:val="21"/>
          <w:highlight w:val="none"/>
        </w:rPr>
        <w:t>类保险</w:t>
      </w:r>
      <w:r>
        <w:rPr>
          <w:rFonts w:hint="eastAsia" w:ascii="宋体" w:hAnsi="宋体" w:cs="宋体"/>
          <w:color w:val="auto"/>
          <w:szCs w:val="21"/>
          <w:highlight w:val="none"/>
        </w:rPr>
        <w:t>的，</w:t>
      </w:r>
      <w:r>
        <w:rPr>
          <w:rFonts w:hint="eastAsia" w:ascii="宋体" w:hAnsi="宋体" w:cs="宋体"/>
          <w:bCs/>
          <w:color w:val="auto"/>
          <w:szCs w:val="21"/>
          <w:highlight w:val="none"/>
        </w:rPr>
        <w:t>签订合同后一个月内必须到相关的保险公司进行投保，投保险种为食品安全责任类保险（投保金额保额超过</w:t>
      </w:r>
      <w:r>
        <w:rPr>
          <w:rFonts w:hint="eastAsia" w:ascii="宋体" w:hAnsi="宋体" w:cs="宋体"/>
          <w:bCs/>
          <w:color w:val="auto"/>
          <w:szCs w:val="21"/>
          <w:highlight w:val="none"/>
          <w:lang w:val="en-US" w:eastAsia="zh-CN"/>
        </w:rPr>
        <w:t>101</w:t>
      </w:r>
      <w:r>
        <w:rPr>
          <w:rFonts w:hint="eastAsia" w:ascii="宋体" w:hAnsi="宋体" w:cs="宋体"/>
          <w:bCs/>
          <w:color w:val="auto"/>
          <w:szCs w:val="21"/>
          <w:highlight w:val="none"/>
        </w:rPr>
        <w:t>万元</w:t>
      </w:r>
      <w:r>
        <w:rPr>
          <w:rFonts w:hint="eastAsia" w:ascii="宋体" w:hAnsi="宋体" w:cs="宋体"/>
          <w:bCs/>
          <w:color w:val="auto"/>
          <w:szCs w:val="21"/>
          <w:highlight w:val="none"/>
          <w:lang w:val="en-US" w:eastAsia="zh-CN"/>
        </w:rPr>
        <w:t>,</w:t>
      </w:r>
      <w:r>
        <w:rPr>
          <w:rFonts w:hint="eastAsia" w:ascii="宋体" w:hAnsi="宋体" w:cs="宋体"/>
          <w:bCs/>
          <w:color w:val="auto"/>
          <w:szCs w:val="21"/>
          <w:highlight w:val="none"/>
        </w:rPr>
        <w:t>保期应覆盖本项目合同履约期限</w:t>
      </w:r>
      <w:r>
        <w:rPr>
          <w:rFonts w:hint="eastAsia" w:ascii="宋体" w:hAnsi="宋体" w:cs="宋体"/>
          <w:bCs/>
          <w:color w:val="auto"/>
          <w:szCs w:val="21"/>
          <w:highlight w:val="none"/>
          <w:lang w:eastAsia="zh-CN"/>
        </w:rPr>
        <w:t>并将保单复印件提供给甲方存档</w:t>
      </w:r>
      <w:r>
        <w:rPr>
          <w:rFonts w:hint="eastAsia" w:ascii="宋体" w:hAnsi="宋体" w:cs="宋体"/>
          <w:bCs/>
          <w:color w:val="auto"/>
          <w:szCs w:val="21"/>
          <w:highlight w:val="none"/>
        </w:rPr>
        <w:t>）。</w:t>
      </w:r>
    </w:p>
    <w:p w14:paraId="47EDBE5B">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安全监管要求：</w:t>
      </w:r>
    </w:p>
    <w:p w14:paraId="490B305F">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 w:val="21"/>
          <w:highlight w:val="none"/>
        </w:rPr>
        <w:t>（1）</w:t>
      </w:r>
      <w:r>
        <w:rPr>
          <w:rFonts w:hint="eastAsia" w:asciiTheme="minorEastAsia" w:hAnsiTheme="minorEastAsia" w:eastAsiaTheme="minorEastAsia" w:cstheme="minorEastAsia"/>
          <w:bCs/>
          <w:color w:val="auto"/>
          <w:szCs w:val="21"/>
          <w:highlight w:val="none"/>
        </w:rPr>
        <w:t>建立健全并严格执行各项食品卫生安全管理制度。严格执行原材料进货查验制度、购销登记制度、索证索票制度、商品质量承诺制度、检测检验制度以及其他按照行业管理规定必须健全的各项管理制度。</w:t>
      </w:r>
    </w:p>
    <w:p w14:paraId="3D4557F8">
      <w:pPr>
        <w:keepNext w:val="0"/>
        <w:keepLines w:val="0"/>
        <w:pageBreakBefore w:val="0"/>
        <w:widowControl/>
        <w:kinsoku/>
        <w:wordWrap/>
        <w:overflowPunct/>
        <w:topLinePunct w:val="0"/>
        <w:autoSpaceDE/>
        <w:autoSpaceDN/>
        <w:bidi w:val="0"/>
        <w:adjustRightInd/>
        <w:spacing w:beforeLines="50" w:line="360" w:lineRule="auto"/>
        <w:ind w:firstLine="420" w:firstLineChars="200"/>
        <w:jc w:val="left"/>
        <w:textAlignment w:val="auto"/>
        <w:rPr>
          <w:rFonts w:hint="eastAsia" w:ascii="宋体" w:hAnsi="宋体" w:cs="宋体"/>
          <w:bCs/>
          <w:color w:val="auto"/>
          <w:szCs w:val="21"/>
          <w:highlight w:val="none"/>
        </w:rPr>
      </w:pPr>
      <w:r>
        <w:rPr>
          <w:rFonts w:hint="eastAsia" w:asciiTheme="minorEastAsia" w:hAnsiTheme="minorEastAsia" w:eastAsiaTheme="minorEastAsia" w:cstheme="minorEastAsia"/>
          <w:color w:val="auto"/>
          <w:sz w:val="21"/>
          <w:highlight w:val="none"/>
        </w:rPr>
        <w:t>（</w:t>
      </w:r>
      <w:r>
        <w:rPr>
          <w:rFonts w:hint="eastAsia" w:asciiTheme="minorEastAsia" w:hAnsiTheme="minorEastAsia" w:eastAsiaTheme="minorEastAsia" w:cstheme="minorEastAsia"/>
          <w:color w:val="auto"/>
          <w:sz w:val="21"/>
          <w:highlight w:val="none"/>
          <w:lang w:val="en-US" w:eastAsia="zh-CN"/>
        </w:rPr>
        <w:t>2</w:t>
      </w:r>
      <w:r>
        <w:rPr>
          <w:rFonts w:hint="eastAsia" w:asciiTheme="minorEastAsia" w:hAnsiTheme="minorEastAsia" w:eastAsiaTheme="minorEastAsia" w:cstheme="minorEastAsia"/>
          <w:color w:val="auto"/>
          <w:sz w:val="21"/>
          <w:highlight w:val="none"/>
        </w:rPr>
        <w:t>）</w:t>
      </w:r>
      <w:r>
        <w:rPr>
          <w:rFonts w:hint="eastAsia" w:asciiTheme="minorEastAsia" w:hAnsiTheme="minorEastAsia" w:eastAsiaTheme="minorEastAsia" w:cstheme="minorEastAsia"/>
          <w:bCs/>
          <w:color w:val="auto"/>
          <w:szCs w:val="21"/>
          <w:highlight w:val="none"/>
        </w:rPr>
        <w:t>如因</w:t>
      </w:r>
      <w:r>
        <w:rPr>
          <w:rFonts w:hint="eastAsia" w:asciiTheme="minorEastAsia" w:hAnsiTheme="minorEastAsia" w:eastAsiaTheme="minorEastAsia" w:cstheme="minorEastAsia"/>
          <w:bCs/>
          <w:color w:val="auto"/>
          <w:szCs w:val="21"/>
          <w:highlight w:val="none"/>
          <w:lang w:eastAsia="zh-CN"/>
        </w:rPr>
        <w:t>乙方</w:t>
      </w:r>
      <w:r>
        <w:rPr>
          <w:rFonts w:hint="eastAsia" w:asciiTheme="minorEastAsia" w:hAnsiTheme="minorEastAsia" w:eastAsiaTheme="minorEastAsia" w:cstheme="minorEastAsia"/>
          <w:bCs/>
          <w:color w:val="auto"/>
          <w:szCs w:val="21"/>
          <w:highlight w:val="none"/>
        </w:rPr>
        <w:t>的食材质量问题，导致</w:t>
      </w:r>
      <w:r>
        <w:rPr>
          <w:rFonts w:hint="eastAsia" w:asciiTheme="minorEastAsia" w:hAnsiTheme="minorEastAsia" w:eastAsiaTheme="minorEastAsia" w:cstheme="minorEastAsia"/>
          <w:bCs/>
          <w:color w:val="auto"/>
          <w:szCs w:val="21"/>
          <w:highlight w:val="none"/>
          <w:lang w:eastAsia="zh-CN"/>
        </w:rPr>
        <w:t>甲方</w:t>
      </w:r>
      <w:r>
        <w:rPr>
          <w:rFonts w:hint="eastAsia" w:asciiTheme="minorEastAsia" w:hAnsiTheme="minorEastAsia" w:eastAsiaTheme="minorEastAsia" w:cstheme="minorEastAsia"/>
          <w:bCs/>
          <w:color w:val="auto"/>
          <w:szCs w:val="21"/>
          <w:highlight w:val="none"/>
        </w:rPr>
        <w:t>发生食品安全事故，因此造成的损失和责任由</w:t>
      </w:r>
      <w:r>
        <w:rPr>
          <w:rFonts w:hint="eastAsia" w:asciiTheme="minorEastAsia" w:hAnsiTheme="minorEastAsia" w:eastAsiaTheme="minorEastAsia" w:cstheme="minorEastAsia"/>
          <w:bCs/>
          <w:color w:val="auto"/>
          <w:szCs w:val="21"/>
          <w:highlight w:val="none"/>
          <w:lang w:eastAsia="zh-CN"/>
        </w:rPr>
        <w:t>乙方</w:t>
      </w:r>
      <w:r>
        <w:rPr>
          <w:rFonts w:hint="eastAsia" w:asciiTheme="minorEastAsia" w:hAnsiTheme="minorEastAsia" w:eastAsiaTheme="minorEastAsia" w:cstheme="minorEastAsia"/>
          <w:bCs/>
          <w:color w:val="auto"/>
          <w:szCs w:val="21"/>
          <w:highlight w:val="none"/>
        </w:rPr>
        <w:t>全部承担；</w:t>
      </w:r>
      <w:r>
        <w:rPr>
          <w:rFonts w:hint="eastAsia" w:ascii="宋体" w:hAnsi="宋体" w:cs="宋体"/>
          <w:bCs/>
          <w:color w:val="auto"/>
          <w:szCs w:val="21"/>
          <w:highlight w:val="none"/>
        </w:rPr>
        <w:t>造成重大食品安全事故的，</w:t>
      </w:r>
      <w:r>
        <w:rPr>
          <w:rFonts w:hint="eastAsia" w:ascii="宋体" w:hAnsi="宋体" w:cs="宋体"/>
          <w:bCs/>
          <w:color w:val="auto"/>
          <w:szCs w:val="21"/>
          <w:highlight w:val="none"/>
          <w:lang w:eastAsia="zh-CN"/>
        </w:rPr>
        <w:t>甲方</w:t>
      </w:r>
      <w:r>
        <w:rPr>
          <w:rFonts w:hint="eastAsia" w:ascii="宋体" w:hAnsi="宋体" w:cs="宋体"/>
          <w:bCs/>
          <w:color w:val="auto"/>
          <w:szCs w:val="21"/>
          <w:highlight w:val="none"/>
        </w:rPr>
        <w:t>可以单方解除合同，</w:t>
      </w:r>
      <w:r>
        <w:rPr>
          <w:rFonts w:hint="eastAsia" w:ascii="宋体" w:hAnsi="宋体" w:cs="宋体"/>
          <w:bCs/>
          <w:color w:val="auto"/>
          <w:szCs w:val="21"/>
          <w:highlight w:val="none"/>
          <w:lang w:eastAsia="zh-CN"/>
        </w:rPr>
        <w:t>乙方</w:t>
      </w:r>
      <w:r>
        <w:rPr>
          <w:rFonts w:hint="eastAsia" w:ascii="宋体" w:hAnsi="宋体" w:cs="宋体"/>
          <w:bCs/>
          <w:color w:val="auto"/>
          <w:szCs w:val="21"/>
          <w:highlight w:val="none"/>
        </w:rPr>
        <w:t>要赔偿因此造成的全部损失并依法承担有关责任</w:t>
      </w:r>
    </w:p>
    <w:p w14:paraId="286EFB31">
      <w:pPr>
        <w:keepNext w:val="0"/>
        <w:keepLines w:val="0"/>
        <w:pageBreakBefore w:val="0"/>
        <w:widowControl/>
        <w:kinsoku/>
        <w:wordWrap/>
        <w:overflowPunct/>
        <w:topLinePunct w:val="0"/>
        <w:autoSpaceDE/>
        <w:autoSpaceDN/>
        <w:bidi w:val="0"/>
        <w:adjustRightInd/>
        <w:spacing w:beforeLines="50" w:line="360" w:lineRule="auto"/>
        <w:ind w:firstLine="422" w:firstLineChars="200"/>
        <w:jc w:val="left"/>
        <w:textAlignment w:val="auto"/>
        <w:rPr>
          <w:rFonts w:hint="eastAsia" w:ascii="宋体" w:hAnsi="宋体" w:cs="宋体"/>
          <w:color w:val="auto"/>
          <w:szCs w:val="21"/>
          <w:highlight w:val="none"/>
        </w:rPr>
      </w:pPr>
      <w:r>
        <w:rPr>
          <w:rFonts w:hint="eastAsia" w:ascii="宋体" w:hAnsi="宋体" w:cs="宋体"/>
          <w:b/>
          <w:bCs/>
          <w:color w:val="auto"/>
          <w:kern w:val="0"/>
          <w:szCs w:val="21"/>
          <w:highlight w:val="none"/>
        </w:rPr>
        <w:t xml:space="preserve">第三条 包装和运输 </w:t>
      </w:r>
    </w:p>
    <w:p w14:paraId="0E3B95C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1.乙方提供的货物均应按竞争性谈判文件规定或者响应文件承诺的要求的包装材料、包装标准、包装方式进行包装，每一包装单元内应附质量安全检验合格证明。</w:t>
      </w:r>
    </w:p>
    <w:p w14:paraId="68446B2A">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2.货物的运输方式：符合安全卫生标准的封闭厢式保鲜专用配送车辆及符合食品运输要求的固定司机。司机相关证照（驾驶证）、司机及配送人员健康证等报</w:t>
      </w:r>
      <w:r>
        <w:rPr>
          <w:rFonts w:hint="eastAsia"/>
          <w:color w:val="auto"/>
          <w:highlight w:val="none"/>
        </w:rPr>
        <w:t>甲方</w:t>
      </w:r>
      <w:r>
        <w:rPr>
          <w:rFonts w:hint="eastAsia" w:ascii="宋体" w:hAnsi="宋体" w:cs="宋体"/>
          <w:color w:val="auto"/>
          <w:szCs w:val="21"/>
          <w:highlight w:val="none"/>
        </w:rPr>
        <w:t>备案。</w:t>
      </w:r>
    </w:p>
    <w:p w14:paraId="4C77B7B2">
      <w:pPr>
        <w:numPr>
          <w:ilvl w:val="0"/>
          <w:numId w:val="0"/>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3.要求在钟山县设有采购负责人，如在钟山县未设置有采购负责人的，需承诺在钟山县设有采购负责人，在合同履行期内必须在1小时内提供应急采购服务(需提供承诺函)。</w:t>
      </w:r>
    </w:p>
    <w:p w14:paraId="566C211C">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4.乙方负责货物运输，货物运输合理损耗及计算方法：</w:t>
      </w:r>
      <w:r>
        <w:rPr>
          <w:rFonts w:hint="eastAsia" w:ascii="宋体" w:hAnsi="宋体" w:cs="宋体"/>
          <w:color w:val="auto"/>
          <w:szCs w:val="21"/>
          <w:highlight w:val="none"/>
          <w:u w:val="single"/>
        </w:rPr>
        <w:t xml:space="preserve"> 所有损耗由乙方负责 。</w:t>
      </w:r>
    </w:p>
    <w:p w14:paraId="4920E04A">
      <w:pPr>
        <w:pStyle w:val="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货物由甲方验收并签收书面验收单据后视为交付，在交付前发生的风险均由乙方负责</w:t>
      </w:r>
      <w:r>
        <w:rPr>
          <w:rFonts w:hint="eastAsia" w:ascii="宋体" w:hAnsi="宋体" w:cs="宋体"/>
          <w:color w:val="auto"/>
          <w:szCs w:val="21"/>
          <w:highlight w:val="none"/>
        </w:rPr>
        <w:t>。</w:t>
      </w:r>
    </w:p>
    <w:p w14:paraId="4B1F7B42">
      <w:pPr>
        <w:pStyle w:val="9"/>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6.货物在规定的交付期限内由乙方送达甲方指定的地点视为交付，乙方同时需通知甲方货物已送达。</w:t>
      </w:r>
    </w:p>
    <w:p w14:paraId="601D1BE7">
      <w:pPr>
        <w:pStyle w:val="9"/>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7.乙方提供的货物均应按竞争性谈判文件要求的包装材料、包装标准、包装方式进行包装，每一包单元内附详细的装箱单和质量合格证。</w:t>
      </w:r>
    </w:p>
    <w:p w14:paraId="7EB0FA4D">
      <w:pPr>
        <w:keepNext w:val="0"/>
        <w:keepLines w:val="0"/>
        <w:pageBreakBefore w:val="0"/>
        <w:widowControl/>
        <w:kinsoku/>
        <w:wordWrap/>
        <w:overflowPunct/>
        <w:topLinePunct w:val="0"/>
        <w:autoSpaceDE/>
        <w:autoSpaceDN/>
        <w:bidi w:val="0"/>
        <w:adjustRightInd/>
        <w:spacing w:beforeLines="50" w:line="360" w:lineRule="auto"/>
        <w:ind w:firstLine="422" w:firstLineChars="200"/>
        <w:jc w:val="left"/>
        <w:textAlignment w:val="auto"/>
        <w:rPr>
          <w:rFonts w:hint="eastAsia" w:ascii="宋体" w:hAnsi="宋体" w:cs="宋体"/>
          <w:color w:val="auto"/>
          <w:szCs w:val="21"/>
          <w:highlight w:val="none"/>
        </w:rPr>
      </w:pPr>
      <w:r>
        <w:rPr>
          <w:rFonts w:hint="eastAsia" w:ascii="宋体" w:hAnsi="宋体" w:cs="宋体"/>
          <w:b/>
          <w:bCs/>
          <w:color w:val="auto"/>
          <w:kern w:val="0"/>
          <w:szCs w:val="21"/>
          <w:highlight w:val="none"/>
        </w:rPr>
        <w:t xml:space="preserve">第四条 交付和验收 </w:t>
      </w:r>
    </w:p>
    <w:p w14:paraId="219B3FF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olor w:val="auto"/>
          <w:szCs w:val="21"/>
          <w:highlight w:val="none"/>
        </w:rPr>
      </w:pPr>
      <w:r>
        <w:rPr>
          <w:rFonts w:hint="eastAsia" w:ascii="宋体" w:hAnsi="宋体" w:cs="宋体"/>
          <w:color w:val="auto"/>
          <w:kern w:val="0"/>
          <w:szCs w:val="21"/>
          <w:highlight w:val="none"/>
        </w:rPr>
        <w:t>1.交付的时间：</w:t>
      </w:r>
      <w:r>
        <w:rPr>
          <w:rFonts w:hint="eastAsia" w:ascii="宋体" w:hAnsi="宋体"/>
          <w:color w:val="auto"/>
          <w:szCs w:val="21"/>
          <w:highlight w:val="none"/>
        </w:rPr>
        <w:t>自签订合同之日起6个月，根据甲方要求供货，服务时间不受节假日影响；出现临时采购的时候，乙方必须及时响应。本项目采购量为年度采购预估量，乙方根据甲方每天需求量供货，采购量以年度</w:t>
      </w:r>
      <w:r>
        <w:rPr>
          <w:rFonts w:hint="eastAsia" w:ascii="宋体" w:hAnsi="宋体"/>
          <w:color w:val="auto"/>
          <w:szCs w:val="21"/>
          <w:highlight w:val="none"/>
          <w:lang w:val="en-US" w:eastAsia="zh-CN"/>
        </w:rPr>
        <w:t>6</w:t>
      </w:r>
      <w:r>
        <w:rPr>
          <w:rFonts w:hint="eastAsia" w:ascii="宋体" w:hAnsi="宋体"/>
          <w:color w:val="auto"/>
          <w:szCs w:val="21"/>
          <w:highlight w:val="none"/>
        </w:rPr>
        <w:t>个月实际采购量为准。</w:t>
      </w:r>
    </w:p>
    <w:p w14:paraId="79F62222">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Cs w:val="21"/>
          <w:highlight w:val="none"/>
          <w:u w:val="single"/>
        </w:rPr>
      </w:pPr>
      <w:r>
        <w:rPr>
          <w:rFonts w:hint="eastAsia" w:ascii="宋体" w:hAnsi="宋体" w:cs="宋体"/>
          <w:color w:val="auto"/>
          <w:kern w:val="0"/>
          <w:szCs w:val="21"/>
          <w:highlight w:val="none"/>
        </w:rPr>
        <w:t>2.交付的地点：甲方指定地点，并按要求负责卸货。</w:t>
      </w:r>
    </w:p>
    <w:p w14:paraId="10B38110">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3.乙方提供不符合竞争性谈判文件、响应文件和本合同规定的货物，甲方有权拒绝接受。 </w:t>
      </w:r>
    </w:p>
    <w:p w14:paraId="2A75DDA1">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.验收工作的一般程序为：根据货物采购清单的具体要求，对所购名称进行清点、外观检查进行实测，并逐项记录。检测结束后，验收人员在验收单上签字。对未能通过验收的，一律退货、更换直至验收合格。</w:t>
      </w:r>
    </w:p>
    <w:p w14:paraId="774658D9">
      <w:pPr>
        <w:keepNext w:val="0"/>
        <w:keepLines w:val="0"/>
        <w:pageBreakBefore w:val="0"/>
        <w:widowControl/>
        <w:kinsoku/>
        <w:wordWrap/>
        <w:overflowPunct/>
        <w:topLinePunct w:val="0"/>
        <w:autoSpaceDE/>
        <w:autoSpaceDN/>
        <w:bidi w:val="0"/>
        <w:adjustRightInd/>
        <w:spacing w:beforeLines="50" w:line="360" w:lineRule="auto"/>
        <w:ind w:firstLine="422" w:firstLineChars="200"/>
        <w:jc w:val="left"/>
        <w:textAlignment w:val="auto"/>
        <w:rPr>
          <w:rFonts w:hint="eastAsia" w:ascii="宋体" w:hAnsi="宋体" w:cs="宋体"/>
          <w:color w:val="auto"/>
          <w:szCs w:val="21"/>
          <w:highlight w:val="none"/>
        </w:rPr>
      </w:pPr>
      <w:r>
        <w:rPr>
          <w:rFonts w:hint="eastAsia" w:ascii="宋体" w:hAnsi="宋体" w:cs="宋体"/>
          <w:b/>
          <w:bCs/>
          <w:color w:val="auto"/>
          <w:kern w:val="0"/>
          <w:szCs w:val="21"/>
          <w:highlight w:val="none"/>
        </w:rPr>
        <w:t xml:space="preserve">第五条 售后服务、质保期 </w:t>
      </w:r>
    </w:p>
    <w:p w14:paraId="2603CC14">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1.乙方应按照国家有关法律法规和“三包”规定以及</w:t>
      </w:r>
      <w:r>
        <w:rPr>
          <w:rFonts w:hint="eastAsia" w:ascii="宋体" w:hAnsi="宋体" w:cs="宋体"/>
          <w:color w:val="auto"/>
          <w:szCs w:val="21"/>
          <w:highlight w:val="none"/>
        </w:rPr>
        <w:t>竞争性谈判文件</w:t>
      </w:r>
      <w:r>
        <w:rPr>
          <w:rFonts w:hint="eastAsia" w:ascii="宋体" w:hAnsi="宋体" w:cs="宋体"/>
          <w:color w:val="auto"/>
          <w:kern w:val="0"/>
          <w:szCs w:val="21"/>
          <w:highlight w:val="none"/>
        </w:rPr>
        <w:t xml:space="preserve">、响应文件和本合同附件，为甲方提供售后服务。 </w:t>
      </w:r>
    </w:p>
    <w:p w14:paraId="29A818DB">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 xml:space="preserve">2.货物质保期：按乙方承诺，但是不得低于国家相关标准。 </w:t>
      </w:r>
    </w:p>
    <w:p w14:paraId="5C8B6A37">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 xml:space="preserve">3.乙方提供的服务承诺和售后服务及质保期责任等其它具体约定事项。（见合同附件） </w:t>
      </w:r>
    </w:p>
    <w:p w14:paraId="743CF65B">
      <w:pPr>
        <w:keepNext w:val="0"/>
        <w:keepLines w:val="0"/>
        <w:pageBreakBefore w:val="0"/>
        <w:widowControl/>
        <w:kinsoku/>
        <w:wordWrap/>
        <w:overflowPunct/>
        <w:topLinePunct w:val="0"/>
        <w:autoSpaceDE/>
        <w:autoSpaceDN/>
        <w:bidi w:val="0"/>
        <w:adjustRightInd/>
        <w:spacing w:beforeLines="50" w:line="360" w:lineRule="auto"/>
        <w:ind w:firstLine="422" w:firstLineChars="200"/>
        <w:jc w:val="left"/>
        <w:textAlignment w:val="auto"/>
        <w:rPr>
          <w:rFonts w:hint="eastAsia" w:ascii="宋体" w:hAnsi="宋体" w:cs="宋体"/>
          <w:color w:val="auto"/>
          <w:szCs w:val="21"/>
          <w:highlight w:val="none"/>
        </w:rPr>
      </w:pPr>
      <w:r>
        <w:rPr>
          <w:rFonts w:hint="eastAsia" w:ascii="宋体" w:hAnsi="宋体" w:cs="宋体"/>
          <w:b/>
          <w:bCs/>
          <w:color w:val="auto"/>
          <w:kern w:val="0"/>
          <w:szCs w:val="21"/>
          <w:highlight w:val="none"/>
        </w:rPr>
        <w:t xml:space="preserve">第六条 付款方式 </w:t>
      </w:r>
    </w:p>
    <w:p w14:paraId="6D0B80FB">
      <w:pPr>
        <w:pStyle w:val="12"/>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hAnsi="宋体" w:cs="宋体"/>
          <w:color w:val="auto"/>
          <w:highlight w:val="none"/>
        </w:rPr>
      </w:pPr>
      <w:r>
        <w:rPr>
          <w:rFonts w:hint="eastAsia" w:hAnsi="宋体" w:cs="宋体"/>
          <w:color w:val="auto"/>
          <w:sz w:val="21"/>
          <w:highlight w:val="none"/>
        </w:rPr>
        <w:t>1.本项目无预付款，签订合同后，</w:t>
      </w:r>
      <w:r>
        <w:rPr>
          <w:rFonts w:hint="eastAsia" w:hAnsi="宋体" w:cs="宋体"/>
          <w:color w:val="auto"/>
          <w:sz w:val="21"/>
          <w:highlight w:val="none"/>
          <w:lang w:eastAsia="zh-CN"/>
        </w:rPr>
        <w:t>按月</w:t>
      </w:r>
      <w:r>
        <w:rPr>
          <w:rFonts w:hint="eastAsia" w:hAnsi="宋体" w:cs="宋体"/>
          <w:color w:val="auto"/>
          <w:sz w:val="21"/>
          <w:highlight w:val="none"/>
        </w:rPr>
        <w:t>结算合同款，且乙方须提交合法发票，甲方收到发票之日起</w:t>
      </w:r>
      <w:r>
        <w:rPr>
          <w:rFonts w:hint="eastAsia" w:hAnsi="宋体" w:cs="宋体"/>
          <w:color w:val="auto"/>
          <w:sz w:val="21"/>
          <w:highlight w:val="none"/>
          <w:lang w:val="en-US" w:eastAsia="zh-CN"/>
        </w:rPr>
        <w:t>10</w:t>
      </w:r>
      <w:r>
        <w:rPr>
          <w:rFonts w:hint="eastAsia" w:hAnsi="宋体" w:cs="宋体"/>
          <w:color w:val="auto"/>
          <w:sz w:val="21"/>
          <w:highlight w:val="none"/>
        </w:rPr>
        <w:t>个工作日内支付结算款金额</w:t>
      </w:r>
      <w:r>
        <w:rPr>
          <w:rFonts w:hint="eastAsia" w:ascii="宋体" w:hAnsi="宋体" w:eastAsia="宋体" w:cs="宋体"/>
          <w:color w:val="auto"/>
          <w:sz w:val="21"/>
          <w:highlight w:val="none"/>
          <w:lang w:eastAsia="zh-CN"/>
        </w:rPr>
        <w:t>，如乙方未提供合法有效发票的，甲方有权拒绝付款，且不承担违约责任</w:t>
      </w:r>
      <w:r>
        <w:rPr>
          <w:rFonts w:hint="eastAsia" w:ascii="宋体" w:hAnsi="宋体" w:eastAsia="宋体" w:cs="宋体"/>
          <w:color w:val="auto"/>
          <w:sz w:val="21"/>
          <w:highlight w:val="none"/>
        </w:rPr>
        <w:t xml:space="preserve">。 </w:t>
      </w:r>
      <w:r>
        <w:rPr>
          <w:rFonts w:hint="eastAsia" w:hAnsi="宋体" w:cs="宋体"/>
          <w:color w:val="auto"/>
          <w:sz w:val="21"/>
          <w:highlight w:val="none"/>
        </w:rPr>
        <w:t xml:space="preserve"> </w:t>
      </w:r>
    </w:p>
    <w:p w14:paraId="6AF845DA">
      <w:pPr>
        <w:pStyle w:val="12"/>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color w:val="auto"/>
          <w:highlight w:val="none"/>
        </w:rPr>
      </w:pPr>
      <w:r>
        <w:rPr>
          <w:rFonts w:hint="eastAsia" w:hAnsi="宋体" w:cs="宋体"/>
          <w:color w:val="auto"/>
          <w:sz w:val="21"/>
          <w:highlight w:val="none"/>
        </w:rPr>
        <w:t>2. 资金性质：</w:t>
      </w:r>
      <w:r>
        <w:rPr>
          <w:rFonts w:hint="eastAsia" w:hAnsi="宋体" w:cs="宋体"/>
          <w:color w:val="auto"/>
          <w:sz w:val="21"/>
          <w:highlight w:val="none"/>
          <w:u w:val="single"/>
        </w:rPr>
        <w:t xml:space="preserve"> 财政资金。</w:t>
      </w:r>
    </w:p>
    <w:p w14:paraId="007C57A7">
      <w:pPr>
        <w:keepNext w:val="0"/>
        <w:keepLines w:val="0"/>
        <w:pageBreakBefore w:val="0"/>
        <w:widowControl/>
        <w:kinsoku/>
        <w:wordWrap/>
        <w:overflowPunct/>
        <w:topLinePunct w:val="0"/>
        <w:autoSpaceDE/>
        <w:autoSpaceDN/>
        <w:bidi w:val="0"/>
        <w:adjustRightInd/>
        <w:spacing w:beforeLines="50" w:line="360" w:lineRule="auto"/>
        <w:ind w:firstLine="422" w:firstLineChars="200"/>
        <w:jc w:val="left"/>
        <w:textAlignment w:val="auto"/>
        <w:rPr>
          <w:rFonts w:hint="eastAsia" w:ascii="宋体" w:hAnsi="宋体" w:cs="宋体"/>
          <w:color w:val="auto"/>
          <w:szCs w:val="21"/>
          <w:highlight w:val="none"/>
        </w:rPr>
      </w:pPr>
      <w:r>
        <w:rPr>
          <w:rFonts w:hint="eastAsia" w:ascii="宋体" w:hAnsi="宋体" w:cs="宋体"/>
          <w:b/>
          <w:bCs/>
          <w:color w:val="auto"/>
          <w:kern w:val="0"/>
          <w:szCs w:val="21"/>
          <w:highlight w:val="none"/>
        </w:rPr>
        <w:t xml:space="preserve">第七条 税费 </w:t>
      </w:r>
    </w:p>
    <w:p w14:paraId="13EDAEE7">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 xml:space="preserve">本合同执行中相关的一切税费均由乙方负担。 </w:t>
      </w:r>
    </w:p>
    <w:p w14:paraId="68EDECC6">
      <w:pPr>
        <w:keepNext w:val="0"/>
        <w:keepLines w:val="0"/>
        <w:pageBreakBefore w:val="0"/>
        <w:widowControl/>
        <w:kinsoku/>
        <w:wordWrap/>
        <w:overflowPunct/>
        <w:topLinePunct w:val="0"/>
        <w:autoSpaceDE/>
        <w:autoSpaceDN/>
        <w:bidi w:val="0"/>
        <w:adjustRightInd/>
        <w:spacing w:beforeLines="50" w:line="360" w:lineRule="auto"/>
        <w:ind w:firstLine="422" w:firstLineChars="200"/>
        <w:jc w:val="left"/>
        <w:textAlignment w:val="auto"/>
        <w:rPr>
          <w:rFonts w:hint="eastAsia" w:ascii="宋体" w:hAnsi="宋体" w:cs="宋体"/>
          <w:color w:val="auto"/>
          <w:szCs w:val="21"/>
          <w:highlight w:val="none"/>
        </w:rPr>
      </w:pPr>
      <w:r>
        <w:rPr>
          <w:rFonts w:hint="eastAsia" w:ascii="宋体" w:hAnsi="宋体" w:cs="宋体"/>
          <w:b/>
          <w:bCs/>
          <w:color w:val="auto"/>
          <w:kern w:val="0"/>
          <w:szCs w:val="21"/>
          <w:highlight w:val="none"/>
        </w:rPr>
        <w:t xml:space="preserve">第八条 货物包装、发运及运输 </w:t>
      </w:r>
    </w:p>
    <w:p w14:paraId="6031E83E">
      <w:pPr>
        <w:keepNext w:val="0"/>
        <w:keepLines w:val="0"/>
        <w:pageBreakBefore w:val="0"/>
        <w:widowControl/>
        <w:tabs>
          <w:tab w:val="left" w:pos="3780"/>
        </w:tabs>
        <w:kinsoku/>
        <w:wordWrap/>
        <w:overflowPunct/>
        <w:topLinePunct w:val="0"/>
        <w:autoSpaceDE/>
        <w:autoSpaceDN/>
        <w:bidi w:val="0"/>
        <w:adjustRightInd/>
        <w:spacing w:beforeLines="50"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根据甲方实际需求品种数量，每日上午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时00分前必须到达甲方指定地点，运费及装卸费由</w:t>
      </w:r>
      <w:r>
        <w:rPr>
          <w:rFonts w:hint="eastAsia" w:ascii="宋体" w:hAnsi="宋体" w:cs="宋体"/>
          <w:color w:val="auto"/>
          <w:szCs w:val="21"/>
          <w:highlight w:val="none"/>
          <w:lang w:eastAsia="zh-CN"/>
        </w:rPr>
        <w:t>乙方</w:t>
      </w:r>
      <w:r>
        <w:rPr>
          <w:rFonts w:hint="eastAsia" w:ascii="宋体" w:hAnsi="宋体" w:cs="宋体"/>
          <w:color w:val="auto"/>
          <w:szCs w:val="21"/>
          <w:highlight w:val="none"/>
        </w:rPr>
        <w:t>承担。</w:t>
      </w:r>
    </w:p>
    <w:p w14:paraId="3F45D8AE">
      <w:pPr>
        <w:keepNext w:val="0"/>
        <w:keepLines w:val="0"/>
        <w:pageBreakBefore w:val="0"/>
        <w:widowControl/>
        <w:kinsoku/>
        <w:wordWrap/>
        <w:overflowPunct/>
        <w:topLinePunct w:val="0"/>
        <w:autoSpaceDE/>
        <w:autoSpaceDN/>
        <w:bidi w:val="0"/>
        <w:adjustRightInd/>
        <w:spacing w:beforeLines="50" w:line="360" w:lineRule="auto"/>
        <w:ind w:firstLine="422" w:firstLineChars="200"/>
        <w:jc w:val="left"/>
        <w:textAlignment w:val="auto"/>
        <w:rPr>
          <w:rFonts w:hint="eastAsia" w:ascii="宋体" w:hAnsi="宋体" w:cs="宋体"/>
          <w:color w:val="auto"/>
          <w:szCs w:val="21"/>
          <w:highlight w:val="none"/>
        </w:rPr>
      </w:pPr>
      <w:r>
        <w:rPr>
          <w:rFonts w:hint="eastAsia" w:ascii="宋体" w:hAnsi="宋体" w:cs="宋体"/>
          <w:b/>
          <w:bCs/>
          <w:color w:val="auto"/>
          <w:kern w:val="0"/>
          <w:szCs w:val="21"/>
          <w:highlight w:val="none"/>
        </w:rPr>
        <w:t xml:space="preserve">第十一条 违约责任 </w:t>
      </w:r>
    </w:p>
    <w:p w14:paraId="6AE29D7E">
      <w:pPr>
        <w:pStyle w:val="12"/>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hAnsi="宋体" w:cs="宋体"/>
          <w:color w:val="auto"/>
          <w:sz w:val="21"/>
          <w:highlight w:val="none"/>
        </w:rPr>
      </w:pPr>
      <w:r>
        <w:rPr>
          <w:rFonts w:hint="eastAsia" w:hAnsi="宋体" w:cs="宋体"/>
          <w:color w:val="auto"/>
          <w:sz w:val="21"/>
          <w:highlight w:val="none"/>
        </w:rPr>
        <w:t>1.甲方无故延期接收货物、乙方延误交货时间的，向对方支付违约金为该次供货金额的5%。</w:t>
      </w:r>
    </w:p>
    <w:p w14:paraId="788F089E">
      <w:pPr>
        <w:pStyle w:val="12"/>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hAnsi="宋体" w:cs="宋体"/>
          <w:color w:val="auto"/>
          <w:sz w:val="21"/>
          <w:highlight w:val="none"/>
        </w:rPr>
      </w:pPr>
      <w:r>
        <w:rPr>
          <w:rFonts w:hint="eastAsia" w:hAnsi="宋体" w:cs="宋体"/>
          <w:color w:val="auto"/>
          <w:sz w:val="21"/>
          <w:highlight w:val="none"/>
        </w:rPr>
        <w:t>2.乙方未按本合同和响应文件中规定的服务承诺提供售后服务的，乙方应按本货款金额5%向甲方支付违约金，违约金从乙方缴纳的履约保证金中扣除。</w:t>
      </w:r>
    </w:p>
    <w:p w14:paraId="375210C2">
      <w:pPr>
        <w:pStyle w:val="12"/>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hAnsi="宋体" w:cs="宋体"/>
          <w:color w:val="auto"/>
          <w:sz w:val="21"/>
          <w:highlight w:val="none"/>
        </w:rPr>
      </w:pPr>
      <w:r>
        <w:rPr>
          <w:rFonts w:hint="eastAsia" w:hAnsi="宋体" w:cs="宋体"/>
          <w:color w:val="auto"/>
          <w:sz w:val="21"/>
          <w:highlight w:val="none"/>
        </w:rPr>
        <w:t>乙方违反本合同规定造成甲方人员伤害的，按相关法律追究责任。</w:t>
      </w:r>
    </w:p>
    <w:p w14:paraId="67F29F64">
      <w:pPr>
        <w:pStyle w:val="12"/>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color w:val="auto"/>
          <w:highlight w:val="none"/>
        </w:rPr>
      </w:pPr>
      <w:r>
        <w:rPr>
          <w:rFonts w:hint="eastAsia" w:hAnsi="宋体" w:cs="宋体"/>
          <w:color w:val="auto"/>
          <w:sz w:val="21"/>
          <w:highlight w:val="none"/>
        </w:rPr>
        <w:t>3.甲方未按规定时间转结算货款的或延期付货款的，每超一天，按逾期货款每日万分之三支付相应利息，但滞纳金累计不得超过延期货款额5%。</w:t>
      </w:r>
    </w:p>
    <w:p w14:paraId="35E415BB">
      <w:pPr>
        <w:pStyle w:val="12"/>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Ansi="宋体" w:cs="宋体"/>
          <w:color w:val="auto"/>
          <w:sz w:val="21"/>
          <w:highlight w:val="none"/>
        </w:rPr>
      </w:pPr>
      <w:r>
        <w:rPr>
          <w:rFonts w:hint="eastAsia" w:hAnsi="宋体" w:cs="宋体"/>
          <w:color w:val="auto"/>
          <w:sz w:val="21"/>
          <w:highlight w:val="none"/>
        </w:rPr>
        <w:t>4.解除合同及约定违约损失计算方法：</w:t>
      </w:r>
    </w:p>
    <w:p w14:paraId="68AB85FE">
      <w:pPr>
        <w:pStyle w:val="12"/>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hAnsi="宋体" w:cs="宋体"/>
          <w:color w:val="auto"/>
          <w:sz w:val="21"/>
          <w:highlight w:val="none"/>
        </w:rPr>
      </w:pPr>
      <w:r>
        <w:rPr>
          <w:rFonts w:hint="eastAsia" w:hAnsi="宋体" w:cs="宋体"/>
          <w:color w:val="auto"/>
          <w:sz w:val="21"/>
          <w:highlight w:val="none"/>
        </w:rPr>
        <w:t>（1）约定界定乙方严重违约甲方有权解除合同条款如：乙方有如下情形，甲方可单方解除合同：</w:t>
      </w:r>
    </w:p>
    <w:p w14:paraId="40DB18D7">
      <w:pPr>
        <w:pStyle w:val="12"/>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hAnsi="宋体" w:cs="宋体"/>
          <w:color w:val="auto"/>
          <w:sz w:val="21"/>
          <w:highlight w:val="none"/>
        </w:rPr>
      </w:pPr>
      <w:r>
        <w:rPr>
          <w:rFonts w:hint="eastAsia" w:hAnsi="宋体" w:cs="宋体"/>
          <w:color w:val="auto"/>
          <w:sz w:val="21"/>
          <w:highlight w:val="none"/>
        </w:rPr>
        <w:fldChar w:fldCharType="begin"/>
      </w:r>
      <w:r>
        <w:rPr>
          <w:rFonts w:hint="eastAsia" w:hAnsi="宋体" w:cs="宋体"/>
          <w:color w:val="auto"/>
          <w:sz w:val="21"/>
          <w:highlight w:val="none"/>
        </w:rPr>
        <w:instrText xml:space="preserve"> = 1 \* GB3 </w:instrText>
      </w:r>
      <w:r>
        <w:rPr>
          <w:rFonts w:hint="eastAsia" w:hAnsi="宋体" w:cs="宋体"/>
          <w:color w:val="auto"/>
          <w:sz w:val="21"/>
          <w:highlight w:val="none"/>
        </w:rPr>
        <w:fldChar w:fldCharType="separate"/>
      </w:r>
      <w:r>
        <w:rPr>
          <w:rFonts w:hint="eastAsia" w:hAnsi="宋体" w:cs="宋体"/>
          <w:color w:val="auto"/>
          <w:sz w:val="21"/>
          <w:highlight w:val="none"/>
        </w:rPr>
        <w:t>①</w:t>
      </w:r>
      <w:r>
        <w:rPr>
          <w:rFonts w:hint="eastAsia" w:hAnsi="宋体" w:cs="宋体"/>
          <w:color w:val="auto"/>
          <w:sz w:val="21"/>
          <w:highlight w:val="none"/>
        </w:rPr>
        <w:fldChar w:fldCharType="end"/>
      </w:r>
      <w:r>
        <w:rPr>
          <w:rFonts w:hint="eastAsia" w:hAnsi="宋体" w:cs="宋体"/>
          <w:color w:val="auto"/>
          <w:sz w:val="21"/>
          <w:highlight w:val="none"/>
        </w:rPr>
        <w:t>乙方没有按合同约定的时间提供服务或商品，逾期超过12小时或乙方累计二次没有按合同约定时间提供服务或商品的；</w:t>
      </w:r>
    </w:p>
    <w:p w14:paraId="54336693">
      <w:pPr>
        <w:pStyle w:val="12"/>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hAnsi="宋体" w:cs="宋体"/>
          <w:color w:val="auto"/>
          <w:sz w:val="21"/>
          <w:highlight w:val="none"/>
        </w:rPr>
      </w:pPr>
      <w:r>
        <w:rPr>
          <w:rFonts w:hint="eastAsia" w:hAnsi="宋体" w:cs="宋体"/>
          <w:color w:val="auto"/>
          <w:sz w:val="21"/>
          <w:highlight w:val="none"/>
        </w:rPr>
        <w:fldChar w:fldCharType="begin"/>
      </w:r>
      <w:r>
        <w:rPr>
          <w:rFonts w:hint="eastAsia" w:hAnsi="宋体" w:cs="宋体"/>
          <w:color w:val="auto"/>
          <w:sz w:val="21"/>
          <w:highlight w:val="none"/>
        </w:rPr>
        <w:instrText xml:space="preserve"> = 2 \* GB3 </w:instrText>
      </w:r>
      <w:r>
        <w:rPr>
          <w:rFonts w:hint="eastAsia" w:hAnsi="宋体" w:cs="宋体"/>
          <w:color w:val="auto"/>
          <w:sz w:val="21"/>
          <w:highlight w:val="none"/>
        </w:rPr>
        <w:fldChar w:fldCharType="separate"/>
      </w:r>
      <w:r>
        <w:rPr>
          <w:rFonts w:hint="eastAsia" w:hAnsi="宋体" w:cs="宋体"/>
          <w:color w:val="auto"/>
          <w:sz w:val="21"/>
          <w:highlight w:val="none"/>
        </w:rPr>
        <w:t>②</w:t>
      </w:r>
      <w:r>
        <w:rPr>
          <w:rFonts w:hint="eastAsia" w:hAnsi="宋体" w:cs="宋体"/>
          <w:color w:val="auto"/>
          <w:sz w:val="21"/>
          <w:highlight w:val="none"/>
        </w:rPr>
        <w:fldChar w:fldCharType="end"/>
      </w:r>
      <w:r>
        <w:rPr>
          <w:rFonts w:hint="eastAsia" w:hAnsi="宋体" w:cs="宋体"/>
          <w:color w:val="auto"/>
          <w:sz w:val="21"/>
          <w:highlight w:val="none"/>
        </w:rPr>
        <w:t>乙方提供的商品或服务侵犯了第三方合法权益而引发的任何纠纷或者诉讼；</w:t>
      </w:r>
    </w:p>
    <w:p w14:paraId="4475BBE2">
      <w:pPr>
        <w:pStyle w:val="12"/>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hAnsi="宋体" w:cs="宋体"/>
          <w:color w:val="auto"/>
          <w:sz w:val="21"/>
          <w:highlight w:val="none"/>
        </w:rPr>
      </w:pPr>
      <w:r>
        <w:rPr>
          <w:rFonts w:hint="eastAsia" w:hAnsi="宋体" w:cs="宋体"/>
          <w:color w:val="auto"/>
          <w:sz w:val="21"/>
          <w:highlight w:val="none"/>
        </w:rPr>
        <w:fldChar w:fldCharType="begin"/>
      </w:r>
      <w:r>
        <w:rPr>
          <w:rFonts w:hint="eastAsia" w:hAnsi="宋体" w:cs="宋体"/>
          <w:color w:val="auto"/>
          <w:sz w:val="21"/>
          <w:highlight w:val="none"/>
        </w:rPr>
        <w:instrText xml:space="preserve"> = 3 \* GB3 </w:instrText>
      </w:r>
      <w:r>
        <w:rPr>
          <w:rFonts w:hint="eastAsia" w:hAnsi="宋体" w:cs="宋体"/>
          <w:color w:val="auto"/>
          <w:sz w:val="21"/>
          <w:highlight w:val="none"/>
        </w:rPr>
        <w:fldChar w:fldCharType="separate"/>
      </w:r>
      <w:r>
        <w:rPr>
          <w:rFonts w:hint="eastAsia" w:hAnsi="宋体" w:cs="宋体"/>
          <w:color w:val="auto"/>
          <w:sz w:val="21"/>
          <w:highlight w:val="none"/>
        </w:rPr>
        <w:t>③</w:t>
      </w:r>
      <w:r>
        <w:rPr>
          <w:rFonts w:hint="eastAsia" w:hAnsi="宋体" w:cs="宋体"/>
          <w:color w:val="auto"/>
          <w:sz w:val="21"/>
          <w:highlight w:val="none"/>
        </w:rPr>
        <w:fldChar w:fldCharType="end"/>
      </w:r>
      <w:r>
        <w:rPr>
          <w:rFonts w:hint="eastAsia" w:hAnsi="宋体" w:cs="宋体"/>
          <w:color w:val="auto"/>
          <w:sz w:val="21"/>
          <w:highlight w:val="none"/>
        </w:rPr>
        <w:t>乙方提供的商品或服务发生食物中毒或乙方提供的服务和商品累计二次检验不合格的。</w:t>
      </w:r>
    </w:p>
    <w:p w14:paraId="14A29DA4">
      <w:pPr>
        <w:pStyle w:val="12"/>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约定一定数额的违约金及违约损失计算方法，如：乙方违反响应文件及服务承诺或本合同约定义务，应按合同涉及标的的5%支付违约金，违约金不能弥补甲方损失，乙方应继续承担赔偿责任。该赔偿责任包括但不限于甲方因乙方违约向第三方采购服务或商品造成的成本（差价）增加、甲方为处理乙方违约产生的费用包括支付行政处罚款、为维权聘请律师或专业机构等产生的律师费、服务费等。</w:t>
      </w:r>
    </w:p>
    <w:p w14:paraId="6015F93B">
      <w:pPr>
        <w:pStyle w:val="12"/>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5.因天灾或不可抗力无法履行合同的，甲方乙方均无责任。</w:t>
      </w:r>
    </w:p>
    <w:p w14:paraId="7671B73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color w:val="auto"/>
          <w:szCs w:val="21"/>
          <w:highlight w:val="none"/>
        </w:rPr>
      </w:pPr>
      <w:r>
        <w:rPr>
          <w:rFonts w:hint="eastAsia" w:asciiTheme="minorEastAsia" w:hAnsiTheme="minorEastAsia" w:eastAsiaTheme="minorEastAsia" w:cstheme="minorEastAsia"/>
          <w:color w:val="auto"/>
          <w:szCs w:val="21"/>
          <w:highlight w:val="none"/>
        </w:rPr>
        <w:t xml:space="preserve"> 6.其它违约</w:t>
      </w:r>
      <w:r>
        <w:rPr>
          <w:rFonts w:hint="eastAsia"/>
          <w:color w:val="auto"/>
          <w:szCs w:val="21"/>
          <w:highlight w:val="none"/>
        </w:rPr>
        <w:t>行为由违约方按货款总额5%支付守约方违约金并赔偿经济损失。</w:t>
      </w:r>
    </w:p>
    <w:p w14:paraId="31A7B2C4">
      <w:pPr>
        <w:keepNext w:val="0"/>
        <w:keepLines w:val="0"/>
        <w:pageBreakBefore w:val="0"/>
        <w:widowControl/>
        <w:kinsoku/>
        <w:wordWrap/>
        <w:overflowPunct/>
        <w:topLinePunct w:val="0"/>
        <w:autoSpaceDE/>
        <w:autoSpaceDN/>
        <w:bidi w:val="0"/>
        <w:adjustRightInd/>
        <w:spacing w:beforeLines="50" w:line="360" w:lineRule="auto"/>
        <w:ind w:firstLine="422" w:firstLineChars="200"/>
        <w:jc w:val="left"/>
        <w:textAlignment w:val="auto"/>
        <w:rPr>
          <w:rFonts w:hint="eastAsia" w:ascii="宋体" w:hAnsi="宋体" w:cs="宋体"/>
          <w:color w:val="auto"/>
          <w:szCs w:val="21"/>
          <w:highlight w:val="none"/>
        </w:rPr>
      </w:pPr>
      <w:r>
        <w:rPr>
          <w:rFonts w:hint="eastAsia" w:ascii="宋体" w:hAnsi="宋体" w:cs="宋体"/>
          <w:b/>
          <w:bCs/>
          <w:color w:val="auto"/>
          <w:kern w:val="0"/>
          <w:szCs w:val="21"/>
          <w:highlight w:val="none"/>
        </w:rPr>
        <w:t xml:space="preserve">第十二条 不可抗力事件处理 </w:t>
      </w:r>
    </w:p>
    <w:p w14:paraId="612C42F4">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 xml:space="preserve">1. 在合同有效期内，任何一方因不可抗力事件导致不能履行合同，则合同履行期可延长，其延长期与不可抗力影响期相同。 </w:t>
      </w:r>
    </w:p>
    <w:p w14:paraId="34A101E8">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 xml:space="preserve">2. 不可抗力事件发生后，应立即通知对方，并寄送有关权威机构出具的证明。 </w:t>
      </w:r>
    </w:p>
    <w:p w14:paraId="48CDC6F5">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 xml:space="preserve">3. 不可抗力事件延续一百二十天以上，双方应通过友好协商，确定是否继续履行合同。 </w:t>
      </w:r>
    </w:p>
    <w:p w14:paraId="0FFE712A">
      <w:pPr>
        <w:keepNext w:val="0"/>
        <w:keepLines w:val="0"/>
        <w:pageBreakBefore w:val="0"/>
        <w:widowControl/>
        <w:kinsoku/>
        <w:wordWrap/>
        <w:overflowPunct/>
        <w:topLinePunct w:val="0"/>
        <w:autoSpaceDE/>
        <w:autoSpaceDN/>
        <w:bidi w:val="0"/>
        <w:adjustRightInd/>
        <w:spacing w:beforeLines="50" w:line="360" w:lineRule="auto"/>
        <w:ind w:firstLine="422" w:firstLineChars="200"/>
        <w:jc w:val="left"/>
        <w:textAlignment w:val="auto"/>
        <w:rPr>
          <w:rFonts w:hint="eastAsia" w:ascii="宋体" w:hAnsi="宋体" w:cs="宋体"/>
          <w:color w:val="auto"/>
          <w:szCs w:val="21"/>
          <w:highlight w:val="none"/>
        </w:rPr>
      </w:pPr>
      <w:r>
        <w:rPr>
          <w:rFonts w:hint="eastAsia" w:ascii="宋体" w:hAnsi="宋体" w:cs="宋体"/>
          <w:b/>
          <w:bCs/>
          <w:color w:val="auto"/>
          <w:kern w:val="0"/>
          <w:szCs w:val="21"/>
          <w:highlight w:val="none"/>
        </w:rPr>
        <w:t xml:space="preserve">第十三条 合同争议解决 </w:t>
      </w:r>
    </w:p>
    <w:p w14:paraId="4EDC621C">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 xml:space="preserve">1 因货物质量问题发生争议的，应邀请国家认定的质量检测机构按照国家标准对货物质量进行验收。货物符合国家标准的，鉴定费由甲方承担；货物不符合国家标准的，鉴定费由乙方承担。 </w:t>
      </w:r>
    </w:p>
    <w:p w14:paraId="06AE2CE4">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 xml:space="preserve">2 因履行本合同引起的或与本合同有关的争议，甲乙双方应首先通过友好协商解决，如果协商不能解决，可向甲方所在地人民法院提起诉讼。 </w:t>
      </w:r>
    </w:p>
    <w:p w14:paraId="3FE08262">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 xml:space="preserve">3 诉讼期间，本合同继续履行。 </w:t>
      </w:r>
    </w:p>
    <w:p w14:paraId="3ADC64D2">
      <w:pPr>
        <w:keepNext w:val="0"/>
        <w:keepLines w:val="0"/>
        <w:pageBreakBefore w:val="0"/>
        <w:widowControl/>
        <w:kinsoku/>
        <w:wordWrap/>
        <w:overflowPunct/>
        <w:topLinePunct w:val="0"/>
        <w:autoSpaceDE/>
        <w:autoSpaceDN/>
        <w:bidi w:val="0"/>
        <w:adjustRightInd/>
        <w:spacing w:beforeLines="50" w:line="360" w:lineRule="auto"/>
        <w:ind w:firstLine="422" w:firstLineChars="200"/>
        <w:jc w:val="left"/>
        <w:textAlignment w:val="auto"/>
        <w:rPr>
          <w:rFonts w:hint="eastAsia" w:ascii="宋体" w:hAnsi="宋体" w:cs="宋体"/>
          <w:color w:val="auto"/>
          <w:szCs w:val="21"/>
          <w:highlight w:val="none"/>
        </w:rPr>
      </w:pPr>
      <w:r>
        <w:rPr>
          <w:rFonts w:hint="eastAsia" w:ascii="宋体" w:hAnsi="宋体" w:cs="宋体"/>
          <w:b/>
          <w:bCs/>
          <w:color w:val="auto"/>
          <w:kern w:val="0"/>
          <w:szCs w:val="21"/>
          <w:highlight w:val="none"/>
        </w:rPr>
        <w:t xml:space="preserve">第十四条 合同生效及其它 </w:t>
      </w:r>
    </w:p>
    <w:p w14:paraId="7E13EA69">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1．本合同履行期限为： </w:t>
      </w:r>
      <w:r>
        <w:rPr>
          <w:rFonts w:hint="eastAsia" w:ascii="宋体" w:hAnsi="宋体" w:cs="宋体"/>
          <w:color w:val="auto"/>
          <w:kern w:val="0"/>
          <w:szCs w:val="21"/>
          <w:highlight w:val="none"/>
          <w:u w:val="single"/>
        </w:rPr>
        <w:t>自签订合同之日起6个月，本项目采购量为采购预估量，</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根据</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每天需求量供货，采购量以6个月实际采购量为准</w:t>
      </w:r>
      <w:r>
        <w:rPr>
          <w:rFonts w:hint="eastAsia" w:ascii="宋体" w:hAnsi="宋体" w:cs="宋体"/>
          <w:color w:val="auto"/>
          <w:kern w:val="0"/>
          <w:szCs w:val="21"/>
          <w:highlight w:val="none"/>
        </w:rPr>
        <w:t>。</w:t>
      </w:r>
    </w:p>
    <w:p w14:paraId="43B96A23">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 xml:space="preserve">合同履行地点为： </w:t>
      </w:r>
      <w:r>
        <w:rPr>
          <w:rFonts w:hint="eastAsia" w:ascii="宋体" w:hAnsi="宋体" w:cs="宋体"/>
          <w:color w:val="auto"/>
          <w:kern w:val="0"/>
          <w:szCs w:val="21"/>
          <w:highlight w:val="none"/>
          <w:u w:val="single"/>
        </w:rPr>
        <w:t xml:space="preserve">  甲方指定地点          </w:t>
      </w:r>
      <w:r>
        <w:rPr>
          <w:rFonts w:hint="eastAsia" w:ascii="宋体" w:hAnsi="宋体" w:cs="宋体"/>
          <w:color w:val="auto"/>
          <w:kern w:val="0"/>
          <w:szCs w:val="21"/>
          <w:highlight w:val="none"/>
        </w:rPr>
        <w:t xml:space="preserve"> ；</w:t>
      </w:r>
    </w:p>
    <w:p w14:paraId="1371507F">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2．合同经双方法定代表人或授权代表签字并加盖单位公章后生效。</w:t>
      </w:r>
    </w:p>
    <w:p w14:paraId="312EA882">
      <w:pPr>
        <w:pStyle w:val="7"/>
        <w:rPr>
          <w:rFonts w:hint="eastAsia" w:ascii="宋体" w:hAnsi="宋体" w:cs="宋体"/>
          <w:color w:val="auto"/>
          <w:szCs w:val="21"/>
          <w:highlight w:val="none"/>
        </w:rPr>
      </w:pPr>
      <w:r>
        <w:rPr>
          <w:rFonts w:hint="eastAsia" w:ascii="宋体" w:hAnsi="宋体" w:cs="宋体"/>
          <w:color w:val="auto"/>
          <w:kern w:val="0"/>
          <w:szCs w:val="21"/>
          <w:highlight w:val="none"/>
        </w:rPr>
        <w:t>3．合同执行中涉及采购资金和采购内容修改或补充的，须经财政部门审批，并</w:t>
      </w:r>
      <w:r>
        <w:rPr>
          <w:rFonts w:hint="eastAsia"/>
          <w:color w:val="auto"/>
          <w:highlight w:val="none"/>
        </w:rPr>
        <w:t>签订</w:t>
      </w:r>
      <w:r>
        <w:rPr>
          <w:rFonts w:hint="eastAsia" w:ascii="宋体" w:hAnsi="宋体" w:cs="宋体"/>
          <w:color w:val="auto"/>
          <w:kern w:val="0"/>
          <w:szCs w:val="21"/>
          <w:highlight w:val="none"/>
        </w:rPr>
        <w:t xml:space="preserve">书面补充协议报 </w:t>
      </w:r>
    </w:p>
    <w:p w14:paraId="70D36BA6">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 xml:space="preserve">财政部门备案，方可作为主合同不可分割的一部分。 </w:t>
      </w:r>
    </w:p>
    <w:p w14:paraId="455CE0D4">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 xml:space="preserve">4．本合同未尽事宜，遵照《中华人民共和国民法典》有关条文执行。 </w:t>
      </w:r>
    </w:p>
    <w:p w14:paraId="56A49CE6">
      <w:pPr>
        <w:keepNext w:val="0"/>
        <w:keepLines w:val="0"/>
        <w:pageBreakBefore w:val="0"/>
        <w:widowControl/>
        <w:kinsoku/>
        <w:wordWrap/>
        <w:overflowPunct/>
        <w:topLinePunct w:val="0"/>
        <w:autoSpaceDE/>
        <w:autoSpaceDN/>
        <w:bidi w:val="0"/>
        <w:adjustRightInd/>
        <w:spacing w:beforeLines="50" w:line="360" w:lineRule="auto"/>
        <w:ind w:firstLine="422" w:firstLineChars="200"/>
        <w:jc w:val="left"/>
        <w:textAlignment w:val="auto"/>
        <w:rPr>
          <w:rFonts w:hint="eastAsia" w:ascii="宋体" w:hAnsi="宋体" w:cs="宋体"/>
          <w:color w:val="auto"/>
          <w:szCs w:val="21"/>
          <w:highlight w:val="none"/>
        </w:rPr>
      </w:pPr>
      <w:r>
        <w:rPr>
          <w:rFonts w:hint="eastAsia" w:ascii="宋体" w:hAnsi="宋体" w:cs="宋体"/>
          <w:b/>
          <w:bCs/>
          <w:color w:val="auto"/>
          <w:kern w:val="0"/>
          <w:szCs w:val="21"/>
          <w:highlight w:val="none"/>
        </w:rPr>
        <w:t xml:space="preserve">第十五条 合同的变更、终止与转让 </w:t>
      </w:r>
    </w:p>
    <w:p w14:paraId="7BBA5430">
      <w:pPr>
        <w:keepNext w:val="0"/>
        <w:keepLines w:val="0"/>
        <w:pageBreakBefore w:val="0"/>
        <w:widowControl/>
        <w:kinsoku/>
        <w:wordWrap/>
        <w:overflowPunct/>
        <w:topLinePunct w:val="0"/>
        <w:autoSpaceDE/>
        <w:autoSpaceDN/>
        <w:bidi w:val="0"/>
        <w:adjustRightInd/>
        <w:spacing w:beforeLines="50" w:line="360" w:lineRule="auto"/>
        <w:ind w:firstLine="420" w:firstLineChars="200"/>
        <w:jc w:val="left"/>
        <w:textAlignment w:val="auto"/>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1. 除《中华人民共和国政府采购法》第五十条规定的情形外，本合同一经签订，甲乙双方不得擅自变更、中止或者终止合同。</w:t>
      </w:r>
    </w:p>
    <w:p w14:paraId="6BBFB62D">
      <w:pPr>
        <w:keepNext w:val="0"/>
        <w:keepLines w:val="0"/>
        <w:pageBreakBefore w:val="0"/>
        <w:widowControl/>
        <w:kinsoku/>
        <w:wordWrap/>
        <w:overflowPunct/>
        <w:topLinePunct w:val="0"/>
        <w:autoSpaceDE/>
        <w:autoSpaceDN/>
        <w:bidi w:val="0"/>
        <w:adjustRightInd/>
        <w:spacing w:beforeLines="50" w:line="360" w:lineRule="auto"/>
        <w:ind w:firstLine="420" w:firstLineChars="200"/>
        <w:jc w:val="left"/>
        <w:textAlignment w:val="auto"/>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rPr>
        <w:t>2.采购合同继续履行将损害国家利益和社会公共利益的，双方当事人应当变更、中止或者终止合同。有过错的一方应当承担赔偿责任，双方都有过错的，各自承担相应的责任。</w:t>
      </w:r>
    </w:p>
    <w:p w14:paraId="10AE31C1">
      <w:pPr>
        <w:keepNext w:val="0"/>
        <w:keepLines w:val="0"/>
        <w:pageBreakBefore w:val="0"/>
        <w:widowControl/>
        <w:kinsoku/>
        <w:wordWrap/>
        <w:overflowPunct/>
        <w:topLinePunct w:val="0"/>
        <w:autoSpaceDE/>
        <w:autoSpaceDN/>
        <w:bidi w:val="0"/>
        <w:adjustRightInd/>
        <w:spacing w:beforeLines="50" w:line="360" w:lineRule="auto"/>
        <w:ind w:firstLine="42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第十六条 本合同与下列文件一起构成合同文件</w:t>
      </w:r>
    </w:p>
    <w:p w14:paraId="595A49B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cs="仿宋"/>
          <w:bCs/>
          <w:color w:val="auto"/>
          <w:szCs w:val="21"/>
          <w:highlight w:val="none"/>
        </w:rPr>
      </w:pPr>
      <w:r>
        <w:rPr>
          <w:rFonts w:hint="eastAsia" w:ascii="宋体" w:hAnsi="宋体" w:cs="仿宋"/>
          <w:bCs/>
          <w:color w:val="auto"/>
          <w:szCs w:val="21"/>
          <w:highlight w:val="none"/>
        </w:rPr>
        <w:t>1</w:t>
      </w:r>
      <w:r>
        <w:rPr>
          <w:rFonts w:hint="eastAsia" w:ascii="宋体" w:hAnsi="宋体" w:cs="仿宋"/>
          <w:bCs/>
          <w:color w:val="auto"/>
          <w:szCs w:val="21"/>
          <w:highlight w:val="none"/>
          <w:lang w:val="en-US" w:eastAsia="zh-CN"/>
        </w:rPr>
        <w:t>.</w:t>
      </w:r>
      <w:r>
        <w:rPr>
          <w:rFonts w:hint="eastAsia" w:ascii="宋体" w:hAnsi="宋体" w:cs="仿宋"/>
          <w:bCs/>
          <w:color w:val="auto"/>
          <w:szCs w:val="21"/>
          <w:highlight w:val="none"/>
        </w:rPr>
        <w:t>竞争性谈判文件；</w:t>
      </w:r>
    </w:p>
    <w:p w14:paraId="077AF376">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cs="仿宋"/>
          <w:bCs/>
          <w:color w:val="auto"/>
          <w:szCs w:val="21"/>
          <w:highlight w:val="none"/>
        </w:rPr>
      </w:pPr>
      <w:r>
        <w:rPr>
          <w:rFonts w:hint="eastAsia" w:ascii="宋体" w:hAnsi="宋体" w:cs="仿宋"/>
          <w:bCs/>
          <w:color w:val="auto"/>
          <w:szCs w:val="21"/>
          <w:highlight w:val="none"/>
        </w:rPr>
        <w:t>2</w:t>
      </w:r>
      <w:r>
        <w:rPr>
          <w:rFonts w:hint="eastAsia" w:ascii="宋体" w:hAnsi="宋体" w:cs="仿宋"/>
          <w:bCs/>
          <w:color w:val="auto"/>
          <w:szCs w:val="21"/>
          <w:highlight w:val="none"/>
          <w:lang w:val="en-US" w:eastAsia="zh-CN"/>
        </w:rPr>
        <w:t>.</w:t>
      </w:r>
      <w:r>
        <w:rPr>
          <w:rFonts w:hint="eastAsia" w:ascii="宋体" w:hAnsi="宋体" w:cs="仿宋"/>
          <w:bCs/>
          <w:color w:val="auto"/>
          <w:szCs w:val="21"/>
          <w:highlight w:val="none"/>
        </w:rPr>
        <w:t>乙方提供的投标（响应或澄清）文件；</w:t>
      </w:r>
    </w:p>
    <w:p w14:paraId="5F0D6EAB">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cs="仿宋"/>
          <w:bCs/>
          <w:color w:val="auto"/>
          <w:szCs w:val="21"/>
          <w:highlight w:val="none"/>
        </w:rPr>
      </w:pPr>
      <w:r>
        <w:rPr>
          <w:rFonts w:hint="eastAsia" w:ascii="宋体" w:hAnsi="宋体" w:cs="仿宋"/>
          <w:bCs/>
          <w:color w:val="auto"/>
          <w:szCs w:val="21"/>
          <w:highlight w:val="none"/>
        </w:rPr>
        <w:t>3</w:t>
      </w:r>
      <w:r>
        <w:rPr>
          <w:rFonts w:hint="eastAsia" w:ascii="宋体" w:hAnsi="宋体" w:cs="仿宋"/>
          <w:bCs/>
          <w:color w:val="auto"/>
          <w:szCs w:val="21"/>
          <w:highlight w:val="none"/>
          <w:lang w:val="en-US" w:eastAsia="zh-CN"/>
        </w:rPr>
        <w:t>.</w:t>
      </w:r>
      <w:r>
        <w:rPr>
          <w:rFonts w:hint="eastAsia" w:ascii="宋体" w:hAnsi="宋体" w:cs="仿宋"/>
          <w:bCs/>
          <w:color w:val="auto"/>
          <w:szCs w:val="21"/>
          <w:highlight w:val="none"/>
        </w:rPr>
        <w:t>承诺书；</w:t>
      </w:r>
    </w:p>
    <w:p w14:paraId="464E384C">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cs="仿宋"/>
          <w:bCs/>
          <w:color w:val="auto"/>
          <w:szCs w:val="21"/>
          <w:highlight w:val="none"/>
          <w:u w:val="single"/>
        </w:rPr>
      </w:pPr>
      <w:r>
        <w:rPr>
          <w:rFonts w:hint="eastAsia" w:ascii="宋体" w:hAnsi="宋体" w:cs="仿宋"/>
          <w:bCs/>
          <w:color w:val="auto"/>
          <w:szCs w:val="21"/>
          <w:highlight w:val="none"/>
        </w:rPr>
        <w:t>4</w:t>
      </w:r>
      <w:r>
        <w:rPr>
          <w:rFonts w:hint="eastAsia" w:ascii="宋体" w:hAnsi="宋体" w:cs="仿宋"/>
          <w:bCs/>
          <w:color w:val="auto"/>
          <w:szCs w:val="21"/>
          <w:highlight w:val="none"/>
          <w:lang w:val="en-US" w:eastAsia="zh-CN"/>
        </w:rPr>
        <w:t>.</w:t>
      </w:r>
      <w:r>
        <w:rPr>
          <w:rFonts w:hint="eastAsia" w:ascii="宋体" w:hAnsi="宋体" w:cs="仿宋"/>
          <w:bCs/>
          <w:color w:val="auto"/>
          <w:szCs w:val="21"/>
          <w:highlight w:val="none"/>
        </w:rPr>
        <w:t>中标或成交通知书。</w:t>
      </w:r>
    </w:p>
    <w:p w14:paraId="136931D9">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上述合同文件互相补充和解释。如果合同文件之间存在矛盾或者不一致之处，以本合同、上述文件的排列顺序在先者为准。</w:t>
      </w:r>
    </w:p>
    <w:p w14:paraId="24D404A8">
      <w:pPr>
        <w:keepNext w:val="0"/>
        <w:keepLines w:val="0"/>
        <w:pageBreakBefore w:val="0"/>
        <w:widowControl/>
        <w:kinsoku/>
        <w:wordWrap/>
        <w:overflowPunct/>
        <w:topLinePunct w:val="0"/>
        <w:autoSpaceDE/>
        <w:autoSpaceDN/>
        <w:bidi w:val="0"/>
        <w:adjustRightInd/>
        <w:spacing w:beforeLines="50" w:line="360" w:lineRule="auto"/>
        <w:ind w:firstLine="42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第十七条 　其他约定事项</w:t>
      </w:r>
    </w:p>
    <w:p w14:paraId="5FF19C3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1.本合同所有附件及相关文件均为本合同的有效组成部分，与本合同具有同等法律效力。若合同附件与本合同存在不一致的，则以本合同为准。</w:t>
      </w:r>
    </w:p>
    <w:p w14:paraId="7A96633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2.在履行本合同过程中，所有经甲乙双方签署确认的文件（包括会议纪要、补充协议、往来信函、电子邮件等）即成为本合同的有效组成部分。</w:t>
      </w:r>
    </w:p>
    <w:p w14:paraId="2C6898C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3.甲乙双方确认，以下为各方真实有效通讯地址：</w:t>
      </w:r>
    </w:p>
    <w:p w14:paraId="74412878">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color w:val="auto"/>
          <w:szCs w:val="21"/>
          <w:highlight w:val="none"/>
          <w:u w:val="single"/>
        </w:rPr>
        <w:t>　　　            　    　</w:t>
      </w:r>
      <w:r>
        <w:rPr>
          <w:rFonts w:hint="eastAsia" w:ascii="宋体" w:hAnsi="宋体" w:cs="宋体"/>
          <w:color w:val="auto"/>
          <w:szCs w:val="21"/>
          <w:highlight w:val="none"/>
        </w:rPr>
        <w:t>地址：</w:t>
      </w:r>
      <w:r>
        <w:rPr>
          <w:rFonts w:hint="eastAsia" w:ascii="宋体" w:hAnsi="宋体" w:cs="宋体"/>
          <w:color w:val="auto"/>
          <w:szCs w:val="21"/>
          <w:highlight w:val="none"/>
          <w:u w:val="single"/>
        </w:rPr>
        <w:t>　　　　　　　　　　　　</w:t>
      </w:r>
    </w:p>
    <w:p w14:paraId="6EB32D6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　　              　　　</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w:t>
      </w:r>
    </w:p>
    <w:p w14:paraId="6E781B9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地址：</w:t>
      </w:r>
      <w:r>
        <w:rPr>
          <w:rFonts w:hint="eastAsia" w:ascii="宋体" w:hAnsi="宋体" w:cs="宋体"/>
          <w:color w:val="auto"/>
          <w:szCs w:val="21"/>
          <w:highlight w:val="none"/>
          <w:u w:val="single"/>
        </w:rPr>
        <w:t>　　　　　　　　　　　　</w:t>
      </w:r>
    </w:p>
    <w:p w14:paraId="6E56788D">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　　　               　　</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w:t>
      </w:r>
    </w:p>
    <w:p w14:paraId="2A45747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及时书面通知对方，否则上述地址仍为真实有效通讯地址。</w:t>
      </w:r>
    </w:p>
    <w:p w14:paraId="544DA4A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4.本合同一式</w:t>
      </w:r>
      <w:r>
        <w:rPr>
          <w:rFonts w:hint="eastAsia" w:ascii="宋体" w:hAnsi="宋体" w:cs="宋体"/>
          <w:color w:val="auto"/>
          <w:szCs w:val="21"/>
          <w:highlight w:val="none"/>
          <w:u w:val="single"/>
        </w:rPr>
        <w:t>　陆　</w:t>
      </w:r>
      <w:r>
        <w:rPr>
          <w:rFonts w:hint="eastAsia" w:ascii="宋体" w:hAnsi="宋体" w:cs="宋体"/>
          <w:color w:val="auto"/>
          <w:szCs w:val="21"/>
          <w:highlight w:val="none"/>
        </w:rPr>
        <w:t>份，具有同等法律效力，政府采购监管部门、采购代理机构各一份，甲乙双方各</w:t>
      </w:r>
      <w:r>
        <w:rPr>
          <w:rFonts w:hint="eastAsia" w:ascii="宋体" w:hAnsi="宋体" w:cs="宋体"/>
          <w:color w:val="auto"/>
          <w:szCs w:val="21"/>
          <w:highlight w:val="none"/>
          <w:u w:val="single"/>
        </w:rPr>
        <w:t>　贰　</w:t>
      </w:r>
      <w:r>
        <w:rPr>
          <w:rFonts w:hint="eastAsia" w:ascii="宋体" w:hAnsi="宋体" w:cs="宋体"/>
          <w:color w:val="auto"/>
          <w:szCs w:val="21"/>
          <w:highlight w:val="none"/>
        </w:rPr>
        <w:t>份。</w:t>
      </w:r>
    </w:p>
    <w:p w14:paraId="3171E033">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b/>
          <w:color w:val="auto"/>
          <w:szCs w:val="21"/>
          <w:highlight w:val="none"/>
        </w:rPr>
      </w:pPr>
      <w:r>
        <w:rPr>
          <w:rFonts w:hint="eastAsia" w:ascii="宋体" w:hAnsi="宋体" w:cs="宋体"/>
          <w:color w:val="auto"/>
          <w:szCs w:val="21"/>
          <w:highlight w:val="none"/>
        </w:rPr>
        <w:t>本条款不因合同的变更、解除和终止而失效。</w:t>
      </w:r>
    </w:p>
    <w:p w14:paraId="1FFAC267">
      <w:pPr>
        <w:spacing w:beforeLines="50" w:line="360" w:lineRule="auto"/>
        <w:rPr>
          <w:rFonts w:hint="eastAsia" w:ascii="宋体" w:hAnsi="宋体" w:cs="宋体"/>
          <w:b/>
          <w:color w:val="auto"/>
          <w:szCs w:val="21"/>
          <w:highlight w:val="none"/>
        </w:rPr>
      </w:pPr>
    </w:p>
    <w:p w14:paraId="097C3699">
      <w:pPr>
        <w:spacing w:beforeLines="50"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第十八条　合同附件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0"/>
        <w:gridCol w:w="4286"/>
      </w:tblGrid>
      <w:tr w14:paraId="4F0A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660" w:type="dxa"/>
          </w:tcPr>
          <w:p w14:paraId="7DCF6D8B">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甲方（章）</w:t>
            </w:r>
          </w:p>
        </w:tc>
        <w:tc>
          <w:tcPr>
            <w:tcW w:w="4286" w:type="dxa"/>
          </w:tcPr>
          <w:p w14:paraId="13A87C88">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乙方（章）</w:t>
            </w:r>
          </w:p>
        </w:tc>
      </w:tr>
      <w:tr w14:paraId="416A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60" w:type="dxa"/>
          </w:tcPr>
          <w:p w14:paraId="5FEABE51">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单位地址：</w:t>
            </w:r>
          </w:p>
        </w:tc>
        <w:tc>
          <w:tcPr>
            <w:tcW w:w="4286" w:type="dxa"/>
          </w:tcPr>
          <w:p w14:paraId="64D03CFD">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单位地址：</w:t>
            </w:r>
          </w:p>
        </w:tc>
      </w:tr>
      <w:tr w14:paraId="320E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60" w:type="dxa"/>
          </w:tcPr>
          <w:p w14:paraId="537CAB3D">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4286" w:type="dxa"/>
          </w:tcPr>
          <w:p w14:paraId="49BCD138">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p>
        </w:tc>
      </w:tr>
      <w:tr w14:paraId="1D81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660" w:type="dxa"/>
          </w:tcPr>
          <w:p w14:paraId="16448F1C">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p>
        </w:tc>
        <w:tc>
          <w:tcPr>
            <w:tcW w:w="4286" w:type="dxa"/>
          </w:tcPr>
          <w:p w14:paraId="4B46EF2F">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p>
        </w:tc>
      </w:tr>
      <w:tr w14:paraId="63EA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660" w:type="dxa"/>
          </w:tcPr>
          <w:p w14:paraId="34C91725">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p>
        </w:tc>
        <w:tc>
          <w:tcPr>
            <w:tcW w:w="4286" w:type="dxa"/>
          </w:tcPr>
          <w:p w14:paraId="3205BB8D">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p>
        </w:tc>
      </w:tr>
      <w:tr w14:paraId="7E15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660" w:type="dxa"/>
          </w:tcPr>
          <w:p w14:paraId="1911694F">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电子邮箱：</w:t>
            </w:r>
          </w:p>
        </w:tc>
        <w:tc>
          <w:tcPr>
            <w:tcW w:w="4286" w:type="dxa"/>
          </w:tcPr>
          <w:p w14:paraId="6F704608">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电子邮箱：</w:t>
            </w:r>
          </w:p>
        </w:tc>
      </w:tr>
      <w:tr w14:paraId="3214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60" w:type="dxa"/>
          </w:tcPr>
          <w:p w14:paraId="4A41E15A">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4286" w:type="dxa"/>
          </w:tcPr>
          <w:p w14:paraId="43CEC394">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p>
        </w:tc>
      </w:tr>
      <w:tr w14:paraId="39800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60" w:type="dxa"/>
          </w:tcPr>
          <w:p w14:paraId="16962D37">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账号：</w:t>
            </w:r>
          </w:p>
        </w:tc>
        <w:tc>
          <w:tcPr>
            <w:tcW w:w="4286" w:type="dxa"/>
          </w:tcPr>
          <w:p w14:paraId="1615E897">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账号：</w:t>
            </w:r>
          </w:p>
        </w:tc>
      </w:tr>
      <w:tr w14:paraId="3F96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660" w:type="dxa"/>
          </w:tcPr>
          <w:p w14:paraId="3B506ECE">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邮政编码：</w:t>
            </w:r>
          </w:p>
        </w:tc>
        <w:tc>
          <w:tcPr>
            <w:tcW w:w="4286" w:type="dxa"/>
          </w:tcPr>
          <w:p w14:paraId="73F7E525">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邮政编码：</w:t>
            </w:r>
          </w:p>
        </w:tc>
      </w:tr>
      <w:tr w14:paraId="02FB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2"/>
          </w:tcPr>
          <w:p w14:paraId="51F42492">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经办人：</w:t>
            </w:r>
          </w:p>
          <w:p w14:paraId="46487CFE">
            <w:pPr>
              <w:widowControl/>
              <w:spacing w:line="360" w:lineRule="auto"/>
              <w:jc w:val="left"/>
              <w:rPr>
                <w:rFonts w:hint="eastAsia" w:ascii="宋体" w:hAnsi="宋体" w:cs="宋体"/>
                <w:color w:val="auto"/>
                <w:kern w:val="0"/>
                <w:szCs w:val="21"/>
                <w:highlight w:val="none"/>
              </w:rPr>
            </w:pPr>
          </w:p>
          <w:p w14:paraId="426CDD93">
            <w:pPr>
              <w:widowControl/>
              <w:spacing w:line="360" w:lineRule="auto"/>
              <w:ind w:firstLine="6720" w:firstLineChars="3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年   月   日</w:t>
            </w:r>
          </w:p>
        </w:tc>
      </w:tr>
    </w:tbl>
    <w:p w14:paraId="3D567D07">
      <w:pPr>
        <w:snapToGrid w:val="0"/>
        <w:spacing w:line="480" w:lineRule="exact"/>
        <w:jc w:val="both"/>
        <w:rPr>
          <w:rFonts w:ascii="宋体" w:hAnsi="宋体" w:cs="宋体"/>
          <w:color w:val="auto"/>
          <w:kern w:val="0"/>
          <w:szCs w:val="21"/>
          <w:highlight w:val="none"/>
        </w:rPr>
      </w:pPr>
    </w:p>
    <w:sectPr>
      <w:footerReference r:id="rId5" w:type="firs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041BB">
    <w:pPr>
      <w:pStyle w:val="15"/>
      <w:jc w:val="center"/>
    </w:pPr>
    <w:r>
      <w:fldChar w:fldCharType="begin"/>
    </w:r>
    <w:r>
      <w:instrText xml:space="preserve"> PAGE   \* MERGEFORMAT </w:instrText>
    </w:r>
    <w:r>
      <w:fldChar w:fldCharType="separate"/>
    </w:r>
    <w:r>
      <w:rPr>
        <w:lang w:val="zh-CN"/>
      </w:rPr>
      <w:t>68</w:t>
    </w:r>
    <w:r>
      <w:rPr>
        <w:lang w:val="zh-CN"/>
      </w:rPr>
      <w:fldChar w:fldCharType="end"/>
    </w:r>
  </w:p>
  <w:p w14:paraId="26E23AF6">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29761">
    <w:pPr>
      <w:pStyle w:val="15"/>
    </w:pPr>
    <w:r>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H9jcw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BEssNDvz8/dv5x6/zz6/k&#10;7bIsk0K9hwoTnzymxuHODSl78gM6E/GhDSZ9kRLBOOp7uugrh0hEerQqV6sCQwJj8wVx2PNzHyC+&#10;l86QZNQ04ACzrvz4CHFMnVNSNevuldbo55W2fzkQM3lY6n3sMVlx2A1T4zvXnJBPj7OvqcVVp0Q/&#10;WJQ2rclshNnYzcbBB7Xv8h6leuBvDxGbyL2lCiPsVBiHltl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Jkf2NzAEAAJwDAAAOAAAAAAAAAAEAIAAAAB4BAABkcnMvZTJv&#10;RG9jLnhtbFBLBQYAAAAABgAGAFkBAABcBQAAAAA=&#10;">
          <v:path/>
          <v:fill on="f" focussize="0,0"/>
          <v:stroke on="f" joinstyle="miter"/>
          <v:imagedata o:title=""/>
          <o:lock v:ext="edit"/>
          <v:textbox inset="0mm,0mm,0mm,0mm" style="mso-fit-shape-to-text:t;">
            <w:txbxContent>
              <w:p w14:paraId="654980DB">
                <w:pPr>
                  <w:pStyle w:val="1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CCA4F">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71D2B"/>
    <w:multiLevelType w:val="singleLevel"/>
    <w:tmpl w:val="10371D2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WIwODgzNjJkNjNmYzUzYzg0ZTg5ODJmM2IxY2M4YWMifQ=="/>
  </w:docVars>
  <w:rsids>
    <w:rsidRoot w:val="00F34B14"/>
    <w:rsid w:val="00000672"/>
    <w:rsid w:val="00001799"/>
    <w:rsid w:val="00002D29"/>
    <w:rsid w:val="000040C5"/>
    <w:rsid w:val="00004514"/>
    <w:rsid w:val="00004A8A"/>
    <w:rsid w:val="00005E55"/>
    <w:rsid w:val="00005FDF"/>
    <w:rsid w:val="00006586"/>
    <w:rsid w:val="00010D39"/>
    <w:rsid w:val="000112BB"/>
    <w:rsid w:val="0001149B"/>
    <w:rsid w:val="0001172C"/>
    <w:rsid w:val="00012854"/>
    <w:rsid w:val="00012EA6"/>
    <w:rsid w:val="000139DC"/>
    <w:rsid w:val="00013D8C"/>
    <w:rsid w:val="00013DFE"/>
    <w:rsid w:val="000141EA"/>
    <w:rsid w:val="00014385"/>
    <w:rsid w:val="00014B02"/>
    <w:rsid w:val="000166C4"/>
    <w:rsid w:val="00016960"/>
    <w:rsid w:val="00017396"/>
    <w:rsid w:val="000177DB"/>
    <w:rsid w:val="00020227"/>
    <w:rsid w:val="000203E4"/>
    <w:rsid w:val="00020455"/>
    <w:rsid w:val="00022731"/>
    <w:rsid w:val="00022792"/>
    <w:rsid w:val="0002392D"/>
    <w:rsid w:val="00024B43"/>
    <w:rsid w:val="00025382"/>
    <w:rsid w:val="00025636"/>
    <w:rsid w:val="00025E36"/>
    <w:rsid w:val="00026627"/>
    <w:rsid w:val="00026886"/>
    <w:rsid w:val="00030496"/>
    <w:rsid w:val="000329A1"/>
    <w:rsid w:val="000329E0"/>
    <w:rsid w:val="000333A0"/>
    <w:rsid w:val="000352E9"/>
    <w:rsid w:val="00036A07"/>
    <w:rsid w:val="00036E33"/>
    <w:rsid w:val="00037E2D"/>
    <w:rsid w:val="00040571"/>
    <w:rsid w:val="0004156E"/>
    <w:rsid w:val="00041597"/>
    <w:rsid w:val="0004440C"/>
    <w:rsid w:val="00045880"/>
    <w:rsid w:val="000462CB"/>
    <w:rsid w:val="00046B5E"/>
    <w:rsid w:val="0004783A"/>
    <w:rsid w:val="000509D9"/>
    <w:rsid w:val="000552A6"/>
    <w:rsid w:val="00055D41"/>
    <w:rsid w:val="00057CEC"/>
    <w:rsid w:val="00060DCE"/>
    <w:rsid w:val="000623B4"/>
    <w:rsid w:val="000634A7"/>
    <w:rsid w:val="00063E85"/>
    <w:rsid w:val="00063F81"/>
    <w:rsid w:val="00064847"/>
    <w:rsid w:val="0006484B"/>
    <w:rsid w:val="00065BBC"/>
    <w:rsid w:val="000673E2"/>
    <w:rsid w:val="000711E4"/>
    <w:rsid w:val="00072AED"/>
    <w:rsid w:val="00073F47"/>
    <w:rsid w:val="00075B7E"/>
    <w:rsid w:val="00077C70"/>
    <w:rsid w:val="00080B57"/>
    <w:rsid w:val="000817D1"/>
    <w:rsid w:val="00081BA3"/>
    <w:rsid w:val="00081D2E"/>
    <w:rsid w:val="0008267B"/>
    <w:rsid w:val="00082D02"/>
    <w:rsid w:val="00083B91"/>
    <w:rsid w:val="0008520B"/>
    <w:rsid w:val="000871B8"/>
    <w:rsid w:val="00087DB6"/>
    <w:rsid w:val="00090639"/>
    <w:rsid w:val="000913BE"/>
    <w:rsid w:val="000918F8"/>
    <w:rsid w:val="00092442"/>
    <w:rsid w:val="0009588E"/>
    <w:rsid w:val="000959EE"/>
    <w:rsid w:val="00095B2F"/>
    <w:rsid w:val="00095B51"/>
    <w:rsid w:val="00097DA0"/>
    <w:rsid w:val="000A0D6B"/>
    <w:rsid w:val="000A0EEE"/>
    <w:rsid w:val="000A1389"/>
    <w:rsid w:val="000A166E"/>
    <w:rsid w:val="000A17D0"/>
    <w:rsid w:val="000A2B0E"/>
    <w:rsid w:val="000A398F"/>
    <w:rsid w:val="000A4AEE"/>
    <w:rsid w:val="000A509C"/>
    <w:rsid w:val="000A6007"/>
    <w:rsid w:val="000A65A6"/>
    <w:rsid w:val="000A7275"/>
    <w:rsid w:val="000A7A12"/>
    <w:rsid w:val="000A7AD8"/>
    <w:rsid w:val="000A7CA5"/>
    <w:rsid w:val="000B039A"/>
    <w:rsid w:val="000B1801"/>
    <w:rsid w:val="000B19B3"/>
    <w:rsid w:val="000B1D0C"/>
    <w:rsid w:val="000B2D03"/>
    <w:rsid w:val="000B3815"/>
    <w:rsid w:val="000B3C7B"/>
    <w:rsid w:val="000B5AB0"/>
    <w:rsid w:val="000B6C95"/>
    <w:rsid w:val="000C0C58"/>
    <w:rsid w:val="000C1679"/>
    <w:rsid w:val="000C2898"/>
    <w:rsid w:val="000C2F89"/>
    <w:rsid w:val="000C435F"/>
    <w:rsid w:val="000C4635"/>
    <w:rsid w:val="000C548E"/>
    <w:rsid w:val="000C6DE4"/>
    <w:rsid w:val="000D01EB"/>
    <w:rsid w:val="000D056E"/>
    <w:rsid w:val="000D0675"/>
    <w:rsid w:val="000D0A89"/>
    <w:rsid w:val="000D1389"/>
    <w:rsid w:val="000D1798"/>
    <w:rsid w:val="000D1A2A"/>
    <w:rsid w:val="000D2626"/>
    <w:rsid w:val="000D4A06"/>
    <w:rsid w:val="000D54D4"/>
    <w:rsid w:val="000D73DD"/>
    <w:rsid w:val="000D7D9B"/>
    <w:rsid w:val="000E18E2"/>
    <w:rsid w:val="000E28AB"/>
    <w:rsid w:val="000E2E3E"/>
    <w:rsid w:val="000E33C5"/>
    <w:rsid w:val="000E3583"/>
    <w:rsid w:val="000E3AF0"/>
    <w:rsid w:val="000E3D53"/>
    <w:rsid w:val="000E4E04"/>
    <w:rsid w:val="000E6EC9"/>
    <w:rsid w:val="000E70B4"/>
    <w:rsid w:val="000F3281"/>
    <w:rsid w:val="000F3733"/>
    <w:rsid w:val="000F4D88"/>
    <w:rsid w:val="000F5B1B"/>
    <w:rsid w:val="000F64AA"/>
    <w:rsid w:val="000F7AF4"/>
    <w:rsid w:val="000F7C33"/>
    <w:rsid w:val="000F7E7E"/>
    <w:rsid w:val="000F7F0C"/>
    <w:rsid w:val="00100246"/>
    <w:rsid w:val="001004D6"/>
    <w:rsid w:val="00100D90"/>
    <w:rsid w:val="00103918"/>
    <w:rsid w:val="00104324"/>
    <w:rsid w:val="00104889"/>
    <w:rsid w:val="00104897"/>
    <w:rsid w:val="00104EDE"/>
    <w:rsid w:val="00105372"/>
    <w:rsid w:val="00106BEE"/>
    <w:rsid w:val="00113134"/>
    <w:rsid w:val="00113AC0"/>
    <w:rsid w:val="00113E75"/>
    <w:rsid w:val="00114851"/>
    <w:rsid w:val="00115E11"/>
    <w:rsid w:val="00115F56"/>
    <w:rsid w:val="00117CBD"/>
    <w:rsid w:val="0012006A"/>
    <w:rsid w:val="00120990"/>
    <w:rsid w:val="001217B5"/>
    <w:rsid w:val="00121979"/>
    <w:rsid w:val="00122064"/>
    <w:rsid w:val="00125004"/>
    <w:rsid w:val="001263B8"/>
    <w:rsid w:val="00126763"/>
    <w:rsid w:val="00130217"/>
    <w:rsid w:val="00130783"/>
    <w:rsid w:val="001312CB"/>
    <w:rsid w:val="00131B75"/>
    <w:rsid w:val="00132B47"/>
    <w:rsid w:val="00132E64"/>
    <w:rsid w:val="001351CB"/>
    <w:rsid w:val="001359A2"/>
    <w:rsid w:val="00135E37"/>
    <w:rsid w:val="00136020"/>
    <w:rsid w:val="00136445"/>
    <w:rsid w:val="00140132"/>
    <w:rsid w:val="00141C9C"/>
    <w:rsid w:val="001434BE"/>
    <w:rsid w:val="0014479F"/>
    <w:rsid w:val="001452B4"/>
    <w:rsid w:val="0014550E"/>
    <w:rsid w:val="00146EC6"/>
    <w:rsid w:val="001478D2"/>
    <w:rsid w:val="00150CC9"/>
    <w:rsid w:val="00152A87"/>
    <w:rsid w:val="00154486"/>
    <w:rsid w:val="00156D0E"/>
    <w:rsid w:val="0016086E"/>
    <w:rsid w:val="00160D0C"/>
    <w:rsid w:val="00161172"/>
    <w:rsid w:val="0016139E"/>
    <w:rsid w:val="00161E65"/>
    <w:rsid w:val="00162597"/>
    <w:rsid w:val="001629AF"/>
    <w:rsid w:val="0016428A"/>
    <w:rsid w:val="001647C9"/>
    <w:rsid w:val="001661A3"/>
    <w:rsid w:val="0016782B"/>
    <w:rsid w:val="00173256"/>
    <w:rsid w:val="001733E1"/>
    <w:rsid w:val="00173F74"/>
    <w:rsid w:val="00175086"/>
    <w:rsid w:val="00175BA6"/>
    <w:rsid w:val="00176CA7"/>
    <w:rsid w:val="001778C5"/>
    <w:rsid w:val="00177E56"/>
    <w:rsid w:val="00177F0A"/>
    <w:rsid w:val="00180669"/>
    <w:rsid w:val="00182B6B"/>
    <w:rsid w:val="00183088"/>
    <w:rsid w:val="00185617"/>
    <w:rsid w:val="0019171E"/>
    <w:rsid w:val="0019220F"/>
    <w:rsid w:val="001928B1"/>
    <w:rsid w:val="00194ED5"/>
    <w:rsid w:val="00195424"/>
    <w:rsid w:val="001955FF"/>
    <w:rsid w:val="00197EDD"/>
    <w:rsid w:val="001A02B3"/>
    <w:rsid w:val="001A04BB"/>
    <w:rsid w:val="001A08D0"/>
    <w:rsid w:val="001A14B1"/>
    <w:rsid w:val="001A1B39"/>
    <w:rsid w:val="001A2492"/>
    <w:rsid w:val="001A2E69"/>
    <w:rsid w:val="001A3377"/>
    <w:rsid w:val="001A3C34"/>
    <w:rsid w:val="001A3EDE"/>
    <w:rsid w:val="001A4222"/>
    <w:rsid w:val="001A50EA"/>
    <w:rsid w:val="001A5AB8"/>
    <w:rsid w:val="001A5E24"/>
    <w:rsid w:val="001A6D8B"/>
    <w:rsid w:val="001B079E"/>
    <w:rsid w:val="001B0CDA"/>
    <w:rsid w:val="001B0E26"/>
    <w:rsid w:val="001B125A"/>
    <w:rsid w:val="001B1E05"/>
    <w:rsid w:val="001B1EBA"/>
    <w:rsid w:val="001B2142"/>
    <w:rsid w:val="001B26CF"/>
    <w:rsid w:val="001B2F2B"/>
    <w:rsid w:val="001B327A"/>
    <w:rsid w:val="001B35DE"/>
    <w:rsid w:val="001B3A13"/>
    <w:rsid w:val="001B59FF"/>
    <w:rsid w:val="001B636D"/>
    <w:rsid w:val="001B65D7"/>
    <w:rsid w:val="001B6752"/>
    <w:rsid w:val="001B6768"/>
    <w:rsid w:val="001B6F1F"/>
    <w:rsid w:val="001B7ECC"/>
    <w:rsid w:val="001C1AED"/>
    <w:rsid w:val="001C25A7"/>
    <w:rsid w:val="001C318C"/>
    <w:rsid w:val="001C4287"/>
    <w:rsid w:val="001C4479"/>
    <w:rsid w:val="001C76B7"/>
    <w:rsid w:val="001C76FB"/>
    <w:rsid w:val="001D2764"/>
    <w:rsid w:val="001D3697"/>
    <w:rsid w:val="001D51DE"/>
    <w:rsid w:val="001D540E"/>
    <w:rsid w:val="001D58A1"/>
    <w:rsid w:val="001D5A8A"/>
    <w:rsid w:val="001D709B"/>
    <w:rsid w:val="001D735E"/>
    <w:rsid w:val="001D73C8"/>
    <w:rsid w:val="001D74D4"/>
    <w:rsid w:val="001D7E1F"/>
    <w:rsid w:val="001E0756"/>
    <w:rsid w:val="001E0A8D"/>
    <w:rsid w:val="001E0C82"/>
    <w:rsid w:val="001E0FFB"/>
    <w:rsid w:val="001E129E"/>
    <w:rsid w:val="001E2B9F"/>
    <w:rsid w:val="001E4A8D"/>
    <w:rsid w:val="001E5A94"/>
    <w:rsid w:val="001E7648"/>
    <w:rsid w:val="001F127B"/>
    <w:rsid w:val="001F2A2E"/>
    <w:rsid w:val="001F2E3D"/>
    <w:rsid w:val="001F3B72"/>
    <w:rsid w:val="001F3C63"/>
    <w:rsid w:val="001F4460"/>
    <w:rsid w:val="001F5DAF"/>
    <w:rsid w:val="001F637C"/>
    <w:rsid w:val="001F6B6C"/>
    <w:rsid w:val="001F711A"/>
    <w:rsid w:val="001F75B0"/>
    <w:rsid w:val="001F7686"/>
    <w:rsid w:val="00200CE5"/>
    <w:rsid w:val="002014DB"/>
    <w:rsid w:val="00201E12"/>
    <w:rsid w:val="002031E2"/>
    <w:rsid w:val="002033B5"/>
    <w:rsid w:val="0020382C"/>
    <w:rsid w:val="00203CB0"/>
    <w:rsid w:val="0020437A"/>
    <w:rsid w:val="00204B5F"/>
    <w:rsid w:val="0020532C"/>
    <w:rsid w:val="00205D23"/>
    <w:rsid w:val="0021064F"/>
    <w:rsid w:val="002114C7"/>
    <w:rsid w:val="002118F3"/>
    <w:rsid w:val="00212756"/>
    <w:rsid w:val="0021302C"/>
    <w:rsid w:val="00213045"/>
    <w:rsid w:val="00213483"/>
    <w:rsid w:val="00213B1C"/>
    <w:rsid w:val="00214202"/>
    <w:rsid w:val="002146F3"/>
    <w:rsid w:val="002148E3"/>
    <w:rsid w:val="00215373"/>
    <w:rsid w:val="0021552D"/>
    <w:rsid w:val="002156AE"/>
    <w:rsid w:val="00217861"/>
    <w:rsid w:val="002204C9"/>
    <w:rsid w:val="0022054D"/>
    <w:rsid w:val="0022290A"/>
    <w:rsid w:val="00224DE1"/>
    <w:rsid w:val="00225664"/>
    <w:rsid w:val="002269DC"/>
    <w:rsid w:val="00227F2D"/>
    <w:rsid w:val="0023089D"/>
    <w:rsid w:val="00231851"/>
    <w:rsid w:val="002319FB"/>
    <w:rsid w:val="00231B89"/>
    <w:rsid w:val="002355BE"/>
    <w:rsid w:val="00236DE9"/>
    <w:rsid w:val="00237D5A"/>
    <w:rsid w:val="00237EA9"/>
    <w:rsid w:val="00241300"/>
    <w:rsid w:val="00241D3C"/>
    <w:rsid w:val="0024274D"/>
    <w:rsid w:val="002439AB"/>
    <w:rsid w:val="002450D5"/>
    <w:rsid w:val="00245587"/>
    <w:rsid w:val="00245F2B"/>
    <w:rsid w:val="002464EB"/>
    <w:rsid w:val="00246F95"/>
    <w:rsid w:val="00247F3A"/>
    <w:rsid w:val="00250122"/>
    <w:rsid w:val="00250755"/>
    <w:rsid w:val="00250AE3"/>
    <w:rsid w:val="00251C4A"/>
    <w:rsid w:val="0025271C"/>
    <w:rsid w:val="00252A91"/>
    <w:rsid w:val="002533CD"/>
    <w:rsid w:val="002544C1"/>
    <w:rsid w:val="00254EAB"/>
    <w:rsid w:val="002557AF"/>
    <w:rsid w:val="002561FA"/>
    <w:rsid w:val="00256474"/>
    <w:rsid w:val="002566B1"/>
    <w:rsid w:val="002575E3"/>
    <w:rsid w:val="002603C1"/>
    <w:rsid w:val="002609A1"/>
    <w:rsid w:val="002612B1"/>
    <w:rsid w:val="00266165"/>
    <w:rsid w:val="0027125E"/>
    <w:rsid w:val="00271767"/>
    <w:rsid w:val="00272293"/>
    <w:rsid w:val="002723C8"/>
    <w:rsid w:val="00272676"/>
    <w:rsid w:val="00273CBE"/>
    <w:rsid w:val="00277441"/>
    <w:rsid w:val="002802D7"/>
    <w:rsid w:val="0028232C"/>
    <w:rsid w:val="002827F1"/>
    <w:rsid w:val="00282EC3"/>
    <w:rsid w:val="002835B0"/>
    <w:rsid w:val="0028407E"/>
    <w:rsid w:val="0028410F"/>
    <w:rsid w:val="00286603"/>
    <w:rsid w:val="00286A98"/>
    <w:rsid w:val="00286FB5"/>
    <w:rsid w:val="00287763"/>
    <w:rsid w:val="00290606"/>
    <w:rsid w:val="00290F9D"/>
    <w:rsid w:val="002918A7"/>
    <w:rsid w:val="00291D6D"/>
    <w:rsid w:val="00291FF1"/>
    <w:rsid w:val="002923F6"/>
    <w:rsid w:val="00293361"/>
    <w:rsid w:val="00293770"/>
    <w:rsid w:val="00295287"/>
    <w:rsid w:val="002952B1"/>
    <w:rsid w:val="00295D11"/>
    <w:rsid w:val="00295FA0"/>
    <w:rsid w:val="00297A7A"/>
    <w:rsid w:val="002A0C3A"/>
    <w:rsid w:val="002A1130"/>
    <w:rsid w:val="002A1493"/>
    <w:rsid w:val="002A14D3"/>
    <w:rsid w:val="002A1880"/>
    <w:rsid w:val="002A1D47"/>
    <w:rsid w:val="002A23B7"/>
    <w:rsid w:val="002A3A57"/>
    <w:rsid w:val="002A6D22"/>
    <w:rsid w:val="002A6DEF"/>
    <w:rsid w:val="002A7411"/>
    <w:rsid w:val="002A7C24"/>
    <w:rsid w:val="002B013E"/>
    <w:rsid w:val="002B058D"/>
    <w:rsid w:val="002B0C16"/>
    <w:rsid w:val="002B11C9"/>
    <w:rsid w:val="002B169E"/>
    <w:rsid w:val="002B2621"/>
    <w:rsid w:val="002B2AC5"/>
    <w:rsid w:val="002B3528"/>
    <w:rsid w:val="002B3539"/>
    <w:rsid w:val="002B3B2B"/>
    <w:rsid w:val="002B6D17"/>
    <w:rsid w:val="002C0C1C"/>
    <w:rsid w:val="002C184E"/>
    <w:rsid w:val="002C29C1"/>
    <w:rsid w:val="002C54C2"/>
    <w:rsid w:val="002C58F6"/>
    <w:rsid w:val="002C5D34"/>
    <w:rsid w:val="002C5EA7"/>
    <w:rsid w:val="002C661A"/>
    <w:rsid w:val="002C730C"/>
    <w:rsid w:val="002D0AF5"/>
    <w:rsid w:val="002D1C54"/>
    <w:rsid w:val="002D2231"/>
    <w:rsid w:val="002D25FC"/>
    <w:rsid w:val="002D318B"/>
    <w:rsid w:val="002D3380"/>
    <w:rsid w:val="002D4925"/>
    <w:rsid w:val="002D4AC6"/>
    <w:rsid w:val="002D5C7B"/>
    <w:rsid w:val="002D6DFC"/>
    <w:rsid w:val="002D7648"/>
    <w:rsid w:val="002D7909"/>
    <w:rsid w:val="002D7E56"/>
    <w:rsid w:val="002E109C"/>
    <w:rsid w:val="002E115E"/>
    <w:rsid w:val="002E193E"/>
    <w:rsid w:val="002E1D76"/>
    <w:rsid w:val="002E243C"/>
    <w:rsid w:val="002E26C4"/>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D1E"/>
    <w:rsid w:val="00300F92"/>
    <w:rsid w:val="00301839"/>
    <w:rsid w:val="00302929"/>
    <w:rsid w:val="00302F0F"/>
    <w:rsid w:val="00303243"/>
    <w:rsid w:val="00303BCC"/>
    <w:rsid w:val="00303F2B"/>
    <w:rsid w:val="00303F8D"/>
    <w:rsid w:val="00304541"/>
    <w:rsid w:val="00304580"/>
    <w:rsid w:val="0030586A"/>
    <w:rsid w:val="003074C5"/>
    <w:rsid w:val="00307A3C"/>
    <w:rsid w:val="00307FA4"/>
    <w:rsid w:val="00310CC1"/>
    <w:rsid w:val="0031202C"/>
    <w:rsid w:val="00313026"/>
    <w:rsid w:val="0031421F"/>
    <w:rsid w:val="00314B31"/>
    <w:rsid w:val="00314B36"/>
    <w:rsid w:val="00315158"/>
    <w:rsid w:val="00315346"/>
    <w:rsid w:val="00315A65"/>
    <w:rsid w:val="00316CEC"/>
    <w:rsid w:val="00317BA7"/>
    <w:rsid w:val="00320BE2"/>
    <w:rsid w:val="00321886"/>
    <w:rsid w:val="00321902"/>
    <w:rsid w:val="00322F03"/>
    <w:rsid w:val="00323694"/>
    <w:rsid w:val="00324D63"/>
    <w:rsid w:val="003255AF"/>
    <w:rsid w:val="003256EB"/>
    <w:rsid w:val="003259DB"/>
    <w:rsid w:val="00327019"/>
    <w:rsid w:val="00331060"/>
    <w:rsid w:val="00331A48"/>
    <w:rsid w:val="003330C9"/>
    <w:rsid w:val="0033364C"/>
    <w:rsid w:val="00334415"/>
    <w:rsid w:val="00334F92"/>
    <w:rsid w:val="0033691E"/>
    <w:rsid w:val="00336CCB"/>
    <w:rsid w:val="0033745F"/>
    <w:rsid w:val="00337631"/>
    <w:rsid w:val="00337F44"/>
    <w:rsid w:val="003411D1"/>
    <w:rsid w:val="003416BA"/>
    <w:rsid w:val="00341BD6"/>
    <w:rsid w:val="00342A8A"/>
    <w:rsid w:val="00342F99"/>
    <w:rsid w:val="00344726"/>
    <w:rsid w:val="003454A4"/>
    <w:rsid w:val="00350E6C"/>
    <w:rsid w:val="003518A6"/>
    <w:rsid w:val="00351CB0"/>
    <w:rsid w:val="00351E7F"/>
    <w:rsid w:val="00352953"/>
    <w:rsid w:val="00354062"/>
    <w:rsid w:val="00355C0D"/>
    <w:rsid w:val="003566A9"/>
    <w:rsid w:val="00356988"/>
    <w:rsid w:val="00356B20"/>
    <w:rsid w:val="00356E94"/>
    <w:rsid w:val="00357128"/>
    <w:rsid w:val="0035755E"/>
    <w:rsid w:val="00357A80"/>
    <w:rsid w:val="00361B8B"/>
    <w:rsid w:val="00361B95"/>
    <w:rsid w:val="00363F39"/>
    <w:rsid w:val="00364AB0"/>
    <w:rsid w:val="003667B0"/>
    <w:rsid w:val="003667DD"/>
    <w:rsid w:val="00366B48"/>
    <w:rsid w:val="00367764"/>
    <w:rsid w:val="00370316"/>
    <w:rsid w:val="00370DC7"/>
    <w:rsid w:val="0037156C"/>
    <w:rsid w:val="00371CBD"/>
    <w:rsid w:val="00373CBE"/>
    <w:rsid w:val="003740CC"/>
    <w:rsid w:val="0037435E"/>
    <w:rsid w:val="00374E79"/>
    <w:rsid w:val="00375388"/>
    <w:rsid w:val="00375FB9"/>
    <w:rsid w:val="00376851"/>
    <w:rsid w:val="00376FA2"/>
    <w:rsid w:val="00377A3B"/>
    <w:rsid w:val="00377E3C"/>
    <w:rsid w:val="00380BBE"/>
    <w:rsid w:val="00381775"/>
    <w:rsid w:val="00381D70"/>
    <w:rsid w:val="00382128"/>
    <w:rsid w:val="0038235E"/>
    <w:rsid w:val="003829D0"/>
    <w:rsid w:val="00382FBA"/>
    <w:rsid w:val="0038444F"/>
    <w:rsid w:val="00384E83"/>
    <w:rsid w:val="00385333"/>
    <w:rsid w:val="00387051"/>
    <w:rsid w:val="00387712"/>
    <w:rsid w:val="00387ECF"/>
    <w:rsid w:val="0039021B"/>
    <w:rsid w:val="00390429"/>
    <w:rsid w:val="00392A7A"/>
    <w:rsid w:val="0039327C"/>
    <w:rsid w:val="003933A2"/>
    <w:rsid w:val="0039366C"/>
    <w:rsid w:val="003938F3"/>
    <w:rsid w:val="00393EC8"/>
    <w:rsid w:val="00394BC6"/>
    <w:rsid w:val="00395E42"/>
    <w:rsid w:val="00396052"/>
    <w:rsid w:val="00396A2D"/>
    <w:rsid w:val="00396FC3"/>
    <w:rsid w:val="003A0B61"/>
    <w:rsid w:val="003A1554"/>
    <w:rsid w:val="003A1A94"/>
    <w:rsid w:val="003A204E"/>
    <w:rsid w:val="003A2D25"/>
    <w:rsid w:val="003A39B2"/>
    <w:rsid w:val="003A4DDB"/>
    <w:rsid w:val="003A60E7"/>
    <w:rsid w:val="003A6E03"/>
    <w:rsid w:val="003B0B6A"/>
    <w:rsid w:val="003B0F79"/>
    <w:rsid w:val="003B1483"/>
    <w:rsid w:val="003B1CFD"/>
    <w:rsid w:val="003B29CF"/>
    <w:rsid w:val="003B41B5"/>
    <w:rsid w:val="003B54DF"/>
    <w:rsid w:val="003B5F96"/>
    <w:rsid w:val="003B6659"/>
    <w:rsid w:val="003B7733"/>
    <w:rsid w:val="003C0166"/>
    <w:rsid w:val="003C350C"/>
    <w:rsid w:val="003C3903"/>
    <w:rsid w:val="003C3BA0"/>
    <w:rsid w:val="003C4580"/>
    <w:rsid w:val="003C52D8"/>
    <w:rsid w:val="003C5C5E"/>
    <w:rsid w:val="003C6746"/>
    <w:rsid w:val="003C7133"/>
    <w:rsid w:val="003C7555"/>
    <w:rsid w:val="003C7898"/>
    <w:rsid w:val="003D010A"/>
    <w:rsid w:val="003D0FF5"/>
    <w:rsid w:val="003D2D1B"/>
    <w:rsid w:val="003D30AB"/>
    <w:rsid w:val="003D3D94"/>
    <w:rsid w:val="003D48C7"/>
    <w:rsid w:val="003D4B26"/>
    <w:rsid w:val="003D4C08"/>
    <w:rsid w:val="003D51ED"/>
    <w:rsid w:val="003D7CE8"/>
    <w:rsid w:val="003E1032"/>
    <w:rsid w:val="003E1904"/>
    <w:rsid w:val="003E285E"/>
    <w:rsid w:val="003E3300"/>
    <w:rsid w:val="003E65AC"/>
    <w:rsid w:val="003E6E24"/>
    <w:rsid w:val="003E72B9"/>
    <w:rsid w:val="003E7ED4"/>
    <w:rsid w:val="003F0E52"/>
    <w:rsid w:val="003F0EF2"/>
    <w:rsid w:val="003F0F6B"/>
    <w:rsid w:val="003F1F40"/>
    <w:rsid w:val="003F1FE3"/>
    <w:rsid w:val="003F3865"/>
    <w:rsid w:val="003F3A0A"/>
    <w:rsid w:val="003F4632"/>
    <w:rsid w:val="003F47BA"/>
    <w:rsid w:val="003F6617"/>
    <w:rsid w:val="00401081"/>
    <w:rsid w:val="00402332"/>
    <w:rsid w:val="004025C2"/>
    <w:rsid w:val="00403E55"/>
    <w:rsid w:val="00404532"/>
    <w:rsid w:val="00404681"/>
    <w:rsid w:val="0040496D"/>
    <w:rsid w:val="00405010"/>
    <w:rsid w:val="0040595A"/>
    <w:rsid w:val="00406923"/>
    <w:rsid w:val="0040713A"/>
    <w:rsid w:val="0040763D"/>
    <w:rsid w:val="004105B0"/>
    <w:rsid w:val="00410624"/>
    <w:rsid w:val="00410EC5"/>
    <w:rsid w:val="0041250F"/>
    <w:rsid w:val="004133A8"/>
    <w:rsid w:val="00413821"/>
    <w:rsid w:val="00413D43"/>
    <w:rsid w:val="004141A3"/>
    <w:rsid w:val="00414909"/>
    <w:rsid w:val="00415E66"/>
    <w:rsid w:val="00416112"/>
    <w:rsid w:val="00416DF0"/>
    <w:rsid w:val="00417AE0"/>
    <w:rsid w:val="00417BAA"/>
    <w:rsid w:val="00420BA9"/>
    <w:rsid w:val="00420D7A"/>
    <w:rsid w:val="004223DE"/>
    <w:rsid w:val="0042293E"/>
    <w:rsid w:val="00422A10"/>
    <w:rsid w:val="00423D86"/>
    <w:rsid w:val="00424D17"/>
    <w:rsid w:val="00425DFD"/>
    <w:rsid w:val="004263A3"/>
    <w:rsid w:val="00427713"/>
    <w:rsid w:val="00427CCC"/>
    <w:rsid w:val="0043013A"/>
    <w:rsid w:val="00430421"/>
    <w:rsid w:val="00430B4F"/>
    <w:rsid w:val="004314B1"/>
    <w:rsid w:val="00431E65"/>
    <w:rsid w:val="00432589"/>
    <w:rsid w:val="00432A94"/>
    <w:rsid w:val="0043366D"/>
    <w:rsid w:val="00433827"/>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6A5"/>
    <w:rsid w:val="00451FE8"/>
    <w:rsid w:val="00452179"/>
    <w:rsid w:val="004522E3"/>
    <w:rsid w:val="00452E99"/>
    <w:rsid w:val="004535AE"/>
    <w:rsid w:val="00453C42"/>
    <w:rsid w:val="0045463A"/>
    <w:rsid w:val="00454AC9"/>
    <w:rsid w:val="00454E26"/>
    <w:rsid w:val="004554A3"/>
    <w:rsid w:val="00455A6E"/>
    <w:rsid w:val="00456758"/>
    <w:rsid w:val="004569CD"/>
    <w:rsid w:val="004578EB"/>
    <w:rsid w:val="00460303"/>
    <w:rsid w:val="00460697"/>
    <w:rsid w:val="00462593"/>
    <w:rsid w:val="00465EEF"/>
    <w:rsid w:val="00466D03"/>
    <w:rsid w:val="0046711B"/>
    <w:rsid w:val="00467312"/>
    <w:rsid w:val="00471156"/>
    <w:rsid w:val="00472429"/>
    <w:rsid w:val="004725E5"/>
    <w:rsid w:val="004726FE"/>
    <w:rsid w:val="00472751"/>
    <w:rsid w:val="00473128"/>
    <w:rsid w:val="00475078"/>
    <w:rsid w:val="00475226"/>
    <w:rsid w:val="004770FA"/>
    <w:rsid w:val="004779A0"/>
    <w:rsid w:val="004808E3"/>
    <w:rsid w:val="00481016"/>
    <w:rsid w:val="004814D3"/>
    <w:rsid w:val="0048204C"/>
    <w:rsid w:val="004821BB"/>
    <w:rsid w:val="00482233"/>
    <w:rsid w:val="0048261A"/>
    <w:rsid w:val="004826FE"/>
    <w:rsid w:val="004827D5"/>
    <w:rsid w:val="004830C9"/>
    <w:rsid w:val="00483347"/>
    <w:rsid w:val="00483E2E"/>
    <w:rsid w:val="00484B69"/>
    <w:rsid w:val="00485406"/>
    <w:rsid w:val="0048590F"/>
    <w:rsid w:val="004867A5"/>
    <w:rsid w:val="00486D60"/>
    <w:rsid w:val="00487C87"/>
    <w:rsid w:val="00490BB8"/>
    <w:rsid w:val="00492A25"/>
    <w:rsid w:val="00492F3E"/>
    <w:rsid w:val="0049474A"/>
    <w:rsid w:val="004961EA"/>
    <w:rsid w:val="00496350"/>
    <w:rsid w:val="00496F91"/>
    <w:rsid w:val="00497274"/>
    <w:rsid w:val="00497708"/>
    <w:rsid w:val="0049797C"/>
    <w:rsid w:val="00497C2C"/>
    <w:rsid w:val="00497E9D"/>
    <w:rsid w:val="004A07AC"/>
    <w:rsid w:val="004A1405"/>
    <w:rsid w:val="004A1FC6"/>
    <w:rsid w:val="004A3C03"/>
    <w:rsid w:val="004A3DB7"/>
    <w:rsid w:val="004A3FB3"/>
    <w:rsid w:val="004A5088"/>
    <w:rsid w:val="004A5255"/>
    <w:rsid w:val="004A6097"/>
    <w:rsid w:val="004A6CB0"/>
    <w:rsid w:val="004A70FF"/>
    <w:rsid w:val="004A7CCC"/>
    <w:rsid w:val="004B1B84"/>
    <w:rsid w:val="004B29AC"/>
    <w:rsid w:val="004B35DF"/>
    <w:rsid w:val="004B3627"/>
    <w:rsid w:val="004B3F3A"/>
    <w:rsid w:val="004B4779"/>
    <w:rsid w:val="004B4922"/>
    <w:rsid w:val="004B57DF"/>
    <w:rsid w:val="004C03A0"/>
    <w:rsid w:val="004C04AB"/>
    <w:rsid w:val="004C2138"/>
    <w:rsid w:val="004C2ED0"/>
    <w:rsid w:val="004C32D4"/>
    <w:rsid w:val="004C3940"/>
    <w:rsid w:val="004C51FD"/>
    <w:rsid w:val="004C534B"/>
    <w:rsid w:val="004C65A8"/>
    <w:rsid w:val="004C6F74"/>
    <w:rsid w:val="004C786C"/>
    <w:rsid w:val="004C7963"/>
    <w:rsid w:val="004D2F63"/>
    <w:rsid w:val="004D35BA"/>
    <w:rsid w:val="004D4701"/>
    <w:rsid w:val="004D47C7"/>
    <w:rsid w:val="004D618D"/>
    <w:rsid w:val="004D62A9"/>
    <w:rsid w:val="004D6AEE"/>
    <w:rsid w:val="004D6FC3"/>
    <w:rsid w:val="004D7476"/>
    <w:rsid w:val="004E0306"/>
    <w:rsid w:val="004E0572"/>
    <w:rsid w:val="004E25A8"/>
    <w:rsid w:val="004E2AA0"/>
    <w:rsid w:val="004E3930"/>
    <w:rsid w:val="004E3ED9"/>
    <w:rsid w:val="004E5866"/>
    <w:rsid w:val="004E5D94"/>
    <w:rsid w:val="004E6097"/>
    <w:rsid w:val="004E61EF"/>
    <w:rsid w:val="004E6772"/>
    <w:rsid w:val="004E76A7"/>
    <w:rsid w:val="004E7736"/>
    <w:rsid w:val="004E7B03"/>
    <w:rsid w:val="004F0064"/>
    <w:rsid w:val="004F06AC"/>
    <w:rsid w:val="004F1AE6"/>
    <w:rsid w:val="004F243F"/>
    <w:rsid w:val="004F3E0C"/>
    <w:rsid w:val="004F6A2D"/>
    <w:rsid w:val="004F7160"/>
    <w:rsid w:val="004F71A2"/>
    <w:rsid w:val="00500258"/>
    <w:rsid w:val="0050175E"/>
    <w:rsid w:val="00501A99"/>
    <w:rsid w:val="00503180"/>
    <w:rsid w:val="0050417C"/>
    <w:rsid w:val="00505450"/>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0F9E"/>
    <w:rsid w:val="0053274E"/>
    <w:rsid w:val="0053358A"/>
    <w:rsid w:val="00534668"/>
    <w:rsid w:val="00534DDD"/>
    <w:rsid w:val="00535291"/>
    <w:rsid w:val="00535A94"/>
    <w:rsid w:val="00537874"/>
    <w:rsid w:val="00540204"/>
    <w:rsid w:val="00540578"/>
    <w:rsid w:val="005407D2"/>
    <w:rsid w:val="00540808"/>
    <w:rsid w:val="0054080E"/>
    <w:rsid w:val="00540EA1"/>
    <w:rsid w:val="00541F62"/>
    <w:rsid w:val="00542AD8"/>
    <w:rsid w:val="0054358E"/>
    <w:rsid w:val="00543AF4"/>
    <w:rsid w:val="00544191"/>
    <w:rsid w:val="00544F39"/>
    <w:rsid w:val="0054515D"/>
    <w:rsid w:val="00547EFB"/>
    <w:rsid w:val="00552563"/>
    <w:rsid w:val="005531DF"/>
    <w:rsid w:val="00553874"/>
    <w:rsid w:val="00553ACC"/>
    <w:rsid w:val="00554AD8"/>
    <w:rsid w:val="00554F78"/>
    <w:rsid w:val="005556A5"/>
    <w:rsid w:val="00556BF7"/>
    <w:rsid w:val="00562149"/>
    <w:rsid w:val="005630D8"/>
    <w:rsid w:val="00563FFD"/>
    <w:rsid w:val="00565855"/>
    <w:rsid w:val="005677CE"/>
    <w:rsid w:val="00567B5D"/>
    <w:rsid w:val="00573733"/>
    <w:rsid w:val="00574554"/>
    <w:rsid w:val="00576089"/>
    <w:rsid w:val="005764B1"/>
    <w:rsid w:val="00576A56"/>
    <w:rsid w:val="00576D06"/>
    <w:rsid w:val="005779E4"/>
    <w:rsid w:val="00580AC5"/>
    <w:rsid w:val="00580EB3"/>
    <w:rsid w:val="00581A2A"/>
    <w:rsid w:val="0058289C"/>
    <w:rsid w:val="00582C35"/>
    <w:rsid w:val="00582DC6"/>
    <w:rsid w:val="005836C7"/>
    <w:rsid w:val="00583E30"/>
    <w:rsid w:val="0058408E"/>
    <w:rsid w:val="00585374"/>
    <w:rsid w:val="00586F3C"/>
    <w:rsid w:val="00590B77"/>
    <w:rsid w:val="005913A3"/>
    <w:rsid w:val="00591DCD"/>
    <w:rsid w:val="00591E6C"/>
    <w:rsid w:val="00594A7B"/>
    <w:rsid w:val="00594AFA"/>
    <w:rsid w:val="0059580E"/>
    <w:rsid w:val="00596A6F"/>
    <w:rsid w:val="0059740A"/>
    <w:rsid w:val="005976E1"/>
    <w:rsid w:val="005A0541"/>
    <w:rsid w:val="005A1525"/>
    <w:rsid w:val="005A1EC3"/>
    <w:rsid w:val="005A252B"/>
    <w:rsid w:val="005A2A71"/>
    <w:rsid w:val="005A3204"/>
    <w:rsid w:val="005A3341"/>
    <w:rsid w:val="005A3FA1"/>
    <w:rsid w:val="005A46EC"/>
    <w:rsid w:val="005A4847"/>
    <w:rsid w:val="005A494F"/>
    <w:rsid w:val="005A7BB6"/>
    <w:rsid w:val="005B0160"/>
    <w:rsid w:val="005B0185"/>
    <w:rsid w:val="005B07EC"/>
    <w:rsid w:val="005B09D8"/>
    <w:rsid w:val="005B120C"/>
    <w:rsid w:val="005B24F3"/>
    <w:rsid w:val="005B2B11"/>
    <w:rsid w:val="005B2E00"/>
    <w:rsid w:val="005B370E"/>
    <w:rsid w:val="005B4DA3"/>
    <w:rsid w:val="005B5BEE"/>
    <w:rsid w:val="005B77D2"/>
    <w:rsid w:val="005C019B"/>
    <w:rsid w:val="005C144E"/>
    <w:rsid w:val="005C14A8"/>
    <w:rsid w:val="005C30F5"/>
    <w:rsid w:val="005C357E"/>
    <w:rsid w:val="005C3951"/>
    <w:rsid w:val="005C51A5"/>
    <w:rsid w:val="005C557A"/>
    <w:rsid w:val="005C61DD"/>
    <w:rsid w:val="005C6438"/>
    <w:rsid w:val="005C6B8B"/>
    <w:rsid w:val="005D02E3"/>
    <w:rsid w:val="005D0310"/>
    <w:rsid w:val="005D039C"/>
    <w:rsid w:val="005D1F34"/>
    <w:rsid w:val="005D2529"/>
    <w:rsid w:val="005D2C1F"/>
    <w:rsid w:val="005D34B2"/>
    <w:rsid w:val="005D3B54"/>
    <w:rsid w:val="005D40CD"/>
    <w:rsid w:val="005D6B59"/>
    <w:rsid w:val="005D7037"/>
    <w:rsid w:val="005E03E4"/>
    <w:rsid w:val="005E0454"/>
    <w:rsid w:val="005E171D"/>
    <w:rsid w:val="005E34C2"/>
    <w:rsid w:val="005E35C6"/>
    <w:rsid w:val="005E5B01"/>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6A62"/>
    <w:rsid w:val="005F77C8"/>
    <w:rsid w:val="0060058E"/>
    <w:rsid w:val="00602740"/>
    <w:rsid w:val="00602A3C"/>
    <w:rsid w:val="00603BE3"/>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7EEE"/>
    <w:rsid w:val="006210FE"/>
    <w:rsid w:val="00622811"/>
    <w:rsid w:val="00622894"/>
    <w:rsid w:val="00622BB7"/>
    <w:rsid w:val="00622F3B"/>
    <w:rsid w:val="00623389"/>
    <w:rsid w:val="0062352A"/>
    <w:rsid w:val="00625E45"/>
    <w:rsid w:val="006265C4"/>
    <w:rsid w:val="00627383"/>
    <w:rsid w:val="00627733"/>
    <w:rsid w:val="006301BB"/>
    <w:rsid w:val="00632605"/>
    <w:rsid w:val="00633F8D"/>
    <w:rsid w:val="006341EF"/>
    <w:rsid w:val="00634BED"/>
    <w:rsid w:val="00635A4A"/>
    <w:rsid w:val="00635FB9"/>
    <w:rsid w:val="00636148"/>
    <w:rsid w:val="00637774"/>
    <w:rsid w:val="0064024C"/>
    <w:rsid w:val="00640291"/>
    <w:rsid w:val="00641FAC"/>
    <w:rsid w:val="006432A5"/>
    <w:rsid w:val="00643664"/>
    <w:rsid w:val="00643CAA"/>
    <w:rsid w:val="00652137"/>
    <w:rsid w:val="00652680"/>
    <w:rsid w:val="00652A09"/>
    <w:rsid w:val="006530A1"/>
    <w:rsid w:val="00653CDE"/>
    <w:rsid w:val="006540B4"/>
    <w:rsid w:val="0065636A"/>
    <w:rsid w:val="00656C3C"/>
    <w:rsid w:val="00657003"/>
    <w:rsid w:val="00657126"/>
    <w:rsid w:val="006572C1"/>
    <w:rsid w:val="00657930"/>
    <w:rsid w:val="00660238"/>
    <w:rsid w:val="006602EF"/>
    <w:rsid w:val="00660F41"/>
    <w:rsid w:val="00661277"/>
    <w:rsid w:val="006616FE"/>
    <w:rsid w:val="006619D1"/>
    <w:rsid w:val="00663FEA"/>
    <w:rsid w:val="00664253"/>
    <w:rsid w:val="006647AE"/>
    <w:rsid w:val="00664803"/>
    <w:rsid w:val="006661A4"/>
    <w:rsid w:val="006670E0"/>
    <w:rsid w:val="00667532"/>
    <w:rsid w:val="006704FD"/>
    <w:rsid w:val="0067294B"/>
    <w:rsid w:val="00673AA4"/>
    <w:rsid w:val="00674187"/>
    <w:rsid w:val="0067508F"/>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02"/>
    <w:rsid w:val="006942AE"/>
    <w:rsid w:val="0069483C"/>
    <w:rsid w:val="00695421"/>
    <w:rsid w:val="00696D4B"/>
    <w:rsid w:val="00697BD3"/>
    <w:rsid w:val="00697DFA"/>
    <w:rsid w:val="006A0C53"/>
    <w:rsid w:val="006A10F3"/>
    <w:rsid w:val="006A16D5"/>
    <w:rsid w:val="006A1772"/>
    <w:rsid w:val="006A1780"/>
    <w:rsid w:val="006A25A5"/>
    <w:rsid w:val="006A2790"/>
    <w:rsid w:val="006A3CEC"/>
    <w:rsid w:val="006A3F75"/>
    <w:rsid w:val="006A4FB3"/>
    <w:rsid w:val="006A5A3E"/>
    <w:rsid w:val="006A6CA7"/>
    <w:rsid w:val="006A703E"/>
    <w:rsid w:val="006A7BE3"/>
    <w:rsid w:val="006B01D1"/>
    <w:rsid w:val="006B16EA"/>
    <w:rsid w:val="006B1780"/>
    <w:rsid w:val="006B224E"/>
    <w:rsid w:val="006B376E"/>
    <w:rsid w:val="006B4589"/>
    <w:rsid w:val="006B6805"/>
    <w:rsid w:val="006B6BBE"/>
    <w:rsid w:val="006B6DE0"/>
    <w:rsid w:val="006B7D5F"/>
    <w:rsid w:val="006C32F4"/>
    <w:rsid w:val="006C3C54"/>
    <w:rsid w:val="006C40F4"/>
    <w:rsid w:val="006C427B"/>
    <w:rsid w:val="006C4D5D"/>
    <w:rsid w:val="006C4E5A"/>
    <w:rsid w:val="006C4F9F"/>
    <w:rsid w:val="006C61AB"/>
    <w:rsid w:val="006C650D"/>
    <w:rsid w:val="006C748D"/>
    <w:rsid w:val="006C74E2"/>
    <w:rsid w:val="006D0C1D"/>
    <w:rsid w:val="006D0CE1"/>
    <w:rsid w:val="006D2004"/>
    <w:rsid w:val="006D2A8C"/>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5DD8"/>
    <w:rsid w:val="006E5EA1"/>
    <w:rsid w:val="006E7ABC"/>
    <w:rsid w:val="006F0760"/>
    <w:rsid w:val="006F0FF1"/>
    <w:rsid w:val="006F11E2"/>
    <w:rsid w:val="006F12F5"/>
    <w:rsid w:val="006F2574"/>
    <w:rsid w:val="006F3231"/>
    <w:rsid w:val="006F3DE3"/>
    <w:rsid w:val="006F511F"/>
    <w:rsid w:val="006F54B3"/>
    <w:rsid w:val="006F61D8"/>
    <w:rsid w:val="006F62B7"/>
    <w:rsid w:val="006F70BC"/>
    <w:rsid w:val="006F713A"/>
    <w:rsid w:val="006F76BF"/>
    <w:rsid w:val="00700077"/>
    <w:rsid w:val="007066A4"/>
    <w:rsid w:val="00706F37"/>
    <w:rsid w:val="00707D09"/>
    <w:rsid w:val="00711208"/>
    <w:rsid w:val="0071209F"/>
    <w:rsid w:val="007125A2"/>
    <w:rsid w:val="00712DA3"/>
    <w:rsid w:val="00713F79"/>
    <w:rsid w:val="007148A8"/>
    <w:rsid w:val="00714AA4"/>
    <w:rsid w:val="007171E0"/>
    <w:rsid w:val="0072033C"/>
    <w:rsid w:val="00720B1B"/>
    <w:rsid w:val="00720EC1"/>
    <w:rsid w:val="00721062"/>
    <w:rsid w:val="00721E5D"/>
    <w:rsid w:val="007229D4"/>
    <w:rsid w:val="00722CD9"/>
    <w:rsid w:val="007230F8"/>
    <w:rsid w:val="007233F4"/>
    <w:rsid w:val="00724044"/>
    <w:rsid w:val="007244E1"/>
    <w:rsid w:val="007248D3"/>
    <w:rsid w:val="00725137"/>
    <w:rsid w:val="007263ED"/>
    <w:rsid w:val="00727A43"/>
    <w:rsid w:val="00727FF2"/>
    <w:rsid w:val="007323E0"/>
    <w:rsid w:val="00733791"/>
    <w:rsid w:val="0073391B"/>
    <w:rsid w:val="00733DE2"/>
    <w:rsid w:val="007352EA"/>
    <w:rsid w:val="007364E5"/>
    <w:rsid w:val="0073792F"/>
    <w:rsid w:val="00740DA6"/>
    <w:rsid w:val="00741A0E"/>
    <w:rsid w:val="00741D1E"/>
    <w:rsid w:val="00741EE2"/>
    <w:rsid w:val="00742367"/>
    <w:rsid w:val="00742EAA"/>
    <w:rsid w:val="00743818"/>
    <w:rsid w:val="007439E2"/>
    <w:rsid w:val="00743D6F"/>
    <w:rsid w:val="00743DD8"/>
    <w:rsid w:val="007441FB"/>
    <w:rsid w:val="00744517"/>
    <w:rsid w:val="00744810"/>
    <w:rsid w:val="00747DE2"/>
    <w:rsid w:val="007504BF"/>
    <w:rsid w:val="007506CD"/>
    <w:rsid w:val="0075267F"/>
    <w:rsid w:val="007526EC"/>
    <w:rsid w:val="0075310C"/>
    <w:rsid w:val="00753347"/>
    <w:rsid w:val="00753C48"/>
    <w:rsid w:val="00754C97"/>
    <w:rsid w:val="00754FE4"/>
    <w:rsid w:val="00755538"/>
    <w:rsid w:val="00756236"/>
    <w:rsid w:val="00756271"/>
    <w:rsid w:val="00756521"/>
    <w:rsid w:val="00756AB7"/>
    <w:rsid w:val="00760477"/>
    <w:rsid w:val="00761AF4"/>
    <w:rsid w:val="00762071"/>
    <w:rsid w:val="007623FB"/>
    <w:rsid w:val="0076376A"/>
    <w:rsid w:val="0076500F"/>
    <w:rsid w:val="0076504E"/>
    <w:rsid w:val="00765E6A"/>
    <w:rsid w:val="00767EA0"/>
    <w:rsid w:val="0077068F"/>
    <w:rsid w:val="0077408D"/>
    <w:rsid w:val="00774270"/>
    <w:rsid w:val="00775679"/>
    <w:rsid w:val="00775803"/>
    <w:rsid w:val="00777B32"/>
    <w:rsid w:val="0078051E"/>
    <w:rsid w:val="00781FDD"/>
    <w:rsid w:val="00782A9F"/>
    <w:rsid w:val="0078508A"/>
    <w:rsid w:val="00786D5C"/>
    <w:rsid w:val="00786E96"/>
    <w:rsid w:val="00787F93"/>
    <w:rsid w:val="007907CA"/>
    <w:rsid w:val="007913A1"/>
    <w:rsid w:val="00791E6D"/>
    <w:rsid w:val="007928DC"/>
    <w:rsid w:val="007939CC"/>
    <w:rsid w:val="00794AD7"/>
    <w:rsid w:val="00796FB8"/>
    <w:rsid w:val="007A0A5E"/>
    <w:rsid w:val="007A11C2"/>
    <w:rsid w:val="007A2063"/>
    <w:rsid w:val="007A2367"/>
    <w:rsid w:val="007A41BF"/>
    <w:rsid w:val="007A490A"/>
    <w:rsid w:val="007A581D"/>
    <w:rsid w:val="007A7B95"/>
    <w:rsid w:val="007B0297"/>
    <w:rsid w:val="007B0F53"/>
    <w:rsid w:val="007B1DD8"/>
    <w:rsid w:val="007B21AE"/>
    <w:rsid w:val="007B2570"/>
    <w:rsid w:val="007B3113"/>
    <w:rsid w:val="007B3304"/>
    <w:rsid w:val="007B332B"/>
    <w:rsid w:val="007B394D"/>
    <w:rsid w:val="007B7490"/>
    <w:rsid w:val="007B774A"/>
    <w:rsid w:val="007C0525"/>
    <w:rsid w:val="007C0B56"/>
    <w:rsid w:val="007C13F7"/>
    <w:rsid w:val="007C218D"/>
    <w:rsid w:val="007C2D28"/>
    <w:rsid w:val="007C3E22"/>
    <w:rsid w:val="007C5153"/>
    <w:rsid w:val="007C67C6"/>
    <w:rsid w:val="007C707A"/>
    <w:rsid w:val="007C7E59"/>
    <w:rsid w:val="007D0B91"/>
    <w:rsid w:val="007D0F53"/>
    <w:rsid w:val="007D1452"/>
    <w:rsid w:val="007D1E29"/>
    <w:rsid w:val="007D460C"/>
    <w:rsid w:val="007D4AD3"/>
    <w:rsid w:val="007D4C8D"/>
    <w:rsid w:val="007D5195"/>
    <w:rsid w:val="007D5D19"/>
    <w:rsid w:val="007D5FDC"/>
    <w:rsid w:val="007D6232"/>
    <w:rsid w:val="007D6D68"/>
    <w:rsid w:val="007E01DA"/>
    <w:rsid w:val="007E1603"/>
    <w:rsid w:val="007E32DA"/>
    <w:rsid w:val="007E4998"/>
    <w:rsid w:val="007E4A9C"/>
    <w:rsid w:val="007E5F6B"/>
    <w:rsid w:val="007E6914"/>
    <w:rsid w:val="007E7F78"/>
    <w:rsid w:val="007F0C8B"/>
    <w:rsid w:val="007F1517"/>
    <w:rsid w:val="007F1D44"/>
    <w:rsid w:val="007F2C13"/>
    <w:rsid w:val="007F2CEC"/>
    <w:rsid w:val="007F55DE"/>
    <w:rsid w:val="007F5605"/>
    <w:rsid w:val="007F6147"/>
    <w:rsid w:val="007F6FCD"/>
    <w:rsid w:val="007F78FF"/>
    <w:rsid w:val="00800F6C"/>
    <w:rsid w:val="008025BE"/>
    <w:rsid w:val="00804C86"/>
    <w:rsid w:val="008051FC"/>
    <w:rsid w:val="008055A9"/>
    <w:rsid w:val="008070EB"/>
    <w:rsid w:val="00807376"/>
    <w:rsid w:val="00810E8E"/>
    <w:rsid w:val="0081142D"/>
    <w:rsid w:val="00812462"/>
    <w:rsid w:val="008131C3"/>
    <w:rsid w:val="008140A5"/>
    <w:rsid w:val="0081481D"/>
    <w:rsid w:val="00814BE8"/>
    <w:rsid w:val="00814F6E"/>
    <w:rsid w:val="00815B84"/>
    <w:rsid w:val="00821A3D"/>
    <w:rsid w:val="00821B36"/>
    <w:rsid w:val="00822037"/>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2D10"/>
    <w:rsid w:val="0084322B"/>
    <w:rsid w:val="00843B93"/>
    <w:rsid w:val="00843F81"/>
    <w:rsid w:val="00844087"/>
    <w:rsid w:val="0084519E"/>
    <w:rsid w:val="00846370"/>
    <w:rsid w:val="00847C2B"/>
    <w:rsid w:val="0085270D"/>
    <w:rsid w:val="008532BF"/>
    <w:rsid w:val="00853BF4"/>
    <w:rsid w:val="00854294"/>
    <w:rsid w:val="0085595B"/>
    <w:rsid w:val="00855F80"/>
    <w:rsid w:val="008566B8"/>
    <w:rsid w:val="0085788B"/>
    <w:rsid w:val="00857A9E"/>
    <w:rsid w:val="00857DE2"/>
    <w:rsid w:val="0086353C"/>
    <w:rsid w:val="0086407F"/>
    <w:rsid w:val="00864BFE"/>
    <w:rsid w:val="00864E79"/>
    <w:rsid w:val="00866111"/>
    <w:rsid w:val="0086661F"/>
    <w:rsid w:val="00866A0D"/>
    <w:rsid w:val="00866DB5"/>
    <w:rsid w:val="0086784E"/>
    <w:rsid w:val="00867AF1"/>
    <w:rsid w:val="00870445"/>
    <w:rsid w:val="00872118"/>
    <w:rsid w:val="00872827"/>
    <w:rsid w:val="00872888"/>
    <w:rsid w:val="00872A32"/>
    <w:rsid w:val="00872D92"/>
    <w:rsid w:val="00872E21"/>
    <w:rsid w:val="00874ECA"/>
    <w:rsid w:val="00876EAE"/>
    <w:rsid w:val="00880F95"/>
    <w:rsid w:val="008819C6"/>
    <w:rsid w:val="00882B44"/>
    <w:rsid w:val="00882FE5"/>
    <w:rsid w:val="008845A4"/>
    <w:rsid w:val="00886138"/>
    <w:rsid w:val="00886E66"/>
    <w:rsid w:val="008871B0"/>
    <w:rsid w:val="0089217C"/>
    <w:rsid w:val="008928A1"/>
    <w:rsid w:val="00893671"/>
    <w:rsid w:val="00895838"/>
    <w:rsid w:val="00895A72"/>
    <w:rsid w:val="00895CDF"/>
    <w:rsid w:val="008968C7"/>
    <w:rsid w:val="00897A55"/>
    <w:rsid w:val="008A0FC9"/>
    <w:rsid w:val="008A1956"/>
    <w:rsid w:val="008A2B5F"/>
    <w:rsid w:val="008A40D3"/>
    <w:rsid w:val="008A469C"/>
    <w:rsid w:val="008A484A"/>
    <w:rsid w:val="008A5877"/>
    <w:rsid w:val="008A6539"/>
    <w:rsid w:val="008A701C"/>
    <w:rsid w:val="008B05DD"/>
    <w:rsid w:val="008B17E8"/>
    <w:rsid w:val="008B1925"/>
    <w:rsid w:val="008B266C"/>
    <w:rsid w:val="008B2D03"/>
    <w:rsid w:val="008B2E7C"/>
    <w:rsid w:val="008B42EB"/>
    <w:rsid w:val="008B45A7"/>
    <w:rsid w:val="008B4A70"/>
    <w:rsid w:val="008B502F"/>
    <w:rsid w:val="008B5A88"/>
    <w:rsid w:val="008B6AFE"/>
    <w:rsid w:val="008B7034"/>
    <w:rsid w:val="008B7227"/>
    <w:rsid w:val="008C191C"/>
    <w:rsid w:val="008C1DA4"/>
    <w:rsid w:val="008C2CD5"/>
    <w:rsid w:val="008C3618"/>
    <w:rsid w:val="008C37C2"/>
    <w:rsid w:val="008C3F20"/>
    <w:rsid w:val="008C43AD"/>
    <w:rsid w:val="008C59FB"/>
    <w:rsid w:val="008C6687"/>
    <w:rsid w:val="008C68F0"/>
    <w:rsid w:val="008C6F92"/>
    <w:rsid w:val="008C731F"/>
    <w:rsid w:val="008C74D9"/>
    <w:rsid w:val="008D01FF"/>
    <w:rsid w:val="008D1052"/>
    <w:rsid w:val="008D124C"/>
    <w:rsid w:val="008D1BB3"/>
    <w:rsid w:val="008D22AE"/>
    <w:rsid w:val="008D234A"/>
    <w:rsid w:val="008D2600"/>
    <w:rsid w:val="008D566C"/>
    <w:rsid w:val="008D58D9"/>
    <w:rsid w:val="008D6426"/>
    <w:rsid w:val="008D66EA"/>
    <w:rsid w:val="008D6E59"/>
    <w:rsid w:val="008D7155"/>
    <w:rsid w:val="008D7DE4"/>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6519"/>
    <w:rsid w:val="008F7012"/>
    <w:rsid w:val="008F7B17"/>
    <w:rsid w:val="00900042"/>
    <w:rsid w:val="0090034B"/>
    <w:rsid w:val="00902623"/>
    <w:rsid w:val="00902890"/>
    <w:rsid w:val="00904BE4"/>
    <w:rsid w:val="0090504A"/>
    <w:rsid w:val="00905188"/>
    <w:rsid w:val="00905D7E"/>
    <w:rsid w:val="009063B7"/>
    <w:rsid w:val="00906B83"/>
    <w:rsid w:val="00907037"/>
    <w:rsid w:val="0091114B"/>
    <w:rsid w:val="0091160A"/>
    <w:rsid w:val="00913258"/>
    <w:rsid w:val="0091564D"/>
    <w:rsid w:val="009156DA"/>
    <w:rsid w:val="00916BC5"/>
    <w:rsid w:val="0091726A"/>
    <w:rsid w:val="00920184"/>
    <w:rsid w:val="00920A19"/>
    <w:rsid w:val="00920EA4"/>
    <w:rsid w:val="00921792"/>
    <w:rsid w:val="00921BEA"/>
    <w:rsid w:val="00923998"/>
    <w:rsid w:val="00923DB4"/>
    <w:rsid w:val="0092430E"/>
    <w:rsid w:val="009249D7"/>
    <w:rsid w:val="0092625F"/>
    <w:rsid w:val="009268A9"/>
    <w:rsid w:val="00927B37"/>
    <w:rsid w:val="009301B2"/>
    <w:rsid w:val="009313DD"/>
    <w:rsid w:val="00931BDE"/>
    <w:rsid w:val="009321B1"/>
    <w:rsid w:val="00932ED7"/>
    <w:rsid w:val="0093357E"/>
    <w:rsid w:val="0093422D"/>
    <w:rsid w:val="00934325"/>
    <w:rsid w:val="00934DD7"/>
    <w:rsid w:val="009369A9"/>
    <w:rsid w:val="00936CF7"/>
    <w:rsid w:val="00937201"/>
    <w:rsid w:val="0093734A"/>
    <w:rsid w:val="00937783"/>
    <w:rsid w:val="00940FE1"/>
    <w:rsid w:val="00942306"/>
    <w:rsid w:val="009424B8"/>
    <w:rsid w:val="009433A4"/>
    <w:rsid w:val="0094435B"/>
    <w:rsid w:val="00944668"/>
    <w:rsid w:val="00944DC6"/>
    <w:rsid w:val="0094515F"/>
    <w:rsid w:val="0094537D"/>
    <w:rsid w:val="0094573F"/>
    <w:rsid w:val="009458B0"/>
    <w:rsid w:val="00945B52"/>
    <w:rsid w:val="00945DC0"/>
    <w:rsid w:val="00945F05"/>
    <w:rsid w:val="00946348"/>
    <w:rsid w:val="009471AD"/>
    <w:rsid w:val="009478A2"/>
    <w:rsid w:val="00950404"/>
    <w:rsid w:val="00952060"/>
    <w:rsid w:val="00954800"/>
    <w:rsid w:val="00955643"/>
    <w:rsid w:val="00955FBB"/>
    <w:rsid w:val="0095694B"/>
    <w:rsid w:val="00956BD5"/>
    <w:rsid w:val="009574BB"/>
    <w:rsid w:val="009577B5"/>
    <w:rsid w:val="009608E6"/>
    <w:rsid w:val="00961779"/>
    <w:rsid w:val="00962EB1"/>
    <w:rsid w:val="00966522"/>
    <w:rsid w:val="00967D3F"/>
    <w:rsid w:val="00967E78"/>
    <w:rsid w:val="00970D7E"/>
    <w:rsid w:val="00970F18"/>
    <w:rsid w:val="00971CF1"/>
    <w:rsid w:val="009721E9"/>
    <w:rsid w:val="00972A58"/>
    <w:rsid w:val="00973772"/>
    <w:rsid w:val="009738FC"/>
    <w:rsid w:val="00973E53"/>
    <w:rsid w:val="00975E1E"/>
    <w:rsid w:val="00975E70"/>
    <w:rsid w:val="00977CD6"/>
    <w:rsid w:val="00982481"/>
    <w:rsid w:val="00982D26"/>
    <w:rsid w:val="0098330E"/>
    <w:rsid w:val="009833DD"/>
    <w:rsid w:val="009840AB"/>
    <w:rsid w:val="009849E9"/>
    <w:rsid w:val="009866F3"/>
    <w:rsid w:val="00987812"/>
    <w:rsid w:val="00990225"/>
    <w:rsid w:val="0099244B"/>
    <w:rsid w:val="00993186"/>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314F"/>
    <w:rsid w:val="009B439C"/>
    <w:rsid w:val="009B4A6C"/>
    <w:rsid w:val="009B5777"/>
    <w:rsid w:val="009B5779"/>
    <w:rsid w:val="009B62A1"/>
    <w:rsid w:val="009B6753"/>
    <w:rsid w:val="009B6A26"/>
    <w:rsid w:val="009C079D"/>
    <w:rsid w:val="009C0D70"/>
    <w:rsid w:val="009C13D1"/>
    <w:rsid w:val="009C2913"/>
    <w:rsid w:val="009C3008"/>
    <w:rsid w:val="009C5AFE"/>
    <w:rsid w:val="009C6606"/>
    <w:rsid w:val="009C6CE5"/>
    <w:rsid w:val="009C6D50"/>
    <w:rsid w:val="009C7547"/>
    <w:rsid w:val="009D1678"/>
    <w:rsid w:val="009D1693"/>
    <w:rsid w:val="009D2721"/>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2E26"/>
    <w:rsid w:val="009F4FCF"/>
    <w:rsid w:val="009F5DE2"/>
    <w:rsid w:val="009F65F4"/>
    <w:rsid w:val="009F676B"/>
    <w:rsid w:val="009F6EA6"/>
    <w:rsid w:val="00A004DF"/>
    <w:rsid w:val="00A00D29"/>
    <w:rsid w:val="00A00FD5"/>
    <w:rsid w:val="00A019A8"/>
    <w:rsid w:val="00A01B03"/>
    <w:rsid w:val="00A02C66"/>
    <w:rsid w:val="00A03861"/>
    <w:rsid w:val="00A0464C"/>
    <w:rsid w:val="00A04D48"/>
    <w:rsid w:val="00A054E0"/>
    <w:rsid w:val="00A05ABE"/>
    <w:rsid w:val="00A0663F"/>
    <w:rsid w:val="00A066CE"/>
    <w:rsid w:val="00A0740B"/>
    <w:rsid w:val="00A075A9"/>
    <w:rsid w:val="00A11042"/>
    <w:rsid w:val="00A133D8"/>
    <w:rsid w:val="00A14E97"/>
    <w:rsid w:val="00A15209"/>
    <w:rsid w:val="00A20069"/>
    <w:rsid w:val="00A20280"/>
    <w:rsid w:val="00A2228A"/>
    <w:rsid w:val="00A2244D"/>
    <w:rsid w:val="00A2253D"/>
    <w:rsid w:val="00A22AEC"/>
    <w:rsid w:val="00A2418A"/>
    <w:rsid w:val="00A247B8"/>
    <w:rsid w:val="00A24D39"/>
    <w:rsid w:val="00A24D8F"/>
    <w:rsid w:val="00A252D3"/>
    <w:rsid w:val="00A25B8B"/>
    <w:rsid w:val="00A26130"/>
    <w:rsid w:val="00A269AF"/>
    <w:rsid w:val="00A269C3"/>
    <w:rsid w:val="00A26ECA"/>
    <w:rsid w:val="00A3142C"/>
    <w:rsid w:val="00A324C1"/>
    <w:rsid w:val="00A337DB"/>
    <w:rsid w:val="00A3467F"/>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7301"/>
    <w:rsid w:val="00A47448"/>
    <w:rsid w:val="00A47ECC"/>
    <w:rsid w:val="00A5008C"/>
    <w:rsid w:val="00A50171"/>
    <w:rsid w:val="00A5102E"/>
    <w:rsid w:val="00A51083"/>
    <w:rsid w:val="00A5132E"/>
    <w:rsid w:val="00A51533"/>
    <w:rsid w:val="00A51547"/>
    <w:rsid w:val="00A51E68"/>
    <w:rsid w:val="00A52F3B"/>
    <w:rsid w:val="00A531D4"/>
    <w:rsid w:val="00A55ACD"/>
    <w:rsid w:val="00A55CFA"/>
    <w:rsid w:val="00A575B8"/>
    <w:rsid w:val="00A647B1"/>
    <w:rsid w:val="00A64DEF"/>
    <w:rsid w:val="00A65E4E"/>
    <w:rsid w:val="00A665DF"/>
    <w:rsid w:val="00A67F1B"/>
    <w:rsid w:val="00A67FCC"/>
    <w:rsid w:val="00A716DC"/>
    <w:rsid w:val="00A71ABE"/>
    <w:rsid w:val="00A7217B"/>
    <w:rsid w:val="00A7293E"/>
    <w:rsid w:val="00A72EE4"/>
    <w:rsid w:val="00A73067"/>
    <w:rsid w:val="00A737C4"/>
    <w:rsid w:val="00A739A6"/>
    <w:rsid w:val="00A73BB5"/>
    <w:rsid w:val="00A75EF9"/>
    <w:rsid w:val="00A76BC9"/>
    <w:rsid w:val="00A76FD8"/>
    <w:rsid w:val="00A77566"/>
    <w:rsid w:val="00A80563"/>
    <w:rsid w:val="00A8311C"/>
    <w:rsid w:val="00A84BC8"/>
    <w:rsid w:val="00A84C5F"/>
    <w:rsid w:val="00A86973"/>
    <w:rsid w:val="00A8721F"/>
    <w:rsid w:val="00A8740B"/>
    <w:rsid w:val="00A87519"/>
    <w:rsid w:val="00A9007F"/>
    <w:rsid w:val="00A90DE4"/>
    <w:rsid w:val="00A9246D"/>
    <w:rsid w:val="00A93644"/>
    <w:rsid w:val="00A93BD0"/>
    <w:rsid w:val="00A95D69"/>
    <w:rsid w:val="00A975A4"/>
    <w:rsid w:val="00AA2001"/>
    <w:rsid w:val="00AA2B5C"/>
    <w:rsid w:val="00AA4E59"/>
    <w:rsid w:val="00AA5328"/>
    <w:rsid w:val="00AA5393"/>
    <w:rsid w:val="00AA5771"/>
    <w:rsid w:val="00AA63D4"/>
    <w:rsid w:val="00AA6767"/>
    <w:rsid w:val="00AB03FD"/>
    <w:rsid w:val="00AB38CB"/>
    <w:rsid w:val="00AB3BEC"/>
    <w:rsid w:val="00AB44E4"/>
    <w:rsid w:val="00AB4AEB"/>
    <w:rsid w:val="00AB5352"/>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D0091"/>
    <w:rsid w:val="00AD23D8"/>
    <w:rsid w:val="00AD23EF"/>
    <w:rsid w:val="00AD307B"/>
    <w:rsid w:val="00AD41B3"/>
    <w:rsid w:val="00AD4C48"/>
    <w:rsid w:val="00AD57AF"/>
    <w:rsid w:val="00AD6267"/>
    <w:rsid w:val="00AD6DEC"/>
    <w:rsid w:val="00AD7317"/>
    <w:rsid w:val="00AE01A8"/>
    <w:rsid w:val="00AE0CBD"/>
    <w:rsid w:val="00AE123A"/>
    <w:rsid w:val="00AE1D09"/>
    <w:rsid w:val="00AE28A7"/>
    <w:rsid w:val="00AE33A6"/>
    <w:rsid w:val="00AE3446"/>
    <w:rsid w:val="00AE3715"/>
    <w:rsid w:val="00AE3729"/>
    <w:rsid w:val="00AE55B2"/>
    <w:rsid w:val="00AE5C6A"/>
    <w:rsid w:val="00AE65F7"/>
    <w:rsid w:val="00AE7280"/>
    <w:rsid w:val="00AF033A"/>
    <w:rsid w:val="00AF1699"/>
    <w:rsid w:val="00AF3896"/>
    <w:rsid w:val="00AF6C33"/>
    <w:rsid w:val="00B0098A"/>
    <w:rsid w:val="00B00A5F"/>
    <w:rsid w:val="00B0225F"/>
    <w:rsid w:val="00B029B8"/>
    <w:rsid w:val="00B02F60"/>
    <w:rsid w:val="00B032B8"/>
    <w:rsid w:val="00B04B46"/>
    <w:rsid w:val="00B0534D"/>
    <w:rsid w:val="00B06368"/>
    <w:rsid w:val="00B06FC6"/>
    <w:rsid w:val="00B07163"/>
    <w:rsid w:val="00B07429"/>
    <w:rsid w:val="00B12FE6"/>
    <w:rsid w:val="00B1303F"/>
    <w:rsid w:val="00B1364A"/>
    <w:rsid w:val="00B13D3C"/>
    <w:rsid w:val="00B1525C"/>
    <w:rsid w:val="00B16715"/>
    <w:rsid w:val="00B171B4"/>
    <w:rsid w:val="00B174A8"/>
    <w:rsid w:val="00B17910"/>
    <w:rsid w:val="00B20F18"/>
    <w:rsid w:val="00B21516"/>
    <w:rsid w:val="00B22CE0"/>
    <w:rsid w:val="00B23738"/>
    <w:rsid w:val="00B23BEF"/>
    <w:rsid w:val="00B247BB"/>
    <w:rsid w:val="00B25806"/>
    <w:rsid w:val="00B25C11"/>
    <w:rsid w:val="00B25EDF"/>
    <w:rsid w:val="00B25EE6"/>
    <w:rsid w:val="00B26B53"/>
    <w:rsid w:val="00B3115A"/>
    <w:rsid w:val="00B31A5C"/>
    <w:rsid w:val="00B33C19"/>
    <w:rsid w:val="00B34861"/>
    <w:rsid w:val="00B34BBC"/>
    <w:rsid w:val="00B34CB7"/>
    <w:rsid w:val="00B35F6E"/>
    <w:rsid w:val="00B363BD"/>
    <w:rsid w:val="00B369F7"/>
    <w:rsid w:val="00B36A99"/>
    <w:rsid w:val="00B37537"/>
    <w:rsid w:val="00B37E8B"/>
    <w:rsid w:val="00B41B81"/>
    <w:rsid w:val="00B42980"/>
    <w:rsid w:val="00B434B2"/>
    <w:rsid w:val="00B434C7"/>
    <w:rsid w:val="00B43D45"/>
    <w:rsid w:val="00B44771"/>
    <w:rsid w:val="00B4650E"/>
    <w:rsid w:val="00B468F2"/>
    <w:rsid w:val="00B46B45"/>
    <w:rsid w:val="00B46F6B"/>
    <w:rsid w:val="00B47286"/>
    <w:rsid w:val="00B47894"/>
    <w:rsid w:val="00B50234"/>
    <w:rsid w:val="00B51794"/>
    <w:rsid w:val="00B51BF4"/>
    <w:rsid w:val="00B52C68"/>
    <w:rsid w:val="00B542FE"/>
    <w:rsid w:val="00B55A1B"/>
    <w:rsid w:val="00B561DB"/>
    <w:rsid w:val="00B57494"/>
    <w:rsid w:val="00B61DCE"/>
    <w:rsid w:val="00B62188"/>
    <w:rsid w:val="00B62467"/>
    <w:rsid w:val="00B62F79"/>
    <w:rsid w:val="00B62F82"/>
    <w:rsid w:val="00B6325B"/>
    <w:rsid w:val="00B648FA"/>
    <w:rsid w:val="00B662FF"/>
    <w:rsid w:val="00B72C80"/>
    <w:rsid w:val="00B730B4"/>
    <w:rsid w:val="00B74340"/>
    <w:rsid w:val="00B744E0"/>
    <w:rsid w:val="00B7481A"/>
    <w:rsid w:val="00B74F2F"/>
    <w:rsid w:val="00B756FB"/>
    <w:rsid w:val="00B769BC"/>
    <w:rsid w:val="00B77349"/>
    <w:rsid w:val="00B7761E"/>
    <w:rsid w:val="00B80A37"/>
    <w:rsid w:val="00B80A3D"/>
    <w:rsid w:val="00B823E0"/>
    <w:rsid w:val="00B82B78"/>
    <w:rsid w:val="00B83199"/>
    <w:rsid w:val="00B83E3C"/>
    <w:rsid w:val="00B84662"/>
    <w:rsid w:val="00B85402"/>
    <w:rsid w:val="00B864A3"/>
    <w:rsid w:val="00B86C2A"/>
    <w:rsid w:val="00B902A5"/>
    <w:rsid w:val="00B90420"/>
    <w:rsid w:val="00B913E4"/>
    <w:rsid w:val="00B91DB9"/>
    <w:rsid w:val="00B93EFE"/>
    <w:rsid w:val="00B94956"/>
    <w:rsid w:val="00B94C7F"/>
    <w:rsid w:val="00B94D0F"/>
    <w:rsid w:val="00B956B5"/>
    <w:rsid w:val="00B95904"/>
    <w:rsid w:val="00B95C3A"/>
    <w:rsid w:val="00B95FCE"/>
    <w:rsid w:val="00BA0D44"/>
    <w:rsid w:val="00BA0E26"/>
    <w:rsid w:val="00BA31BF"/>
    <w:rsid w:val="00BA43FC"/>
    <w:rsid w:val="00BA478B"/>
    <w:rsid w:val="00BA5224"/>
    <w:rsid w:val="00BA7456"/>
    <w:rsid w:val="00BA7925"/>
    <w:rsid w:val="00BA7B27"/>
    <w:rsid w:val="00BA7E3B"/>
    <w:rsid w:val="00BB079C"/>
    <w:rsid w:val="00BB32A1"/>
    <w:rsid w:val="00BB39C1"/>
    <w:rsid w:val="00BB5555"/>
    <w:rsid w:val="00BB5D16"/>
    <w:rsid w:val="00BB6180"/>
    <w:rsid w:val="00BB69E6"/>
    <w:rsid w:val="00BB7714"/>
    <w:rsid w:val="00BC1B7A"/>
    <w:rsid w:val="00BC2BC7"/>
    <w:rsid w:val="00BC2C17"/>
    <w:rsid w:val="00BC3ACD"/>
    <w:rsid w:val="00BC5C09"/>
    <w:rsid w:val="00BC6E73"/>
    <w:rsid w:val="00BD0014"/>
    <w:rsid w:val="00BD01D8"/>
    <w:rsid w:val="00BD1B17"/>
    <w:rsid w:val="00BD2512"/>
    <w:rsid w:val="00BD255F"/>
    <w:rsid w:val="00BD383D"/>
    <w:rsid w:val="00BD4236"/>
    <w:rsid w:val="00BD5CCA"/>
    <w:rsid w:val="00BD5CD4"/>
    <w:rsid w:val="00BD6EF9"/>
    <w:rsid w:val="00BD77DD"/>
    <w:rsid w:val="00BE0ACB"/>
    <w:rsid w:val="00BE1A90"/>
    <w:rsid w:val="00BE2C0A"/>
    <w:rsid w:val="00BE3537"/>
    <w:rsid w:val="00BE360F"/>
    <w:rsid w:val="00BE50FD"/>
    <w:rsid w:val="00BE51CA"/>
    <w:rsid w:val="00BE5E5A"/>
    <w:rsid w:val="00BE6D47"/>
    <w:rsid w:val="00BE7032"/>
    <w:rsid w:val="00BE7330"/>
    <w:rsid w:val="00BF01C5"/>
    <w:rsid w:val="00BF045B"/>
    <w:rsid w:val="00BF066A"/>
    <w:rsid w:val="00BF361C"/>
    <w:rsid w:val="00BF4342"/>
    <w:rsid w:val="00BF5050"/>
    <w:rsid w:val="00BF5422"/>
    <w:rsid w:val="00BF54CF"/>
    <w:rsid w:val="00BF59B1"/>
    <w:rsid w:val="00BF6A78"/>
    <w:rsid w:val="00BF6E19"/>
    <w:rsid w:val="00BF79B4"/>
    <w:rsid w:val="00C0099F"/>
    <w:rsid w:val="00C01427"/>
    <w:rsid w:val="00C016A1"/>
    <w:rsid w:val="00C04AAB"/>
    <w:rsid w:val="00C058AF"/>
    <w:rsid w:val="00C124C1"/>
    <w:rsid w:val="00C128AE"/>
    <w:rsid w:val="00C136D6"/>
    <w:rsid w:val="00C13D5B"/>
    <w:rsid w:val="00C17AE2"/>
    <w:rsid w:val="00C20F27"/>
    <w:rsid w:val="00C215CF"/>
    <w:rsid w:val="00C2244B"/>
    <w:rsid w:val="00C2263D"/>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363"/>
    <w:rsid w:val="00C3679B"/>
    <w:rsid w:val="00C37027"/>
    <w:rsid w:val="00C3778D"/>
    <w:rsid w:val="00C405A3"/>
    <w:rsid w:val="00C42752"/>
    <w:rsid w:val="00C42973"/>
    <w:rsid w:val="00C44F9C"/>
    <w:rsid w:val="00C46D58"/>
    <w:rsid w:val="00C4730E"/>
    <w:rsid w:val="00C47EE9"/>
    <w:rsid w:val="00C5019C"/>
    <w:rsid w:val="00C5034F"/>
    <w:rsid w:val="00C514D3"/>
    <w:rsid w:val="00C52479"/>
    <w:rsid w:val="00C5291F"/>
    <w:rsid w:val="00C52BC8"/>
    <w:rsid w:val="00C52C59"/>
    <w:rsid w:val="00C5349E"/>
    <w:rsid w:val="00C5354B"/>
    <w:rsid w:val="00C54467"/>
    <w:rsid w:val="00C54D3D"/>
    <w:rsid w:val="00C55116"/>
    <w:rsid w:val="00C55A30"/>
    <w:rsid w:val="00C5787F"/>
    <w:rsid w:val="00C57C58"/>
    <w:rsid w:val="00C6028F"/>
    <w:rsid w:val="00C6036D"/>
    <w:rsid w:val="00C608F1"/>
    <w:rsid w:val="00C631E1"/>
    <w:rsid w:val="00C638D8"/>
    <w:rsid w:val="00C63C84"/>
    <w:rsid w:val="00C63D26"/>
    <w:rsid w:val="00C641EB"/>
    <w:rsid w:val="00C65053"/>
    <w:rsid w:val="00C65BD9"/>
    <w:rsid w:val="00C66061"/>
    <w:rsid w:val="00C661D6"/>
    <w:rsid w:val="00C66F69"/>
    <w:rsid w:val="00C67223"/>
    <w:rsid w:val="00C67CFF"/>
    <w:rsid w:val="00C707B8"/>
    <w:rsid w:val="00C7084B"/>
    <w:rsid w:val="00C71C15"/>
    <w:rsid w:val="00C71F3D"/>
    <w:rsid w:val="00C72F53"/>
    <w:rsid w:val="00C74035"/>
    <w:rsid w:val="00C76FF4"/>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4D41"/>
    <w:rsid w:val="00C95745"/>
    <w:rsid w:val="00C962E3"/>
    <w:rsid w:val="00C965BD"/>
    <w:rsid w:val="00C96717"/>
    <w:rsid w:val="00C97997"/>
    <w:rsid w:val="00CA08FE"/>
    <w:rsid w:val="00CA0FAC"/>
    <w:rsid w:val="00CA2513"/>
    <w:rsid w:val="00CA25C0"/>
    <w:rsid w:val="00CA3451"/>
    <w:rsid w:val="00CA4948"/>
    <w:rsid w:val="00CA52F9"/>
    <w:rsid w:val="00CA568B"/>
    <w:rsid w:val="00CA7500"/>
    <w:rsid w:val="00CB0696"/>
    <w:rsid w:val="00CB1239"/>
    <w:rsid w:val="00CB19FE"/>
    <w:rsid w:val="00CB304C"/>
    <w:rsid w:val="00CB53E8"/>
    <w:rsid w:val="00CB594A"/>
    <w:rsid w:val="00CB5CB2"/>
    <w:rsid w:val="00CB6979"/>
    <w:rsid w:val="00CC0A3D"/>
    <w:rsid w:val="00CC2373"/>
    <w:rsid w:val="00CC3D24"/>
    <w:rsid w:val="00CC3F91"/>
    <w:rsid w:val="00CC40B6"/>
    <w:rsid w:val="00CC4B0A"/>
    <w:rsid w:val="00CC544A"/>
    <w:rsid w:val="00CC57EA"/>
    <w:rsid w:val="00CC5954"/>
    <w:rsid w:val="00CC6C4E"/>
    <w:rsid w:val="00CC6DD8"/>
    <w:rsid w:val="00CD05A2"/>
    <w:rsid w:val="00CD19DA"/>
    <w:rsid w:val="00CD29D4"/>
    <w:rsid w:val="00CD38F5"/>
    <w:rsid w:val="00CD437E"/>
    <w:rsid w:val="00CD4AE5"/>
    <w:rsid w:val="00CD5833"/>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0FC"/>
    <w:rsid w:val="00CF1D74"/>
    <w:rsid w:val="00CF2BE2"/>
    <w:rsid w:val="00CF3157"/>
    <w:rsid w:val="00CF55F9"/>
    <w:rsid w:val="00CF71A6"/>
    <w:rsid w:val="00CF7495"/>
    <w:rsid w:val="00CF7671"/>
    <w:rsid w:val="00CF7C5B"/>
    <w:rsid w:val="00D01CF9"/>
    <w:rsid w:val="00D02246"/>
    <w:rsid w:val="00D0334D"/>
    <w:rsid w:val="00D0374D"/>
    <w:rsid w:val="00D05A76"/>
    <w:rsid w:val="00D07384"/>
    <w:rsid w:val="00D07BEF"/>
    <w:rsid w:val="00D07F1D"/>
    <w:rsid w:val="00D10558"/>
    <w:rsid w:val="00D1203E"/>
    <w:rsid w:val="00D13E70"/>
    <w:rsid w:val="00D16C58"/>
    <w:rsid w:val="00D17019"/>
    <w:rsid w:val="00D170C1"/>
    <w:rsid w:val="00D178DE"/>
    <w:rsid w:val="00D17C6E"/>
    <w:rsid w:val="00D21168"/>
    <w:rsid w:val="00D235C8"/>
    <w:rsid w:val="00D2384A"/>
    <w:rsid w:val="00D2438C"/>
    <w:rsid w:val="00D26C3F"/>
    <w:rsid w:val="00D27185"/>
    <w:rsid w:val="00D31CA2"/>
    <w:rsid w:val="00D32B84"/>
    <w:rsid w:val="00D337AE"/>
    <w:rsid w:val="00D33AB3"/>
    <w:rsid w:val="00D33F24"/>
    <w:rsid w:val="00D346B7"/>
    <w:rsid w:val="00D346B8"/>
    <w:rsid w:val="00D35AC8"/>
    <w:rsid w:val="00D35D34"/>
    <w:rsid w:val="00D36F87"/>
    <w:rsid w:val="00D37E4E"/>
    <w:rsid w:val="00D42E6C"/>
    <w:rsid w:val="00D43218"/>
    <w:rsid w:val="00D43B80"/>
    <w:rsid w:val="00D44236"/>
    <w:rsid w:val="00D44AE2"/>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5538"/>
    <w:rsid w:val="00D664BF"/>
    <w:rsid w:val="00D66D8B"/>
    <w:rsid w:val="00D72A1C"/>
    <w:rsid w:val="00D73580"/>
    <w:rsid w:val="00D73802"/>
    <w:rsid w:val="00D73868"/>
    <w:rsid w:val="00D73C2C"/>
    <w:rsid w:val="00D73D52"/>
    <w:rsid w:val="00D74042"/>
    <w:rsid w:val="00D7453F"/>
    <w:rsid w:val="00D745E7"/>
    <w:rsid w:val="00D77495"/>
    <w:rsid w:val="00D774ED"/>
    <w:rsid w:val="00D777F6"/>
    <w:rsid w:val="00D77F88"/>
    <w:rsid w:val="00D8002D"/>
    <w:rsid w:val="00D8047C"/>
    <w:rsid w:val="00D81EAA"/>
    <w:rsid w:val="00D8259F"/>
    <w:rsid w:val="00D825F2"/>
    <w:rsid w:val="00D828B1"/>
    <w:rsid w:val="00D84F27"/>
    <w:rsid w:val="00D850D4"/>
    <w:rsid w:val="00D862D1"/>
    <w:rsid w:val="00D873C6"/>
    <w:rsid w:val="00D91027"/>
    <w:rsid w:val="00D94C7D"/>
    <w:rsid w:val="00D94CA4"/>
    <w:rsid w:val="00D94FB4"/>
    <w:rsid w:val="00D95E99"/>
    <w:rsid w:val="00DA098C"/>
    <w:rsid w:val="00DA1A3A"/>
    <w:rsid w:val="00DA2712"/>
    <w:rsid w:val="00DA2C65"/>
    <w:rsid w:val="00DA395D"/>
    <w:rsid w:val="00DA6D33"/>
    <w:rsid w:val="00DB16B8"/>
    <w:rsid w:val="00DB1869"/>
    <w:rsid w:val="00DB1D52"/>
    <w:rsid w:val="00DB1F62"/>
    <w:rsid w:val="00DB2E03"/>
    <w:rsid w:val="00DB2E97"/>
    <w:rsid w:val="00DB3369"/>
    <w:rsid w:val="00DB3742"/>
    <w:rsid w:val="00DB3F4B"/>
    <w:rsid w:val="00DB61A4"/>
    <w:rsid w:val="00DB67C1"/>
    <w:rsid w:val="00DB70CD"/>
    <w:rsid w:val="00DB70F4"/>
    <w:rsid w:val="00DB7343"/>
    <w:rsid w:val="00DC1056"/>
    <w:rsid w:val="00DC211E"/>
    <w:rsid w:val="00DC21D8"/>
    <w:rsid w:val="00DC282A"/>
    <w:rsid w:val="00DC34DC"/>
    <w:rsid w:val="00DC3CC6"/>
    <w:rsid w:val="00DC514A"/>
    <w:rsid w:val="00DC64EC"/>
    <w:rsid w:val="00DC67B1"/>
    <w:rsid w:val="00DC7833"/>
    <w:rsid w:val="00DC7CE9"/>
    <w:rsid w:val="00DD132B"/>
    <w:rsid w:val="00DD1725"/>
    <w:rsid w:val="00DD2427"/>
    <w:rsid w:val="00DD2A18"/>
    <w:rsid w:val="00DD36DA"/>
    <w:rsid w:val="00DD5B1A"/>
    <w:rsid w:val="00DD61E8"/>
    <w:rsid w:val="00DD62C0"/>
    <w:rsid w:val="00DD7859"/>
    <w:rsid w:val="00DE03AC"/>
    <w:rsid w:val="00DE0A1D"/>
    <w:rsid w:val="00DE15B2"/>
    <w:rsid w:val="00DE1A9A"/>
    <w:rsid w:val="00DE3D2C"/>
    <w:rsid w:val="00DE59F8"/>
    <w:rsid w:val="00DE5E82"/>
    <w:rsid w:val="00DE5FA6"/>
    <w:rsid w:val="00DE6494"/>
    <w:rsid w:val="00DE6AA1"/>
    <w:rsid w:val="00DE74D7"/>
    <w:rsid w:val="00DE7EF7"/>
    <w:rsid w:val="00DF106A"/>
    <w:rsid w:val="00DF1185"/>
    <w:rsid w:val="00DF1299"/>
    <w:rsid w:val="00DF1A70"/>
    <w:rsid w:val="00DF23A8"/>
    <w:rsid w:val="00DF2F27"/>
    <w:rsid w:val="00DF6CCC"/>
    <w:rsid w:val="00DF6D0C"/>
    <w:rsid w:val="00DF6DC2"/>
    <w:rsid w:val="00DF6F64"/>
    <w:rsid w:val="00DF721E"/>
    <w:rsid w:val="00DF7C87"/>
    <w:rsid w:val="00E009B0"/>
    <w:rsid w:val="00E031C0"/>
    <w:rsid w:val="00E03AFE"/>
    <w:rsid w:val="00E03D5C"/>
    <w:rsid w:val="00E046A9"/>
    <w:rsid w:val="00E04C0F"/>
    <w:rsid w:val="00E0570B"/>
    <w:rsid w:val="00E057B2"/>
    <w:rsid w:val="00E05996"/>
    <w:rsid w:val="00E068D9"/>
    <w:rsid w:val="00E10B87"/>
    <w:rsid w:val="00E1478B"/>
    <w:rsid w:val="00E14FAC"/>
    <w:rsid w:val="00E15007"/>
    <w:rsid w:val="00E16EC7"/>
    <w:rsid w:val="00E1714F"/>
    <w:rsid w:val="00E17995"/>
    <w:rsid w:val="00E21576"/>
    <w:rsid w:val="00E21801"/>
    <w:rsid w:val="00E219CE"/>
    <w:rsid w:val="00E23961"/>
    <w:rsid w:val="00E24071"/>
    <w:rsid w:val="00E24EBC"/>
    <w:rsid w:val="00E2522C"/>
    <w:rsid w:val="00E2599B"/>
    <w:rsid w:val="00E27383"/>
    <w:rsid w:val="00E2793D"/>
    <w:rsid w:val="00E31AFA"/>
    <w:rsid w:val="00E324EE"/>
    <w:rsid w:val="00E359FF"/>
    <w:rsid w:val="00E36083"/>
    <w:rsid w:val="00E36AA7"/>
    <w:rsid w:val="00E36E39"/>
    <w:rsid w:val="00E405F1"/>
    <w:rsid w:val="00E43054"/>
    <w:rsid w:val="00E434C4"/>
    <w:rsid w:val="00E44FE4"/>
    <w:rsid w:val="00E46013"/>
    <w:rsid w:val="00E461F1"/>
    <w:rsid w:val="00E477C3"/>
    <w:rsid w:val="00E5048D"/>
    <w:rsid w:val="00E50AC4"/>
    <w:rsid w:val="00E51077"/>
    <w:rsid w:val="00E5132D"/>
    <w:rsid w:val="00E51741"/>
    <w:rsid w:val="00E51E16"/>
    <w:rsid w:val="00E52151"/>
    <w:rsid w:val="00E522A7"/>
    <w:rsid w:val="00E53730"/>
    <w:rsid w:val="00E53910"/>
    <w:rsid w:val="00E53C46"/>
    <w:rsid w:val="00E54511"/>
    <w:rsid w:val="00E548BE"/>
    <w:rsid w:val="00E54978"/>
    <w:rsid w:val="00E55DC3"/>
    <w:rsid w:val="00E57577"/>
    <w:rsid w:val="00E62043"/>
    <w:rsid w:val="00E626B9"/>
    <w:rsid w:val="00E627C9"/>
    <w:rsid w:val="00E630F3"/>
    <w:rsid w:val="00E65198"/>
    <w:rsid w:val="00E664FB"/>
    <w:rsid w:val="00E66F0D"/>
    <w:rsid w:val="00E70615"/>
    <w:rsid w:val="00E71A5E"/>
    <w:rsid w:val="00E7207B"/>
    <w:rsid w:val="00E7347A"/>
    <w:rsid w:val="00E746F4"/>
    <w:rsid w:val="00E75325"/>
    <w:rsid w:val="00E75A47"/>
    <w:rsid w:val="00E75D8C"/>
    <w:rsid w:val="00E77771"/>
    <w:rsid w:val="00E777F2"/>
    <w:rsid w:val="00E779ED"/>
    <w:rsid w:val="00E802C9"/>
    <w:rsid w:val="00E80EDD"/>
    <w:rsid w:val="00E80F0A"/>
    <w:rsid w:val="00E81A6A"/>
    <w:rsid w:val="00E8291B"/>
    <w:rsid w:val="00E8395F"/>
    <w:rsid w:val="00E83BAE"/>
    <w:rsid w:val="00E8473F"/>
    <w:rsid w:val="00E857EB"/>
    <w:rsid w:val="00E85E41"/>
    <w:rsid w:val="00E85EA1"/>
    <w:rsid w:val="00E8610B"/>
    <w:rsid w:val="00E86C86"/>
    <w:rsid w:val="00E91044"/>
    <w:rsid w:val="00E910D3"/>
    <w:rsid w:val="00E9214B"/>
    <w:rsid w:val="00E923CF"/>
    <w:rsid w:val="00E9335F"/>
    <w:rsid w:val="00E95111"/>
    <w:rsid w:val="00EA061E"/>
    <w:rsid w:val="00EA14C8"/>
    <w:rsid w:val="00EA19D3"/>
    <w:rsid w:val="00EA2358"/>
    <w:rsid w:val="00EA2C8B"/>
    <w:rsid w:val="00EA3582"/>
    <w:rsid w:val="00EA6649"/>
    <w:rsid w:val="00EB05D0"/>
    <w:rsid w:val="00EB07C5"/>
    <w:rsid w:val="00EB107E"/>
    <w:rsid w:val="00EB1D49"/>
    <w:rsid w:val="00EB42DD"/>
    <w:rsid w:val="00EB559F"/>
    <w:rsid w:val="00EB5F3D"/>
    <w:rsid w:val="00EB6EC2"/>
    <w:rsid w:val="00EC1CEB"/>
    <w:rsid w:val="00EC268C"/>
    <w:rsid w:val="00EC3602"/>
    <w:rsid w:val="00EC3753"/>
    <w:rsid w:val="00EC3CB8"/>
    <w:rsid w:val="00EC3D46"/>
    <w:rsid w:val="00EC4E71"/>
    <w:rsid w:val="00EC569A"/>
    <w:rsid w:val="00EC6667"/>
    <w:rsid w:val="00ED0365"/>
    <w:rsid w:val="00ED0865"/>
    <w:rsid w:val="00ED094F"/>
    <w:rsid w:val="00ED16B6"/>
    <w:rsid w:val="00ED1C60"/>
    <w:rsid w:val="00ED2EB9"/>
    <w:rsid w:val="00ED4469"/>
    <w:rsid w:val="00ED5F23"/>
    <w:rsid w:val="00ED6DC0"/>
    <w:rsid w:val="00ED79CE"/>
    <w:rsid w:val="00ED7A7A"/>
    <w:rsid w:val="00EE038C"/>
    <w:rsid w:val="00EE040B"/>
    <w:rsid w:val="00EE06A3"/>
    <w:rsid w:val="00EE47C5"/>
    <w:rsid w:val="00EE490C"/>
    <w:rsid w:val="00EE4E02"/>
    <w:rsid w:val="00EE613B"/>
    <w:rsid w:val="00EE7E17"/>
    <w:rsid w:val="00EF2C8E"/>
    <w:rsid w:val="00EF3A0D"/>
    <w:rsid w:val="00EF3CEB"/>
    <w:rsid w:val="00EF41A8"/>
    <w:rsid w:val="00EF44FB"/>
    <w:rsid w:val="00EF4D3C"/>
    <w:rsid w:val="00EF5554"/>
    <w:rsid w:val="00EF5AD8"/>
    <w:rsid w:val="00EF5D2F"/>
    <w:rsid w:val="00EF63F5"/>
    <w:rsid w:val="00EF6758"/>
    <w:rsid w:val="00EF6B90"/>
    <w:rsid w:val="00EF70AE"/>
    <w:rsid w:val="00EF79F7"/>
    <w:rsid w:val="00F00418"/>
    <w:rsid w:val="00F006C0"/>
    <w:rsid w:val="00F019AA"/>
    <w:rsid w:val="00F0267E"/>
    <w:rsid w:val="00F02686"/>
    <w:rsid w:val="00F030DA"/>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281"/>
    <w:rsid w:val="00F17AD9"/>
    <w:rsid w:val="00F17F74"/>
    <w:rsid w:val="00F202C2"/>
    <w:rsid w:val="00F22756"/>
    <w:rsid w:val="00F23890"/>
    <w:rsid w:val="00F2447A"/>
    <w:rsid w:val="00F24638"/>
    <w:rsid w:val="00F2504D"/>
    <w:rsid w:val="00F2637F"/>
    <w:rsid w:val="00F263A8"/>
    <w:rsid w:val="00F268F7"/>
    <w:rsid w:val="00F27280"/>
    <w:rsid w:val="00F3053D"/>
    <w:rsid w:val="00F30BDB"/>
    <w:rsid w:val="00F30CF8"/>
    <w:rsid w:val="00F317E3"/>
    <w:rsid w:val="00F31EDF"/>
    <w:rsid w:val="00F32CDE"/>
    <w:rsid w:val="00F32D4C"/>
    <w:rsid w:val="00F34811"/>
    <w:rsid w:val="00F34B14"/>
    <w:rsid w:val="00F36A6A"/>
    <w:rsid w:val="00F40101"/>
    <w:rsid w:val="00F404F7"/>
    <w:rsid w:val="00F40CCA"/>
    <w:rsid w:val="00F41521"/>
    <w:rsid w:val="00F41975"/>
    <w:rsid w:val="00F41C0E"/>
    <w:rsid w:val="00F42D97"/>
    <w:rsid w:val="00F43F09"/>
    <w:rsid w:val="00F45A72"/>
    <w:rsid w:val="00F46723"/>
    <w:rsid w:val="00F50016"/>
    <w:rsid w:val="00F50647"/>
    <w:rsid w:val="00F5118A"/>
    <w:rsid w:val="00F51A21"/>
    <w:rsid w:val="00F5276E"/>
    <w:rsid w:val="00F529F9"/>
    <w:rsid w:val="00F52E9F"/>
    <w:rsid w:val="00F53304"/>
    <w:rsid w:val="00F53D40"/>
    <w:rsid w:val="00F545ED"/>
    <w:rsid w:val="00F5687F"/>
    <w:rsid w:val="00F575C7"/>
    <w:rsid w:val="00F60305"/>
    <w:rsid w:val="00F61B12"/>
    <w:rsid w:val="00F61CC5"/>
    <w:rsid w:val="00F62398"/>
    <w:rsid w:val="00F631E8"/>
    <w:rsid w:val="00F63223"/>
    <w:rsid w:val="00F63264"/>
    <w:rsid w:val="00F6379E"/>
    <w:rsid w:val="00F64142"/>
    <w:rsid w:val="00F657E9"/>
    <w:rsid w:val="00F70799"/>
    <w:rsid w:val="00F70906"/>
    <w:rsid w:val="00F70A8B"/>
    <w:rsid w:val="00F724FB"/>
    <w:rsid w:val="00F72578"/>
    <w:rsid w:val="00F72A26"/>
    <w:rsid w:val="00F733C3"/>
    <w:rsid w:val="00F756DD"/>
    <w:rsid w:val="00F75DB3"/>
    <w:rsid w:val="00F80047"/>
    <w:rsid w:val="00F8104D"/>
    <w:rsid w:val="00F81587"/>
    <w:rsid w:val="00F82571"/>
    <w:rsid w:val="00F85B72"/>
    <w:rsid w:val="00F86B6D"/>
    <w:rsid w:val="00F8766F"/>
    <w:rsid w:val="00F9104C"/>
    <w:rsid w:val="00F91082"/>
    <w:rsid w:val="00F91A9A"/>
    <w:rsid w:val="00F93ABB"/>
    <w:rsid w:val="00F94D79"/>
    <w:rsid w:val="00F97E7E"/>
    <w:rsid w:val="00FA118A"/>
    <w:rsid w:val="00FA31C7"/>
    <w:rsid w:val="00FA472D"/>
    <w:rsid w:val="00FA7254"/>
    <w:rsid w:val="00FB0214"/>
    <w:rsid w:val="00FB080C"/>
    <w:rsid w:val="00FB12BC"/>
    <w:rsid w:val="00FB18F6"/>
    <w:rsid w:val="00FB2A52"/>
    <w:rsid w:val="00FB2F13"/>
    <w:rsid w:val="00FB539B"/>
    <w:rsid w:val="00FB6E19"/>
    <w:rsid w:val="00FB71F6"/>
    <w:rsid w:val="00FC1483"/>
    <w:rsid w:val="00FC1C47"/>
    <w:rsid w:val="00FC39ED"/>
    <w:rsid w:val="00FC4419"/>
    <w:rsid w:val="00FC47E2"/>
    <w:rsid w:val="00FC4AA5"/>
    <w:rsid w:val="00FC5148"/>
    <w:rsid w:val="00FC5528"/>
    <w:rsid w:val="00FC75AC"/>
    <w:rsid w:val="00FD01BF"/>
    <w:rsid w:val="00FD0525"/>
    <w:rsid w:val="00FD297D"/>
    <w:rsid w:val="00FD298C"/>
    <w:rsid w:val="00FD2D13"/>
    <w:rsid w:val="00FD3D26"/>
    <w:rsid w:val="00FD4789"/>
    <w:rsid w:val="00FD59FE"/>
    <w:rsid w:val="00FD6071"/>
    <w:rsid w:val="00FE0794"/>
    <w:rsid w:val="00FE1041"/>
    <w:rsid w:val="00FE24CB"/>
    <w:rsid w:val="00FE3166"/>
    <w:rsid w:val="00FE3320"/>
    <w:rsid w:val="00FE3473"/>
    <w:rsid w:val="00FE353B"/>
    <w:rsid w:val="00FE3E81"/>
    <w:rsid w:val="00FE4049"/>
    <w:rsid w:val="00FE4794"/>
    <w:rsid w:val="00FE5DF7"/>
    <w:rsid w:val="00FE5F72"/>
    <w:rsid w:val="00FF0231"/>
    <w:rsid w:val="00FF1C9B"/>
    <w:rsid w:val="00FF1D49"/>
    <w:rsid w:val="00FF2562"/>
    <w:rsid w:val="00FF2CE1"/>
    <w:rsid w:val="00FF3A41"/>
    <w:rsid w:val="00FF3E5B"/>
    <w:rsid w:val="00FF544F"/>
    <w:rsid w:val="00FF57E4"/>
    <w:rsid w:val="00FF75D9"/>
    <w:rsid w:val="00FF78E5"/>
    <w:rsid w:val="02511F9D"/>
    <w:rsid w:val="02706DAC"/>
    <w:rsid w:val="03056ED3"/>
    <w:rsid w:val="030875FC"/>
    <w:rsid w:val="033B0E05"/>
    <w:rsid w:val="03A300D1"/>
    <w:rsid w:val="03A314B8"/>
    <w:rsid w:val="03D82B98"/>
    <w:rsid w:val="03F83E8B"/>
    <w:rsid w:val="043C0407"/>
    <w:rsid w:val="05466105"/>
    <w:rsid w:val="06253E14"/>
    <w:rsid w:val="073562D9"/>
    <w:rsid w:val="07B72767"/>
    <w:rsid w:val="07B9246C"/>
    <w:rsid w:val="08077E72"/>
    <w:rsid w:val="08E36F8D"/>
    <w:rsid w:val="08F64A65"/>
    <w:rsid w:val="09270E73"/>
    <w:rsid w:val="09CC2AAC"/>
    <w:rsid w:val="09D04097"/>
    <w:rsid w:val="09D820EE"/>
    <w:rsid w:val="0A04459D"/>
    <w:rsid w:val="0A1852F1"/>
    <w:rsid w:val="0A3E2F0D"/>
    <w:rsid w:val="0A652D3E"/>
    <w:rsid w:val="0B253A7F"/>
    <w:rsid w:val="0B3A48F0"/>
    <w:rsid w:val="0C3660F8"/>
    <w:rsid w:val="0C92213C"/>
    <w:rsid w:val="0D4F221D"/>
    <w:rsid w:val="0D84032B"/>
    <w:rsid w:val="0DE76FA1"/>
    <w:rsid w:val="0E644AA0"/>
    <w:rsid w:val="0ED317E0"/>
    <w:rsid w:val="0F0A0484"/>
    <w:rsid w:val="0FDA4A81"/>
    <w:rsid w:val="10A27F31"/>
    <w:rsid w:val="10CA487C"/>
    <w:rsid w:val="10F925C6"/>
    <w:rsid w:val="1120169E"/>
    <w:rsid w:val="11927058"/>
    <w:rsid w:val="126537F7"/>
    <w:rsid w:val="12AD687C"/>
    <w:rsid w:val="12BA2F0B"/>
    <w:rsid w:val="13121818"/>
    <w:rsid w:val="13AF4F03"/>
    <w:rsid w:val="146B7D62"/>
    <w:rsid w:val="14736E66"/>
    <w:rsid w:val="149B6AC2"/>
    <w:rsid w:val="14C637BF"/>
    <w:rsid w:val="14F12E0A"/>
    <w:rsid w:val="15293653"/>
    <w:rsid w:val="1534169A"/>
    <w:rsid w:val="15456FE1"/>
    <w:rsid w:val="15C03E03"/>
    <w:rsid w:val="162A25EB"/>
    <w:rsid w:val="16B5608C"/>
    <w:rsid w:val="16FD2A55"/>
    <w:rsid w:val="17366761"/>
    <w:rsid w:val="177C01F0"/>
    <w:rsid w:val="178057B9"/>
    <w:rsid w:val="179B4B49"/>
    <w:rsid w:val="17CE6630"/>
    <w:rsid w:val="17DC60AD"/>
    <w:rsid w:val="18043E1F"/>
    <w:rsid w:val="18E25B01"/>
    <w:rsid w:val="18E86D07"/>
    <w:rsid w:val="19820BA0"/>
    <w:rsid w:val="19982D10"/>
    <w:rsid w:val="1AD57EB7"/>
    <w:rsid w:val="1AFA16D5"/>
    <w:rsid w:val="1B4F19F8"/>
    <w:rsid w:val="1BD92184"/>
    <w:rsid w:val="1C5170A2"/>
    <w:rsid w:val="1CCD7CF0"/>
    <w:rsid w:val="1D4061A8"/>
    <w:rsid w:val="1DC9142A"/>
    <w:rsid w:val="1E004BE2"/>
    <w:rsid w:val="1E2E7FCF"/>
    <w:rsid w:val="1E5A0A86"/>
    <w:rsid w:val="1E9B4F4B"/>
    <w:rsid w:val="1EF85F90"/>
    <w:rsid w:val="1F063325"/>
    <w:rsid w:val="1FBC5DF5"/>
    <w:rsid w:val="1FC55574"/>
    <w:rsid w:val="203A5D23"/>
    <w:rsid w:val="20AE2B29"/>
    <w:rsid w:val="219A5199"/>
    <w:rsid w:val="21B83F86"/>
    <w:rsid w:val="21E55E66"/>
    <w:rsid w:val="21F4496F"/>
    <w:rsid w:val="221178A8"/>
    <w:rsid w:val="221213CF"/>
    <w:rsid w:val="22327A92"/>
    <w:rsid w:val="22965435"/>
    <w:rsid w:val="22BD6F35"/>
    <w:rsid w:val="231D53A2"/>
    <w:rsid w:val="2376433B"/>
    <w:rsid w:val="23B7504C"/>
    <w:rsid w:val="24033270"/>
    <w:rsid w:val="24301AFD"/>
    <w:rsid w:val="24571307"/>
    <w:rsid w:val="24BA2984"/>
    <w:rsid w:val="24C97D0D"/>
    <w:rsid w:val="25246333"/>
    <w:rsid w:val="2562393C"/>
    <w:rsid w:val="26446DE3"/>
    <w:rsid w:val="264D165B"/>
    <w:rsid w:val="26A91174"/>
    <w:rsid w:val="26D7699F"/>
    <w:rsid w:val="274A5E17"/>
    <w:rsid w:val="27CE341A"/>
    <w:rsid w:val="29022362"/>
    <w:rsid w:val="29065712"/>
    <w:rsid w:val="2A461F39"/>
    <w:rsid w:val="2AA254A2"/>
    <w:rsid w:val="2AF97FFA"/>
    <w:rsid w:val="2B09065E"/>
    <w:rsid w:val="2B774624"/>
    <w:rsid w:val="2BC068DD"/>
    <w:rsid w:val="2C604777"/>
    <w:rsid w:val="2C7A72BE"/>
    <w:rsid w:val="2E804C4A"/>
    <w:rsid w:val="2F401D3C"/>
    <w:rsid w:val="2FA95C88"/>
    <w:rsid w:val="3041370F"/>
    <w:rsid w:val="30803872"/>
    <w:rsid w:val="30AD23C0"/>
    <w:rsid w:val="31083A05"/>
    <w:rsid w:val="31FB410C"/>
    <w:rsid w:val="32453A27"/>
    <w:rsid w:val="325C464C"/>
    <w:rsid w:val="3263064A"/>
    <w:rsid w:val="32AC0C06"/>
    <w:rsid w:val="32CC2D9E"/>
    <w:rsid w:val="32DD434B"/>
    <w:rsid w:val="347A68F0"/>
    <w:rsid w:val="34F85328"/>
    <w:rsid w:val="3537750C"/>
    <w:rsid w:val="3537798C"/>
    <w:rsid w:val="357F7ED5"/>
    <w:rsid w:val="35AE1CD4"/>
    <w:rsid w:val="35B4025F"/>
    <w:rsid w:val="35C13FC9"/>
    <w:rsid w:val="36093348"/>
    <w:rsid w:val="362E6D87"/>
    <w:rsid w:val="364257B6"/>
    <w:rsid w:val="36A54032"/>
    <w:rsid w:val="36F834D1"/>
    <w:rsid w:val="371C0798"/>
    <w:rsid w:val="374264D3"/>
    <w:rsid w:val="37DB7874"/>
    <w:rsid w:val="37EA5922"/>
    <w:rsid w:val="37F30863"/>
    <w:rsid w:val="38276B93"/>
    <w:rsid w:val="393F7DAD"/>
    <w:rsid w:val="39AA2EB0"/>
    <w:rsid w:val="3A0B64A7"/>
    <w:rsid w:val="3A8E7F92"/>
    <w:rsid w:val="3AF74C02"/>
    <w:rsid w:val="3BC55BF0"/>
    <w:rsid w:val="3C0059A5"/>
    <w:rsid w:val="3C134E78"/>
    <w:rsid w:val="3CBA3AA6"/>
    <w:rsid w:val="3CCA2A44"/>
    <w:rsid w:val="3D883FE9"/>
    <w:rsid w:val="3DF6345D"/>
    <w:rsid w:val="3EC357A9"/>
    <w:rsid w:val="3EE13701"/>
    <w:rsid w:val="3F1A4BB3"/>
    <w:rsid w:val="40192BA6"/>
    <w:rsid w:val="409070C5"/>
    <w:rsid w:val="40FE7C54"/>
    <w:rsid w:val="418C6557"/>
    <w:rsid w:val="41C27D1F"/>
    <w:rsid w:val="42550A18"/>
    <w:rsid w:val="42DA422F"/>
    <w:rsid w:val="42F473A1"/>
    <w:rsid w:val="43101483"/>
    <w:rsid w:val="43402F96"/>
    <w:rsid w:val="43931DE2"/>
    <w:rsid w:val="44007789"/>
    <w:rsid w:val="440B2556"/>
    <w:rsid w:val="441E62C0"/>
    <w:rsid w:val="44274ACD"/>
    <w:rsid w:val="44E907E8"/>
    <w:rsid w:val="45811C7C"/>
    <w:rsid w:val="45B8153D"/>
    <w:rsid w:val="45FA6B1E"/>
    <w:rsid w:val="46053138"/>
    <w:rsid w:val="468B3EFB"/>
    <w:rsid w:val="470A6193"/>
    <w:rsid w:val="47B33F28"/>
    <w:rsid w:val="47DC4F5C"/>
    <w:rsid w:val="483E5F26"/>
    <w:rsid w:val="48B40671"/>
    <w:rsid w:val="49563A21"/>
    <w:rsid w:val="499B5738"/>
    <w:rsid w:val="499F244D"/>
    <w:rsid w:val="4A8F58C2"/>
    <w:rsid w:val="4AAA61F4"/>
    <w:rsid w:val="4AF96BC7"/>
    <w:rsid w:val="4B0415CA"/>
    <w:rsid w:val="4BFB4050"/>
    <w:rsid w:val="4C6E3F5F"/>
    <w:rsid w:val="4CEF36E2"/>
    <w:rsid w:val="4CEF795D"/>
    <w:rsid w:val="4CFD462D"/>
    <w:rsid w:val="4D3B1120"/>
    <w:rsid w:val="4F0C0928"/>
    <w:rsid w:val="4F372FFB"/>
    <w:rsid w:val="4FA76FA4"/>
    <w:rsid w:val="50114897"/>
    <w:rsid w:val="5040259D"/>
    <w:rsid w:val="510D7987"/>
    <w:rsid w:val="513F391C"/>
    <w:rsid w:val="51564E44"/>
    <w:rsid w:val="516D4911"/>
    <w:rsid w:val="51F36455"/>
    <w:rsid w:val="5206550C"/>
    <w:rsid w:val="52293911"/>
    <w:rsid w:val="525E0507"/>
    <w:rsid w:val="52C10D75"/>
    <w:rsid w:val="5311242E"/>
    <w:rsid w:val="53664BDE"/>
    <w:rsid w:val="54454E9C"/>
    <w:rsid w:val="549D4147"/>
    <w:rsid w:val="54E30A9C"/>
    <w:rsid w:val="550C4BD7"/>
    <w:rsid w:val="55320D2F"/>
    <w:rsid w:val="55572986"/>
    <w:rsid w:val="56537644"/>
    <w:rsid w:val="5682624E"/>
    <w:rsid w:val="56B51244"/>
    <w:rsid w:val="58C3434A"/>
    <w:rsid w:val="58D77F83"/>
    <w:rsid w:val="59351195"/>
    <w:rsid w:val="5A957D93"/>
    <w:rsid w:val="5AE85093"/>
    <w:rsid w:val="5B3760D9"/>
    <w:rsid w:val="5BF154A0"/>
    <w:rsid w:val="5C261094"/>
    <w:rsid w:val="5C535134"/>
    <w:rsid w:val="5D2317D1"/>
    <w:rsid w:val="5D387910"/>
    <w:rsid w:val="5EF56809"/>
    <w:rsid w:val="5F2913F5"/>
    <w:rsid w:val="5F80710D"/>
    <w:rsid w:val="60064659"/>
    <w:rsid w:val="60223000"/>
    <w:rsid w:val="604C7910"/>
    <w:rsid w:val="606007BB"/>
    <w:rsid w:val="60AC7F66"/>
    <w:rsid w:val="618835DC"/>
    <w:rsid w:val="619824CC"/>
    <w:rsid w:val="61AE70C2"/>
    <w:rsid w:val="61BF10D9"/>
    <w:rsid w:val="61C6687D"/>
    <w:rsid w:val="61F67397"/>
    <w:rsid w:val="62165280"/>
    <w:rsid w:val="624E5B6F"/>
    <w:rsid w:val="629F7BDB"/>
    <w:rsid w:val="62A54044"/>
    <w:rsid w:val="63EE0C7E"/>
    <w:rsid w:val="640C7C21"/>
    <w:rsid w:val="64E45EF7"/>
    <w:rsid w:val="65FE4E01"/>
    <w:rsid w:val="66A57729"/>
    <w:rsid w:val="66F612DC"/>
    <w:rsid w:val="677435B2"/>
    <w:rsid w:val="67EF75F1"/>
    <w:rsid w:val="6874377B"/>
    <w:rsid w:val="69124F16"/>
    <w:rsid w:val="69C64B0E"/>
    <w:rsid w:val="69CD5C14"/>
    <w:rsid w:val="69CF0D33"/>
    <w:rsid w:val="6AB24495"/>
    <w:rsid w:val="6ABC3D49"/>
    <w:rsid w:val="6AFC4106"/>
    <w:rsid w:val="6B9946B3"/>
    <w:rsid w:val="6BC37AE9"/>
    <w:rsid w:val="6C977A49"/>
    <w:rsid w:val="6C9F34AF"/>
    <w:rsid w:val="6D1837C6"/>
    <w:rsid w:val="6DE76850"/>
    <w:rsid w:val="6E3E6020"/>
    <w:rsid w:val="6E9A1018"/>
    <w:rsid w:val="6ED67D1E"/>
    <w:rsid w:val="6F0F5516"/>
    <w:rsid w:val="6FB20BD4"/>
    <w:rsid w:val="6FBA59BE"/>
    <w:rsid w:val="700820D0"/>
    <w:rsid w:val="70296B3E"/>
    <w:rsid w:val="70611204"/>
    <w:rsid w:val="71287D44"/>
    <w:rsid w:val="7234593E"/>
    <w:rsid w:val="724A04FA"/>
    <w:rsid w:val="726C71D7"/>
    <w:rsid w:val="72EF4CB6"/>
    <w:rsid w:val="734C17D1"/>
    <w:rsid w:val="74454ECC"/>
    <w:rsid w:val="74FA2C30"/>
    <w:rsid w:val="759E7199"/>
    <w:rsid w:val="76700A11"/>
    <w:rsid w:val="76A21419"/>
    <w:rsid w:val="76BC49EB"/>
    <w:rsid w:val="77000DA2"/>
    <w:rsid w:val="781E69D1"/>
    <w:rsid w:val="78340059"/>
    <w:rsid w:val="78393FFF"/>
    <w:rsid w:val="794413FD"/>
    <w:rsid w:val="7ADD0453"/>
    <w:rsid w:val="7AF46346"/>
    <w:rsid w:val="7B0F5EBF"/>
    <w:rsid w:val="7B130FB9"/>
    <w:rsid w:val="7BDE0625"/>
    <w:rsid w:val="7BF64EDE"/>
    <w:rsid w:val="7BFF10BB"/>
    <w:rsid w:val="7C400C1E"/>
    <w:rsid w:val="7CBF7F35"/>
    <w:rsid w:val="7DD11708"/>
    <w:rsid w:val="7EBC46EA"/>
    <w:rsid w:val="7EC167BD"/>
    <w:rsid w:val="7FF8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9"/>
    <w:pPr>
      <w:keepNext/>
      <w:keepLines/>
      <w:spacing w:before="260" w:after="260" w:line="416" w:lineRule="auto"/>
      <w:outlineLvl w:val="1"/>
    </w:pPr>
    <w:rPr>
      <w:rFonts w:ascii="Cambria" w:hAnsi="Cambria"/>
      <w:b/>
      <w:bCs/>
      <w:sz w:val="32"/>
      <w:szCs w:val="32"/>
    </w:rPr>
  </w:style>
  <w:style w:type="paragraph" w:styleId="4">
    <w:name w:val="heading 5"/>
    <w:basedOn w:val="1"/>
    <w:next w:val="5"/>
    <w:link w:val="28"/>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7">
    <w:name w:val="annotation text"/>
    <w:basedOn w:val="1"/>
    <w:link w:val="29"/>
    <w:qFormat/>
    <w:uiPriority w:val="0"/>
    <w:pPr>
      <w:jc w:val="left"/>
    </w:pPr>
  </w:style>
  <w:style w:type="paragraph" w:styleId="8">
    <w:name w:val="Body Text 3"/>
    <w:basedOn w:val="1"/>
    <w:link w:val="30"/>
    <w:unhideWhenUsed/>
    <w:qFormat/>
    <w:uiPriority w:val="99"/>
    <w:pPr>
      <w:spacing w:after="120"/>
    </w:pPr>
    <w:rPr>
      <w:sz w:val="16"/>
      <w:szCs w:val="16"/>
    </w:rPr>
  </w:style>
  <w:style w:type="paragraph" w:styleId="9">
    <w:name w:val="Body Text"/>
    <w:basedOn w:val="1"/>
    <w:link w:val="31"/>
    <w:unhideWhenUsed/>
    <w:qFormat/>
    <w:uiPriority w:val="0"/>
    <w:pPr>
      <w:spacing w:after="120"/>
    </w:pPr>
  </w:style>
  <w:style w:type="paragraph" w:styleId="10">
    <w:name w:val="Body Text Indent"/>
    <w:basedOn w:val="1"/>
    <w:link w:val="32"/>
    <w:qFormat/>
    <w:uiPriority w:val="0"/>
    <w:pPr>
      <w:ind w:firstLine="830" w:firstLineChars="352"/>
    </w:pPr>
    <w:rPr>
      <w:rFonts w:ascii="仿宋_GB2312" w:eastAsia="仿宋_GB2312"/>
      <w:kern w:val="0"/>
      <w:sz w:val="32"/>
      <w:szCs w:val="20"/>
    </w:rPr>
  </w:style>
  <w:style w:type="paragraph" w:styleId="11">
    <w:name w:val="List 2"/>
    <w:basedOn w:val="1"/>
    <w:unhideWhenUsed/>
    <w:qFormat/>
    <w:uiPriority w:val="99"/>
    <w:pPr>
      <w:ind w:left="100" w:leftChars="200" w:hanging="200" w:hangingChars="200"/>
      <w:contextualSpacing/>
    </w:pPr>
  </w:style>
  <w:style w:type="paragraph" w:styleId="12">
    <w:name w:val="Plain Text"/>
    <w:basedOn w:val="1"/>
    <w:next w:val="1"/>
    <w:link w:val="33"/>
    <w:qFormat/>
    <w:uiPriority w:val="0"/>
    <w:rPr>
      <w:rFonts w:ascii="宋体" w:hAnsi="Courier New"/>
      <w:kern w:val="0"/>
      <w:sz w:val="20"/>
      <w:szCs w:val="21"/>
    </w:rPr>
  </w:style>
  <w:style w:type="paragraph" w:styleId="13">
    <w:name w:val="Date"/>
    <w:basedOn w:val="1"/>
    <w:next w:val="1"/>
    <w:link w:val="34"/>
    <w:unhideWhenUsed/>
    <w:qFormat/>
    <w:uiPriority w:val="99"/>
    <w:pPr>
      <w:ind w:left="100" w:leftChars="2500"/>
    </w:pPr>
  </w:style>
  <w:style w:type="paragraph" w:styleId="14">
    <w:name w:val="Balloon Text"/>
    <w:basedOn w:val="1"/>
    <w:semiHidden/>
    <w:qFormat/>
    <w:uiPriority w:val="0"/>
    <w:rPr>
      <w:sz w:val="18"/>
      <w:szCs w:val="18"/>
    </w:rPr>
  </w:style>
  <w:style w:type="paragraph" w:styleId="15">
    <w:name w:val="footer"/>
    <w:basedOn w:val="1"/>
    <w:link w:val="35"/>
    <w:unhideWhenUsed/>
    <w:qFormat/>
    <w:uiPriority w:val="99"/>
    <w:pPr>
      <w:tabs>
        <w:tab w:val="center" w:pos="4153"/>
        <w:tab w:val="right" w:pos="8306"/>
      </w:tabs>
      <w:snapToGrid w:val="0"/>
      <w:jc w:val="left"/>
    </w:pPr>
    <w:rPr>
      <w:kern w:val="0"/>
      <w:sz w:val="18"/>
      <w:szCs w:val="18"/>
    </w:rPr>
  </w:style>
  <w:style w:type="paragraph" w:styleId="16">
    <w:name w:val="header"/>
    <w:basedOn w:val="1"/>
    <w:link w:val="3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tabs>
        <w:tab w:val="right" w:leader="dot" w:pos="8296"/>
      </w:tabs>
      <w:ind w:left="420" w:leftChars="200"/>
    </w:pPr>
  </w:style>
  <w:style w:type="paragraph" w:styleId="19">
    <w:name w:val="Normal (Web)"/>
    <w:basedOn w:val="1"/>
    <w:unhideWhenUsed/>
    <w:qFormat/>
    <w:uiPriority w:val="99"/>
    <w:rPr>
      <w:rFonts w:ascii="Calibri" w:hAnsi="Calibri"/>
      <w:kern w:val="0"/>
      <w:sz w:val="24"/>
    </w:rPr>
  </w:style>
  <w:style w:type="paragraph" w:styleId="20">
    <w:name w:val="annotation subject"/>
    <w:basedOn w:val="7"/>
    <w:next w:val="7"/>
    <w:link w:val="37"/>
    <w:qFormat/>
    <w:uiPriority w:val="99"/>
    <w:rPr>
      <w:b/>
      <w:bCs/>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Hyperlink"/>
    <w:unhideWhenUsed/>
    <w:qFormat/>
    <w:uiPriority w:val="99"/>
    <w:rPr>
      <w:color w:val="0000FF"/>
      <w:u w:val="single"/>
    </w:rPr>
  </w:style>
  <w:style w:type="character" w:styleId="25">
    <w:name w:val="annotation reference"/>
    <w:qFormat/>
    <w:uiPriority w:val="0"/>
    <w:rPr>
      <w:sz w:val="21"/>
      <w:szCs w:val="21"/>
    </w:rPr>
  </w:style>
  <w:style w:type="character" w:customStyle="1" w:styleId="26">
    <w:name w:val="标题 1 Char"/>
    <w:link w:val="2"/>
    <w:qFormat/>
    <w:uiPriority w:val="0"/>
    <w:rPr>
      <w:b/>
      <w:bCs/>
      <w:kern w:val="44"/>
      <w:sz w:val="44"/>
      <w:szCs w:val="44"/>
    </w:rPr>
  </w:style>
  <w:style w:type="character" w:customStyle="1" w:styleId="27">
    <w:name w:val="标题 2 Char"/>
    <w:link w:val="3"/>
    <w:qFormat/>
    <w:uiPriority w:val="9"/>
    <w:rPr>
      <w:rFonts w:ascii="Cambria" w:hAnsi="Cambria" w:eastAsia="宋体" w:cs="Times New Roman"/>
      <w:b/>
      <w:bCs/>
      <w:kern w:val="2"/>
      <w:sz w:val="32"/>
      <w:szCs w:val="32"/>
    </w:rPr>
  </w:style>
  <w:style w:type="character" w:customStyle="1" w:styleId="28">
    <w:name w:val="标题 5 Char"/>
    <w:link w:val="4"/>
    <w:semiHidden/>
    <w:qFormat/>
    <w:uiPriority w:val="9"/>
    <w:rPr>
      <w:rFonts w:ascii="Times New Roman" w:hAnsi="Times New Roman"/>
      <w:b/>
      <w:bCs/>
      <w:kern w:val="2"/>
      <w:sz w:val="28"/>
      <w:szCs w:val="28"/>
    </w:rPr>
  </w:style>
  <w:style w:type="character" w:customStyle="1" w:styleId="29">
    <w:name w:val="批注文字 Char"/>
    <w:link w:val="7"/>
    <w:qFormat/>
    <w:uiPriority w:val="0"/>
    <w:rPr>
      <w:rFonts w:ascii="Times New Roman" w:hAnsi="Times New Roman"/>
      <w:kern w:val="2"/>
      <w:sz w:val="21"/>
      <w:szCs w:val="24"/>
    </w:rPr>
  </w:style>
  <w:style w:type="character" w:customStyle="1" w:styleId="30">
    <w:name w:val="正文文本 3 Char"/>
    <w:link w:val="8"/>
    <w:semiHidden/>
    <w:qFormat/>
    <w:uiPriority w:val="99"/>
    <w:rPr>
      <w:rFonts w:ascii="Times New Roman" w:hAnsi="Times New Roman"/>
      <w:kern w:val="2"/>
      <w:sz w:val="16"/>
      <w:szCs w:val="16"/>
    </w:rPr>
  </w:style>
  <w:style w:type="character" w:customStyle="1" w:styleId="31">
    <w:name w:val="正文文本 Char"/>
    <w:link w:val="9"/>
    <w:qFormat/>
    <w:uiPriority w:val="0"/>
    <w:rPr>
      <w:rFonts w:ascii="Times New Roman" w:hAnsi="Times New Roman"/>
      <w:kern w:val="2"/>
      <w:sz w:val="21"/>
      <w:szCs w:val="24"/>
    </w:rPr>
  </w:style>
  <w:style w:type="character" w:customStyle="1" w:styleId="32">
    <w:name w:val="正文文本缩进 Char"/>
    <w:link w:val="10"/>
    <w:qFormat/>
    <w:uiPriority w:val="0"/>
    <w:rPr>
      <w:rFonts w:ascii="仿宋_GB2312" w:hAnsi="Times New Roman" w:eastAsia="仿宋_GB2312" w:cs="Times New Roman"/>
      <w:sz w:val="32"/>
      <w:szCs w:val="20"/>
    </w:rPr>
  </w:style>
  <w:style w:type="character" w:customStyle="1" w:styleId="33">
    <w:name w:val="纯文本 Char"/>
    <w:link w:val="12"/>
    <w:qFormat/>
    <w:uiPriority w:val="0"/>
    <w:rPr>
      <w:rFonts w:ascii="宋体" w:hAnsi="Courier New" w:eastAsia="宋体" w:cs="Courier New"/>
      <w:szCs w:val="21"/>
    </w:rPr>
  </w:style>
  <w:style w:type="character" w:customStyle="1" w:styleId="34">
    <w:name w:val="日期 Char"/>
    <w:link w:val="13"/>
    <w:semiHidden/>
    <w:qFormat/>
    <w:uiPriority w:val="99"/>
    <w:rPr>
      <w:rFonts w:ascii="Times New Roman" w:hAnsi="Times New Roman"/>
      <w:kern w:val="2"/>
      <w:sz w:val="21"/>
      <w:szCs w:val="24"/>
    </w:rPr>
  </w:style>
  <w:style w:type="character" w:customStyle="1" w:styleId="35">
    <w:name w:val="页脚 Char1"/>
    <w:link w:val="15"/>
    <w:qFormat/>
    <w:uiPriority w:val="99"/>
    <w:rPr>
      <w:sz w:val="18"/>
      <w:szCs w:val="18"/>
    </w:rPr>
  </w:style>
  <w:style w:type="character" w:customStyle="1" w:styleId="36">
    <w:name w:val="页眉 Char"/>
    <w:link w:val="16"/>
    <w:qFormat/>
    <w:uiPriority w:val="99"/>
    <w:rPr>
      <w:sz w:val="18"/>
      <w:szCs w:val="18"/>
    </w:rPr>
  </w:style>
  <w:style w:type="character" w:customStyle="1" w:styleId="37">
    <w:name w:val="批注主题 Char"/>
    <w:link w:val="20"/>
    <w:qFormat/>
    <w:uiPriority w:val="99"/>
    <w:rPr>
      <w:rFonts w:ascii="Times New Roman" w:hAnsi="Times New Roman"/>
      <w:b/>
      <w:bCs/>
      <w:kern w:val="2"/>
      <w:sz w:val="21"/>
      <w:szCs w:val="24"/>
    </w:rPr>
  </w:style>
  <w:style w:type="paragraph" w:customStyle="1" w:styleId="38">
    <w:name w:val="Default"/>
    <w:qFormat/>
    <w:uiPriority w:val="0"/>
    <w:pPr>
      <w:widowControl w:val="0"/>
      <w:autoSpaceDE w:val="0"/>
      <w:autoSpaceDN w:val="0"/>
      <w:adjustRightInd w:val="0"/>
      <w:spacing w:after="160" w:line="278" w:lineRule="auto"/>
    </w:pPr>
    <w:rPr>
      <w:rFonts w:ascii="Arial" w:hAnsi="Arial" w:eastAsia="宋体" w:cs="Arial"/>
      <w:color w:val="000000"/>
      <w:sz w:val="24"/>
      <w:szCs w:val="24"/>
      <w:lang w:val="en-US" w:eastAsia="zh-CN" w:bidi="ar-SA"/>
    </w:rPr>
  </w:style>
  <w:style w:type="character" w:customStyle="1" w:styleId="39">
    <w:name w:val="页脚 Char"/>
    <w:qFormat/>
    <w:uiPriority w:val="99"/>
    <w:rPr>
      <w:lang w:eastAsia="zh-CN"/>
    </w:rPr>
  </w:style>
  <w:style w:type="character" w:customStyle="1" w:styleId="40">
    <w:name w:val="批注文字 Char1"/>
    <w:qFormat/>
    <w:uiPriority w:val="0"/>
    <w:rPr>
      <w:rFonts w:ascii="Times New Roman" w:hAnsi="Times New Roman"/>
      <w:kern w:val="2"/>
      <w:sz w:val="21"/>
      <w:szCs w:val="24"/>
    </w:rPr>
  </w:style>
  <w:style w:type="character" w:customStyle="1" w:styleId="41">
    <w:name w:val="正文文本 (26) + 间距 0 pt"/>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42">
    <w:name w:val="标题 1 字符"/>
    <w:qFormat/>
    <w:uiPriority w:val="9"/>
    <w:rPr>
      <w:b/>
      <w:bCs/>
      <w:kern w:val="44"/>
      <w:sz w:val="44"/>
      <w:szCs w:val="44"/>
    </w:rPr>
  </w:style>
  <w:style w:type="character" w:customStyle="1" w:styleId="43">
    <w:name w:val="批注文字 字符2"/>
    <w:qFormat/>
    <w:uiPriority w:val="0"/>
    <w:rPr>
      <w:rFonts w:ascii="Times New Roman" w:hAnsi="Times New Roman"/>
      <w:kern w:val="2"/>
      <w:sz w:val="21"/>
      <w:szCs w:val="24"/>
    </w:rPr>
  </w:style>
  <w:style w:type="character" w:customStyle="1" w:styleId="44">
    <w:name w:val="apple-style-span"/>
    <w:qFormat/>
    <w:uiPriority w:val="0"/>
  </w:style>
  <w:style w:type="character" w:customStyle="1" w:styleId="45">
    <w:name w:val="textcontents"/>
    <w:qFormat/>
    <w:uiPriority w:val="0"/>
  </w:style>
  <w:style w:type="character" w:customStyle="1" w:styleId="46">
    <w:name w:val="纯文本 Char1"/>
    <w:qFormat/>
    <w:uiPriority w:val="0"/>
    <w:rPr>
      <w:rFonts w:ascii="宋体" w:hAnsi="Courier New" w:eastAsia="宋体" w:cs="Courier New"/>
      <w:szCs w:val="21"/>
    </w:rPr>
  </w:style>
  <w:style w:type="character" w:customStyle="1" w:styleId="47">
    <w:name w:val="正文文本 Char1"/>
    <w:semiHidden/>
    <w:qFormat/>
    <w:locked/>
    <w:uiPriority w:val="0"/>
    <w:rPr>
      <w:kern w:val="2"/>
      <w:sz w:val="21"/>
      <w:szCs w:val="24"/>
    </w:rPr>
  </w:style>
  <w:style w:type="character" w:customStyle="1" w:styleId="48">
    <w:name w:val="正文文本缩进 字符1"/>
    <w:qFormat/>
    <w:uiPriority w:val="0"/>
    <w:rPr>
      <w:rFonts w:ascii="仿宋_GB2312" w:hAnsi="Times New Roman" w:eastAsia="仿宋_GB2312" w:cs="Times New Roman"/>
      <w:sz w:val="32"/>
      <w:szCs w:val="20"/>
    </w:rPr>
  </w:style>
  <w:style w:type="character" w:customStyle="1" w:styleId="49">
    <w:name w:val="批注文字 字符1"/>
    <w:qFormat/>
    <w:uiPriority w:val="0"/>
    <w:rPr>
      <w:kern w:val="2"/>
      <w:sz w:val="21"/>
      <w:szCs w:val="24"/>
    </w:rPr>
  </w:style>
  <w:style w:type="character" w:customStyle="1" w:styleId="50">
    <w:name w:val="纯文本 字符1"/>
    <w:qFormat/>
    <w:uiPriority w:val="0"/>
    <w:rPr>
      <w:rFonts w:ascii="宋体" w:hAnsi="Courier New"/>
    </w:rPr>
  </w:style>
  <w:style w:type="character" w:customStyle="1" w:styleId="51">
    <w:name w:val="正文2 Char Char"/>
    <w:link w:val="52"/>
    <w:qFormat/>
    <w:uiPriority w:val="0"/>
    <w:rPr>
      <w:kern w:val="2"/>
      <w:sz w:val="24"/>
    </w:rPr>
  </w:style>
  <w:style w:type="paragraph" w:customStyle="1" w:styleId="52">
    <w:name w:val="正文2"/>
    <w:basedOn w:val="1"/>
    <w:link w:val="51"/>
    <w:qFormat/>
    <w:uiPriority w:val="0"/>
    <w:pPr>
      <w:adjustRightInd w:val="0"/>
      <w:spacing w:before="156" w:line="360" w:lineRule="auto"/>
      <w:ind w:firstLine="510" w:firstLineChars="200"/>
    </w:pPr>
    <w:rPr>
      <w:sz w:val="24"/>
      <w:szCs w:val="20"/>
    </w:rPr>
  </w:style>
  <w:style w:type="character" w:customStyle="1" w:styleId="53">
    <w:name w:val="批注文字 Char2"/>
    <w:qFormat/>
    <w:uiPriority w:val="0"/>
    <w:rPr>
      <w:rFonts w:ascii="Times New Roman" w:hAnsi="Times New Roman"/>
      <w:kern w:val="2"/>
      <w:sz w:val="21"/>
      <w:szCs w:val="24"/>
    </w:rPr>
  </w:style>
  <w:style w:type="character" w:customStyle="1" w:styleId="54">
    <w:name w:val="纯文本 字符2"/>
    <w:qFormat/>
    <w:uiPriority w:val="0"/>
    <w:rPr>
      <w:rFonts w:ascii="宋体" w:hAnsi="Courier New" w:eastAsia="宋体" w:cs="Courier New"/>
      <w:szCs w:val="21"/>
    </w:rPr>
  </w:style>
  <w:style w:type="paragraph" w:styleId="55">
    <w:name w:val="List Paragraph"/>
    <w:basedOn w:val="1"/>
    <w:qFormat/>
    <w:uiPriority w:val="34"/>
    <w:pPr>
      <w:ind w:firstLine="420" w:firstLineChars="200"/>
    </w:p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paragraph" w:customStyle="1" w:styleId="57">
    <w:name w:val="Table Paragraph"/>
    <w:basedOn w:val="1"/>
    <w:qFormat/>
    <w:uiPriority w:val="1"/>
    <w:pPr>
      <w:jc w:val="left"/>
    </w:pPr>
    <w:rPr>
      <w:rFonts w:ascii="Calibri" w:hAnsi="Calibri"/>
      <w:kern w:val="0"/>
      <w:sz w:val="22"/>
      <w:szCs w:val="22"/>
      <w:lang w:eastAsia="en-US"/>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9">
    <w:name w:val="列出段落1"/>
    <w:basedOn w:val="1"/>
    <w:qFormat/>
    <w:uiPriority w:val="0"/>
    <w:pPr>
      <w:ind w:firstLine="420" w:firstLineChars="200"/>
    </w:pPr>
    <w:rPr>
      <w:szCs w:val="21"/>
    </w:rPr>
  </w:style>
  <w:style w:type="paragraph" w:customStyle="1" w:styleId="6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61">
    <w:name w:val="&gt;合同 正文"/>
    <w:qFormat/>
    <w:uiPriority w:val="0"/>
    <w:pPr>
      <w:spacing w:line="288" w:lineRule="auto"/>
      <w:ind w:firstLine="200" w:firstLineChars="200"/>
    </w:pPr>
    <w:rPr>
      <w:rFonts w:ascii="宋体" w:hAnsi="宋体" w:eastAsia="宋体" w:cs="宋体"/>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67</Pages>
  <Words>8227</Words>
  <Characters>8924</Characters>
  <Lines>86</Lines>
  <Paragraphs>98</Paragraphs>
  <TotalTime>29</TotalTime>
  <ScaleCrop>false</ScaleCrop>
  <LinksUpToDate>false</LinksUpToDate>
  <CharactersWithSpaces>9118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2020-10-16T09:42:00Z</dcterms:created>
  <dc:creator>唐冰</dc:creator>
  <cp:lastModifiedBy>青春正进行</cp:lastModifiedBy>
  <cp:lastPrinted>2020-04-02T08:20:00Z</cp:lastPrinted>
  <dcterms:modified xsi:type="dcterms:W3CDTF">2025-07-15T10:20:49Z</dcterms:modified>
  <dc:title>竞争性谈判文件规范</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A3C50DCCCF594BFCA4FDD1A8A4B819C6_13</vt:lpwstr>
  </property>
  <property fmtid="{D5CDD505-2E9C-101B-9397-08002B2CF9AE}" pid="4" name="KSOTemplateDocerSaveRecord">
    <vt:lpwstr>eyJoZGlkIjoiNjBjMGYxNWUzNDlkNzA4ZTU2YzZjODNkMzk3NjZlYzciLCJ1c2VySWQiOiI3NDczMzgyNTkifQ==</vt:lpwstr>
  </property>
</Properties>
</file>