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B332F">
      <w:pPr>
        <w:spacing w:before="165" w:beforeLines="50" w:line="360" w:lineRule="auto"/>
        <w:jc w:val="center"/>
        <w:rPr>
          <w:rFonts w:hint="eastAsia" w:ascii="宋体" w:hAnsi="宋体" w:eastAsia="宋体" w:cs="宋体"/>
          <w:color w:val="auto"/>
          <w:sz w:val="36"/>
          <w:szCs w:val="36"/>
          <w:highlight w:val="none"/>
        </w:rPr>
      </w:pPr>
    </w:p>
    <w:p w14:paraId="2E70F689">
      <w:pPr>
        <w:spacing w:before="165" w:beforeLines="50" w:line="360" w:lineRule="auto"/>
        <w:jc w:val="center"/>
        <w:rPr>
          <w:rFonts w:hint="eastAsia" w:ascii="宋体" w:hAnsi="宋体" w:eastAsia="宋体" w:cs="宋体"/>
          <w:color w:val="auto"/>
          <w:sz w:val="36"/>
          <w:szCs w:val="36"/>
          <w:highlight w:val="none"/>
        </w:rPr>
      </w:pPr>
    </w:p>
    <w:p w14:paraId="7E82CAE7">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bookmarkStart w:id="101" w:name="_GoBack"/>
      <w:bookmarkEnd w:id="101"/>
    </w:p>
    <w:p w14:paraId="1DDA8059">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（全流程电子化评标）</w:t>
      </w:r>
    </w:p>
    <w:p w14:paraId="6DB39858">
      <w:pPr>
        <w:spacing w:before="331" w:beforeLines="100" w:after="165" w:afterLines="50" w:line="360" w:lineRule="auto"/>
        <w:jc w:val="center"/>
        <w:rPr>
          <w:rFonts w:hint="eastAsia" w:ascii="宋体" w:hAnsi="宋体" w:eastAsia="宋体" w:cs="宋体"/>
          <w:color w:val="auto"/>
          <w:szCs w:val="21"/>
          <w:highlight w:val="none"/>
        </w:rPr>
      </w:pPr>
    </w:p>
    <w:p w14:paraId="5D49C790">
      <w:pPr>
        <w:spacing w:line="360" w:lineRule="auto"/>
        <w:rPr>
          <w:rFonts w:hint="eastAsia" w:ascii="宋体" w:hAnsi="宋体" w:eastAsia="宋体" w:cs="宋体"/>
          <w:b/>
          <w:color w:val="auto"/>
          <w:sz w:val="32"/>
          <w:szCs w:val="32"/>
          <w:highlight w:val="none"/>
        </w:rPr>
      </w:pPr>
    </w:p>
    <w:p w14:paraId="5F3251B5">
      <w:pPr>
        <w:spacing w:line="360" w:lineRule="auto"/>
        <w:jc w:val="center"/>
        <w:rPr>
          <w:rFonts w:hint="eastAsia" w:ascii="宋体" w:hAnsi="宋体" w:eastAsia="宋体" w:cs="宋体"/>
          <w:b/>
          <w:color w:val="auto"/>
          <w:sz w:val="32"/>
          <w:szCs w:val="32"/>
          <w:highlight w:val="none"/>
        </w:rPr>
      </w:pPr>
    </w:p>
    <w:p w14:paraId="544B032A">
      <w:pPr>
        <w:keepNext w:val="0"/>
        <w:keepLines w:val="0"/>
        <w:pageBreakBefore w:val="0"/>
        <w:widowControl w:val="0"/>
        <w:kinsoku/>
        <w:wordWrap/>
        <w:overflowPunct/>
        <w:topLinePunct w:val="0"/>
        <w:autoSpaceDE/>
        <w:autoSpaceDN/>
        <w:bidi w:val="0"/>
        <w:adjustRightInd/>
        <w:snapToGrid w:val="0"/>
        <w:spacing w:before="50" w:after="120" w:line="360" w:lineRule="auto"/>
        <w:ind w:left="2699" w:leftChars="568" w:right="0" w:rightChars="0" w:hanging="1506" w:hangingChars="5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cs="宋体"/>
          <w:b/>
          <w:bCs/>
          <w:color w:val="auto"/>
          <w:kern w:val="0"/>
          <w:sz w:val="30"/>
          <w:szCs w:val="30"/>
          <w:highlight w:val="none"/>
          <w:lang w:eastAsia="zh-CN"/>
        </w:rPr>
        <w:t>柳州市城中区五指山危岩地质灾害治理工程施工监理项目</w:t>
      </w:r>
    </w:p>
    <w:p w14:paraId="5CF64D24">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eastAsia="zh-CN"/>
        </w:rPr>
        <w:t>项目编号：LZZC2025-C3-020025-GXJD</w:t>
      </w:r>
    </w:p>
    <w:p w14:paraId="28104F10">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 购 人：</w:t>
      </w:r>
      <w:r>
        <w:rPr>
          <w:rFonts w:hint="eastAsia" w:ascii="宋体" w:hAnsi="宋体" w:cs="宋体"/>
          <w:b/>
          <w:bCs/>
          <w:color w:val="auto"/>
          <w:kern w:val="0"/>
          <w:sz w:val="30"/>
          <w:szCs w:val="30"/>
          <w:highlight w:val="none"/>
          <w:lang w:eastAsia="zh-CN"/>
        </w:rPr>
        <w:t>柳州市城中区自然资源局</w:t>
      </w:r>
    </w:p>
    <w:p w14:paraId="6AFB2B93">
      <w:pPr>
        <w:keepNext w:val="0"/>
        <w:keepLines w:val="0"/>
        <w:pageBreakBefore w:val="0"/>
        <w:widowControl w:val="0"/>
        <w:kinsoku/>
        <w:wordWrap/>
        <w:overflowPunct/>
        <w:topLinePunct w:val="0"/>
        <w:autoSpaceDE/>
        <w:autoSpaceDN/>
        <w:bidi w:val="0"/>
        <w:adjustRightInd/>
        <w:snapToGrid w:val="0"/>
        <w:spacing w:before="50" w:after="120" w:line="360" w:lineRule="auto"/>
        <w:ind w:right="0" w:rightChars="0" w:firstLine="1205" w:firstLineChars="400"/>
        <w:jc w:val="both"/>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广西嘉达工程咨询管理有限公司</w:t>
      </w:r>
    </w:p>
    <w:p w14:paraId="621CF8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p>
    <w:p w14:paraId="3187F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7</w:t>
      </w:r>
      <w:r>
        <w:rPr>
          <w:rFonts w:hint="eastAsia" w:ascii="宋体" w:hAnsi="宋体" w:eastAsia="宋体" w:cs="宋体"/>
          <w:b/>
          <w:bCs/>
          <w:color w:val="auto"/>
          <w:sz w:val="30"/>
          <w:szCs w:val="30"/>
          <w:highlight w:val="none"/>
          <w:lang w:val="en-US" w:eastAsia="zh-CN"/>
        </w:rPr>
        <w:t>月</w:t>
      </w:r>
    </w:p>
    <w:p w14:paraId="0E70EC7D">
      <w:pPr>
        <w:snapToGrid w:val="0"/>
        <w:spacing w:before="50" w:after="120" w:line="360" w:lineRule="auto"/>
        <w:ind w:firstLine="1125" w:firstLineChars="393"/>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rtlGutter w:val="0"/>
          <w:docGrid w:type="lines" w:linePitch="312" w:charSpace="0"/>
        </w:sectPr>
      </w:pPr>
    </w:p>
    <w:p w14:paraId="67D9B472">
      <w:pPr>
        <w:rPr>
          <w:rFonts w:hint="eastAsia" w:ascii="宋体" w:hAnsi="宋体" w:eastAsia="宋体" w:cs="宋体"/>
          <w:b/>
          <w:color w:val="auto"/>
          <w:sz w:val="44"/>
          <w:szCs w:val="44"/>
          <w:highlight w:val="none"/>
        </w:rPr>
      </w:pPr>
    </w:p>
    <w:p w14:paraId="2CFDC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B2D5527">
      <w:pPr>
        <w:spacing w:line="400" w:lineRule="exact"/>
        <w:jc w:val="center"/>
        <w:rPr>
          <w:rFonts w:hint="eastAsia" w:ascii="宋体" w:hAnsi="宋体" w:eastAsia="宋体" w:cs="宋体"/>
          <w:b/>
          <w:color w:val="auto"/>
          <w:sz w:val="44"/>
          <w:szCs w:val="44"/>
          <w:highlight w:val="none"/>
        </w:rPr>
      </w:pPr>
    </w:p>
    <w:p w14:paraId="6A2DBFFD">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_Toc21228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第一章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D9A9B">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_Toc5857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第二章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54687B">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 xml:space="preserve">第三章 </w:t>
      </w:r>
      <w:r>
        <w:rPr>
          <w:rFonts w:hint="eastAsia" w:ascii="宋体" w:hAnsi="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A93DCC">
      <w:pPr>
        <w:pStyle w:val="26"/>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_Toc15583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E6C0ED">
      <w:pPr>
        <w:pStyle w:val="26"/>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供应商须知正文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B1091D">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DB62B04">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EFD795">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8F49F0">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_Toc26182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四、评审及磋商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6F22A4">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五、成交及合同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B00795">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6435880">
      <w:pPr>
        <w:pStyle w:val="18"/>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2BA9F">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第四章  评审程序、评审方法和评审标准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B7BDDD">
      <w:pPr>
        <w:pStyle w:val="26"/>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第一节 评审程序和评审方法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B6189B1">
      <w:pPr>
        <w:pStyle w:val="26"/>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_Toc14052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_Toc14052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C9C073">
      <w:pPr>
        <w:pStyle w:val="26"/>
        <w:keepNext w:val="0"/>
        <w:keepLines w:val="0"/>
        <w:pageBreakBefore w:val="0"/>
        <w:widowControl w:val="0"/>
        <w:tabs>
          <w:tab w:val="right" w:leader="dot" w:pos="9638"/>
          <w:tab w:val="clear" w:pos="8296"/>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_Toc13089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第三节 评审过程的保密与录像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4C87C5">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 xml:space="preserve">第五章 </w:t>
      </w:r>
      <w:r>
        <w:rPr>
          <w:rFonts w:hint="eastAsia" w:ascii="宋体" w:hAnsi="宋体" w:cs="宋体"/>
          <w:bCs/>
          <w:color w:val="auto"/>
          <w:kern w:val="44"/>
          <w:sz w:val="24"/>
          <w:szCs w:val="24"/>
          <w:highlight w:val="none"/>
          <w:lang w:val="en-US" w:eastAsia="zh-CN"/>
        </w:rPr>
        <w:t xml:space="preserve"> </w:t>
      </w:r>
      <w:r>
        <w:rPr>
          <w:rFonts w:hint="eastAsia" w:ascii="宋体" w:hAnsi="宋体" w:eastAsia="宋体" w:cs="宋体"/>
          <w:bCs/>
          <w:color w:val="auto"/>
          <w:kern w:val="44"/>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42811DB">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rPr>
        <w:t>第六章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214955">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44"/>
          <w:sz w:val="24"/>
          <w:szCs w:val="24"/>
          <w:highlight w:val="none"/>
        </w:rPr>
        <w:t xml:space="preserve">第七章 </w:t>
      </w:r>
      <w:r>
        <w:rPr>
          <w:rFonts w:hint="eastAsia" w:ascii="宋体" w:hAnsi="宋体" w:cs="宋体"/>
          <w:bCs w:val="0"/>
          <w:color w:val="auto"/>
          <w:kern w:val="44"/>
          <w:sz w:val="24"/>
          <w:szCs w:val="24"/>
          <w:highlight w:val="none"/>
          <w:lang w:val="en-US" w:eastAsia="zh-CN"/>
        </w:rPr>
        <w:t xml:space="preserve"> </w:t>
      </w:r>
      <w:r>
        <w:rPr>
          <w:rFonts w:hint="eastAsia" w:ascii="宋体" w:hAnsi="宋体" w:eastAsia="宋体" w:cs="宋体"/>
          <w:bCs w:val="0"/>
          <w:color w:val="auto"/>
          <w:kern w:val="44"/>
          <w:sz w:val="24"/>
          <w:szCs w:val="24"/>
          <w:highlight w:val="none"/>
        </w:rPr>
        <w:t>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69AEB44">
      <w:pPr>
        <w:pStyle w:val="23"/>
        <w:keepNext w:val="0"/>
        <w:keepLines w:val="0"/>
        <w:pageBreakBefore w:val="0"/>
        <w:widowControl w:val="0"/>
        <w:tabs>
          <w:tab w:val="right" w:leader="dot" w:pos="9638"/>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第八章 </w:t>
      </w:r>
      <w:r>
        <w:rPr>
          <w:rFonts w:hint="eastAsia" w:ascii="宋体" w:hAnsi="宋体" w:cs="宋体"/>
          <w:bCs/>
          <w:color w:val="auto"/>
          <w:kern w:val="44"/>
          <w:sz w:val="24"/>
          <w:szCs w:val="24"/>
          <w:highlight w:val="none"/>
          <w:lang w:val="en-US" w:eastAsia="zh-CN" w:bidi="ar-SA"/>
        </w:rPr>
        <w:t xml:space="preserve"> </w:t>
      </w:r>
      <w:r>
        <w:rPr>
          <w:rFonts w:hint="eastAsia" w:ascii="宋体" w:hAnsi="宋体" w:eastAsia="宋体" w:cs="宋体"/>
          <w:bCs/>
          <w:color w:val="auto"/>
          <w:kern w:val="44"/>
          <w:sz w:val="24"/>
          <w:szCs w:val="24"/>
          <w:highlight w:val="none"/>
          <w:lang w:val="en-US" w:eastAsia="zh-CN" w:bidi="ar-SA"/>
        </w:rPr>
        <w:t>政府采购合同验收书范本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985D1">
      <w:pPr>
        <w:keepNext w:val="0"/>
        <w:keepLines w:val="0"/>
        <w:pageBreakBefore w:val="0"/>
        <w:widowControl w:val="0"/>
        <w:tabs>
          <w:tab w:val="right" w:leader="dot" w:pos="8296"/>
          <w:tab w:val="right" w:leader="dot" w:pos="8647"/>
        </w:tabs>
        <w:kinsoku/>
        <w:wordWrap/>
        <w:overflowPunct/>
        <w:topLinePunct w:val="0"/>
        <w:autoSpaceDE/>
        <w:autoSpaceDN/>
        <w:bidi w:val="0"/>
        <w:adjustRightInd/>
        <w:snapToGrid w:val="0"/>
        <w:spacing w:line="360" w:lineRule="auto"/>
        <w:ind w:right="231" w:rightChars="11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fldChar w:fldCharType="end"/>
      </w:r>
    </w:p>
    <w:p w14:paraId="7A51CE22">
      <w:pPr>
        <w:spacing w:line="400" w:lineRule="exact"/>
        <w:jc w:val="left"/>
        <w:rPr>
          <w:rFonts w:hint="eastAsia" w:ascii="宋体" w:hAnsi="宋体" w:eastAsia="宋体" w:cs="宋体"/>
          <w:b/>
          <w:color w:val="auto"/>
          <w:sz w:val="32"/>
          <w:szCs w:val="32"/>
          <w:highlight w:val="none"/>
        </w:rPr>
      </w:pPr>
    </w:p>
    <w:p w14:paraId="61CAB792">
      <w:pPr>
        <w:spacing w:line="400" w:lineRule="exact"/>
        <w:rPr>
          <w:rFonts w:hint="eastAsia" w:ascii="宋体" w:hAnsi="宋体" w:eastAsia="宋体" w:cs="宋体"/>
          <w:b/>
          <w:color w:val="auto"/>
          <w:sz w:val="32"/>
          <w:szCs w:val="32"/>
          <w:highlight w:val="none"/>
        </w:rPr>
        <w:sectPr>
          <w:pgSz w:w="11906" w:h="16838"/>
          <w:pgMar w:top="1440" w:right="1080" w:bottom="1440" w:left="1080" w:header="851" w:footer="992" w:gutter="0"/>
          <w:pgNumType w:start="0"/>
          <w:cols w:space="720" w:num="1"/>
          <w:titlePg/>
          <w:rtlGutter w:val="0"/>
          <w:docGrid w:type="lines" w:linePitch="312" w:charSpace="0"/>
        </w:sectPr>
      </w:pPr>
    </w:p>
    <w:p w14:paraId="7D317D75">
      <w:pPr>
        <w:spacing w:line="360" w:lineRule="auto"/>
        <w:ind w:firstLine="643" w:firstLineChars="200"/>
        <w:jc w:val="center"/>
        <w:outlineLvl w:val="0"/>
        <w:rPr>
          <w:rFonts w:hint="eastAsia" w:ascii="宋体" w:hAnsi="宋体" w:eastAsia="宋体" w:cs="宋体"/>
          <w:b/>
          <w:color w:val="auto"/>
          <w:kern w:val="44"/>
          <w:sz w:val="32"/>
          <w:szCs w:val="32"/>
          <w:highlight w:val="none"/>
        </w:rPr>
      </w:pPr>
      <w:bookmarkStart w:id="0" w:name="_Toc21228"/>
      <w:r>
        <w:rPr>
          <w:rFonts w:hint="eastAsia" w:ascii="宋体" w:hAnsi="宋体" w:eastAsia="宋体" w:cs="宋体"/>
          <w:b/>
          <w:color w:val="auto"/>
          <w:kern w:val="44"/>
          <w:sz w:val="32"/>
          <w:szCs w:val="32"/>
          <w:highlight w:val="none"/>
        </w:rPr>
        <w:t xml:space="preserve">第一章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竞争性磋商公告</w:t>
      </w:r>
      <w:bookmarkEnd w:id="0"/>
      <w:bookmarkStart w:id="1" w:name="_Toc35393629"/>
      <w:bookmarkStart w:id="2" w:name="_Toc44229878"/>
      <w:bookmarkStart w:id="3" w:name="_Toc35393798"/>
      <w:bookmarkStart w:id="4" w:name="_Toc28359012"/>
      <w:bookmarkStart w:id="5" w:name="_Toc28359089"/>
      <w:bookmarkStart w:id="6" w:name="_Toc28359004"/>
      <w:bookmarkStart w:id="7" w:name="_Toc35393792"/>
      <w:bookmarkStart w:id="8" w:name="_Toc35393623"/>
      <w:bookmarkStart w:id="9" w:name="_Toc28359081"/>
    </w:p>
    <w:p w14:paraId="090BCE3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60E927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50" w:firstLineChars="250"/>
        <w:textAlignment w:val="auto"/>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柳州市城中区五指山危岩地质灾害治理工程施工监理项目</w:t>
      </w:r>
      <w:r>
        <w:rPr>
          <w:rFonts w:hint="eastAsia" w:ascii="宋体" w:hAnsi="宋体" w:eastAsia="宋体" w:cs="宋体"/>
          <w:color w:val="auto"/>
          <w:sz w:val="22"/>
          <w:szCs w:val="22"/>
          <w:highlight w:val="none"/>
        </w:rPr>
        <w:t>的潜在供应商应在广西政府采购云平台（https://www.gcy.zfcg.gxzf.gov.cn/）获取采购文件</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并于</w:t>
      </w:r>
      <w:r>
        <w:rPr>
          <w:rFonts w:hint="eastAsia" w:ascii="宋体" w:hAnsi="宋体" w:cs="宋体"/>
          <w:color w:val="auto"/>
          <w:sz w:val="22"/>
          <w:szCs w:val="22"/>
          <w:highlight w:val="none"/>
          <w:u w:val="single"/>
          <w:lang w:val="en-US" w:eastAsia="zh-CN"/>
        </w:rPr>
        <w:t>2025</w:t>
      </w:r>
      <w:r>
        <w:rPr>
          <w:rFonts w:hint="eastAsia" w:ascii="宋体" w:hAnsi="宋体" w:cs="宋体"/>
          <w:color w:val="auto"/>
          <w:sz w:val="22"/>
          <w:szCs w:val="22"/>
          <w:highlight w:val="none"/>
          <w:u w:val="single"/>
          <w:lang w:eastAsia="zh-CN"/>
        </w:rPr>
        <w:t>年</w:t>
      </w:r>
      <w:r>
        <w:rPr>
          <w:rFonts w:hint="eastAsia" w:ascii="宋体" w:hAnsi="宋体" w:cs="宋体"/>
          <w:color w:val="auto"/>
          <w:sz w:val="22"/>
          <w:szCs w:val="22"/>
          <w:highlight w:val="none"/>
          <w:u w:val="single"/>
          <w:lang w:val="en-US" w:eastAsia="zh-CN"/>
        </w:rPr>
        <w:t>8</w:t>
      </w:r>
      <w:r>
        <w:rPr>
          <w:rFonts w:hint="eastAsia" w:ascii="宋体" w:hAnsi="宋体" w:cs="宋体"/>
          <w:color w:val="auto"/>
          <w:sz w:val="22"/>
          <w:szCs w:val="22"/>
          <w:highlight w:val="none"/>
          <w:u w:val="single"/>
          <w:lang w:eastAsia="zh-CN"/>
        </w:rPr>
        <w:t>月</w:t>
      </w:r>
      <w:r>
        <w:rPr>
          <w:rFonts w:hint="eastAsia" w:ascii="宋体" w:hAnsi="宋体" w:cs="宋体"/>
          <w:color w:val="auto"/>
          <w:sz w:val="22"/>
          <w:szCs w:val="22"/>
          <w:highlight w:val="none"/>
          <w:u w:val="single"/>
          <w:lang w:val="en-US" w:eastAsia="zh-CN"/>
        </w:rPr>
        <w:t>12</w:t>
      </w:r>
      <w:r>
        <w:rPr>
          <w:rFonts w:hint="eastAsia" w:ascii="宋体" w:hAnsi="宋体" w:cs="宋体"/>
          <w:color w:val="auto"/>
          <w:sz w:val="22"/>
          <w:szCs w:val="22"/>
          <w:highlight w:val="none"/>
          <w:u w:val="single"/>
          <w:lang w:eastAsia="zh-CN"/>
        </w:rPr>
        <w:t>日</w:t>
      </w:r>
      <w:r>
        <w:rPr>
          <w:rFonts w:hint="eastAsia" w:ascii="宋体" w:hAnsi="宋体" w:eastAsia="宋体" w:cs="宋体"/>
          <w:color w:val="auto"/>
          <w:sz w:val="22"/>
          <w:szCs w:val="22"/>
          <w:highlight w:val="none"/>
          <w:u w:val="single"/>
        </w:rPr>
        <w:t>09:</w:t>
      </w:r>
      <w:r>
        <w:rPr>
          <w:rFonts w:hint="eastAsia" w:ascii="宋体" w:hAnsi="宋体" w:cs="宋体"/>
          <w:color w:val="auto"/>
          <w:sz w:val="22"/>
          <w:szCs w:val="22"/>
          <w:highlight w:val="none"/>
          <w:u w:val="single"/>
          <w:lang w:val="en-US" w:eastAsia="zh-CN"/>
        </w:rPr>
        <w:t>20</w:t>
      </w:r>
      <w:r>
        <w:rPr>
          <w:rFonts w:hint="eastAsia" w:ascii="宋体" w:hAnsi="宋体" w:eastAsia="宋体" w:cs="宋体"/>
          <w:bCs/>
          <w:color w:val="auto"/>
          <w:sz w:val="22"/>
          <w:szCs w:val="22"/>
          <w:highlight w:val="none"/>
        </w:rPr>
        <w:t>（北京时间）前</w:t>
      </w:r>
      <w:r>
        <w:rPr>
          <w:rFonts w:hint="eastAsia" w:ascii="宋体" w:hAnsi="宋体" w:eastAsia="宋体" w:cs="宋体"/>
          <w:color w:val="auto"/>
          <w:sz w:val="22"/>
          <w:szCs w:val="22"/>
          <w:highlight w:val="none"/>
        </w:rPr>
        <w:t>递交（上传）响应文件。</w:t>
      </w:r>
    </w:p>
    <w:p w14:paraId="38E8EEB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一、项目基本情况</w:t>
      </w:r>
      <w:bookmarkEnd w:id="1"/>
      <w:bookmarkEnd w:id="2"/>
      <w:bookmarkEnd w:id="3"/>
      <w:bookmarkEnd w:id="4"/>
      <w:bookmarkEnd w:id="5"/>
    </w:p>
    <w:p w14:paraId="5E27B06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项目编号：LZZC2025-C3-020025-GXJD</w:t>
      </w:r>
    </w:p>
    <w:p w14:paraId="0D60A19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柳州市城中区五指山危岩地质灾害治理工程施工监理项目</w:t>
      </w:r>
    </w:p>
    <w:p w14:paraId="37E1A79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采购方式：竞争性磋商</w:t>
      </w:r>
    </w:p>
    <w:p w14:paraId="36D0408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预算总金额（元）：</w:t>
      </w:r>
      <w:r>
        <w:rPr>
          <w:rFonts w:hint="eastAsia" w:ascii="宋体" w:hAnsi="宋体" w:cs="宋体"/>
          <w:color w:val="auto"/>
          <w:sz w:val="22"/>
          <w:szCs w:val="22"/>
          <w:highlight w:val="none"/>
          <w:lang w:eastAsia="zh-CN"/>
        </w:rPr>
        <w:t>553254.00</w:t>
      </w:r>
    </w:p>
    <w:p w14:paraId="0546D8F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p w14:paraId="358DCE2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p>
    <w:p w14:paraId="787079F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：柳州市城中区五指山危岩地质灾害治理工程施工监理项目</w:t>
      </w:r>
    </w:p>
    <w:p w14:paraId="05C3F22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数量：1项</w:t>
      </w:r>
    </w:p>
    <w:p w14:paraId="0F1C48F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预算金额（元）：</w:t>
      </w:r>
      <w:r>
        <w:rPr>
          <w:rFonts w:hint="eastAsia" w:ascii="仿宋" w:hAnsi="仿宋" w:eastAsia="仿宋" w:cs="仿宋"/>
          <w:color w:val="auto"/>
          <w:sz w:val="22"/>
          <w:szCs w:val="22"/>
          <w:highlight w:val="none"/>
          <w:lang w:eastAsia="zh-CN"/>
        </w:rPr>
        <w:t>553254.00</w:t>
      </w:r>
    </w:p>
    <w:p w14:paraId="64FD53B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简要规格描述或项目基本概况介绍、用途：柳州市城中区五指山危岩地质灾害治理工程施工监理1项</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具体内容详见采购文件第二章《采购需求》。</w:t>
      </w:r>
    </w:p>
    <w:p w14:paraId="2E2782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最高限价</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w:t>
      </w:r>
    </w:p>
    <w:p w14:paraId="3863F4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合同履行期限：170日历天</w:t>
      </w:r>
      <w:r>
        <w:rPr>
          <w:rFonts w:hint="eastAsia" w:ascii="仿宋" w:hAnsi="仿宋" w:eastAsia="仿宋" w:cs="仿宋"/>
          <w:color w:val="auto"/>
          <w:sz w:val="22"/>
          <w:szCs w:val="22"/>
          <w:highlight w:val="none"/>
        </w:rPr>
        <w:t>。</w:t>
      </w:r>
    </w:p>
    <w:p w14:paraId="54E5CDD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rPr>
        <w:t>本标项</w:t>
      </w:r>
      <w:r>
        <w:rPr>
          <w:rFonts w:hint="eastAsia" w:ascii="仿宋" w:hAnsi="仿宋" w:eastAsia="仿宋" w:cs="仿宋"/>
          <w:color w:val="auto"/>
          <w:sz w:val="22"/>
          <w:szCs w:val="22"/>
          <w:highlight w:val="none"/>
          <w:u w:val="none"/>
        </w:rPr>
        <w:t>（否）接受联合体投标</w:t>
      </w:r>
    </w:p>
    <w:p w14:paraId="02E3D7BF">
      <w:pPr>
        <w:pStyle w:val="3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2"/>
          <w:szCs w:val="22"/>
          <w:highlight w:val="none"/>
          <w:lang w:val="en-US" w:eastAsia="zh-CN"/>
        </w:rPr>
      </w:pPr>
      <w:r>
        <w:rPr>
          <w:rFonts w:hint="eastAsia" w:ascii="仿宋" w:hAnsi="仿宋" w:eastAsia="仿宋" w:cs="仿宋"/>
          <w:color w:val="auto"/>
          <w:sz w:val="22"/>
          <w:szCs w:val="22"/>
          <w:highlight w:val="none"/>
          <w:u w:val="none"/>
          <w:lang w:val="en-US" w:eastAsia="zh-CN"/>
        </w:rPr>
        <w:t>备注：本项目为线上电子招标项目</w:t>
      </w:r>
      <w:r>
        <w:rPr>
          <w:rFonts w:hint="eastAsia" w:ascii="仿宋" w:hAnsi="仿宋" w:cs="仿宋"/>
          <w:color w:val="auto"/>
          <w:sz w:val="22"/>
          <w:szCs w:val="22"/>
          <w:highlight w:val="none"/>
          <w:u w:val="none"/>
          <w:lang w:val="en-US" w:eastAsia="zh-CN"/>
        </w:rPr>
        <w:t>，</w:t>
      </w:r>
      <w:r>
        <w:rPr>
          <w:rFonts w:hint="eastAsia" w:ascii="仿宋" w:hAnsi="仿宋" w:eastAsia="仿宋" w:cs="仿宋"/>
          <w:color w:val="auto"/>
          <w:sz w:val="22"/>
          <w:szCs w:val="22"/>
          <w:highlight w:val="none"/>
          <w:u w:val="none"/>
          <w:lang w:val="en-US" w:eastAsia="zh-CN"/>
        </w:rPr>
        <w:t>采用远程异地评标</w:t>
      </w:r>
      <w:r>
        <w:rPr>
          <w:rFonts w:hint="eastAsia" w:ascii="仿宋" w:hAnsi="仿宋" w:cs="仿宋"/>
          <w:color w:val="auto"/>
          <w:sz w:val="22"/>
          <w:szCs w:val="22"/>
          <w:highlight w:val="none"/>
          <w:u w:val="none"/>
          <w:lang w:val="en-US" w:eastAsia="zh-CN"/>
        </w:rPr>
        <w:t>，</w:t>
      </w:r>
      <w:r>
        <w:rPr>
          <w:rFonts w:hint="eastAsia" w:ascii="仿宋" w:hAnsi="仿宋" w:eastAsia="仿宋" w:cs="仿宋"/>
          <w:color w:val="auto"/>
          <w:sz w:val="22"/>
          <w:szCs w:val="22"/>
          <w:highlight w:val="none"/>
          <w:u w:val="none"/>
          <w:lang w:val="en-US" w:eastAsia="zh-CN"/>
        </w:rPr>
        <w:t>有意向参与本项目的供应商应当做好参与全流程电子招投标交易的充分准备。</w:t>
      </w:r>
    </w:p>
    <w:p w14:paraId="6D689671">
      <w:pPr>
        <w:rPr>
          <w:rFonts w:hint="eastAsia" w:ascii="宋体" w:hAnsi="宋体" w:eastAsia="宋体" w:cs="宋体"/>
          <w:sz w:val="22"/>
          <w:szCs w:val="22"/>
          <w:highlight w:val="none"/>
        </w:rPr>
      </w:pPr>
      <w:bookmarkStart w:id="10" w:name="_Toc44229879"/>
      <w:bookmarkStart w:id="11" w:name="_Toc35393799"/>
      <w:bookmarkStart w:id="12" w:name="_Toc35393630"/>
      <w:bookmarkStart w:id="13" w:name="_Toc28359090"/>
      <w:bookmarkStart w:id="14" w:name="_Toc28359013"/>
    </w:p>
    <w:p w14:paraId="5B3C2E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二、申请人的资格条件</w:t>
      </w:r>
      <w:bookmarkEnd w:id="10"/>
      <w:bookmarkEnd w:id="11"/>
      <w:bookmarkEnd w:id="12"/>
      <w:bookmarkEnd w:id="13"/>
      <w:bookmarkEnd w:id="14"/>
    </w:p>
    <w:p w14:paraId="6AEB72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1.满足《中华人民共和国政府采购法》第二十二条规定</w:t>
      </w:r>
      <w:r>
        <w:rPr>
          <w:rFonts w:hint="eastAsia" w:ascii="宋体" w:hAnsi="宋体" w:cs="宋体"/>
          <w:color w:val="auto"/>
          <w:sz w:val="22"/>
          <w:szCs w:val="22"/>
          <w:highlight w:val="none"/>
          <w:lang w:eastAsia="zh-CN"/>
        </w:rPr>
        <w:t>。</w:t>
      </w:r>
    </w:p>
    <w:p w14:paraId="1457327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2.落实政府采购政策需满足的资格要求：本项目属于专门面向中小企业采购的项目，监狱企业、残疾人福利单位视同小型、微型企业；中小企业须符合本项目采购标的所属行业对应的中小企业划分标准</w:t>
      </w:r>
      <w:r>
        <w:rPr>
          <w:rFonts w:hint="eastAsia" w:ascii="宋体" w:hAnsi="宋体" w:cs="宋体"/>
          <w:color w:val="auto"/>
          <w:sz w:val="22"/>
          <w:szCs w:val="22"/>
          <w:highlight w:val="none"/>
          <w:lang w:val="en-US" w:eastAsia="zh-CN"/>
        </w:rPr>
        <w:t>。</w:t>
      </w:r>
    </w:p>
    <w:p w14:paraId="57679A1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3.本项目的特定资格要求：</w:t>
      </w:r>
      <w:r>
        <w:rPr>
          <w:rFonts w:hint="eastAsia" w:ascii="宋体" w:hAnsi="宋体" w:cs="宋体"/>
          <w:color w:val="auto"/>
          <w:sz w:val="22"/>
          <w:szCs w:val="22"/>
          <w:highlight w:val="none"/>
          <w:lang w:eastAsia="zh-CN"/>
        </w:rPr>
        <w:t>供应商须具备国内注册(指按国家有关规定要求注册的)地质灾害治理工程监理甲级资质证书，拟派总监理工程师具有</w:t>
      </w:r>
      <w:r>
        <w:rPr>
          <w:rFonts w:hint="eastAsia" w:ascii="宋体" w:hAnsi="宋体" w:eastAsia="宋体" w:cs="宋体"/>
          <w:spacing w:val="3"/>
          <w:sz w:val="21"/>
          <w:szCs w:val="21"/>
          <w:highlight w:val="none"/>
        </w:rPr>
        <w:t>水工环或地质工程或岩土工程类等相关专业高级以上（含）技术职称</w:t>
      </w:r>
      <w:r>
        <w:rPr>
          <w:rFonts w:hint="eastAsia" w:ascii="宋体" w:hAnsi="宋体" w:eastAsia="宋体" w:cs="宋体"/>
          <w:spacing w:val="3"/>
          <w:sz w:val="21"/>
          <w:szCs w:val="21"/>
          <w:highlight w:val="none"/>
          <w:lang w:val="en-US" w:eastAsia="zh-CN"/>
        </w:rPr>
        <w:t>及</w:t>
      </w:r>
      <w:r>
        <w:rPr>
          <w:rFonts w:hint="default" w:ascii="Times New Roman" w:hAnsi="Times New Roman" w:eastAsia="宋体" w:cs="Times New Roman"/>
          <w:b w:val="0"/>
          <w:bCs/>
          <w:color w:val="auto"/>
          <w:sz w:val="21"/>
          <w:szCs w:val="21"/>
          <w:highlight w:val="none"/>
        </w:rPr>
        <w:t>地质灾害治理工程监理培训证书（</w:t>
      </w:r>
      <w:r>
        <w:rPr>
          <w:rFonts w:hint="eastAsia" w:ascii="Times New Roman" w:hAnsi="Times New Roman" w:eastAsia="宋体" w:cs="Times New Roman"/>
          <w:b w:val="0"/>
          <w:bCs/>
          <w:color w:val="auto"/>
          <w:sz w:val="21"/>
          <w:szCs w:val="21"/>
          <w:highlight w:val="none"/>
          <w:lang w:eastAsia="zh-CN"/>
        </w:rPr>
        <w:t>中国地质灾害防治工程行业协会或中国地质灾害防治与生态修复协会颁发</w:t>
      </w:r>
      <w:r>
        <w:rPr>
          <w:rFonts w:hint="default" w:ascii="Times New Roman" w:hAnsi="Times New Roman" w:eastAsia="宋体" w:cs="Times New Roman"/>
          <w:b w:val="0"/>
          <w:bCs/>
          <w:color w:val="auto"/>
          <w:sz w:val="21"/>
          <w:szCs w:val="21"/>
          <w:highlight w:val="none"/>
        </w:rPr>
        <w:t>）</w:t>
      </w:r>
      <w:r>
        <w:rPr>
          <w:rFonts w:hint="eastAsia" w:ascii="宋体" w:hAnsi="宋体" w:cs="宋体"/>
          <w:color w:val="auto"/>
          <w:sz w:val="22"/>
          <w:szCs w:val="22"/>
          <w:highlight w:val="none"/>
          <w:lang w:eastAsia="zh-CN"/>
        </w:rPr>
        <w:t>。</w:t>
      </w:r>
    </w:p>
    <w:p w14:paraId="02946C4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三、获取竞争性磋商文件</w:t>
      </w:r>
      <w:bookmarkEnd w:id="6"/>
      <w:bookmarkEnd w:id="7"/>
      <w:bookmarkEnd w:id="8"/>
      <w:bookmarkEnd w:id="9"/>
    </w:p>
    <w:p w14:paraId="745C507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bookmarkStart w:id="15" w:name="_Toc28359082"/>
      <w:bookmarkStart w:id="16" w:name="_Toc35393793"/>
      <w:bookmarkStart w:id="17" w:name="_Toc35393624"/>
      <w:bookmarkStart w:id="18" w:name="_Toc28359005"/>
      <w:r>
        <w:rPr>
          <w:rFonts w:hint="eastAsia" w:ascii="宋体" w:hAnsi="宋体" w:eastAsia="宋体" w:cs="宋体"/>
          <w:color w:val="auto"/>
          <w:sz w:val="22"/>
          <w:szCs w:val="22"/>
          <w:highlight w:val="none"/>
        </w:rPr>
        <w:t>时间：</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28</w:t>
      </w:r>
      <w:r>
        <w:rPr>
          <w:rFonts w:hint="eastAsia" w:ascii="宋体" w:hAnsi="宋体" w:eastAsia="宋体" w:cs="宋体"/>
          <w:color w:val="auto"/>
          <w:sz w:val="22"/>
          <w:szCs w:val="22"/>
          <w:highlight w:val="none"/>
          <w:u w:val="none"/>
        </w:rPr>
        <w:t>日至</w:t>
      </w:r>
      <w:r>
        <w:rPr>
          <w:rFonts w:hint="eastAsia" w:ascii="宋体" w:hAnsi="宋体" w:cs="宋体"/>
          <w:color w:val="auto"/>
          <w:sz w:val="22"/>
          <w:szCs w:val="22"/>
          <w:highlight w:val="none"/>
          <w:u w:val="none"/>
          <w:lang w:val="en-US" w:eastAsia="zh-CN"/>
        </w:rPr>
        <w:t>2025</w:t>
      </w:r>
      <w:r>
        <w:rPr>
          <w:rFonts w:hint="eastAsia" w:ascii="宋体" w:hAnsi="宋体" w:eastAsia="宋体" w:cs="宋体"/>
          <w:color w:val="auto"/>
          <w:sz w:val="22"/>
          <w:szCs w:val="22"/>
          <w:highlight w:val="none"/>
          <w:u w:val="none"/>
        </w:rPr>
        <w:t>年</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lang w:val="en-US" w:eastAsia="zh-CN"/>
        </w:rPr>
        <w:t>月</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日</w:t>
      </w:r>
      <w:r>
        <w:rPr>
          <w:rFonts w:hint="eastAsia" w:ascii="宋体" w:hAnsi="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每天上</w:t>
      </w:r>
      <w:r>
        <w:rPr>
          <w:rFonts w:hint="eastAsia" w:ascii="宋体" w:hAnsi="宋体" w:eastAsia="宋体" w:cs="宋体"/>
          <w:color w:val="auto"/>
          <w:sz w:val="22"/>
          <w:szCs w:val="22"/>
          <w:highlight w:val="none"/>
        </w:rPr>
        <w:t>午00:00至12:00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下午12:00至23:59（北京时间</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法定节假日除外）。</w:t>
      </w:r>
    </w:p>
    <w:p w14:paraId="79971B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地点（网址）：广西政府采购云平台线上获取</w:t>
      </w:r>
    </w:p>
    <w:p w14:paraId="4A5ACD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bCs/>
          <w:color w:val="auto"/>
          <w:sz w:val="22"/>
          <w:szCs w:val="22"/>
          <w:highlight w:val="none"/>
          <w:lang w:val="en-US"/>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eastAsia="zh-CN"/>
        </w:rPr>
        <w:t>：供应商登录广西政府采购云平台https://www.gcy.zfcg.gxzf.gov.cn/在线申请获取采购文件（进入“项目采购”应用</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在获取采购文件菜单中选择项目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申请获取采购文件）</w:t>
      </w:r>
    </w:p>
    <w:p w14:paraId="52BE50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w:t>
      </w:r>
    </w:p>
    <w:p w14:paraId="4E4FF1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响应文件提交</w:t>
      </w:r>
    </w:p>
    <w:p w14:paraId="4CBCBBD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截止时间：</w:t>
      </w:r>
      <w:r>
        <w:rPr>
          <w:rFonts w:hint="eastAsia" w:ascii="宋体" w:hAnsi="宋体" w:cs="宋体"/>
          <w:color w:val="auto"/>
          <w:kern w:val="0"/>
          <w:sz w:val="22"/>
          <w:szCs w:val="22"/>
          <w:highlight w:val="none"/>
          <w:lang w:val="en-US" w:eastAsia="zh-CN"/>
        </w:rPr>
        <w:t>2025</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12</w:t>
      </w:r>
      <w:r>
        <w:rPr>
          <w:rFonts w:hint="eastAsia" w:ascii="宋体" w:hAnsi="宋体" w:cs="宋体"/>
          <w:color w:val="auto"/>
          <w:kern w:val="0"/>
          <w:sz w:val="22"/>
          <w:szCs w:val="22"/>
          <w:highlight w:val="none"/>
          <w:lang w:eastAsia="zh-CN"/>
        </w:rPr>
        <w:t>日</w:t>
      </w:r>
      <w:r>
        <w:rPr>
          <w:rFonts w:hint="eastAsia" w:ascii="宋体" w:hAnsi="宋体" w:eastAsia="宋体" w:cs="宋体"/>
          <w:color w:val="auto"/>
          <w:kern w:val="0"/>
          <w:sz w:val="22"/>
          <w:szCs w:val="22"/>
          <w:highlight w:val="none"/>
          <w:lang w:eastAsia="zh-CN"/>
        </w:rPr>
        <w:t>09:</w:t>
      </w:r>
      <w:r>
        <w:rPr>
          <w:rFonts w:hint="eastAsia" w:ascii="宋体" w:hAnsi="宋体" w:cs="宋体"/>
          <w:color w:val="auto"/>
          <w:kern w:val="0"/>
          <w:sz w:val="22"/>
          <w:szCs w:val="22"/>
          <w:highlight w:val="none"/>
          <w:lang w:eastAsia="zh-CN"/>
        </w:rPr>
        <w:t>20</w:t>
      </w:r>
      <w:r>
        <w:rPr>
          <w:rFonts w:hint="eastAsia" w:ascii="宋体" w:hAnsi="宋体" w:eastAsia="宋体" w:cs="宋体"/>
          <w:color w:val="auto"/>
          <w:kern w:val="0"/>
          <w:sz w:val="22"/>
          <w:szCs w:val="22"/>
          <w:highlight w:val="none"/>
          <w:lang w:eastAsia="zh-CN"/>
        </w:rPr>
        <w:t>（北京时间）</w:t>
      </w:r>
    </w:p>
    <w:p w14:paraId="2ADBBF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地点（网址）：请登录广西政府采购云平台投标客户端投标</w:t>
      </w:r>
    </w:p>
    <w:p w14:paraId="565615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五、响应文件开启</w:t>
      </w:r>
    </w:p>
    <w:p w14:paraId="2684C34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开启时间：</w:t>
      </w:r>
      <w:r>
        <w:rPr>
          <w:rFonts w:hint="eastAsia" w:ascii="宋体" w:hAnsi="宋体" w:cs="宋体"/>
          <w:color w:val="auto"/>
          <w:kern w:val="0"/>
          <w:sz w:val="22"/>
          <w:szCs w:val="22"/>
          <w:highlight w:val="none"/>
          <w:lang w:val="en-US" w:eastAsia="zh-CN"/>
        </w:rPr>
        <w:t>2025</w:t>
      </w:r>
      <w:r>
        <w:rPr>
          <w:rFonts w:hint="eastAsia" w:ascii="宋体" w:hAnsi="宋体" w:cs="宋体"/>
          <w:color w:val="auto"/>
          <w:kern w:val="0"/>
          <w:sz w:val="22"/>
          <w:szCs w:val="22"/>
          <w:highlight w:val="none"/>
          <w:lang w:eastAsia="zh-CN"/>
        </w:rPr>
        <w:t>年</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12</w:t>
      </w:r>
      <w:r>
        <w:rPr>
          <w:rFonts w:hint="eastAsia" w:ascii="宋体" w:hAnsi="宋体" w:cs="宋体"/>
          <w:color w:val="auto"/>
          <w:kern w:val="0"/>
          <w:sz w:val="22"/>
          <w:szCs w:val="22"/>
          <w:highlight w:val="none"/>
          <w:lang w:eastAsia="zh-CN"/>
        </w:rPr>
        <w:t>日</w:t>
      </w:r>
      <w:r>
        <w:rPr>
          <w:rFonts w:hint="eastAsia" w:ascii="宋体" w:hAnsi="宋体" w:eastAsia="宋体" w:cs="宋体"/>
          <w:bCs/>
          <w:color w:val="auto"/>
          <w:sz w:val="22"/>
          <w:szCs w:val="22"/>
          <w:highlight w:val="none"/>
          <w:u w:val="none"/>
        </w:rPr>
        <w:t>09:</w:t>
      </w:r>
      <w:r>
        <w:rPr>
          <w:rFonts w:hint="eastAsia" w:ascii="宋体" w:hAnsi="宋体" w:cs="宋体"/>
          <w:bCs/>
          <w:color w:val="auto"/>
          <w:sz w:val="22"/>
          <w:szCs w:val="22"/>
          <w:highlight w:val="none"/>
          <w:u w:val="none"/>
          <w:lang w:eastAsia="zh-CN"/>
        </w:rPr>
        <w:t>20</w:t>
      </w:r>
      <w:r>
        <w:rPr>
          <w:rFonts w:hint="eastAsia" w:ascii="宋体" w:hAnsi="宋体" w:eastAsia="宋体" w:cs="宋体"/>
          <w:spacing w:val="3"/>
          <w:sz w:val="22"/>
          <w:szCs w:val="22"/>
          <w:highlight w:val="none"/>
        </w:rPr>
        <w:t>（北京时间）</w:t>
      </w:r>
    </w:p>
    <w:p w14:paraId="7A99C2F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2"/>
          <w:szCs w:val="22"/>
          <w:highlight w:val="none"/>
          <w:u w:val="none"/>
        </w:rPr>
        <w:t>开标地点：请登录广西政府采购云平台投标客户端投标</w:t>
      </w:r>
      <w:r>
        <w:rPr>
          <w:rFonts w:hint="eastAsia" w:ascii="宋体" w:hAnsi="宋体" w:eastAsia="宋体" w:cs="宋体"/>
          <w:spacing w:val="10"/>
          <w:sz w:val="22"/>
          <w:szCs w:val="22"/>
          <w:highlight w:val="none"/>
        </w:rPr>
        <w:t>。</w:t>
      </w:r>
    </w:p>
    <w:p w14:paraId="338EBE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19" w:name="_Toc35393794"/>
      <w:bookmarkStart w:id="20" w:name="_Toc35393625"/>
      <w:bookmarkStart w:id="21" w:name="_Toc28359084"/>
      <w:bookmarkStart w:id="22" w:name="_Toc28359007"/>
      <w:r>
        <w:rPr>
          <w:rFonts w:hint="eastAsia" w:ascii="宋体" w:hAnsi="宋体" w:eastAsia="宋体" w:cs="宋体"/>
          <w:b/>
          <w:bCs/>
          <w:color w:val="auto"/>
          <w:sz w:val="22"/>
          <w:szCs w:val="22"/>
          <w:highlight w:val="none"/>
        </w:rPr>
        <w:t>六、公告期限</w:t>
      </w:r>
      <w:bookmarkEnd w:id="19"/>
      <w:bookmarkEnd w:id="20"/>
      <w:bookmarkEnd w:id="21"/>
      <w:bookmarkEnd w:id="22"/>
    </w:p>
    <w:p w14:paraId="40304F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u w:val="none"/>
          <w:lang w:val="en-US" w:eastAsia="zh-CN"/>
        </w:rPr>
        <w:t>5</w:t>
      </w:r>
      <w:r>
        <w:rPr>
          <w:rFonts w:hint="eastAsia" w:ascii="宋体" w:hAnsi="宋体" w:eastAsia="宋体" w:cs="宋体"/>
          <w:color w:val="auto"/>
          <w:kern w:val="0"/>
          <w:sz w:val="22"/>
          <w:szCs w:val="22"/>
          <w:highlight w:val="none"/>
        </w:rPr>
        <w:t>个工作日。</w:t>
      </w:r>
    </w:p>
    <w:p w14:paraId="1644B0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2"/>
          <w:szCs w:val="22"/>
          <w:highlight w:val="none"/>
        </w:rPr>
      </w:pPr>
      <w:bookmarkStart w:id="23" w:name="_Toc35393795"/>
      <w:bookmarkStart w:id="24" w:name="_Toc35393626"/>
      <w:r>
        <w:rPr>
          <w:rFonts w:hint="eastAsia" w:ascii="宋体" w:hAnsi="宋体" w:eastAsia="宋体" w:cs="宋体"/>
          <w:b/>
          <w:bCs/>
          <w:color w:val="auto"/>
          <w:sz w:val="22"/>
          <w:szCs w:val="22"/>
          <w:highlight w:val="none"/>
        </w:rPr>
        <w:t>七、其他补充事宜</w:t>
      </w:r>
      <w:bookmarkEnd w:id="23"/>
      <w:bookmarkEnd w:id="24"/>
    </w:p>
    <w:p w14:paraId="4D79DFD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保证金：</w:t>
      </w:r>
      <w:r>
        <w:rPr>
          <w:rFonts w:hint="eastAsia" w:ascii="宋体" w:hAnsi="宋体" w:eastAsia="宋体" w:cs="宋体"/>
          <w:color w:val="auto"/>
          <w:sz w:val="22"/>
          <w:szCs w:val="22"/>
          <w:highlight w:val="none"/>
          <w:lang w:val="en-US" w:eastAsia="zh-CN"/>
        </w:rPr>
        <w:t>本项目不收取磋商保证金</w:t>
      </w:r>
      <w:r>
        <w:rPr>
          <w:rFonts w:hint="eastAsia" w:ascii="宋体" w:hAnsi="宋体" w:eastAsia="宋体" w:cs="宋体"/>
          <w:color w:val="auto"/>
          <w:sz w:val="22"/>
          <w:szCs w:val="22"/>
          <w:highlight w:val="none"/>
        </w:rPr>
        <w:t>。</w:t>
      </w:r>
    </w:p>
    <w:p w14:paraId="06F7150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eastAsia="zh-CN"/>
        </w:rPr>
        <w:t>.</w:t>
      </w:r>
      <w:bookmarkStart w:id="25" w:name="_Hlk37429585"/>
      <w:bookmarkStart w:id="26" w:name="_Hlk37429595"/>
      <w:r>
        <w:rPr>
          <w:rFonts w:hint="eastAsia" w:ascii="宋体" w:hAnsi="宋体" w:eastAsia="宋体" w:cs="宋体"/>
          <w:color w:val="auto"/>
          <w:kern w:val="0"/>
          <w:sz w:val="22"/>
          <w:szCs w:val="22"/>
          <w:highlight w:val="none"/>
        </w:rPr>
        <w:t>网上查询地址</w:t>
      </w:r>
      <w:r>
        <w:rPr>
          <w:rFonts w:hint="eastAsia" w:ascii="宋体" w:hAnsi="宋体" w:cs="宋体"/>
          <w:color w:val="auto"/>
          <w:kern w:val="0"/>
          <w:sz w:val="22"/>
          <w:szCs w:val="22"/>
          <w:highlight w:val="none"/>
          <w:lang w:eastAsia="zh-CN"/>
        </w:rPr>
        <w:t>：</w:t>
      </w:r>
      <w:bookmarkEnd w:id="25"/>
      <w:bookmarkEnd w:id="26"/>
      <w:bookmarkStart w:id="27" w:name="_Hlk37429674"/>
      <w:r>
        <w:rPr>
          <w:rFonts w:hint="eastAsia" w:ascii="宋体" w:hAnsi="宋体" w:eastAsia="宋体" w:cs="宋体"/>
          <w:color w:val="auto"/>
          <w:sz w:val="22"/>
          <w:szCs w:val="22"/>
          <w:highlight w:val="none"/>
          <w:lang w:val="en-US" w:eastAsia="zh-CN"/>
        </w:rPr>
        <w:t>中国政府采购网（www.ccgp.gov.cn）、广西政府采购网（zfcg.gxzf.gov.cn）、柳州市政府采购网（zfcg.lzscz.liuzhou.gov.cn）。</w:t>
      </w:r>
    </w:p>
    <w:p w14:paraId="0D92692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本项目需要落实的政府采购政策</w:t>
      </w:r>
    </w:p>
    <w:p w14:paraId="447E3ED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（1）政府采购促进中小企业发展。</w:t>
      </w:r>
    </w:p>
    <w:p w14:paraId="569E927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（2）政府采购促进残疾人就业政策。</w:t>
      </w:r>
    </w:p>
    <w:p w14:paraId="3FCF246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）政府采购支持监狱企业发展。</w:t>
      </w:r>
      <w:bookmarkEnd w:id="27"/>
    </w:p>
    <w:p w14:paraId="1040231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en-US" w:eastAsia="zh-CN"/>
        </w:rPr>
        <w:t>.供应商认为采购文件使自己的权益受到损害的</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可以自获取采购文件之日或者采购文件公告期限届满之日（公告期限届满后获取采购文件的</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以公告期限届满之日为准）起7个工作日内以书面形式一次性向采购人和采购代理机构提出同一环节的质疑。否则</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逾期的质疑采购人及招标代理机构可不予接受。质疑供应商对采购人、采购代理机构的答复不满意或者采购人、采购代理机构未在规定的时间内作出答复的</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可以在答复期满后十五个工作日内向同级政府采购监督管理部门投诉。</w:t>
      </w:r>
    </w:p>
    <w:p w14:paraId="702E2F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val="en-US" w:eastAsia="zh-CN"/>
        </w:rPr>
        <w:t>.若对项目采购电子交易系统操作有疑问</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可登录“广西政府采购云平台”平台（</w:t>
      </w:r>
      <w:r>
        <w:rPr>
          <w:rFonts w:hint="eastAsia" w:ascii="宋体" w:hAnsi="宋体" w:cs="宋体"/>
          <w:color w:val="auto"/>
          <w:kern w:val="0"/>
          <w:sz w:val="22"/>
          <w:szCs w:val="22"/>
          <w:highlight w:val="none"/>
          <w:lang w:val="en-US" w:eastAsia="zh-CN"/>
        </w:rPr>
        <w:t>https://www.gcy.zfcg.gxzf.gov.cn/</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点击右侧咨询小采</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获取采小蜜智能服务管家帮助</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或拨打广西政府采购云平台服务热线95763获取热线服务帮助。</w:t>
      </w:r>
    </w:p>
    <w:p w14:paraId="547088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.关于申请人资格要求的其它说明</w:t>
      </w:r>
    </w:p>
    <w:p w14:paraId="0AA3DCC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（1）单位负责人为同一人或者存在直接控股、管理关系的不同供应商</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不得参加同一合同项下的政府采购活动。为本项目提供过整体设计、规范编制或者项目管理、监理、检测等服务的供应商</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不得再参加本项目上述服务以外的其他采购活动。</w:t>
      </w:r>
    </w:p>
    <w:p w14:paraId="3B21CC3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不得参与政府采购活动。</w:t>
      </w:r>
    </w:p>
    <w:p w14:paraId="3E0637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kern w:val="44"/>
          <w:sz w:val="22"/>
          <w:szCs w:val="22"/>
          <w:highlight w:val="none"/>
        </w:rPr>
        <w:t>八、凡对本次采购提出询问</w:t>
      </w:r>
      <w:r>
        <w:rPr>
          <w:rFonts w:hint="eastAsia" w:ascii="宋体" w:hAnsi="宋体" w:cs="宋体"/>
          <w:b/>
          <w:color w:val="auto"/>
          <w:kern w:val="44"/>
          <w:sz w:val="22"/>
          <w:szCs w:val="22"/>
          <w:highlight w:val="none"/>
          <w:lang w:eastAsia="zh-CN"/>
        </w:rPr>
        <w:t>，</w:t>
      </w:r>
      <w:r>
        <w:rPr>
          <w:rFonts w:hint="eastAsia" w:ascii="宋体" w:hAnsi="宋体" w:eastAsia="宋体" w:cs="宋体"/>
          <w:b/>
          <w:color w:val="auto"/>
          <w:kern w:val="44"/>
          <w:sz w:val="22"/>
          <w:szCs w:val="22"/>
          <w:highlight w:val="none"/>
        </w:rPr>
        <w:t>请按以下方式联系</w:t>
      </w:r>
    </w:p>
    <w:p w14:paraId="3BB8A951">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1.采购人信息</w:t>
      </w:r>
    </w:p>
    <w:p w14:paraId="37219C7A">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柳州市城中区自然资源局</w:t>
      </w:r>
    </w:p>
    <w:p w14:paraId="34034F1E">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柳州市城中区立新路49号</w:t>
      </w:r>
    </w:p>
    <w:p w14:paraId="75B2385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eastAsia="zh-CN"/>
        </w:rPr>
      </w:pPr>
      <w:r>
        <w:rPr>
          <w:rFonts w:hint="eastAsia" w:ascii="宋体" w:hAnsi="宋体" w:cs="宋体"/>
          <w:color w:val="auto"/>
          <w:sz w:val="22"/>
          <w:szCs w:val="22"/>
          <w:highlight w:val="none"/>
          <w:u w:val="none"/>
          <w:lang w:eastAsia="zh-CN"/>
        </w:rPr>
        <w:t>项目联系人：黄泰鑫</w:t>
      </w:r>
    </w:p>
    <w:p w14:paraId="71A51A97">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eastAsia="zh-CN"/>
        </w:rPr>
        <w:t>项目联系方式：0772-2812031</w:t>
      </w:r>
    </w:p>
    <w:p w14:paraId="273B470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2.采购代理机构信息</w:t>
      </w:r>
    </w:p>
    <w:p w14:paraId="5061B2FD">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名称：</w:t>
      </w:r>
      <w:r>
        <w:rPr>
          <w:rFonts w:hint="eastAsia" w:ascii="宋体" w:hAnsi="宋体" w:cs="宋体"/>
          <w:color w:val="auto"/>
          <w:sz w:val="22"/>
          <w:szCs w:val="22"/>
          <w:highlight w:val="none"/>
          <w:u w:val="none"/>
          <w:lang w:eastAsia="zh-CN"/>
        </w:rPr>
        <w:t>广西嘉达工程咨询管理有限公司</w:t>
      </w:r>
    </w:p>
    <w:p w14:paraId="47849A3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地址：</w:t>
      </w:r>
      <w:r>
        <w:rPr>
          <w:rFonts w:hint="eastAsia" w:ascii="宋体" w:hAnsi="宋体" w:cs="宋体"/>
          <w:color w:val="auto"/>
          <w:sz w:val="22"/>
          <w:szCs w:val="22"/>
          <w:highlight w:val="none"/>
          <w:u w:val="none"/>
          <w:lang w:eastAsia="zh-CN"/>
        </w:rPr>
        <w:t>柳州市静兰路东一巷19号静兰小区综合楼306室</w:t>
      </w:r>
    </w:p>
    <w:p w14:paraId="26A9D9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项目联系人：</w:t>
      </w:r>
      <w:r>
        <w:rPr>
          <w:rFonts w:hint="eastAsia" w:ascii="宋体" w:hAnsi="宋体" w:cs="宋体"/>
          <w:color w:val="auto"/>
          <w:sz w:val="22"/>
          <w:szCs w:val="22"/>
          <w:highlight w:val="none"/>
          <w:u w:val="none"/>
          <w:lang w:eastAsia="zh-CN"/>
        </w:rPr>
        <w:t>陈露</w:t>
      </w:r>
    </w:p>
    <w:p w14:paraId="2CCD0C1F">
      <w:pPr>
        <w:keepNext w:val="0"/>
        <w:keepLines w:val="0"/>
        <w:pageBreakBefore w:val="0"/>
        <w:widowControl w:val="0"/>
        <w:kinsoku/>
        <w:wordWrap/>
        <w:overflowPunct/>
        <w:topLinePunct w:val="0"/>
        <w:autoSpaceDE/>
        <w:autoSpaceDN/>
        <w:bidi w:val="0"/>
        <w:adjustRightInd/>
        <w:snapToGrid w:val="0"/>
        <w:spacing w:line="360" w:lineRule="auto"/>
        <w:ind w:left="0" w:leftChars="0" w:firstLine="440" w:firstLineChars="2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项目联系方式：</w:t>
      </w:r>
      <w:r>
        <w:rPr>
          <w:rFonts w:hint="eastAsia" w:ascii="宋体" w:hAnsi="宋体" w:cs="宋体"/>
          <w:color w:val="auto"/>
          <w:sz w:val="22"/>
          <w:szCs w:val="22"/>
          <w:highlight w:val="none"/>
          <w:u w:val="none"/>
          <w:lang w:eastAsia="zh-CN"/>
        </w:rPr>
        <w:t>0772-8853088</w:t>
      </w:r>
    </w:p>
    <w:p w14:paraId="64B81D5B">
      <w:pPr>
        <w:keepNext w:val="0"/>
        <w:keepLines w:val="0"/>
        <w:pageBreakBefore w:val="0"/>
        <w:kinsoku/>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auto"/>
          <w:sz w:val="24"/>
          <w:szCs w:val="24"/>
          <w:highlight w:val="none"/>
          <w:u w:val="none"/>
        </w:rPr>
      </w:pPr>
    </w:p>
    <w:p w14:paraId="79F4C727">
      <w:pPr>
        <w:spacing w:line="360" w:lineRule="auto"/>
        <w:ind w:firstLine="480" w:firstLineChars="200"/>
        <w:jc w:val="right"/>
        <w:outlineLvl w:val="0"/>
        <w:rPr>
          <w:rFonts w:hint="eastAsia" w:ascii="宋体" w:hAnsi="宋体" w:eastAsia="宋体" w:cs="宋体"/>
          <w:color w:val="auto"/>
          <w:sz w:val="24"/>
          <w:szCs w:val="24"/>
          <w:highlight w:val="none"/>
        </w:rPr>
      </w:pPr>
    </w:p>
    <w:p w14:paraId="3DA3EE51">
      <w:pPr>
        <w:spacing w:line="360" w:lineRule="auto"/>
        <w:ind w:firstLine="480" w:firstLineChars="200"/>
        <w:jc w:val="center"/>
        <w:outlineLvl w:val="0"/>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28" w:name="_Toc5857"/>
      <w:r>
        <w:rPr>
          <w:rFonts w:hint="eastAsia" w:ascii="宋体" w:hAnsi="宋体" w:eastAsia="宋体" w:cs="宋体"/>
          <w:b/>
          <w:color w:val="auto"/>
          <w:kern w:val="44"/>
          <w:sz w:val="32"/>
          <w:szCs w:val="32"/>
          <w:highlight w:val="none"/>
        </w:rPr>
        <w:t xml:space="preserve">第二章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8"/>
    </w:p>
    <w:p w14:paraId="2B511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说明：</w:t>
      </w:r>
    </w:p>
    <w:p w14:paraId="55F300D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1、本项目需求表中带有“▲”的技术参数或要求为实质性要求</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必须满足</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竞标响应不得低于该技术指标或要求。</w:t>
      </w:r>
    </w:p>
    <w:p w14:paraId="32701DF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2、供应商所竞标货物或服务如国家有强制性要求的按国家规定执行</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若执行标准有修改或更新按最新版本执行。</w:t>
      </w:r>
    </w:p>
    <w:p w14:paraId="62F499E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仿宋" w:cs="宋体"/>
          <w:color w:val="auto"/>
          <w:sz w:val="22"/>
          <w:szCs w:val="22"/>
          <w:highlight w:val="none"/>
          <w:lang w:eastAsia="zh-CN"/>
        </w:rPr>
      </w:pPr>
      <w:r>
        <w:rPr>
          <w:rFonts w:hint="eastAsia" w:ascii="仿宋" w:hAnsi="仿宋" w:eastAsia="仿宋" w:cs="仿宋"/>
          <w:color w:val="auto"/>
          <w:sz w:val="22"/>
          <w:szCs w:val="22"/>
          <w:highlight w:val="none"/>
        </w:rPr>
        <w:t>3、采购标的对应的中小企业划分标准所属行业：根据《关于印发中小企业划型标准规定的通知》（工信部联企业〔2011〕300号）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本次采购标的属于</w:t>
      </w:r>
      <w:r>
        <w:rPr>
          <w:rFonts w:hint="eastAsia" w:ascii="仿宋" w:hAnsi="仿宋" w:eastAsia="仿宋" w:cs="仿宋"/>
          <w:b/>
          <w:bCs/>
          <w:color w:val="auto"/>
          <w:sz w:val="22"/>
          <w:szCs w:val="22"/>
          <w:highlight w:val="none"/>
          <w:u w:val="single"/>
        </w:rPr>
        <w:t>其他未列明行业</w:t>
      </w:r>
      <w:r>
        <w:rPr>
          <w:rFonts w:hint="eastAsia" w:ascii="仿宋" w:hAnsi="仿宋" w:eastAsia="仿宋" w:cs="仿宋"/>
          <w:b/>
          <w:bCs/>
          <w:color w:val="auto"/>
          <w:sz w:val="22"/>
          <w:szCs w:val="22"/>
          <w:highlight w:val="none"/>
          <w:u w:val="none"/>
          <w:lang w:eastAsia="zh-CN"/>
        </w:rPr>
        <w:t>。</w:t>
      </w:r>
    </w:p>
    <w:tbl>
      <w:tblPr>
        <w:tblStyle w:val="32"/>
        <w:tblpPr w:leftFromText="180" w:rightFromText="180" w:vertAnchor="text" w:tblpY="1"/>
        <w:tblOverlap w:val="never"/>
        <w:tblW w:w="10205" w:type="dxa"/>
        <w:tblInd w:w="0" w:type="dxa"/>
        <w:tblLayout w:type="fixed"/>
        <w:tblCellMar>
          <w:top w:w="0" w:type="dxa"/>
          <w:left w:w="108" w:type="dxa"/>
          <w:bottom w:w="0" w:type="dxa"/>
          <w:right w:w="108" w:type="dxa"/>
        </w:tblCellMar>
      </w:tblPr>
      <w:tblGrid>
        <w:gridCol w:w="1316"/>
        <w:gridCol w:w="720"/>
        <w:gridCol w:w="2"/>
        <w:gridCol w:w="8167"/>
      </w:tblGrid>
      <w:tr w14:paraId="60BB3AA6">
        <w:tblPrEx>
          <w:tblCellMar>
            <w:top w:w="0" w:type="dxa"/>
            <w:left w:w="108" w:type="dxa"/>
            <w:bottom w:w="0" w:type="dxa"/>
            <w:right w:w="108" w:type="dxa"/>
          </w:tblCellMar>
        </w:tblPrEx>
        <w:trPr>
          <w:trHeight w:val="547" w:hRule="atLeast"/>
        </w:trPr>
        <w:tc>
          <w:tcPr>
            <w:tcW w:w="10205" w:type="dxa"/>
            <w:gridSpan w:val="4"/>
            <w:tcBorders>
              <w:top w:val="single" w:color="auto" w:sz="4" w:space="0"/>
              <w:left w:val="single" w:color="auto" w:sz="4" w:space="0"/>
              <w:bottom w:val="single" w:color="auto" w:sz="4" w:space="0"/>
              <w:right w:val="single" w:color="auto" w:sz="4" w:space="0"/>
            </w:tcBorders>
            <w:noWrap w:val="0"/>
            <w:vAlign w:val="center"/>
          </w:tcPr>
          <w:p w14:paraId="14669942">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left"/>
              <w:textAlignment w:val="auto"/>
              <w:rPr>
                <w:rFonts w:hint="eastAsia" w:ascii="宋体" w:hAnsi="宋体" w:eastAsia="宋体" w:cs="宋体"/>
                <w:b/>
                <w:bCs/>
                <w:kern w:val="0"/>
                <w:sz w:val="21"/>
                <w:szCs w:val="21"/>
                <w:highlight w:val="none"/>
              </w:rPr>
            </w:pPr>
            <w:r>
              <w:rPr>
                <w:rFonts w:hint="eastAsia" w:ascii="宋体" w:hAnsi="宋体" w:eastAsia="宋体" w:cs="宋体"/>
                <w:b/>
                <w:sz w:val="21"/>
                <w:szCs w:val="21"/>
                <w:highlight w:val="none"/>
              </w:rPr>
              <w:t>▲</w:t>
            </w:r>
            <w:r>
              <w:rPr>
                <w:rFonts w:hint="eastAsia" w:ascii="宋体" w:hAnsi="宋体" w:eastAsia="宋体" w:cs="宋体"/>
                <w:b/>
                <w:bCs/>
                <w:kern w:val="0"/>
                <w:sz w:val="21"/>
                <w:szCs w:val="21"/>
                <w:highlight w:val="none"/>
              </w:rPr>
              <w:t>一、采购项目需求一览表</w:t>
            </w:r>
          </w:p>
        </w:tc>
      </w:tr>
      <w:tr w14:paraId="4F031B63">
        <w:tblPrEx>
          <w:tblCellMar>
            <w:top w:w="0" w:type="dxa"/>
            <w:left w:w="108" w:type="dxa"/>
            <w:bottom w:w="0" w:type="dxa"/>
            <w:right w:w="108" w:type="dxa"/>
          </w:tblCellMar>
        </w:tblPrEx>
        <w:trPr>
          <w:trHeight w:val="412"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7C55CFB3">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服务</w:t>
            </w:r>
            <w:r>
              <w:rPr>
                <w:rFonts w:hint="eastAsia" w:ascii="宋体" w:hAnsi="宋体" w:eastAsia="宋体" w:cs="宋体"/>
                <w:b/>
                <w:bCs/>
                <w:kern w:val="0"/>
                <w:sz w:val="21"/>
                <w:szCs w:val="21"/>
                <w:highlight w:val="none"/>
              </w:rPr>
              <w:t>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453E47B">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8169" w:type="dxa"/>
            <w:gridSpan w:val="2"/>
            <w:tcBorders>
              <w:top w:val="single" w:color="auto" w:sz="4" w:space="0"/>
              <w:left w:val="single" w:color="auto" w:sz="4" w:space="0"/>
              <w:bottom w:val="single" w:color="auto" w:sz="4" w:space="0"/>
              <w:right w:val="single" w:color="auto" w:sz="4" w:space="0"/>
            </w:tcBorders>
            <w:noWrap w:val="0"/>
            <w:vAlign w:val="center"/>
          </w:tcPr>
          <w:p w14:paraId="69E2CE4C">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技术参数要求</w:t>
            </w:r>
          </w:p>
        </w:tc>
      </w:tr>
      <w:tr w14:paraId="430B33A8">
        <w:tblPrEx>
          <w:tblCellMar>
            <w:top w:w="0" w:type="dxa"/>
            <w:left w:w="108" w:type="dxa"/>
            <w:bottom w:w="0" w:type="dxa"/>
            <w:right w:w="108" w:type="dxa"/>
          </w:tblCellMar>
        </w:tblPrEx>
        <w:trPr>
          <w:trHeight w:val="90" w:hRule="atLeast"/>
        </w:trPr>
        <w:tc>
          <w:tcPr>
            <w:tcW w:w="1316" w:type="dxa"/>
            <w:tcBorders>
              <w:top w:val="single" w:color="auto" w:sz="4" w:space="0"/>
              <w:left w:val="single" w:color="auto" w:sz="4" w:space="0"/>
              <w:bottom w:val="single" w:color="auto" w:sz="4" w:space="0"/>
              <w:right w:val="single" w:color="auto" w:sz="4" w:space="0"/>
            </w:tcBorders>
            <w:noWrap w:val="0"/>
            <w:vAlign w:val="center"/>
          </w:tcPr>
          <w:p w14:paraId="18C11E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sz w:val="21"/>
                <w:szCs w:val="21"/>
                <w:highlight w:val="none"/>
                <w:lang w:bidi="ar"/>
              </w:rPr>
            </w:pPr>
            <w:r>
              <w:rPr>
                <w:rFonts w:hint="eastAsia" w:ascii="宋体" w:hAnsi="宋体" w:eastAsia="宋体" w:cs="宋体"/>
                <w:color w:val="auto"/>
                <w:sz w:val="21"/>
                <w:szCs w:val="21"/>
                <w:highlight w:val="none"/>
              </w:rPr>
              <w:t>柳州市城中区五指山危岩地质灾害治理工程施工监理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119D3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w:t>
            </w:r>
          </w:p>
        </w:tc>
        <w:tc>
          <w:tcPr>
            <w:tcW w:w="8169" w:type="dxa"/>
            <w:gridSpan w:val="2"/>
            <w:tcBorders>
              <w:top w:val="single" w:color="auto" w:sz="4" w:space="0"/>
              <w:left w:val="single" w:color="auto" w:sz="4" w:space="0"/>
              <w:bottom w:val="single" w:color="auto" w:sz="4" w:space="0"/>
              <w:right w:val="single" w:color="auto" w:sz="4" w:space="0"/>
            </w:tcBorders>
            <w:noWrap w:val="0"/>
            <w:vAlign w:val="center"/>
          </w:tcPr>
          <w:p w14:paraId="61EE0BAF">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14:paraId="31F63E50">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1.建设内容与规模：</w:t>
            </w:r>
          </w:p>
          <w:p w14:paraId="2C6053BA">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本项目主要对城中区五指山危岩进行整治。采用综合治理的方式包括：人力锤击楔裂法清除危岩47.08m³，静态破碎法清除危岩2996.13m³，在山体破碎面布设主动防护网7006.00m2，在危岩下方设置被动防护网6000m2。</w:t>
            </w:r>
          </w:p>
          <w:p w14:paraId="1857BAB9">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人力锤击楔裂法清除</w:t>
            </w:r>
          </w:p>
          <w:p w14:paraId="2966A225">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对于体积较小的浮石采用人工锤击楔裂法，共21处危岩点，总方量为47.08m³。</w:t>
            </w:r>
          </w:p>
          <w:p w14:paraId="7FE18F1F">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静态破碎法清除</w:t>
            </w:r>
          </w:p>
          <w:p w14:paraId="3755380C">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静态破碎主要是针对浮石或者体积较大的浮石堆进行实施，后缘或底部失去连接且基本与母岩分离的危岩体。采用静态破碎清除的危岩体有134处危岩，总体积为2996.13m³。</w:t>
            </w:r>
          </w:p>
          <w:p w14:paraId="5F8BAC11">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主动防护网网固</w:t>
            </w:r>
          </w:p>
          <w:p w14:paraId="1EFE9203">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动防护系统是以钢丝绳网为主的各类柔性网覆盖包裹在所需防护斜坡或岩石上，以限制坡面岩石土体的风化剥落或破坏以及为岩崩塌（加固作用），或将落石控制于一定范围内运动（围护作用）。采用主动防护网网固方式治理的区域为五指山东侧山峰的WYD4、WYD5危岩带。主动防护网面积分别为，WYD4网固区3442m2；WYD5网固区3564m2，合计7006m2。</w:t>
            </w:r>
          </w:p>
          <w:p w14:paraId="7FE16351">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被动防护网拦截</w:t>
            </w:r>
          </w:p>
          <w:p w14:paraId="358A50EF">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被动防护网拦截工程主要针对山体东侧山峰破碎陡壁面多的特点布设，其存在分布面积大，影响范围广，分布高程大，岩体破碎，危岩单体体积小等特点。本次采用被动防护网拦截治理的危岩带分别为WYD1、WYD2、WYD3危岩带。根据计算结果，本次危岩整体防护的被动防护网选型为防护能级3000KJ（PPS-300/DB-A型）被动防护网，高度5m，底部环形网和格栅网反卷1m。本项目总共布设16道被动防护网，共1200m长，合计6000m2。</w:t>
            </w:r>
          </w:p>
          <w:p w14:paraId="7499AD83">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建设地点</w:t>
            </w:r>
          </w:p>
          <w:p w14:paraId="63323829">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项目区位于柳州市东环路北东侧，距离东环路约500m，交通十分便利，中心地理坐标为：东经：109°26′12.2″，北纬：24°21′18.8″。</w:t>
            </w:r>
          </w:p>
          <w:p w14:paraId="6E60E036">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.服务期限：170日历天。</w:t>
            </w:r>
          </w:p>
          <w:p w14:paraId="3199CDCE">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.质量要求：符合国家和地方现行规范、设计标准及规范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符合本项目的批复要求或者其他标准、规范。</w:t>
            </w:r>
          </w:p>
          <w:p w14:paraId="29BA15E8">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.监理范围：</w:t>
            </w:r>
            <w:r>
              <w:rPr>
                <w:rFonts w:hint="eastAsia" w:ascii="宋体" w:hAnsi="宋体" w:eastAsia="宋体" w:cs="宋体"/>
                <w:color w:val="auto"/>
                <w:sz w:val="21"/>
                <w:szCs w:val="21"/>
                <w:highlight w:val="none"/>
                <w:lang w:val="en-US" w:eastAsia="zh-CN"/>
              </w:rPr>
              <w:t>施工阶段：质量控制、进度控制、造价控制、安全生产监督管理、合同管理、信息管理；保修阶段：保修管理；其他工作：协调各方关系。</w:t>
            </w:r>
          </w:p>
          <w:p w14:paraId="225F19AF">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二、人员要求</w:t>
            </w:r>
          </w:p>
          <w:tbl>
            <w:tblPr>
              <w:tblStyle w:val="95"/>
              <w:tblW w:w="6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590"/>
              <w:gridCol w:w="1351"/>
              <w:gridCol w:w="3032"/>
              <w:gridCol w:w="973"/>
            </w:tblGrid>
            <w:tr w14:paraId="6196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999" w:type="dxa"/>
                  <w:noWrap w:val="0"/>
                  <w:vAlign w:val="center"/>
                </w:tcPr>
                <w:p w14:paraId="2C38D9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687" w:type="dxa"/>
                  <w:noWrap w:val="0"/>
                  <w:vAlign w:val="center"/>
                </w:tcPr>
                <w:p w14:paraId="479DC5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c>
                <w:tcPr>
                  <w:tcW w:w="1576" w:type="dxa"/>
                  <w:noWrap w:val="0"/>
                  <w:vAlign w:val="center"/>
                </w:tcPr>
                <w:p w14:paraId="6E2209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学历要求</w:t>
                  </w:r>
                </w:p>
              </w:tc>
              <w:tc>
                <w:tcPr>
                  <w:tcW w:w="3540" w:type="dxa"/>
                  <w:noWrap w:val="0"/>
                  <w:vAlign w:val="center"/>
                </w:tcPr>
                <w:p w14:paraId="654E8F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持证上岗要求</w:t>
                  </w:r>
                </w:p>
              </w:tc>
              <w:tc>
                <w:tcPr>
                  <w:tcW w:w="1135" w:type="dxa"/>
                  <w:noWrap w:val="0"/>
                  <w:vAlign w:val="center"/>
                </w:tcPr>
                <w:p w14:paraId="696A6D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r>
            <w:tr w14:paraId="42C11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jc w:val="center"/>
              </w:trPr>
              <w:tc>
                <w:tcPr>
                  <w:tcW w:w="999" w:type="dxa"/>
                  <w:noWrap w:val="0"/>
                  <w:vAlign w:val="center"/>
                </w:tcPr>
                <w:p w14:paraId="7D1FFE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687" w:type="dxa"/>
                  <w:noWrap w:val="0"/>
                  <w:vAlign w:val="center"/>
                </w:tcPr>
                <w:p w14:paraId="1540D8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6" w:type="dxa"/>
                  <w:noWrap w:val="0"/>
                  <w:vAlign w:val="center"/>
                </w:tcPr>
                <w:p w14:paraId="3EDBA2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工程类相关专业</w:t>
                  </w:r>
                </w:p>
                <w:p w14:paraId="12CAA3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大专及以上学历</w:t>
                  </w:r>
                </w:p>
              </w:tc>
              <w:tc>
                <w:tcPr>
                  <w:tcW w:w="3540" w:type="dxa"/>
                  <w:noWrap w:val="0"/>
                  <w:vAlign w:val="center"/>
                </w:tcPr>
                <w:p w14:paraId="576C5E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具有水工环或地质工程或岩土工程类等相关专业高级以上（含）技术职称</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地质灾害治理工程监理培训证书（</w:t>
                  </w:r>
                  <w:r>
                    <w:rPr>
                      <w:rFonts w:hint="eastAsia" w:ascii="宋体" w:hAnsi="宋体" w:eastAsia="宋体" w:cs="宋体"/>
                      <w:color w:val="auto"/>
                      <w:sz w:val="21"/>
                      <w:szCs w:val="21"/>
                      <w:highlight w:val="none"/>
                      <w:lang w:eastAsia="zh-CN"/>
                    </w:rPr>
                    <w:t>中国地质灾害防治工程行业协会或中国地质灾害防治与生态修复协会颁发</w:t>
                  </w:r>
                  <w:r>
                    <w:rPr>
                      <w:rFonts w:hint="eastAsia" w:ascii="宋体" w:hAnsi="宋体" w:eastAsia="宋体" w:cs="宋体"/>
                      <w:color w:val="auto"/>
                      <w:sz w:val="21"/>
                      <w:szCs w:val="21"/>
                      <w:highlight w:val="none"/>
                    </w:rPr>
                    <w:t>）</w:t>
                  </w:r>
                </w:p>
              </w:tc>
              <w:tc>
                <w:tcPr>
                  <w:tcW w:w="1135" w:type="dxa"/>
                  <w:noWrap w:val="0"/>
                  <w:vAlign w:val="center"/>
                </w:tcPr>
                <w:p w14:paraId="66E409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须为本单位</w:t>
                  </w:r>
                  <w:r>
                    <w:rPr>
                      <w:rFonts w:hint="eastAsia" w:ascii="宋体" w:hAnsi="宋体" w:eastAsia="宋体" w:cs="宋体"/>
                      <w:color w:val="auto"/>
                      <w:sz w:val="21"/>
                      <w:szCs w:val="21"/>
                      <w:highlight w:val="none"/>
                      <w:lang w:val="en-US" w:eastAsia="zh-CN"/>
                    </w:rPr>
                    <w:t>在职</w:t>
                  </w:r>
                  <w:r>
                    <w:rPr>
                      <w:rFonts w:hint="eastAsia" w:ascii="宋体" w:hAnsi="宋体" w:eastAsia="宋体" w:cs="宋体"/>
                      <w:color w:val="auto"/>
                      <w:sz w:val="21"/>
                      <w:szCs w:val="21"/>
                      <w:highlight w:val="none"/>
                    </w:rPr>
                    <w:t>人员</w:t>
                  </w:r>
                </w:p>
              </w:tc>
            </w:tr>
            <w:tr w14:paraId="51663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999" w:type="dxa"/>
                  <w:noWrap w:val="0"/>
                  <w:vAlign w:val="center"/>
                </w:tcPr>
                <w:p w14:paraId="528E3B4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专业监理工程师</w:t>
                  </w:r>
                </w:p>
              </w:tc>
              <w:tc>
                <w:tcPr>
                  <w:tcW w:w="687" w:type="dxa"/>
                  <w:noWrap w:val="0"/>
                  <w:vAlign w:val="center"/>
                </w:tcPr>
                <w:p w14:paraId="0F8AB9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576" w:type="dxa"/>
                  <w:noWrap w:val="0"/>
                  <w:vAlign w:val="center"/>
                </w:tcPr>
                <w:p w14:paraId="5C29C24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工程类相关专业大专及以上学</w:t>
                  </w:r>
                </w:p>
                <w:p w14:paraId="383000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w:t>
                  </w:r>
                </w:p>
              </w:tc>
              <w:tc>
                <w:tcPr>
                  <w:tcW w:w="3540" w:type="dxa"/>
                  <w:noWrap w:val="0"/>
                  <w:vAlign w:val="center"/>
                </w:tcPr>
                <w:p w14:paraId="5AB8C0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具有工程类相关中级以上（含）技术职称及地质灾害治理工程监理培训证书（中国地质灾害防治工程行业协会或中国地质灾害防治与生态修复协会颁发）</w:t>
                  </w:r>
                </w:p>
              </w:tc>
              <w:tc>
                <w:tcPr>
                  <w:tcW w:w="1135" w:type="dxa"/>
                  <w:noWrap w:val="0"/>
                  <w:vAlign w:val="center"/>
                </w:tcPr>
                <w:p w14:paraId="402CA1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须为本单位</w:t>
                  </w:r>
                  <w:r>
                    <w:rPr>
                      <w:rFonts w:hint="eastAsia" w:ascii="宋体" w:hAnsi="宋体" w:eastAsia="宋体" w:cs="宋体"/>
                      <w:color w:val="auto"/>
                      <w:sz w:val="21"/>
                      <w:szCs w:val="21"/>
                      <w:highlight w:val="none"/>
                      <w:lang w:val="en-US" w:eastAsia="zh-CN"/>
                    </w:rPr>
                    <w:t>在职</w:t>
                  </w:r>
                  <w:r>
                    <w:rPr>
                      <w:rFonts w:hint="eastAsia" w:ascii="宋体" w:hAnsi="宋体" w:eastAsia="宋体" w:cs="宋体"/>
                      <w:color w:val="auto"/>
                      <w:sz w:val="21"/>
                      <w:szCs w:val="21"/>
                      <w:highlight w:val="none"/>
                    </w:rPr>
                    <w:t>人员</w:t>
                  </w:r>
                </w:p>
              </w:tc>
            </w:tr>
            <w:tr w14:paraId="4C076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jc w:val="center"/>
              </w:trPr>
              <w:tc>
                <w:tcPr>
                  <w:tcW w:w="999" w:type="dxa"/>
                  <w:noWrap w:val="0"/>
                  <w:vAlign w:val="center"/>
                </w:tcPr>
                <w:p w14:paraId="6EBAC6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w:t>
                  </w:r>
                </w:p>
              </w:tc>
              <w:tc>
                <w:tcPr>
                  <w:tcW w:w="687" w:type="dxa"/>
                  <w:noWrap w:val="0"/>
                  <w:vAlign w:val="center"/>
                </w:tcPr>
                <w:p w14:paraId="47A780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576" w:type="dxa"/>
                  <w:noWrap w:val="0"/>
                  <w:vAlign w:val="center"/>
                </w:tcPr>
                <w:p w14:paraId="6499A3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工程类大专及以上学历</w:t>
                  </w:r>
                </w:p>
              </w:tc>
              <w:tc>
                <w:tcPr>
                  <w:tcW w:w="3540" w:type="dxa"/>
                  <w:noWrap w:val="0"/>
                  <w:vAlign w:val="center"/>
                </w:tcPr>
                <w:p w14:paraId="7D71A4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具有工程类相关专业初级以上（含）技术职称及地质灾害治理工程监理培训证书（</w:t>
                  </w:r>
                  <w:r>
                    <w:rPr>
                      <w:rFonts w:hint="eastAsia" w:ascii="宋体" w:hAnsi="宋体" w:eastAsia="宋体" w:cs="宋体"/>
                      <w:color w:val="auto"/>
                      <w:sz w:val="21"/>
                      <w:szCs w:val="21"/>
                      <w:highlight w:val="none"/>
                      <w:lang w:eastAsia="zh-CN"/>
                    </w:rPr>
                    <w:t>中国地质灾害防治工程行业协会或中国地质灾害防治与生态修复协会颁发</w:t>
                  </w:r>
                  <w:r>
                    <w:rPr>
                      <w:rFonts w:hint="eastAsia" w:ascii="宋体" w:hAnsi="宋体" w:eastAsia="宋体" w:cs="宋体"/>
                      <w:color w:val="auto"/>
                      <w:sz w:val="21"/>
                      <w:szCs w:val="21"/>
                      <w:highlight w:val="none"/>
                    </w:rPr>
                    <w:t>）</w:t>
                  </w:r>
                </w:p>
              </w:tc>
              <w:tc>
                <w:tcPr>
                  <w:tcW w:w="1135" w:type="dxa"/>
                  <w:noWrap w:val="0"/>
                  <w:vAlign w:val="center"/>
                </w:tcPr>
                <w:p w14:paraId="6DD600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须为本单位</w:t>
                  </w:r>
                  <w:r>
                    <w:rPr>
                      <w:rFonts w:hint="eastAsia" w:ascii="宋体" w:hAnsi="宋体" w:eastAsia="宋体" w:cs="宋体"/>
                      <w:color w:val="auto"/>
                      <w:sz w:val="21"/>
                      <w:szCs w:val="21"/>
                      <w:highlight w:val="none"/>
                      <w:lang w:val="en-US" w:eastAsia="zh-CN"/>
                    </w:rPr>
                    <w:t>在职</w:t>
                  </w:r>
                  <w:r>
                    <w:rPr>
                      <w:rFonts w:hint="eastAsia" w:ascii="宋体" w:hAnsi="宋体" w:eastAsia="宋体" w:cs="宋体"/>
                      <w:color w:val="auto"/>
                      <w:sz w:val="21"/>
                      <w:szCs w:val="21"/>
                      <w:highlight w:val="none"/>
                    </w:rPr>
                    <w:t>人员</w:t>
                  </w:r>
                </w:p>
              </w:tc>
            </w:tr>
            <w:tr w14:paraId="7E2E4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99" w:type="dxa"/>
                  <w:noWrap w:val="0"/>
                  <w:vAlign w:val="center"/>
                </w:tcPr>
                <w:p w14:paraId="1A16B1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7" w:type="dxa"/>
                  <w:noWrap w:val="0"/>
                  <w:vAlign w:val="center"/>
                </w:tcPr>
                <w:p w14:paraId="35456D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576" w:type="dxa"/>
                  <w:noWrap w:val="0"/>
                  <w:vAlign w:val="center"/>
                </w:tcPr>
                <w:p w14:paraId="4D7A82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p>
              </w:tc>
              <w:tc>
                <w:tcPr>
                  <w:tcW w:w="3540" w:type="dxa"/>
                  <w:noWrap w:val="0"/>
                  <w:vAlign w:val="center"/>
                </w:tcPr>
                <w:p w14:paraId="358433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p>
              </w:tc>
              <w:tc>
                <w:tcPr>
                  <w:tcW w:w="1135" w:type="dxa"/>
                  <w:noWrap w:val="0"/>
                  <w:vAlign w:val="center"/>
                </w:tcPr>
                <w:p w14:paraId="03D2E4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p>
              </w:tc>
            </w:tr>
          </w:tbl>
          <w:p w14:paraId="651AB3C0">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三、监理人的义务</w:t>
            </w:r>
          </w:p>
          <w:p w14:paraId="025F1D90">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监理的范围和工作内容</w:t>
            </w:r>
          </w:p>
          <w:p w14:paraId="14E94EEE">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监理范围在专用条件中约定。</w:t>
            </w:r>
          </w:p>
          <w:p w14:paraId="3F7BB857">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除专用条件另有约定外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监理工作内容包括：</w:t>
            </w:r>
          </w:p>
          <w:p w14:paraId="0E52C3DA">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（1）收到工程设计文件后编制监理规划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并在第一次工地会议7天前报委托人。根据有关规定和监理工作需要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编制监理实施细则；</w:t>
            </w:r>
          </w:p>
          <w:p w14:paraId="1F25AD0D">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（2）熟悉工程设计文件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并参加由委托人主持的图纸会审和设计交底会议；</w:t>
            </w:r>
          </w:p>
          <w:p w14:paraId="766BB63A">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（3）参加由委托人主持的第一次工地会议；主持监理例会并根据工程需要主持或参加专题会议；</w:t>
            </w:r>
          </w:p>
          <w:p w14:paraId="39A36FAB">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（4）审查施工承包人提交的施工组织设计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重点审查其中的质量安全技术措施、专项施工方案与工程建设强制性标准的符合性；</w:t>
            </w:r>
          </w:p>
          <w:p w14:paraId="69E6BE82">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（5）检查施工承包人工程质量、安全生产管理制度及组织机构和人员资格；</w:t>
            </w:r>
          </w:p>
          <w:p w14:paraId="65E50D93">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（6）检查施工承包人专职安全生产管理人员的配备情况；</w:t>
            </w:r>
          </w:p>
          <w:p w14:paraId="75F309FB">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（7）审查施工承包人提交的施工进度计划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核查承包人对施工进度计划的调整；</w:t>
            </w:r>
          </w:p>
          <w:p w14:paraId="59762B4D">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（8）检查施工承包人的试验室；</w:t>
            </w:r>
          </w:p>
          <w:p w14:paraId="78B4A57A">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（9）审核施工分包人资质条件；</w:t>
            </w:r>
          </w:p>
          <w:p w14:paraId="5451F378">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（10）查验施工承包人的施工测量放线成果；</w:t>
            </w:r>
          </w:p>
          <w:p w14:paraId="50CC9048">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（11）审查工程开工条件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对条件具备的签发开工令；</w:t>
            </w:r>
          </w:p>
          <w:p w14:paraId="339E0693">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（12）审查施工承包人报送的工程材料、构配件、设备质量证明文件的有效性和符合性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并按规定对用于工程的材料采取平行检验或见证取样方式进行抽检；</w:t>
            </w:r>
          </w:p>
          <w:p w14:paraId="39DF9C81">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（13）审核施工承包人提交的工程款支付申请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签发或出具工程款支付证书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并报委托人审核、批准；</w:t>
            </w:r>
          </w:p>
          <w:p w14:paraId="09510558">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（14）在巡视、旁站和检验过程中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发现工程质量、施工安全存在事故隐患的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要求施工承包人整改并报委托人；</w:t>
            </w:r>
          </w:p>
          <w:p w14:paraId="356AF2AA">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（15）经委托人同意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签发工程暂停令和复工令；</w:t>
            </w:r>
          </w:p>
          <w:p w14:paraId="65548CD5">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（16）审查施工承包人提交的采用新材料、新工艺、新技术、新设备的论证材料及相关验收标准；</w:t>
            </w:r>
          </w:p>
          <w:p w14:paraId="60FEB5D2">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（17）验收隐蔽工程、分部分项工程；</w:t>
            </w:r>
          </w:p>
          <w:p w14:paraId="0DA7DF89">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（18）审查施工承包人提交的工程变更申请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协调处理施工进度调整、费用索赔、合同争议等事项；</w:t>
            </w:r>
          </w:p>
          <w:p w14:paraId="72903737">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（19）审查施工承包人提交的竣工验收申请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编写工程质量评估报告；</w:t>
            </w:r>
          </w:p>
          <w:p w14:paraId="4CE8A506">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（20）参加工程竣工验收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签署竣工验收意见；</w:t>
            </w:r>
          </w:p>
          <w:p w14:paraId="41A462CC">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（21）审查施工承包人提交的竣工结算申请并报委托人；</w:t>
            </w:r>
          </w:p>
          <w:p w14:paraId="75A39355">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（22）编制、整理工程监理归档文件并报委托人。</w:t>
            </w:r>
          </w:p>
          <w:p w14:paraId="12330A44">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相关服务的范围和内容在</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中约定。</w:t>
            </w:r>
          </w:p>
          <w:p w14:paraId="00704897">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监理与相关服务依据</w:t>
            </w:r>
          </w:p>
          <w:p w14:paraId="4F0F55BC">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监理依据包括：</w:t>
            </w:r>
          </w:p>
          <w:p w14:paraId="2057A826">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（1）适用的法律、行政法规及部门规章；</w:t>
            </w:r>
          </w:p>
          <w:p w14:paraId="30C274AA">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（2）与工程有关的标准；</w:t>
            </w:r>
          </w:p>
          <w:p w14:paraId="1CCA977F">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（3）工程设计及有关文件；</w:t>
            </w:r>
          </w:p>
          <w:p w14:paraId="5615E263">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（4）本合同及委托人与第三方签订的与实施工程有关的其他合同。双方根据工程的行业和地域特点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在专用条件中具体约定监理依据</w:t>
            </w:r>
          </w:p>
          <w:p w14:paraId="1A501272">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相关服务依据在</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中约定。</w:t>
            </w:r>
          </w:p>
          <w:p w14:paraId="36B20579">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项目监理机构和人员</w:t>
            </w:r>
          </w:p>
          <w:p w14:paraId="296F79F4">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监理人应组建满足工作需要的项目监理机构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配备必要的检测设备。项目监理机构的主要人员应具有相应的资格条件。</w:t>
            </w:r>
          </w:p>
          <w:p w14:paraId="1D3F763D">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本合同履行过程中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总监理工程师及重要岗位监理人员应保持相对稳定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以保证监理工作正常进行。</w:t>
            </w:r>
          </w:p>
          <w:p w14:paraId="2592C6CE">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监理人可根据工程进展和工作需要调整项目监理机构人员。监理人更换总监理工程师时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应提前7天向委托人书面报告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经委托人同意后方可更换；监理人更换项目监理机构其他监理人员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应以相当资格与能力的人员替换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并通知委托人。</w:t>
            </w:r>
          </w:p>
          <w:p w14:paraId="046944A4">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监理人应及时更换有下列情形之一的监理人员：</w:t>
            </w:r>
          </w:p>
          <w:p w14:paraId="4370B14C">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（1）严重过失行为的；</w:t>
            </w:r>
          </w:p>
          <w:p w14:paraId="52CC1FC9">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（2）有违法行为不能履行职责的；</w:t>
            </w:r>
          </w:p>
          <w:p w14:paraId="274565A1">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（3）涉嫌犯罪的；</w:t>
            </w:r>
          </w:p>
          <w:p w14:paraId="60EAE9D1">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（4）不能胜任岗位职责的；</w:t>
            </w:r>
          </w:p>
          <w:p w14:paraId="47DC9420">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（5）严重违反职业道德的；</w:t>
            </w:r>
          </w:p>
          <w:p w14:paraId="532A1931">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（6）专用条件约定的其他情形。</w:t>
            </w:r>
          </w:p>
          <w:p w14:paraId="49A01D98">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委托人可要求监理人更换不能胜任本职工作的项目监理机构人员。</w:t>
            </w:r>
          </w:p>
          <w:p w14:paraId="7AE01F90">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履行职责</w:t>
            </w:r>
          </w:p>
          <w:p w14:paraId="0C2D188C">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监理人应遵循职业道德准则和行为规范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严格按照法律法规、工程建设有关标准及本合同履行职责。</w:t>
            </w:r>
          </w:p>
          <w:p w14:paraId="2057B6ED">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在监理与相关服务范围内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委托人和承包人提出的意见和要求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监理人应及时提出处置意见。当委托人与承包人之间发生合同争议时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监理人应协助委托人、承包人协商解决。</w:t>
            </w:r>
          </w:p>
          <w:p w14:paraId="06C44328">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当委托人与承包人之间的合同争议提交仲裁机构仲裁或人民法院审理时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监理人应提供必要的证明资料。</w:t>
            </w:r>
          </w:p>
          <w:p w14:paraId="2213553F">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监理人应在专用条件约定的授权范围内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处理委托人与承包人所签订合同的变更事宜。如果变更超过授权范围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应以书面形式报委托人批准。</w:t>
            </w:r>
          </w:p>
          <w:p w14:paraId="74CE485E">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在紧急情况下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为了保护财产和人身安全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监理人所发出的指令未能事先报委托人批准时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应在发出指令后的24小时内以书面形式报委托人。</w:t>
            </w:r>
          </w:p>
          <w:p w14:paraId="34F6C877">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除专用条件另有约定外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监理人发现承包人的人员不能胜任本职工作的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有权要求承包人予以调换。</w:t>
            </w:r>
          </w:p>
          <w:p w14:paraId="1EC855B2">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提交报告</w:t>
            </w:r>
          </w:p>
          <w:p w14:paraId="4BC66077">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监理人应按专用条件约定的种类、时间和份数向委托人提交监理与相关服务的报告。</w:t>
            </w:r>
          </w:p>
          <w:p w14:paraId="251DD8AB">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文件资料</w:t>
            </w:r>
          </w:p>
          <w:p w14:paraId="1BC2681D">
            <w:pPr>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在本合同履行期内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监理人应在现场保留工作所用的图纸、报告及记录监理工作的相关文件。工程竣工后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应当按照档案管理规定将监理有关文件归档。</w:t>
            </w:r>
          </w:p>
        </w:tc>
      </w:tr>
      <w:tr w14:paraId="726B034B">
        <w:tblPrEx>
          <w:tblCellMar>
            <w:top w:w="0" w:type="dxa"/>
            <w:left w:w="108" w:type="dxa"/>
            <w:bottom w:w="0" w:type="dxa"/>
            <w:right w:w="108" w:type="dxa"/>
          </w:tblCellMar>
        </w:tblPrEx>
        <w:trPr>
          <w:trHeight w:val="440" w:hRule="atLeast"/>
        </w:trPr>
        <w:tc>
          <w:tcPr>
            <w:tcW w:w="10205" w:type="dxa"/>
            <w:gridSpan w:val="4"/>
            <w:tcBorders>
              <w:top w:val="single" w:color="auto" w:sz="4" w:space="0"/>
              <w:left w:val="single" w:color="auto" w:sz="4" w:space="0"/>
              <w:bottom w:val="single" w:color="auto" w:sz="4" w:space="0"/>
              <w:right w:val="single" w:color="auto" w:sz="4" w:space="0"/>
            </w:tcBorders>
            <w:noWrap w:val="0"/>
            <w:vAlign w:val="center"/>
          </w:tcPr>
          <w:p w14:paraId="6015745A">
            <w:pPr>
              <w:keepNext w:val="0"/>
              <w:keepLines w:val="0"/>
              <w:pageBreakBefore w:val="0"/>
              <w:widowControl/>
              <w:kinsoku/>
              <w:overflowPunct/>
              <w:topLinePunct w:val="0"/>
              <w:autoSpaceDE/>
              <w:autoSpaceDN/>
              <w:bidi w:val="0"/>
              <w:adjustRightInd/>
              <w:snapToGrid/>
              <w:spacing w:line="360" w:lineRule="auto"/>
              <w:ind w:right="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▲二、商务要求</w:t>
            </w:r>
          </w:p>
        </w:tc>
      </w:tr>
      <w:tr w14:paraId="3BB670D1">
        <w:tblPrEx>
          <w:tblCellMar>
            <w:top w:w="0" w:type="dxa"/>
            <w:left w:w="108" w:type="dxa"/>
            <w:bottom w:w="0" w:type="dxa"/>
            <w:right w:w="108" w:type="dxa"/>
          </w:tblCellMar>
        </w:tblPrEx>
        <w:trPr>
          <w:trHeight w:val="20"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60405BE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rPr>
              <w:t>监理服务期限及服务地点</w:t>
            </w:r>
          </w:p>
        </w:tc>
        <w:tc>
          <w:tcPr>
            <w:tcW w:w="8167" w:type="dxa"/>
            <w:tcBorders>
              <w:top w:val="single" w:color="auto" w:sz="4" w:space="0"/>
              <w:left w:val="single" w:color="auto" w:sz="4" w:space="0"/>
              <w:bottom w:val="single" w:color="auto" w:sz="4" w:space="0"/>
              <w:right w:val="single" w:color="auto" w:sz="4" w:space="0"/>
            </w:tcBorders>
            <w:noWrap w:val="0"/>
            <w:vAlign w:val="top"/>
          </w:tcPr>
          <w:p w14:paraId="52B6B43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监理服务期：170日历天。</w:t>
            </w:r>
          </w:p>
          <w:p w14:paraId="57EACD4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服务地点：同项目建设地点。</w:t>
            </w:r>
          </w:p>
        </w:tc>
      </w:tr>
      <w:tr w14:paraId="04498FA9">
        <w:tblPrEx>
          <w:tblCellMar>
            <w:top w:w="0" w:type="dxa"/>
            <w:left w:w="108" w:type="dxa"/>
            <w:bottom w:w="0" w:type="dxa"/>
            <w:right w:w="108" w:type="dxa"/>
          </w:tblCellMar>
        </w:tblPrEx>
        <w:trPr>
          <w:trHeight w:val="20"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25DA9A6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质量要求</w:t>
            </w:r>
          </w:p>
        </w:tc>
        <w:tc>
          <w:tcPr>
            <w:tcW w:w="8167" w:type="dxa"/>
            <w:tcBorders>
              <w:top w:val="single" w:color="auto" w:sz="4" w:space="0"/>
              <w:left w:val="single" w:color="auto" w:sz="4" w:space="0"/>
              <w:bottom w:val="single" w:color="auto" w:sz="4" w:space="0"/>
              <w:right w:val="single" w:color="auto" w:sz="4" w:space="0"/>
            </w:tcBorders>
            <w:noWrap w:val="0"/>
            <w:vAlign w:val="top"/>
          </w:tcPr>
          <w:p w14:paraId="57BE19D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pacing w:val="-4"/>
                <w:sz w:val="21"/>
                <w:szCs w:val="21"/>
                <w:highlight w:val="none"/>
                <w:lang w:val="zh-CN"/>
              </w:rPr>
            </w:pPr>
            <w:r>
              <w:rPr>
                <w:rFonts w:hint="eastAsia" w:ascii="宋体" w:hAnsi="宋体" w:eastAsia="宋体" w:cs="宋体"/>
                <w:color w:val="auto"/>
                <w:sz w:val="21"/>
                <w:szCs w:val="21"/>
                <w:highlight w:val="none"/>
              </w:rPr>
              <w:t>符合国家和地方现行规范、设计标准及规范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符合本项目的批复要求或者其他标准、规范。</w:t>
            </w:r>
          </w:p>
        </w:tc>
      </w:tr>
      <w:tr w14:paraId="7BCD1A86">
        <w:tblPrEx>
          <w:tblCellMar>
            <w:top w:w="0" w:type="dxa"/>
            <w:left w:w="108" w:type="dxa"/>
            <w:bottom w:w="0" w:type="dxa"/>
            <w:right w:w="108" w:type="dxa"/>
          </w:tblCellMar>
        </w:tblPrEx>
        <w:trPr>
          <w:trHeight w:val="1735"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186CF52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color w:val="auto"/>
                <w:sz w:val="21"/>
                <w:szCs w:val="21"/>
                <w:highlight w:val="none"/>
              </w:rPr>
              <w:t>付款方式</w:t>
            </w:r>
          </w:p>
        </w:tc>
        <w:tc>
          <w:tcPr>
            <w:tcW w:w="8167" w:type="dxa"/>
            <w:tcBorders>
              <w:top w:val="single" w:color="auto" w:sz="4" w:space="0"/>
              <w:left w:val="single" w:color="auto" w:sz="4" w:space="0"/>
              <w:bottom w:val="single" w:color="auto" w:sz="4" w:space="0"/>
              <w:right w:val="single" w:color="auto" w:sz="4" w:space="0"/>
            </w:tcBorders>
            <w:noWrap w:val="0"/>
            <w:vAlign w:val="top"/>
          </w:tcPr>
          <w:p w14:paraId="2792CE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本合同签订并生效后 7 日内向发包人提交监理规划和监理实施细则，即可支付第一期监理酬金，金额为酬金总额的30%。</w:t>
            </w:r>
          </w:p>
          <w:p w14:paraId="0FB9E10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第二期酬金支付金额为酬金总额的50%（以工程为单位），支付时间为工程项目初验收后7日内。</w:t>
            </w:r>
          </w:p>
          <w:p w14:paraId="7B47D1C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第三期酬金支付金额为酬金总额的20%（以工程为单位），支付时间为提交工程监理归档材料后。</w:t>
            </w:r>
          </w:p>
        </w:tc>
      </w:tr>
      <w:tr w14:paraId="58CC5A54">
        <w:tblPrEx>
          <w:tblCellMar>
            <w:top w:w="0" w:type="dxa"/>
            <w:left w:w="108" w:type="dxa"/>
            <w:bottom w:w="0" w:type="dxa"/>
            <w:right w:w="108" w:type="dxa"/>
          </w:tblCellMar>
        </w:tblPrEx>
        <w:trPr>
          <w:trHeight w:val="1735"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03A03A8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pacing w:val="7"/>
                <w:sz w:val="21"/>
                <w:szCs w:val="21"/>
                <w:highlight w:val="none"/>
              </w:rPr>
            </w:pPr>
            <w:r>
              <w:rPr>
                <w:rFonts w:hint="eastAsia" w:ascii="宋体" w:hAnsi="宋体" w:eastAsia="宋体" w:cs="宋体"/>
                <w:color w:val="auto"/>
                <w:sz w:val="21"/>
                <w:szCs w:val="21"/>
                <w:highlight w:val="none"/>
              </w:rPr>
              <w:t>报价要求</w:t>
            </w:r>
          </w:p>
        </w:tc>
        <w:tc>
          <w:tcPr>
            <w:tcW w:w="8167" w:type="dxa"/>
            <w:tcBorders>
              <w:top w:val="single" w:color="auto" w:sz="4" w:space="0"/>
              <w:left w:val="single" w:color="auto" w:sz="4" w:space="0"/>
              <w:bottom w:val="single" w:color="auto" w:sz="4" w:space="0"/>
              <w:right w:val="single" w:color="auto" w:sz="4" w:space="0"/>
            </w:tcBorders>
            <w:noWrap w:val="0"/>
            <w:vAlign w:val="top"/>
          </w:tcPr>
          <w:p w14:paraId="342DB05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1.竞标报价是履行合同的最终价格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即满足全部采购需求所应提供的服务的价格：包括实施和完成本项目监理工作所需的劳务费、技术服务费、交通、通讯、保险、税费和利润等所有费用。</w:t>
            </w:r>
          </w:p>
          <w:p w14:paraId="31877F0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9"/>
                <w:sz w:val="21"/>
                <w:szCs w:val="21"/>
                <w:highlight w:val="none"/>
              </w:rPr>
            </w:pPr>
            <w:r>
              <w:rPr>
                <w:rFonts w:hint="eastAsia" w:ascii="宋体" w:hAnsi="宋体" w:eastAsia="宋体" w:cs="宋体"/>
                <w:color w:val="auto"/>
                <w:sz w:val="21"/>
                <w:szCs w:val="21"/>
                <w:highlight w:val="none"/>
              </w:rPr>
              <w:t>2.供应商应结合自身因素进行竞争性报价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但不得超出招标控制价范围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否则响应文件按无效响应处理。</w:t>
            </w:r>
          </w:p>
        </w:tc>
      </w:tr>
      <w:tr w14:paraId="6BC6D667">
        <w:tblPrEx>
          <w:tblCellMar>
            <w:top w:w="0" w:type="dxa"/>
            <w:left w:w="108" w:type="dxa"/>
            <w:bottom w:w="0" w:type="dxa"/>
            <w:right w:w="108" w:type="dxa"/>
          </w:tblCellMar>
        </w:tblPrEx>
        <w:trPr>
          <w:trHeight w:val="505" w:hRule="atLeast"/>
        </w:trPr>
        <w:tc>
          <w:tcPr>
            <w:tcW w:w="2038" w:type="dxa"/>
            <w:gridSpan w:val="3"/>
            <w:tcBorders>
              <w:top w:val="single" w:color="auto" w:sz="4" w:space="0"/>
              <w:left w:val="single" w:color="auto" w:sz="4" w:space="0"/>
              <w:bottom w:val="single" w:color="auto" w:sz="4" w:space="0"/>
              <w:right w:val="single" w:color="auto" w:sz="4" w:space="0"/>
            </w:tcBorders>
            <w:noWrap w:val="0"/>
            <w:vAlign w:val="center"/>
          </w:tcPr>
          <w:p w14:paraId="0281F36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pacing w:val="7"/>
                <w:sz w:val="21"/>
                <w:szCs w:val="21"/>
                <w:highlight w:val="none"/>
              </w:rPr>
            </w:pPr>
            <w:r>
              <w:rPr>
                <w:rFonts w:hint="eastAsia" w:ascii="宋体" w:hAnsi="宋体" w:eastAsia="宋体" w:cs="宋体"/>
                <w:color w:val="auto"/>
                <w:sz w:val="21"/>
                <w:szCs w:val="21"/>
                <w:highlight w:val="none"/>
              </w:rPr>
              <w:t>合同签订</w:t>
            </w:r>
          </w:p>
        </w:tc>
        <w:tc>
          <w:tcPr>
            <w:tcW w:w="8167" w:type="dxa"/>
            <w:tcBorders>
              <w:top w:val="single" w:color="auto" w:sz="4" w:space="0"/>
              <w:left w:val="single" w:color="auto" w:sz="4" w:space="0"/>
              <w:bottom w:val="single" w:color="auto" w:sz="4" w:space="0"/>
              <w:right w:val="single" w:color="auto" w:sz="4" w:space="0"/>
            </w:tcBorders>
            <w:noWrap w:val="0"/>
            <w:vAlign w:val="top"/>
          </w:tcPr>
          <w:p w14:paraId="5930AF0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9"/>
                <w:sz w:val="21"/>
                <w:szCs w:val="21"/>
                <w:highlight w:val="none"/>
              </w:rPr>
            </w:pPr>
            <w:r>
              <w:rPr>
                <w:rFonts w:hint="eastAsia" w:ascii="宋体" w:hAnsi="宋体" w:eastAsia="宋体" w:cs="宋体"/>
                <w:color w:val="auto"/>
                <w:sz w:val="21"/>
                <w:szCs w:val="21"/>
                <w:highlight w:val="none"/>
              </w:rPr>
              <w:t>自成交通知书发出之日起25日内。</w:t>
            </w:r>
          </w:p>
        </w:tc>
      </w:tr>
    </w:tbl>
    <w:p w14:paraId="725CE5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p>
    <w:p w14:paraId="5CBF86E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highlight w:val="none"/>
        </w:rPr>
      </w:pPr>
    </w:p>
    <w:p w14:paraId="4AC15129">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sz w:val="24"/>
          <w:szCs w:val="24"/>
          <w:highlight w:val="none"/>
        </w:rPr>
        <w:br w:type="page"/>
      </w:r>
      <w:bookmarkStart w:id="29" w:name="_Toc9125"/>
      <w:r>
        <w:rPr>
          <w:rFonts w:hint="eastAsia" w:ascii="宋体" w:hAnsi="宋体" w:eastAsia="宋体" w:cs="宋体"/>
          <w:b/>
          <w:color w:val="auto"/>
          <w:kern w:val="44"/>
          <w:sz w:val="32"/>
          <w:szCs w:val="32"/>
          <w:highlight w:val="none"/>
        </w:rPr>
        <w:t xml:space="preserve">第三章 </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29"/>
    </w:p>
    <w:p w14:paraId="6D90EE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Cs/>
          <w:color w:val="auto"/>
          <w:sz w:val="24"/>
          <w:szCs w:val="24"/>
          <w:highlight w:val="none"/>
        </w:rPr>
      </w:pPr>
      <w:bookmarkStart w:id="30" w:name="_Toc15583"/>
      <w:r>
        <w:rPr>
          <w:rFonts w:hint="eastAsia" w:ascii="宋体" w:hAnsi="宋体" w:eastAsia="宋体" w:cs="宋体"/>
          <w:b/>
          <w:bCs w:val="0"/>
          <w:color w:val="auto"/>
          <w:sz w:val="24"/>
          <w:szCs w:val="24"/>
          <w:highlight w:val="none"/>
        </w:rPr>
        <w:t>第一节 供应商须知前附表</w:t>
      </w:r>
      <w:bookmarkEnd w:id="30"/>
    </w:p>
    <w:tbl>
      <w:tblPr>
        <w:tblStyle w:val="32"/>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1333"/>
        <w:gridCol w:w="8027"/>
      </w:tblGrid>
      <w:tr w14:paraId="24BF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D48BB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646" w:type="pct"/>
            <w:noWrap w:val="0"/>
            <w:vAlign w:val="center"/>
          </w:tcPr>
          <w:p w14:paraId="4D94FA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条款内容</w:t>
            </w:r>
          </w:p>
        </w:tc>
        <w:tc>
          <w:tcPr>
            <w:tcW w:w="3890" w:type="pct"/>
            <w:noWrap w:val="0"/>
            <w:vAlign w:val="center"/>
          </w:tcPr>
          <w:p w14:paraId="2726104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具体要求</w:t>
            </w:r>
          </w:p>
        </w:tc>
      </w:tr>
      <w:tr w14:paraId="7A77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7D2B934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646" w:type="pct"/>
            <w:noWrap w:val="0"/>
            <w:vAlign w:val="center"/>
          </w:tcPr>
          <w:p w14:paraId="723B94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w:t>
            </w:r>
          </w:p>
        </w:tc>
        <w:tc>
          <w:tcPr>
            <w:tcW w:w="3890" w:type="pct"/>
            <w:noWrap w:val="0"/>
            <w:vAlign w:val="center"/>
          </w:tcPr>
          <w:p w14:paraId="2DF2D0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供应商资格条件要求详见公告。</w:t>
            </w:r>
          </w:p>
        </w:tc>
      </w:tr>
      <w:tr w14:paraId="0C51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19FB61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646" w:type="pct"/>
            <w:noWrap w:val="0"/>
            <w:vAlign w:val="center"/>
          </w:tcPr>
          <w:p w14:paraId="3E0C96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是否接受联合体竞标</w:t>
            </w:r>
          </w:p>
        </w:tc>
        <w:tc>
          <w:tcPr>
            <w:tcW w:w="3890" w:type="pct"/>
            <w:noWrap w:val="0"/>
            <w:vAlign w:val="center"/>
          </w:tcPr>
          <w:p w14:paraId="33AA33A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54A7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7885AA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646" w:type="pct"/>
            <w:noWrap w:val="0"/>
            <w:vAlign w:val="center"/>
          </w:tcPr>
          <w:p w14:paraId="55DF7D6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联合体竞标要求</w:t>
            </w:r>
          </w:p>
        </w:tc>
        <w:tc>
          <w:tcPr>
            <w:tcW w:w="3890" w:type="pct"/>
            <w:noWrap w:val="0"/>
            <w:vAlign w:val="center"/>
          </w:tcPr>
          <w:p w14:paraId="6ABD7B9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67DE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DD1673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646" w:type="pct"/>
            <w:noWrap w:val="0"/>
            <w:vAlign w:val="center"/>
          </w:tcPr>
          <w:p w14:paraId="63979B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是否允许分包</w:t>
            </w:r>
          </w:p>
        </w:tc>
        <w:tc>
          <w:tcPr>
            <w:tcW w:w="3890" w:type="pct"/>
            <w:noWrap w:val="0"/>
            <w:vAlign w:val="center"/>
          </w:tcPr>
          <w:p w14:paraId="21207E4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 w:val="22"/>
                <w:szCs w:val="22"/>
                <w:highlight w:val="none"/>
              </w:rPr>
              <w:t>不允许分包</w:t>
            </w:r>
          </w:p>
          <w:p w14:paraId="6878A4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分包内容：</w:t>
            </w:r>
            <w:r>
              <w:rPr>
                <w:rFonts w:hint="eastAsia" w:ascii="宋体" w:hAnsi="宋体" w:eastAsia="宋体" w:cs="宋体"/>
                <w:color w:val="auto"/>
                <w:sz w:val="22"/>
                <w:szCs w:val="22"/>
                <w:highlight w:val="none"/>
                <w:u w:val="single"/>
              </w:rPr>
              <w:t xml:space="preserve">       /       。</w:t>
            </w:r>
          </w:p>
          <w:p w14:paraId="4EB3632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分包金额或者比例：</w:t>
            </w:r>
            <w:r>
              <w:rPr>
                <w:rFonts w:hint="eastAsia" w:ascii="宋体" w:hAnsi="宋体" w:eastAsia="宋体" w:cs="宋体"/>
                <w:color w:val="auto"/>
                <w:sz w:val="22"/>
                <w:szCs w:val="22"/>
                <w:highlight w:val="none"/>
                <w:u w:val="single"/>
              </w:rPr>
              <w:t xml:space="preserve">      /        。</w:t>
            </w:r>
          </w:p>
        </w:tc>
      </w:tr>
      <w:tr w14:paraId="01FD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538DAA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12.1.1</w:t>
            </w:r>
          </w:p>
        </w:tc>
        <w:tc>
          <w:tcPr>
            <w:tcW w:w="646" w:type="pct"/>
            <w:noWrap w:val="0"/>
            <w:vAlign w:val="center"/>
          </w:tcPr>
          <w:p w14:paraId="2E96604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资格证明文件组成</w:t>
            </w:r>
          </w:p>
        </w:tc>
        <w:tc>
          <w:tcPr>
            <w:tcW w:w="3890" w:type="pct"/>
            <w:noWrap w:val="0"/>
            <w:vAlign w:val="center"/>
          </w:tcPr>
          <w:p w14:paraId="0162E5F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1.磋商供应商有效的“主体资格证明文件”复印件（如营业执照、事业单位法人证书、执业许可证、自然人身份证等）；</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2346021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政府采购供应商资格信用承诺函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74B3FA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.供应商直接控股、管理关系信息表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49B6147F">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.供应商须具备国内注册(指按国家有关规定要求注册的)地质灾害治理工程监理甲级资质证书</w:t>
            </w:r>
            <w:r>
              <w:rPr>
                <w:rFonts w:hint="eastAsia" w:ascii="宋体" w:hAnsi="宋体" w:cs="宋体"/>
                <w:color w:val="auto"/>
                <w:sz w:val="22"/>
                <w:szCs w:val="22"/>
                <w:highlight w:val="none"/>
                <w:lang w:eastAsia="zh-CN"/>
              </w:rPr>
              <w:t>，拟派总监理工程师具有</w:t>
            </w:r>
            <w:r>
              <w:rPr>
                <w:rFonts w:hint="eastAsia" w:ascii="宋体" w:hAnsi="宋体" w:eastAsia="宋体" w:cs="宋体"/>
                <w:spacing w:val="3"/>
                <w:sz w:val="21"/>
                <w:szCs w:val="21"/>
                <w:highlight w:val="none"/>
              </w:rPr>
              <w:t>水工环或地质工程或岩土工程类等相关专业高级以上（含）技术职称</w:t>
            </w:r>
            <w:r>
              <w:rPr>
                <w:rFonts w:hint="eastAsia" w:ascii="宋体" w:hAnsi="宋体" w:eastAsia="宋体" w:cs="宋体"/>
                <w:spacing w:val="3"/>
                <w:sz w:val="21"/>
                <w:szCs w:val="21"/>
                <w:highlight w:val="none"/>
                <w:lang w:val="en-US" w:eastAsia="zh-CN"/>
              </w:rPr>
              <w:t>及</w:t>
            </w:r>
            <w:r>
              <w:rPr>
                <w:rFonts w:hint="default" w:ascii="Times New Roman" w:hAnsi="Times New Roman" w:eastAsia="宋体" w:cs="Times New Roman"/>
                <w:b w:val="0"/>
                <w:bCs/>
                <w:color w:val="auto"/>
                <w:sz w:val="21"/>
                <w:szCs w:val="21"/>
                <w:highlight w:val="none"/>
              </w:rPr>
              <w:t>地质灾害治理工程监理培训证书（</w:t>
            </w:r>
            <w:r>
              <w:rPr>
                <w:rFonts w:hint="eastAsia" w:ascii="Times New Roman" w:hAnsi="Times New Roman" w:eastAsia="宋体" w:cs="Times New Roman"/>
                <w:b w:val="0"/>
                <w:bCs/>
                <w:color w:val="auto"/>
                <w:sz w:val="21"/>
                <w:szCs w:val="21"/>
                <w:highlight w:val="none"/>
                <w:lang w:eastAsia="zh-CN"/>
              </w:rPr>
              <w:t>中国地质灾害防治工程行业协会或中国地质灾害防治与生态修复协会颁发</w:t>
            </w:r>
            <w:r>
              <w:rPr>
                <w:rFonts w:hint="default" w:ascii="Times New Roman" w:hAnsi="Times New Roman" w:eastAsia="宋体" w:cs="Times New Roman"/>
                <w:b w:val="0"/>
                <w:bCs/>
                <w:color w:val="auto"/>
                <w:sz w:val="21"/>
                <w:szCs w:val="21"/>
                <w:highlight w:val="none"/>
              </w:rPr>
              <w:t>）</w:t>
            </w:r>
            <w:r>
              <w:rPr>
                <w:rFonts w:hint="eastAsia" w:ascii="宋体" w:hAnsi="宋体" w:eastAsia="宋体" w:cs="宋体"/>
                <w:color w:val="auto"/>
                <w:sz w:val="22"/>
                <w:szCs w:val="22"/>
                <w:highlight w:val="none"/>
                <w:lang w:val="en-US" w:eastAsia="zh-CN"/>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16FF21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cs="宋体"/>
                <w:i w:val="0"/>
                <w:iCs w:val="0"/>
                <w:color w:val="auto"/>
                <w:sz w:val="22"/>
                <w:szCs w:val="22"/>
                <w:highlight w:val="none"/>
                <w:u w:val="none"/>
                <w:lang w:val="en-US" w:eastAsia="zh-CN"/>
              </w:rPr>
              <w:t>5</w:t>
            </w:r>
            <w:r>
              <w:rPr>
                <w:rFonts w:hint="eastAsia" w:ascii="宋体" w:hAnsi="宋体" w:eastAsia="宋体" w:cs="宋体"/>
                <w:i w:val="0"/>
                <w:iCs w:val="0"/>
                <w:color w:val="auto"/>
                <w:sz w:val="22"/>
                <w:szCs w:val="22"/>
                <w:highlight w:val="none"/>
                <w:u w:val="none"/>
                <w:lang w:val="en-US" w:eastAsia="zh-CN"/>
              </w:rPr>
              <w:t>.中小企业声明函（或残疾人福利性单位声明函或监狱企业证明文件）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i w:val="0"/>
                <w:iCs w:val="0"/>
                <w:color w:val="auto"/>
                <w:sz w:val="22"/>
                <w:szCs w:val="22"/>
                <w:highlight w:val="none"/>
                <w:u w:val="none"/>
                <w:lang w:val="en-US" w:eastAsia="zh-CN"/>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59E3E2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除磋商文件规定必须提供以外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供应商认为需要提供的其他证明材料；</w:t>
            </w:r>
          </w:p>
          <w:p w14:paraId="61FAFF3D">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p>
        </w:tc>
      </w:tr>
      <w:tr w14:paraId="6157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5BF7FA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593ABA2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商务文件组成</w:t>
            </w:r>
          </w:p>
        </w:tc>
        <w:tc>
          <w:tcPr>
            <w:tcW w:w="3890" w:type="pct"/>
            <w:noWrap w:val="0"/>
            <w:vAlign w:val="center"/>
          </w:tcPr>
          <w:p w14:paraId="0C0EF68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1.无串通竞标行为的承诺函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1E0B706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2.法定代表人身份证明书及法定代表人有效身份证正反面复印件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除自然人竞标外</w:t>
            </w:r>
            <w:r>
              <w:rPr>
                <w:rFonts w:hint="eastAsia" w:ascii="宋体" w:hAnsi="宋体" w:eastAsia="宋体" w:cs="宋体"/>
                <w:b/>
                <w:color w:val="auto"/>
                <w:sz w:val="22"/>
                <w:szCs w:val="22"/>
                <w:highlight w:val="none"/>
              </w:rPr>
              <w:t>必须提供</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r>
              <w:rPr>
                <w:rFonts w:hint="eastAsia" w:ascii="宋体" w:hAnsi="宋体" w:eastAsia="宋体" w:cs="宋体"/>
                <w:color w:val="auto"/>
                <w:sz w:val="22"/>
                <w:szCs w:val="22"/>
                <w:highlight w:val="none"/>
              </w:rPr>
              <w:t>）</w:t>
            </w:r>
          </w:p>
          <w:p w14:paraId="03E091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3.法定代表人授权委托书及委托代理人有效身份证正反面复印件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委托时必须提供</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r>
              <w:rPr>
                <w:rFonts w:hint="eastAsia" w:ascii="宋体" w:hAnsi="宋体" w:eastAsia="宋体" w:cs="宋体"/>
                <w:color w:val="auto"/>
                <w:sz w:val="22"/>
                <w:szCs w:val="22"/>
                <w:highlight w:val="none"/>
              </w:rPr>
              <w:t>）</w:t>
            </w:r>
          </w:p>
          <w:p w14:paraId="0C511B1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.商务条款偏离表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733E909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.竞标人情况介绍；</w:t>
            </w:r>
          </w:p>
          <w:p w14:paraId="3BC2D64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5ADE3CD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注：1.法定代表人授权委托书必须由法定代表人及委托代理人签字</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并加盖供应商公章</w:t>
            </w:r>
            <w:r>
              <w:rPr>
                <w:rFonts w:hint="eastAsia" w:ascii="宋体" w:hAnsi="宋体" w:eastAsia="宋体" w:cs="宋体"/>
                <w:b/>
                <w:color w:val="auto"/>
                <w:sz w:val="22"/>
                <w:szCs w:val="22"/>
                <w:highlight w:val="none"/>
                <w:lang w:eastAsia="zh-CN"/>
              </w:rPr>
              <w:t>（或电子签章）</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p>
          <w:p w14:paraId="58172CDD">
            <w:pPr>
              <w:keepNext w:val="0"/>
              <w:keepLines w:val="0"/>
              <w:pageBreakBefore w:val="0"/>
              <w:widowControl w:val="0"/>
              <w:kinsoku/>
              <w:wordWrap/>
              <w:overflowPunct/>
              <w:topLinePunct w:val="0"/>
              <w:autoSpaceDE/>
              <w:autoSpaceDN/>
              <w:bidi w:val="0"/>
              <w:adjustRightInd/>
              <w:snapToGrid w:val="0"/>
              <w:spacing w:line="360" w:lineRule="auto"/>
              <w:ind w:left="0" w:firstLine="433" w:firstLineChars="196"/>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2.以上标明“必须提供”的材料属于复印件的扫描件的</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p>
        </w:tc>
      </w:tr>
      <w:tr w14:paraId="21E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199E2E0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E1E3AD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技术文件组成</w:t>
            </w:r>
          </w:p>
        </w:tc>
        <w:tc>
          <w:tcPr>
            <w:tcW w:w="3890" w:type="pct"/>
            <w:noWrap w:val="0"/>
            <w:vAlign w:val="center"/>
          </w:tcPr>
          <w:p w14:paraId="1B6DB25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1.服务需求偏离表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745070E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监理大纲</w:t>
            </w:r>
            <w:r>
              <w:rPr>
                <w:rFonts w:hint="eastAsia" w:ascii="宋体" w:hAnsi="宋体" w:eastAsia="宋体" w:cs="宋体"/>
                <w:color w:val="auto"/>
                <w:sz w:val="22"/>
                <w:szCs w:val="22"/>
                <w:highlight w:val="none"/>
              </w:rPr>
              <w:t>（由竞标人</w:t>
            </w:r>
            <w:r>
              <w:rPr>
                <w:rFonts w:hint="eastAsia" w:ascii="宋体" w:hAnsi="宋体" w:cs="宋体"/>
                <w:color w:val="auto"/>
                <w:sz w:val="22"/>
                <w:szCs w:val="22"/>
                <w:highlight w:val="none"/>
                <w:lang w:val="en-US" w:eastAsia="zh-CN"/>
              </w:rPr>
              <w:t>可</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第四章  评标方法及评分标准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要求编制）；</w:t>
            </w:r>
            <w:r>
              <w:rPr>
                <w:rFonts w:hint="eastAsia" w:ascii="宋体" w:hAnsi="宋体" w:eastAsia="宋体" w:cs="宋体"/>
                <w:b/>
                <w:color w:val="auto"/>
                <w:sz w:val="22"/>
                <w:szCs w:val="22"/>
                <w:highlight w:val="none"/>
              </w:rPr>
              <w:t>（必须提供</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否则作无效投标处理）</w:t>
            </w:r>
          </w:p>
          <w:p w14:paraId="16191E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监理</w:t>
            </w:r>
            <w:r>
              <w:rPr>
                <w:rFonts w:hint="eastAsia" w:ascii="宋体" w:hAnsi="宋体" w:eastAsia="宋体" w:cs="宋体"/>
                <w:color w:val="auto"/>
                <w:sz w:val="22"/>
                <w:szCs w:val="22"/>
                <w:highlight w:val="none"/>
              </w:rPr>
              <w:t>服务</w:t>
            </w:r>
            <w:r>
              <w:rPr>
                <w:rFonts w:hint="eastAsia" w:ascii="宋体" w:hAnsi="宋体" w:cs="宋体"/>
                <w:color w:val="auto"/>
                <w:sz w:val="22"/>
                <w:szCs w:val="22"/>
                <w:highlight w:val="none"/>
                <w:lang w:val="en-US" w:eastAsia="zh-CN"/>
              </w:rPr>
              <w:t>承诺（格式自拟）</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（必须提供</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否则作无效投标处理）</w:t>
            </w:r>
          </w:p>
          <w:p w14:paraId="2A400F5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项目实施人员一览表；</w:t>
            </w:r>
            <w:r>
              <w:rPr>
                <w:rFonts w:hint="eastAsia" w:ascii="宋体" w:hAnsi="宋体" w:eastAsia="宋体" w:cs="宋体"/>
                <w:b/>
                <w:color w:val="auto"/>
                <w:sz w:val="22"/>
                <w:szCs w:val="22"/>
                <w:highlight w:val="none"/>
                <w:lang w:eastAsia="zh-CN"/>
              </w:rPr>
              <w:t>（必须提供</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lang w:eastAsia="zh-CN"/>
              </w:rPr>
              <w:t>否则作无效投标处理）</w:t>
            </w:r>
          </w:p>
          <w:p w14:paraId="58FD17B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w:t>
            </w:r>
            <w:r>
              <w:rPr>
                <w:rFonts w:hint="eastAsia" w:ascii="宋体" w:hAnsi="宋体" w:eastAsia="宋体" w:cs="宋体"/>
                <w:b w:val="0"/>
                <w:bCs w:val="0"/>
                <w:color w:val="auto"/>
                <w:spacing w:val="0"/>
                <w:sz w:val="22"/>
                <w:szCs w:val="22"/>
                <w:highlight w:val="none"/>
                <w:lang w:val="en-US" w:eastAsia="zh-CN"/>
              </w:rPr>
              <w:t>供应商</w:t>
            </w:r>
            <w:r>
              <w:rPr>
                <w:rFonts w:hint="eastAsia" w:ascii="宋体" w:hAnsi="宋体" w:eastAsia="宋体" w:cs="宋体"/>
                <w:b w:val="0"/>
                <w:color w:val="auto"/>
                <w:sz w:val="22"/>
                <w:szCs w:val="22"/>
                <w:highlight w:val="none"/>
                <w:lang w:eastAsia="zh-CN"/>
              </w:rPr>
              <w:t>对本项目的合理化建议和改进措施；</w:t>
            </w:r>
          </w:p>
          <w:p w14:paraId="7E5E8A5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.供应商认为需要提供的其他有关资料。</w:t>
            </w:r>
          </w:p>
          <w:p w14:paraId="248FC7A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p>
        </w:tc>
      </w:tr>
      <w:tr w14:paraId="437F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656EF4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12.1.2</w:t>
            </w:r>
          </w:p>
        </w:tc>
        <w:tc>
          <w:tcPr>
            <w:tcW w:w="646" w:type="pct"/>
            <w:noWrap w:val="0"/>
            <w:vAlign w:val="center"/>
          </w:tcPr>
          <w:p w14:paraId="23F6C06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报价文件组成</w:t>
            </w:r>
          </w:p>
        </w:tc>
        <w:tc>
          <w:tcPr>
            <w:tcW w:w="3890" w:type="pct"/>
            <w:noWrap w:val="0"/>
            <w:vAlign w:val="center"/>
          </w:tcPr>
          <w:p w14:paraId="4FF4C66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0F9EB73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2.响应报价表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格式后附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rPr>
              <w:t>（必须提供</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否则响应文件按无效响应处理）</w:t>
            </w:r>
          </w:p>
          <w:p w14:paraId="4254A89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.供应商针对报价需要说明的其他文件和说明。</w:t>
            </w:r>
          </w:p>
          <w:p w14:paraId="56C8E4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注：以上标明“必须提供”的材料属于复印件的扫描件的</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必须加盖供应商</w:t>
            </w:r>
            <w:r>
              <w:rPr>
                <w:rFonts w:hint="eastAsia" w:ascii="宋体" w:hAnsi="宋体" w:eastAsia="宋体" w:cs="宋体"/>
                <w:b/>
                <w:color w:val="auto"/>
                <w:sz w:val="22"/>
                <w:szCs w:val="22"/>
                <w:highlight w:val="none"/>
                <w:lang w:eastAsia="zh-CN"/>
              </w:rPr>
              <w:t>公章（或电子签章）</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否则响应文件按无效响应处理。</w:t>
            </w:r>
          </w:p>
        </w:tc>
      </w:tr>
      <w:tr w14:paraId="1DD1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62BA243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w:t>
            </w:r>
          </w:p>
        </w:tc>
        <w:tc>
          <w:tcPr>
            <w:tcW w:w="646" w:type="pct"/>
            <w:noWrap w:val="0"/>
            <w:vAlign w:val="center"/>
          </w:tcPr>
          <w:p w14:paraId="14D7D48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响应报价要求</w:t>
            </w:r>
          </w:p>
        </w:tc>
        <w:tc>
          <w:tcPr>
            <w:tcW w:w="3890" w:type="pct"/>
            <w:noWrap w:val="0"/>
            <w:vAlign w:val="center"/>
          </w:tcPr>
          <w:p w14:paraId="69C646C3">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投标报价是履行合同的最终价格</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必须包含满足本次投标全部采购需求所应提供的服务</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以及伴随的货物和工程（如有）的价格；包含投标服务、货物、工程的成本、运输（含保险）、安装（如有）、调试、检验、技术服务、培训、税费等所有费用。（采购需求另有约定的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从其约定）</w:t>
            </w:r>
          </w:p>
          <w:p w14:paraId="49DD9B1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val="en-US" w:eastAsia="zh-CN"/>
              </w:rPr>
              <w:t>本采购文件</w:t>
            </w:r>
            <w:r>
              <w:rPr>
                <w:rFonts w:hint="eastAsia" w:ascii="宋体" w:hAnsi="宋体" w:eastAsia="宋体" w:cs="宋体"/>
                <w:b/>
                <w:color w:val="auto"/>
                <w:sz w:val="22"/>
                <w:szCs w:val="22"/>
                <w:highlight w:val="none"/>
              </w:rPr>
              <w:t>第二章</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采购需求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另有约定的</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从其约定</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lang w:val="en-US" w:eastAsia="zh-CN"/>
              </w:rPr>
              <w:t>范围如有不完整</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响应文件按无效响应处理</w:t>
            </w:r>
            <w:r>
              <w:rPr>
                <w:rFonts w:hint="eastAsia" w:ascii="宋体" w:hAnsi="宋体" w:eastAsia="宋体" w:cs="宋体"/>
                <w:b/>
                <w:color w:val="auto"/>
                <w:sz w:val="22"/>
                <w:szCs w:val="22"/>
                <w:highlight w:val="none"/>
                <w:lang w:eastAsia="zh-CN"/>
              </w:rPr>
              <w:t>）</w:t>
            </w:r>
          </w:p>
        </w:tc>
      </w:tr>
      <w:tr w14:paraId="70C9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F21E34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w:t>
            </w:r>
          </w:p>
        </w:tc>
        <w:tc>
          <w:tcPr>
            <w:tcW w:w="646" w:type="pct"/>
            <w:noWrap w:val="0"/>
            <w:vAlign w:val="center"/>
          </w:tcPr>
          <w:p w14:paraId="4219F23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竞标有效期</w:t>
            </w:r>
          </w:p>
        </w:tc>
        <w:tc>
          <w:tcPr>
            <w:tcW w:w="3890" w:type="pct"/>
            <w:noWrap w:val="0"/>
            <w:vAlign w:val="center"/>
          </w:tcPr>
          <w:p w14:paraId="284CCFDA">
            <w:pPr>
              <w:keepNext w:val="0"/>
              <w:keepLines w:val="0"/>
              <w:pageBreakBefore w:val="0"/>
              <w:widowControl w:val="0"/>
              <w:tabs>
                <w:tab w:val="left" w:pos="720"/>
                <w:tab w:val="left" w:pos="840"/>
              </w:tabs>
              <w:kinsoku/>
              <w:wordWrap/>
              <w:overflowPunct/>
              <w:topLinePunct w:val="0"/>
              <w:autoSpaceDE/>
              <w:autoSpaceDN/>
              <w:bidi w:val="0"/>
              <w:adjustRightInd/>
              <w:snapToGrid w:val="0"/>
              <w:spacing w:line="360" w:lineRule="auto"/>
              <w:ind w:left="0" w:hanging="297" w:hangingChars="135"/>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自首次响应文件提交截止之日起</w:t>
            </w:r>
            <w:r>
              <w:rPr>
                <w:rFonts w:hint="eastAsia" w:ascii="宋体" w:hAnsi="宋体" w:eastAsia="宋体" w:cs="宋体"/>
                <w:color w:val="auto"/>
                <w:sz w:val="22"/>
                <w:szCs w:val="22"/>
                <w:highlight w:val="none"/>
                <w:u w:val="single"/>
              </w:rPr>
              <w:t xml:space="preserve"> 90 </w:t>
            </w:r>
            <w:r>
              <w:rPr>
                <w:rFonts w:hint="eastAsia" w:ascii="宋体" w:hAnsi="宋体" w:eastAsia="宋体" w:cs="宋体"/>
                <w:color w:val="auto"/>
                <w:sz w:val="22"/>
                <w:szCs w:val="22"/>
                <w:highlight w:val="none"/>
              </w:rPr>
              <w:t>日。</w:t>
            </w:r>
          </w:p>
        </w:tc>
      </w:tr>
      <w:tr w14:paraId="6C175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92F62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w:t>
            </w:r>
          </w:p>
        </w:tc>
        <w:tc>
          <w:tcPr>
            <w:tcW w:w="646" w:type="pct"/>
            <w:noWrap w:val="0"/>
            <w:vAlign w:val="center"/>
          </w:tcPr>
          <w:p w14:paraId="0886863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3890" w:type="pct"/>
            <w:noWrap w:val="0"/>
            <w:vAlign w:val="center"/>
          </w:tcPr>
          <w:p w14:paraId="710A3119">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不收取</w:t>
            </w:r>
            <w:r>
              <w:rPr>
                <w:rFonts w:hint="eastAsia" w:ascii="宋体" w:hAnsi="宋体" w:eastAsia="宋体" w:cs="宋体"/>
                <w:color w:val="auto"/>
                <w:sz w:val="22"/>
                <w:szCs w:val="22"/>
                <w:highlight w:val="none"/>
                <w:lang w:val="en-US" w:eastAsia="zh-CN"/>
              </w:rPr>
              <w:t>磋商保证金</w:t>
            </w:r>
            <w:r>
              <w:rPr>
                <w:rFonts w:hint="eastAsia" w:ascii="宋体" w:hAnsi="宋体" w:eastAsia="宋体" w:cs="宋体"/>
                <w:color w:val="auto"/>
                <w:sz w:val="22"/>
                <w:szCs w:val="22"/>
                <w:highlight w:val="none"/>
              </w:rPr>
              <w:t>。</w:t>
            </w:r>
          </w:p>
        </w:tc>
      </w:tr>
      <w:tr w14:paraId="6BC2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02D250B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646" w:type="pct"/>
            <w:noWrap w:val="0"/>
            <w:vAlign w:val="center"/>
          </w:tcPr>
          <w:p w14:paraId="6D3E622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w:t>
            </w:r>
            <w:r>
              <w:rPr>
                <w:rFonts w:hint="eastAsia" w:ascii="宋体" w:hAnsi="宋体" w:eastAsia="宋体" w:cs="宋体"/>
                <w:color w:val="auto"/>
                <w:sz w:val="22"/>
                <w:szCs w:val="22"/>
                <w:highlight w:val="none"/>
                <w:lang w:val="en-US" w:eastAsia="zh-CN"/>
              </w:rPr>
              <w:t>截止</w:t>
            </w:r>
            <w:r>
              <w:rPr>
                <w:rFonts w:hint="eastAsia" w:ascii="宋体" w:hAnsi="宋体" w:eastAsia="宋体" w:cs="宋体"/>
                <w:color w:val="auto"/>
                <w:sz w:val="22"/>
                <w:szCs w:val="22"/>
                <w:highlight w:val="none"/>
              </w:rPr>
              <w:t>时间</w:t>
            </w:r>
          </w:p>
        </w:tc>
        <w:tc>
          <w:tcPr>
            <w:tcW w:w="3890" w:type="pct"/>
            <w:noWrap w:val="0"/>
            <w:vAlign w:val="center"/>
          </w:tcPr>
          <w:p w14:paraId="543FDB2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0870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67B097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54D37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首次响应文件提交地点</w:t>
            </w:r>
          </w:p>
        </w:tc>
        <w:tc>
          <w:tcPr>
            <w:tcW w:w="3890" w:type="pct"/>
            <w:noWrap w:val="0"/>
            <w:vAlign w:val="center"/>
          </w:tcPr>
          <w:p w14:paraId="78EF60C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详见竞争性磋商公告。</w:t>
            </w:r>
          </w:p>
        </w:tc>
      </w:tr>
      <w:tr w14:paraId="61A8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AF6DE6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w:t>
            </w:r>
          </w:p>
        </w:tc>
        <w:tc>
          <w:tcPr>
            <w:tcW w:w="646" w:type="pct"/>
            <w:noWrap w:val="0"/>
            <w:vAlign w:val="center"/>
          </w:tcPr>
          <w:p w14:paraId="2A7C330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备份响应文件</w:t>
            </w:r>
          </w:p>
        </w:tc>
        <w:tc>
          <w:tcPr>
            <w:tcW w:w="3890" w:type="pct"/>
            <w:noWrap w:val="0"/>
            <w:vAlign w:val="center"/>
          </w:tcPr>
          <w:p w14:paraId="22BEECD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供应商在在线上传加密文件后可以在开标前向代理机构提供加密副本文件（与加密文件同时生成的）</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当解密时间内供应商由于非人为操作导致无法解密的</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可以由代理机构用备份文件进行异常处理</w:t>
            </w:r>
            <w:r>
              <w:rPr>
                <w:rFonts w:hint="eastAsia" w:ascii="宋体" w:hAnsi="宋体" w:eastAsia="宋体" w:cs="宋体"/>
                <w:color w:val="auto"/>
                <w:sz w:val="22"/>
                <w:szCs w:val="22"/>
                <w:highlight w:val="none"/>
              </w:rPr>
              <w:t>。</w:t>
            </w:r>
          </w:p>
        </w:tc>
      </w:tr>
      <w:tr w14:paraId="0669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7AF079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26.2</w:t>
            </w:r>
          </w:p>
        </w:tc>
        <w:tc>
          <w:tcPr>
            <w:tcW w:w="646" w:type="pct"/>
            <w:noWrap w:val="0"/>
            <w:vAlign w:val="center"/>
          </w:tcPr>
          <w:p w14:paraId="7BA9BAB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负偏离要求</w:t>
            </w:r>
          </w:p>
        </w:tc>
        <w:tc>
          <w:tcPr>
            <w:tcW w:w="3890" w:type="pct"/>
            <w:noWrap w:val="0"/>
            <w:vAlign w:val="center"/>
          </w:tcPr>
          <w:p w14:paraId="2B1F0F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商务条款评审中允许负偏离的条款数为 </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作无效响应处理。</w:t>
            </w:r>
          </w:p>
          <w:p w14:paraId="3040246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服务需求评审中允许负偏离的条款数为 </w:t>
            </w:r>
            <w:r>
              <w:rPr>
                <w:rFonts w:hint="eastAsia" w:ascii="宋体" w:hAnsi="宋体" w:cs="宋体"/>
                <w:b/>
                <w:color w:val="auto"/>
                <w:sz w:val="22"/>
                <w:szCs w:val="22"/>
                <w:highlight w:val="none"/>
                <w:lang w:val="en-US" w:eastAsia="zh-CN"/>
              </w:rPr>
              <w:t>0</w:t>
            </w:r>
            <w:r>
              <w:rPr>
                <w:rFonts w:hint="eastAsia" w:ascii="宋体" w:hAnsi="宋体" w:eastAsia="宋体" w:cs="宋体"/>
                <w:b/>
                <w:color w:val="auto"/>
                <w:sz w:val="22"/>
                <w:szCs w:val="22"/>
                <w:highlight w:val="none"/>
              </w:rPr>
              <w:t xml:space="preserve"> 项</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若超出</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作无效响应处理。</w:t>
            </w:r>
          </w:p>
        </w:tc>
      </w:tr>
      <w:tr w14:paraId="726C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BE2B91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59CC62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磋商的顺序</w:t>
            </w:r>
          </w:p>
        </w:tc>
        <w:tc>
          <w:tcPr>
            <w:tcW w:w="3890" w:type="pct"/>
            <w:noWrap w:val="0"/>
            <w:vAlign w:val="center"/>
          </w:tcPr>
          <w:p w14:paraId="7D862F6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按照提交首次响应文件的顺序</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通知磋商时</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若某供应商不在通知现场时</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该供应商排序到最后磋商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按照签到的顺序由其下一位供应商先参与磋商。</w:t>
            </w:r>
          </w:p>
          <w:p w14:paraId="397CAFD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随机排序。</w:t>
            </w:r>
          </w:p>
        </w:tc>
      </w:tr>
      <w:tr w14:paraId="75BD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2EBFDF8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646" w:type="pct"/>
            <w:noWrap w:val="0"/>
            <w:vAlign w:val="center"/>
          </w:tcPr>
          <w:p w14:paraId="1859813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3890" w:type="pct"/>
            <w:noWrap w:val="0"/>
            <w:vAlign w:val="center"/>
          </w:tcPr>
          <w:p w14:paraId="08AF4CB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本项目不收取履约保证金</w:t>
            </w:r>
          </w:p>
        </w:tc>
      </w:tr>
      <w:tr w14:paraId="121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564D9DD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w:t>
            </w:r>
          </w:p>
        </w:tc>
        <w:tc>
          <w:tcPr>
            <w:tcW w:w="646" w:type="pct"/>
            <w:noWrap w:val="0"/>
            <w:vAlign w:val="center"/>
          </w:tcPr>
          <w:p w14:paraId="6723592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签订电子采购合同</w:t>
            </w:r>
          </w:p>
        </w:tc>
        <w:tc>
          <w:tcPr>
            <w:tcW w:w="3890" w:type="pct"/>
            <w:noWrap w:val="0"/>
            <w:vAlign w:val="center"/>
          </w:tcPr>
          <w:p w14:paraId="5D19E2F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成交供应商领取电子成交通知书后</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在规定的日期、时间、地点</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由法定代表人或其授权代表与采购人代表签订电子采购合同。</w:t>
            </w:r>
          </w:p>
        </w:tc>
      </w:tr>
      <w:tr w14:paraId="2C4D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restart"/>
            <w:noWrap w:val="0"/>
            <w:vAlign w:val="center"/>
          </w:tcPr>
          <w:p w14:paraId="196D5D2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w:t>
            </w:r>
          </w:p>
        </w:tc>
        <w:tc>
          <w:tcPr>
            <w:tcW w:w="646" w:type="pct"/>
            <w:noWrap w:val="0"/>
            <w:vAlign w:val="center"/>
          </w:tcPr>
          <w:p w14:paraId="0422497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接收质疑函方式</w:t>
            </w:r>
          </w:p>
        </w:tc>
        <w:tc>
          <w:tcPr>
            <w:tcW w:w="3890" w:type="pct"/>
            <w:noWrap w:val="0"/>
            <w:vAlign w:val="center"/>
          </w:tcPr>
          <w:p w14:paraId="1033E62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以书面形式</w:t>
            </w:r>
          </w:p>
        </w:tc>
      </w:tr>
      <w:tr w14:paraId="09464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77B1466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14B97D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质疑联系部门及联系方式</w:t>
            </w:r>
          </w:p>
        </w:tc>
        <w:tc>
          <w:tcPr>
            <w:tcW w:w="3890" w:type="pct"/>
            <w:noWrap w:val="0"/>
            <w:vAlign w:val="center"/>
          </w:tcPr>
          <w:p w14:paraId="3FB2BFC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rPr>
            </w:pPr>
            <w:r>
              <w:rPr>
                <w:rFonts w:hint="eastAsia" w:ascii="宋体" w:hAnsi="宋体" w:cs="宋体"/>
                <w:color w:val="auto"/>
                <w:sz w:val="22"/>
                <w:szCs w:val="22"/>
                <w:highlight w:val="none"/>
                <w:u w:val="none"/>
                <w:lang w:eastAsia="zh-CN"/>
              </w:rPr>
              <w:t>广西嘉达工程咨询管理有限公司</w:t>
            </w:r>
          </w:p>
          <w:p w14:paraId="15BD91A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联系电话：</w:t>
            </w:r>
            <w:r>
              <w:rPr>
                <w:rFonts w:hint="eastAsia" w:ascii="宋体" w:hAnsi="宋体" w:cs="宋体"/>
                <w:color w:val="auto"/>
                <w:sz w:val="22"/>
                <w:szCs w:val="22"/>
                <w:highlight w:val="none"/>
                <w:u w:val="none"/>
                <w:lang w:eastAsia="zh-CN"/>
              </w:rPr>
              <w:t>0772-8853088</w:t>
            </w:r>
          </w:p>
          <w:p w14:paraId="2D6DD12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通讯地址：</w:t>
            </w:r>
            <w:r>
              <w:rPr>
                <w:rFonts w:hint="eastAsia" w:ascii="宋体" w:hAnsi="宋体" w:cs="宋体"/>
                <w:color w:val="auto"/>
                <w:sz w:val="22"/>
                <w:szCs w:val="22"/>
                <w:highlight w:val="none"/>
                <w:u w:val="none"/>
                <w:lang w:eastAsia="zh-CN"/>
              </w:rPr>
              <w:t>柳州市静兰路东一巷19号静兰小区综合楼306室</w:t>
            </w:r>
          </w:p>
        </w:tc>
      </w:tr>
      <w:tr w14:paraId="1D0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vMerge w:val="continue"/>
            <w:noWrap w:val="0"/>
            <w:vAlign w:val="center"/>
          </w:tcPr>
          <w:p w14:paraId="29FBBF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p>
        </w:tc>
        <w:tc>
          <w:tcPr>
            <w:tcW w:w="646" w:type="pct"/>
            <w:noWrap w:val="0"/>
            <w:vAlign w:val="center"/>
          </w:tcPr>
          <w:p w14:paraId="20F95B0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现场提交质疑办理业务时间</w:t>
            </w:r>
          </w:p>
        </w:tc>
        <w:tc>
          <w:tcPr>
            <w:tcW w:w="3890" w:type="pct"/>
            <w:noWrap w:val="0"/>
            <w:vAlign w:val="center"/>
          </w:tcPr>
          <w:p w14:paraId="6F14E490">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质疑期内每个工作日</w:t>
            </w:r>
            <w:r>
              <w:rPr>
                <w:rFonts w:hint="eastAsia" w:ascii="宋体" w:hAnsi="宋体" w:eastAsia="宋体" w:cs="宋体"/>
                <w:color w:val="auto"/>
                <w:sz w:val="22"/>
                <w:szCs w:val="22"/>
                <w:highlight w:val="none"/>
                <w:u w:val="single"/>
              </w:rPr>
              <w:t>0</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12</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u w:val="single"/>
              </w:rPr>
              <w:t>15</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分到</w:t>
            </w:r>
            <w:r>
              <w:rPr>
                <w:rFonts w:hint="eastAsia" w:ascii="宋体" w:hAnsi="宋体" w:eastAsia="宋体" w:cs="宋体"/>
                <w:color w:val="auto"/>
                <w:sz w:val="22"/>
                <w:szCs w:val="22"/>
                <w:highlight w:val="none"/>
                <w:u w:val="single"/>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分</w:t>
            </w:r>
          </w:p>
        </w:tc>
      </w:tr>
      <w:tr w14:paraId="53C9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462" w:type="pct"/>
            <w:noWrap w:val="0"/>
            <w:vAlign w:val="center"/>
          </w:tcPr>
          <w:p w14:paraId="352018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31.6</w:t>
            </w:r>
          </w:p>
        </w:tc>
        <w:tc>
          <w:tcPr>
            <w:tcW w:w="646" w:type="pct"/>
            <w:noWrap w:val="0"/>
            <w:vAlign w:val="center"/>
          </w:tcPr>
          <w:p w14:paraId="19A58FA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受理投诉方式</w:t>
            </w:r>
          </w:p>
        </w:tc>
        <w:tc>
          <w:tcPr>
            <w:tcW w:w="3890" w:type="pct"/>
            <w:noWrap w:val="0"/>
            <w:vAlign w:val="center"/>
          </w:tcPr>
          <w:p w14:paraId="0EC131EB">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受理方式：纸质方式受理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投诉书正、副本（经过质疑的事项才可投诉）。</w:t>
            </w:r>
          </w:p>
        </w:tc>
      </w:tr>
      <w:tr w14:paraId="3254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49D112A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646" w:type="pct"/>
            <w:noWrap w:val="0"/>
            <w:vAlign w:val="center"/>
          </w:tcPr>
          <w:p w14:paraId="7179CD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采购代理费</w:t>
            </w:r>
          </w:p>
        </w:tc>
        <w:tc>
          <w:tcPr>
            <w:tcW w:w="3890" w:type="pct"/>
            <w:noWrap w:val="0"/>
            <w:vAlign w:val="center"/>
          </w:tcPr>
          <w:p w14:paraId="236FB98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是否收取采购代理费：</w:t>
            </w:r>
          </w:p>
          <w:p w14:paraId="4C58ACB9">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是    □ 否</w:t>
            </w:r>
          </w:p>
          <w:p w14:paraId="5A14F732">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2.采购代理费支付方式：</w:t>
            </w:r>
          </w:p>
          <w:p w14:paraId="4AC34A08">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本项目代理服务费由</w:t>
            </w:r>
            <w:r>
              <w:rPr>
                <w:rFonts w:hint="eastAsia" w:ascii="宋体" w:hAnsi="宋体" w:eastAsia="宋体" w:cs="宋体"/>
                <w:color w:val="auto"/>
                <w:kern w:val="0"/>
                <w:sz w:val="22"/>
                <w:szCs w:val="22"/>
                <w:highlight w:val="none"/>
                <w:u w:val="single"/>
              </w:rPr>
              <w:t>成交供应商</w:t>
            </w:r>
            <w:r>
              <w:rPr>
                <w:rFonts w:hint="eastAsia" w:ascii="宋体" w:hAnsi="宋体" w:eastAsia="宋体" w:cs="宋体"/>
                <w:color w:val="auto"/>
                <w:kern w:val="0"/>
                <w:sz w:val="22"/>
                <w:szCs w:val="22"/>
                <w:highlight w:val="none"/>
              </w:rPr>
              <w:t>领取成交通知书前</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一次性向采购代理机构支付。</w:t>
            </w:r>
          </w:p>
          <w:p w14:paraId="79DD0604">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□采购人支付。</w:t>
            </w:r>
          </w:p>
          <w:p w14:paraId="60D6B79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3.采购代理费收取标准：</w:t>
            </w:r>
          </w:p>
          <w:p w14:paraId="5B31B7E1">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2" w:char="F052"/>
            </w:r>
            <w:r>
              <w:rPr>
                <w:rFonts w:hint="eastAsia" w:ascii="宋体" w:hAnsi="宋体" w:eastAsia="宋体" w:cs="宋体"/>
                <w:color w:val="auto"/>
                <w:kern w:val="0"/>
                <w:sz w:val="22"/>
                <w:szCs w:val="22"/>
                <w:highlight w:val="none"/>
              </w:rPr>
              <w:t>以分标（</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成交金额/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采购预算/□暂定成交金额/□其他</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）为计费额</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按</w:t>
            </w:r>
            <w:r>
              <w:rPr>
                <w:rFonts w:hint="eastAsia" w:ascii="宋体" w:hAnsi="宋体" w:eastAsia="宋体" w:cs="宋体"/>
                <w:color w:val="auto"/>
                <w:kern w:val="0"/>
                <w:sz w:val="22"/>
                <w:szCs w:val="22"/>
                <w:highlight w:val="none"/>
                <w:u w:val="single"/>
              </w:rPr>
              <w:t>服务类</w:t>
            </w:r>
            <w:r>
              <w:rPr>
                <w:rFonts w:hint="eastAsia" w:ascii="宋体" w:hAnsi="宋体" w:eastAsia="宋体" w:cs="宋体"/>
                <w:color w:val="auto"/>
                <w:kern w:val="0"/>
                <w:sz w:val="22"/>
                <w:szCs w:val="22"/>
                <w:highlight w:val="none"/>
              </w:rPr>
              <w:t>采用差额定率累进法计算出收费基准价格</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采购代理收费以（</w:t>
            </w:r>
            <w:r>
              <w:rPr>
                <w:rFonts w:hint="eastAsia" w:ascii="宋体" w:hAnsi="宋体" w:eastAsia="宋体" w:cs="宋体"/>
                <w:color w:val="auto"/>
                <w:kern w:val="0"/>
                <w:sz w:val="22"/>
                <w:szCs w:val="22"/>
                <w:highlight w:val="none"/>
              </w:rPr>
              <w:sym w:font="Wingdings 2" w:char="0052"/>
            </w:r>
            <w:r>
              <w:rPr>
                <w:rFonts w:hint="eastAsia" w:ascii="宋体" w:hAnsi="宋体" w:eastAsia="宋体" w:cs="宋体"/>
                <w:color w:val="auto"/>
                <w:kern w:val="0"/>
                <w:sz w:val="22"/>
                <w:szCs w:val="22"/>
                <w:highlight w:val="none"/>
              </w:rPr>
              <w:t>收费基准价格/</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收费基准价格下浮</w:t>
            </w:r>
            <w:r>
              <w:rPr>
                <w:rFonts w:hint="eastAsia" w:ascii="宋体" w:hAnsi="宋体" w:eastAsia="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/□收费基准价格上浮</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）收取。</w:t>
            </w:r>
          </w:p>
          <w:p w14:paraId="684FAFB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kern w:val="0"/>
                <w:sz w:val="22"/>
                <w:szCs w:val="22"/>
                <w:highlight w:val="none"/>
                <w:u w:val="no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固定采购代理收费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rPr>
              <w:t xml:space="preserve"> 。</w:t>
            </w:r>
          </w:p>
        </w:tc>
      </w:tr>
      <w:tr w14:paraId="4D70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04DB381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646" w:type="pct"/>
            <w:noWrap w:val="0"/>
            <w:vAlign w:val="center"/>
          </w:tcPr>
          <w:p w14:paraId="4CB3508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w:t>
            </w:r>
          </w:p>
        </w:tc>
        <w:tc>
          <w:tcPr>
            <w:tcW w:w="3890" w:type="pct"/>
            <w:noWrap w:val="0"/>
            <w:vAlign w:val="center"/>
          </w:tcPr>
          <w:p w14:paraId="72597545">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解释权：</w:t>
            </w:r>
            <w:r>
              <w:rPr>
                <w:rFonts w:hint="eastAsia" w:ascii="宋体" w:hAnsi="宋体" w:eastAsia="宋体" w:cs="宋体"/>
                <w:color w:val="auto"/>
                <w:kern w:val="0"/>
                <w:sz w:val="22"/>
                <w:szCs w:val="22"/>
                <w:highlight w:val="none"/>
              </w:rPr>
              <w:t>构成本磋商文件的各个组成文件应互为解释</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互为说明；除磋商文件中有特别规定外</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仅适用于竞标阶段的规定</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按更正公告（澄清公告）、竞争性磋商公告、供应商须知、采购需求、评审程序、评审方法和评审标准、响应文件格式、合同文本的先后顺序解释；同一组成文件中就同一事项的规定或者约定不一致的</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以编排顺序在后者为准；同一组成文件不同版本之间有不一致的</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以形成时间在后者为准；更正公告（澄清公告）与同步更新的磋商文件不一致时以更正公告（澄清公告）为准。按本款前述规定仍不能形成结论的</w:t>
            </w:r>
            <w:r>
              <w:rPr>
                <w:rFonts w:hint="eastAsia" w:ascii="宋体" w:hAnsi="宋体" w:cs="宋体"/>
                <w:color w:val="auto"/>
                <w:kern w:val="0"/>
                <w:sz w:val="22"/>
                <w:szCs w:val="22"/>
                <w:highlight w:val="none"/>
                <w:lang w:eastAsia="zh-CN"/>
              </w:rPr>
              <w:t>，</w:t>
            </w:r>
            <w:r>
              <w:rPr>
                <w:rFonts w:hint="eastAsia" w:ascii="宋体" w:hAnsi="宋体" w:eastAsia="宋体" w:cs="宋体"/>
                <w:b/>
                <w:color w:val="auto"/>
                <w:kern w:val="0"/>
                <w:sz w:val="22"/>
                <w:szCs w:val="22"/>
                <w:highlight w:val="none"/>
              </w:rPr>
              <w:t>由采购人或者采购代理机构负责解释。</w:t>
            </w:r>
          </w:p>
          <w:p w14:paraId="58CACDB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法律责任：</w:t>
            </w:r>
            <w:r>
              <w:rPr>
                <w:rFonts w:hint="eastAsia" w:ascii="宋体" w:hAnsi="宋体" w:eastAsia="宋体" w:cs="宋体"/>
                <w:color w:val="auto"/>
                <w:kern w:val="0"/>
                <w:sz w:val="22"/>
                <w:szCs w:val="22"/>
                <w:highlight w:val="none"/>
              </w:rPr>
              <w:t>本采购文件根据《中华人民共和国政府采购法》、《中华人民共和国民法典》；《中华人民共和国政府采购法实施条例》、《政府采购竞争性磋商采购方式管理暂行办法》等有关法律、法规编制</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参与本项目的各政府采购当事人依法享有上述法律法规所赋予的权利与义务。</w:t>
            </w:r>
          </w:p>
        </w:tc>
      </w:tr>
      <w:tr w14:paraId="17C3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62" w:type="pct"/>
            <w:noWrap w:val="0"/>
            <w:vAlign w:val="center"/>
          </w:tcPr>
          <w:p w14:paraId="36472E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w:t>
            </w:r>
          </w:p>
        </w:tc>
        <w:tc>
          <w:tcPr>
            <w:tcW w:w="646" w:type="pct"/>
            <w:noWrap w:val="0"/>
            <w:vAlign w:val="center"/>
          </w:tcPr>
          <w:p w14:paraId="6CEA5F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3890" w:type="pct"/>
            <w:noWrap w:val="0"/>
            <w:vAlign w:val="center"/>
          </w:tcPr>
          <w:p w14:paraId="004821F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1.本磋商文件中描述供应商的“公章”是指根据我国对公章的管理规定</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用供应商法定主体行为名称制作的印章</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除本磋商文件有特殊规定外</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供应商的财务章、部门章、分公司章、工会章、合同章、竞标/投标专用章、业务专用章及银行的转账章、现金收讫章、现金付讫章等其他形式印章均不能代替公章。</w:t>
            </w:r>
          </w:p>
          <w:p w14:paraId="2F960CDA">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2.供应商为其他组织或者自然人时</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本磋商文件规定的法定代表人指负责人或者自然人。本磋商文件所称负责人是指参加竞标的其他组织营业执照上的负责人</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本磋商文件所称自然人指参与竞标的自然人本人。</w:t>
            </w:r>
          </w:p>
          <w:p w14:paraId="12692A1C">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3.本磋商文件中描述供应商的“签字”是指供应商的法定代表人或者委托代理人亲自在文件规定签署处亲笔写上个人的名字的行为</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私章、签字章、印鉴、影印等其他形式均不能代替亲笔签字。</w:t>
            </w:r>
          </w:p>
          <w:p w14:paraId="5E61E7D7">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4.自然人竞标的</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磋商文件规定盖公章处由自然人摁手指指印。</w:t>
            </w:r>
          </w:p>
          <w:p w14:paraId="4E199766">
            <w:pPr>
              <w:keepNext w:val="0"/>
              <w:keepLines w:val="0"/>
              <w:pageBreakBefore w:val="0"/>
              <w:widowControl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5.本磋商文件所称的“以上”“以下”“以内”“届满”</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包括本数；所称的“不满”“超过”“以外”</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不包括本数。</w:t>
            </w:r>
          </w:p>
        </w:tc>
      </w:tr>
    </w:tbl>
    <w:p w14:paraId="5E970354">
      <w:pPr>
        <w:keepNext/>
        <w:keepLines/>
        <w:spacing w:before="260" w:after="260" w:line="420" w:lineRule="exact"/>
        <w:jc w:val="center"/>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bookmarkStart w:id="31" w:name="_Toc5715"/>
      <w:r>
        <w:rPr>
          <w:rFonts w:hint="eastAsia" w:ascii="宋体" w:hAnsi="宋体" w:eastAsia="宋体" w:cs="宋体"/>
          <w:b/>
          <w:bCs w:val="0"/>
          <w:color w:val="auto"/>
          <w:sz w:val="24"/>
          <w:szCs w:val="24"/>
          <w:highlight w:val="none"/>
        </w:rPr>
        <w:t>第二节 供应商须知正文</w:t>
      </w:r>
      <w:bookmarkEnd w:id="31"/>
    </w:p>
    <w:p w14:paraId="2C8E7B5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bCs/>
          <w:color w:val="auto"/>
          <w:sz w:val="22"/>
          <w:szCs w:val="22"/>
          <w:highlight w:val="none"/>
        </w:rPr>
      </w:pPr>
      <w:bookmarkStart w:id="32" w:name="_Toc12165"/>
      <w:r>
        <w:rPr>
          <w:rFonts w:hint="eastAsia" w:asciiTheme="minorEastAsia" w:hAnsiTheme="minorEastAsia" w:eastAsiaTheme="minorEastAsia" w:cstheme="minorEastAsia"/>
          <w:b/>
          <w:bCs w:val="0"/>
          <w:color w:val="auto"/>
          <w:sz w:val="24"/>
          <w:szCs w:val="24"/>
          <w:highlight w:val="none"/>
        </w:rPr>
        <w:t>一、总则</w:t>
      </w:r>
      <w:bookmarkEnd w:id="32"/>
    </w:p>
    <w:p w14:paraId="7E15DD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1.适用范围</w:t>
      </w:r>
    </w:p>
    <w:p w14:paraId="565CFB8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55B70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r>
        <w:rPr>
          <w:rFonts w:hint="eastAsia" w:asciiTheme="minorEastAsia" w:hAnsiTheme="minorEastAsia" w:eastAsiaTheme="minorEastAsia" w:cstheme="minorEastAsia"/>
          <w:color w:val="auto"/>
          <w:spacing w:val="-6"/>
          <w:sz w:val="22"/>
          <w:szCs w:val="22"/>
          <w:highlight w:val="none"/>
        </w:rPr>
        <w:t>本竞争性磋商文件（以下简称磋商文件）适用于本项目的所有采购程序和环节（法律、法规另有规定的</w:t>
      </w:r>
      <w:r>
        <w:rPr>
          <w:rFonts w:hint="eastAsia" w:asciiTheme="minorEastAsia" w:hAnsiTheme="minorEastAsia" w:eastAsiaTheme="minorEastAsia" w:cstheme="minorEastAsia"/>
          <w:color w:val="auto"/>
          <w:spacing w:val="-6"/>
          <w:sz w:val="22"/>
          <w:szCs w:val="22"/>
          <w:highlight w:val="none"/>
          <w:lang w:eastAsia="zh-CN"/>
        </w:rPr>
        <w:t>，</w:t>
      </w:r>
      <w:r>
        <w:rPr>
          <w:rFonts w:hint="eastAsia" w:asciiTheme="minorEastAsia" w:hAnsiTheme="minorEastAsia" w:eastAsiaTheme="minorEastAsia" w:cstheme="minorEastAsia"/>
          <w:color w:val="auto"/>
          <w:spacing w:val="-6"/>
          <w:sz w:val="22"/>
          <w:szCs w:val="22"/>
          <w:highlight w:val="none"/>
        </w:rPr>
        <w:t>从其规定）。</w:t>
      </w:r>
    </w:p>
    <w:p w14:paraId="3171AE2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2.定义</w:t>
      </w:r>
    </w:p>
    <w:p w14:paraId="3413610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2.1“采购人”是指依法进行政府采购的国家机关、事业单位、团体组织。</w:t>
      </w:r>
    </w:p>
    <w:p w14:paraId="1350842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u w:val="single"/>
        </w:rPr>
      </w:pPr>
      <w:r>
        <w:rPr>
          <w:rFonts w:hint="eastAsia" w:asciiTheme="minorEastAsia" w:hAnsiTheme="minorEastAsia" w:eastAsiaTheme="minorEastAsia" w:cstheme="minorEastAsia"/>
          <w:color w:val="auto"/>
          <w:sz w:val="22"/>
          <w:szCs w:val="22"/>
          <w:highlight w:val="none"/>
        </w:rPr>
        <w:t>2.2“采购代理机构”是指政府采购集中采购机构和集中采购机构以外的采购代理机构。</w:t>
      </w:r>
    </w:p>
    <w:p w14:paraId="4BAB5C8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2.3“供应商”是指向采购人提供货物、工程或者服务的法人、其他组织或者自然人。</w:t>
      </w:r>
    </w:p>
    <w:p w14:paraId="5CD719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2.4“服务”是指除货物和工程以外的其他政府采购对象。</w:t>
      </w:r>
    </w:p>
    <w:p w14:paraId="5787C46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2.5“竞标”是指供应商按照本项目竞争性磋商公告或者邀请函规定的方式获取磋商文件、提交响应文件并希望获得标的的行为。</w:t>
      </w:r>
    </w:p>
    <w:p w14:paraId="43565C3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2.6“响应文件”</w:t>
      </w:r>
      <w:r>
        <w:rPr>
          <w:rFonts w:hint="eastAsia" w:asciiTheme="minorEastAsia" w:hAnsiTheme="minorEastAsia" w:eastAsiaTheme="minorEastAsia" w:cstheme="minorEastAsia"/>
          <w:color w:val="auto"/>
          <w:spacing w:val="-6"/>
          <w:sz w:val="22"/>
          <w:szCs w:val="22"/>
          <w:highlight w:val="none"/>
        </w:rPr>
        <w:t>是指：供应商根据本磋商文件要求</w:t>
      </w:r>
      <w:r>
        <w:rPr>
          <w:rFonts w:hint="eastAsia" w:asciiTheme="minorEastAsia" w:hAnsiTheme="minorEastAsia" w:eastAsiaTheme="minorEastAsia" w:cstheme="minorEastAsia"/>
          <w:color w:val="auto"/>
          <w:spacing w:val="-6"/>
          <w:sz w:val="22"/>
          <w:szCs w:val="22"/>
          <w:highlight w:val="none"/>
          <w:lang w:eastAsia="zh-CN"/>
        </w:rPr>
        <w:t>，</w:t>
      </w:r>
      <w:r>
        <w:rPr>
          <w:rFonts w:hint="eastAsia" w:asciiTheme="minorEastAsia" w:hAnsiTheme="minorEastAsia" w:eastAsiaTheme="minorEastAsia" w:cstheme="minorEastAsia"/>
          <w:color w:val="auto"/>
          <w:spacing w:val="-6"/>
          <w:sz w:val="22"/>
          <w:szCs w:val="22"/>
          <w:highlight w:val="none"/>
        </w:rPr>
        <w:t>编制包含资格证明、报价商务技术等所有内容的文件。</w:t>
      </w:r>
    </w:p>
    <w:p w14:paraId="5E59E20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2.7“实质性要求”是指磋商文件中已经指明不满足则响应文件按无效响应处理的条款</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或者不能负偏离的条款</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或者采购需求中带“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w:t>
      </w:r>
    </w:p>
    <w:p w14:paraId="0C45CF4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2.8“正偏离”</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是指响应文件对磋商文件“采购需求”中有关条款作出的响应优于条款要求并有利于采购人的情形。</w:t>
      </w:r>
    </w:p>
    <w:p w14:paraId="173D36F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2.9“负偏离”</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是指响应文件对磋商文件“采购需求”中有关条款作出的响应不满足条款要求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导致采购人要求不能得到满足的情形。</w:t>
      </w:r>
    </w:p>
    <w:p w14:paraId="3D21D27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2.10“允许负偏离的条款”是指采购需求中的不属于“实质性要求”的条款。</w:t>
      </w:r>
    </w:p>
    <w:p w14:paraId="45FD00D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2.11“书面形式”是指合同书、信件和数据电文（包括电报、电传、传真、电子数据交换和电子邮件）等可以有形地表现所载内容的形式。</w:t>
      </w:r>
    </w:p>
    <w:p w14:paraId="648C82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2.12“首次报价”是指供应商提交的首次响应文件中的报价。</w:t>
      </w:r>
    </w:p>
    <w:p w14:paraId="45780B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2.13“评审报价”是指供应商提交的最后报价并经修正（如有）和政策功能价格扣除（如有）后的价格。</w:t>
      </w:r>
    </w:p>
    <w:p w14:paraId="7D6BD8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3.供应商的资格条件</w:t>
      </w:r>
    </w:p>
    <w:p w14:paraId="7E3C1D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供应商的资格条件详见“供应商须知前附表”。</w:t>
      </w:r>
    </w:p>
    <w:p w14:paraId="13B992E0">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4.磋商费用</w:t>
      </w:r>
    </w:p>
    <w:p w14:paraId="63211E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供应商应承担参与本次采购活动有关的所有费用</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包括但不限于、勘查现场、编制和提交响应文件、参加磋商与应答、签订合同等</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不论竞标结果如何</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均应自行承担。</w:t>
      </w:r>
    </w:p>
    <w:p w14:paraId="137EFA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5.联合体竞标</w:t>
      </w:r>
    </w:p>
    <w:p w14:paraId="393725E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5.1本项目是否接受联合体竞标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详见“供应商须知前附表”。</w:t>
      </w:r>
    </w:p>
    <w:p w14:paraId="773C29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5.2如接受联合体竞标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联合体竞标要求详见“供应商须知前附表”。</w:t>
      </w:r>
    </w:p>
    <w:p w14:paraId="2EC34F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sz w:val="22"/>
          <w:szCs w:val="22"/>
          <w:highlight w:val="none"/>
        </w:rPr>
        <w:t>5.3</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接受大中型企业与小微企业组成联合体的采购项目</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对于联合协议约定小微企业的合同份额占到合同总金额30%以上的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采购人、采购代理机构应当对联合体的报价给予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%（工程项目为1%—2%）的扣除</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用扣除后的价格参加评审。组成联合体的小微企业与联合体内其他企业、分包企业之间存在直接控股、管理关系的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不享受价格扣除优惠政策。</w:t>
      </w:r>
    </w:p>
    <w:p w14:paraId="79CC438E">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6.转包与分包</w:t>
      </w:r>
    </w:p>
    <w:p w14:paraId="2AB5497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6.1本项目是否允许分包详见“供应商须知前附表”</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本项目不允许违法分包。</w:t>
      </w:r>
    </w:p>
    <w:p w14:paraId="2FCCAF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w:t>
      </w:r>
      <w:r>
        <w:rPr>
          <w:rFonts w:hint="eastAsia" w:asciiTheme="minorEastAsia" w:hAnsiTheme="minorEastAsia" w:eastAsiaTheme="minorEastAsia" w:cstheme="minorEastAsia"/>
          <w:bCs/>
          <w:color w:val="auto"/>
          <w:sz w:val="22"/>
          <w:szCs w:val="22"/>
          <w:highlight w:val="none"/>
        </w:rPr>
        <w:t>根据</w:t>
      </w:r>
      <w:r>
        <w:rPr>
          <w:rFonts w:hint="eastAsia" w:asciiTheme="minorEastAsia" w:hAnsiTheme="minorEastAsia" w:eastAsiaTheme="minorEastAsia" w:cstheme="minorEastAsia"/>
          <w:bCs/>
          <w:color w:val="auto"/>
          <w:sz w:val="22"/>
          <w:szCs w:val="22"/>
          <w:highlight w:val="none"/>
          <w:lang w:eastAsia="zh-CN"/>
        </w:rPr>
        <w:t>《政府采购促进中小企业发展管理办法》</w:t>
      </w:r>
      <w:r>
        <w:rPr>
          <w:rFonts w:hint="eastAsia" w:asciiTheme="minorEastAsia" w:hAnsiTheme="minorEastAsia" w:eastAsiaTheme="minorEastAsia" w:cstheme="minorEastAsia"/>
          <w:bCs/>
          <w:color w:val="auto"/>
          <w:sz w:val="22"/>
          <w:szCs w:val="22"/>
          <w:highlight w:val="none"/>
        </w:rPr>
        <w:t>（财库[2020]46号）第九条规定</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lang w:val="en-US" w:eastAsia="zh-CN"/>
        </w:rPr>
        <w:t>结合</w:t>
      </w:r>
      <w:r>
        <w:rPr>
          <w:rFonts w:hint="eastAsia" w:asciiTheme="minorEastAsia" w:hAnsiTheme="minorEastAsia" w:eastAsiaTheme="minorEastAsia" w:cstheme="minorEastAsia"/>
          <w:color w:val="auto"/>
          <w:sz w:val="22"/>
          <w:szCs w:val="22"/>
          <w:highlight w:val="none"/>
          <w:lang w:eastAsia="zh-CN"/>
        </w:rPr>
        <w:t>《关于进一步加大政府采购支持中小企业力度的通知》（</w:t>
      </w:r>
      <w:r>
        <w:rPr>
          <w:rFonts w:hint="eastAsia" w:asciiTheme="minorEastAsia" w:hAnsiTheme="minorEastAsia" w:eastAsiaTheme="minorEastAsia" w:cstheme="minorEastAsia"/>
          <w:color w:val="auto"/>
          <w:sz w:val="22"/>
          <w:szCs w:val="22"/>
          <w:highlight w:val="none"/>
        </w:rPr>
        <w:t>财库〔2022〕19号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的要求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允许大中型企业向一家或者多家小微企业分包的采购项目</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对于分包意向协议约定小微企业的合同份额占到合同总金额30%以上的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采购人、采购代理机构应当对大中型企业的报价给予</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%的扣除</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用扣除后的价格参加评审。接受分包的小微企业与分包企业之间存在直接控股、管理关系的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不享受价格扣除优惠政策。</w:t>
      </w:r>
    </w:p>
    <w:p w14:paraId="2A5ABE5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33" w:name="_Toc254970673"/>
      <w:bookmarkStart w:id="34" w:name="_Toc254970532"/>
      <w:r>
        <w:rPr>
          <w:rFonts w:hint="eastAsia" w:asciiTheme="minorEastAsia" w:hAnsiTheme="minorEastAsia" w:eastAsiaTheme="minorEastAsia" w:cstheme="minorEastAsia"/>
          <w:b/>
          <w:bCs/>
          <w:color w:val="auto"/>
          <w:sz w:val="22"/>
          <w:szCs w:val="22"/>
          <w:highlight w:val="none"/>
        </w:rPr>
        <w:t>7.特别说明</w:t>
      </w:r>
      <w:bookmarkEnd w:id="33"/>
      <w:bookmarkEnd w:id="34"/>
    </w:p>
    <w:p w14:paraId="278ED0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bookmarkStart w:id="35" w:name="_8.1提供相同品牌产品且通过资格审查、符合性审查的不同投标人参加同一合"/>
      <w:bookmarkEnd w:id="35"/>
      <w:r>
        <w:rPr>
          <w:rFonts w:hint="eastAsia" w:asciiTheme="minorEastAsia" w:hAnsiTheme="minorEastAsia" w:eastAsiaTheme="minorEastAsia" w:cstheme="minorEastAsia"/>
          <w:color w:val="auto"/>
          <w:sz w:val="22"/>
          <w:szCs w:val="22"/>
          <w:highlight w:val="none"/>
        </w:rPr>
        <w:t>7.1</w:t>
      </w:r>
      <w:bookmarkStart w:id="36" w:name="_Hlk65832145"/>
      <w:r>
        <w:rPr>
          <w:rFonts w:hint="eastAsia" w:asciiTheme="minorEastAsia" w:hAnsiTheme="minorEastAsia" w:eastAsiaTheme="minorEastAsia" w:cstheme="minorEastAsia"/>
          <w:color w:val="auto"/>
          <w:sz w:val="22"/>
          <w:szCs w:val="22"/>
          <w:highlight w:val="none"/>
        </w:rPr>
        <w:t>如果本磋商文件要求提供供应商或制造商的资格、信誉、荣誉、业绩与企业认证等材料的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资格、信誉、荣誉、业绩与企业认证等必须为供应商或者制造商所拥有或自身获得。</w:t>
      </w:r>
    </w:p>
    <w:bookmarkEnd w:id="36"/>
    <w:p w14:paraId="6001CE2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7.2供应商应仔细阅读磋商文件的所有内容</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按照磋商文件的要求提交响应文件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并对所提供的全部资料的真实性承担法律责任。</w:t>
      </w:r>
    </w:p>
    <w:p w14:paraId="03883C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7.3供应商在竞标活动中提供任何疑似虚假材料</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将报监管部门查处；签订合同后发现的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成交供应商须依照《</w:t>
      </w:r>
      <w:r>
        <w:rPr>
          <w:rFonts w:hint="eastAsia" w:asciiTheme="minorEastAsia" w:hAnsiTheme="minorEastAsia" w:eastAsiaTheme="minorEastAsia" w:cstheme="minorEastAsia"/>
          <w:color w:val="auto"/>
          <w:sz w:val="22"/>
          <w:szCs w:val="22"/>
          <w:highlight w:val="none"/>
          <w:lang w:eastAsia="zh-CN"/>
        </w:rPr>
        <w:t>中华人民共和国民法典</w:t>
      </w:r>
      <w:r>
        <w:rPr>
          <w:rFonts w:hint="eastAsia" w:asciiTheme="minorEastAsia" w:hAnsiTheme="minorEastAsia" w:eastAsiaTheme="minorEastAsia" w:cstheme="minorEastAsia"/>
          <w:color w:val="auto"/>
          <w:sz w:val="22"/>
          <w:szCs w:val="22"/>
          <w:highlight w:val="none"/>
        </w:rPr>
        <w:t>》规定赔偿采购人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且民事赔偿并不免除违法供应商的行政与刑事责任。</w:t>
      </w:r>
    </w:p>
    <w:p w14:paraId="14257EA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7.4在政府采购活动中</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采购人员及相关人员与供应商有下列利害关系之一的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应当回避：</w:t>
      </w:r>
    </w:p>
    <w:p w14:paraId="0E28361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（1）参加采购活动前3年内与供应商存在劳动关系；</w:t>
      </w:r>
    </w:p>
    <w:p w14:paraId="0F4023A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（2）参加采购活动前3年内担任供应商的董事、监事；</w:t>
      </w:r>
    </w:p>
    <w:p w14:paraId="7C48CAF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（3）参加采购活动前3年内是供应商的控股股东或者实际控制人；</w:t>
      </w:r>
    </w:p>
    <w:p w14:paraId="62D772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（4）与供应商的法定代表人或者负责人有夫妻、直系血亲、三代以内旁系血亲或者近姻亲关系；</w:t>
      </w:r>
    </w:p>
    <w:p w14:paraId="1805D27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（5）与供应商有其他可能影响政府采购活动公平、公正进行的关系。</w:t>
      </w:r>
    </w:p>
    <w:p w14:paraId="3AD1CA7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供应商认为采购人员及相关人员与其他供应商有利害关系的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可以向采购人或者采购代理机构书面提出回避申请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并说明理由。采购人或者采购代理机构应当及时询问被申请回避人员</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有利害关系的被申请回避人员应当回避。</w:t>
      </w:r>
    </w:p>
    <w:p w14:paraId="2A4B333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7.5有下列情形之一的视为供应商相互串通竞标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响应文件将被视为无效：</w:t>
      </w:r>
    </w:p>
    <w:p w14:paraId="5CD9D3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（1）不同供应商的响应文件由同一单位或者个人编制；或者不同供应商报名的IP地址一致的；或者编制响应文件硬件设备CPU编号、硬盘编号、网卡地址一致的情况。</w:t>
      </w:r>
    </w:p>
    <w:p w14:paraId="23B0174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（2）不同供应商委托同一单位或者个人办理竞标事宜；</w:t>
      </w:r>
    </w:p>
    <w:p w14:paraId="6286D56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（3）不同的供应商的响应文件载明的项目管理员为同一个人；</w:t>
      </w:r>
    </w:p>
    <w:p w14:paraId="70799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（4）不同供应商的响应文件异常一致或者报价呈规律性差异；</w:t>
      </w:r>
    </w:p>
    <w:p w14:paraId="6EA6AF8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（5）不同供应商的响应文件相互混装；</w:t>
      </w:r>
    </w:p>
    <w:p w14:paraId="6264AE10">
      <w:pPr>
        <w:pageBreakBefore w:val="0"/>
        <w:widowControl w:val="0"/>
        <w:tabs>
          <w:tab w:val="left" w:pos="6931"/>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（6）不同供应商的磋商保证金从同一单位或者个人账户转出。</w:t>
      </w:r>
      <w:r>
        <w:rPr>
          <w:rFonts w:hint="eastAsia" w:asciiTheme="minorEastAsia" w:hAnsiTheme="minorEastAsia" w:eastAsiaTheme="minorEastAsia" w:cstheme="minorEastAsia"/>
          <w:color w:val="auto"/>
          <w:sz w:val="22"/>
          <w:szCs w:val="22"/>
          <w:highlight w:val="none"/>
        </w:rPr>
        <w:tab/>
      </w:r>
    </w:p>
    <w:p w14:paraId="2FFDE95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7.6供应商有下列情形之一的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属于恶意串通行为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将报同级监督管理部门：</w:t>
      </w:r>
    </w:p>
    <w:p w14:paraId="27F271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（1）供应商直接或者间接从采购人或者采购代理机构处获得其他供应商的相关信息并修改其响应文件；</w:t>
      </w:r>
    </w:p>
    <w:p w14:paraId="1E4AD36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（2）供应商按照采购人或者采购代理机构的授意撤换、修改响应文件；</w:t>
      </w:r>
    </w:p>
    <w:p w14:paraId="24AE415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（3）供应商之间协商报价、技术方案等响应文件或者响应文件的实质性内容；</w:t>
      </w:r>
    </w:p>
    <w:p w14:paraId="128D78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（4）属于同一集团、协会、商会等组织成员的供应商按照该组织要求协同参加政府采购活动；</w:t>
      </w:r>
    </w:p>
    <w:p w14:paraId="73F5BB9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（5）供应商之间事先约定一致抬高或者压低报价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或者在政府采购活动中事先约定轮流以高价位或者低价位成交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或者事先约定由某一特定供应商成交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然后再参加竞标；</w:t>
      </w:r>
    </w:p>
    <w:p w14:paraId="7783689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（6）供应商之间商定部分供应商放弃参加政府采购活动或者放弃成交；</w:t>
      </w:r>
    </w:p>
    <w:p w14:paraId="12BEAB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（7）供应商与采购人或者采购代理机构之间、供应商相互之间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为谋求特定供应商成交或者排斥其他供应商的其他串通行为。</w:t>
      </w:r>
    </w:p>
    <w:p w14:paraId="44C3354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37" w:name="_Toc29811"/>
      <w:bookmarkStart w:id="38" w:name="_Toc254970675"/>
      <w:bookmarkStart w:id="39" w:name="_Toc254970534"/>
      <w:r>
        <w:rPr>
          <w:rFonts w:hint="eastAsia" w:asciiTheme="minorEastAsia" w:hAnsiTheme="minorEastAsia" w:eastAsiaTheme="minorEastAsia" w:cstheme="minorEastAsia"/>
          <w:b/>
          <w:bCs/>
          <w:color w:val="auto"/>
          <w:sz w:val="24"/>
          <w:szCs w:val="24"/>
          <w:highlight w:val="none"/>
        </w:rPr>
        <w:t>二、磋商文件</w:t>
      </w:r>
      <w:bookmarkEnd w:id="37"/>
      <w:bookmarkEnd w:id="38"/>
      <w:bookmarkEnd w:id="39"/>
    </w:p>
    <w:p w14:paraId="0EFDD9A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8.磋商文件的构成</w:t>
      </w:r>
    </w:p>
    <w:p w14:paraId="797086A1">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第一章 竞争性磋商公告；</w:t>
      </w:r>
    </w:p>
    <w:p w14:paraId="55F909F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第二章 采购需求；</w:t>
      </w:r>
    </w:p>
    <w:p w14:paraId="713B96EE">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第三章 供应商须知； </w:t>
      </w:r>
    </w:p>
    <w:p w14:paraId="5976F7E8">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第四章 评审程序、评审方法和评审标准；</w:t>
      </w:r>
    </w:p>
    <w:p w14:paraId="0DF01CDA">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第五章 响应文件格式；</w:t>
      </w:r>
    </w:p>
    <w:p w14:paraId="1E6102E0">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第六章 合同文本；</w:t>
      </w:r>
    </w:p>
    <w:p w14:paraId="4409BBAD">
      <w:pPr>
        <w:pageBreakBefore w:val="0"/>
        <w:widowControl w:val="0"/>
        <w:kinsoku/>
        <w:wordWrap/>
        <w:overflowPunct/>
        <w:topLinePunct w:val="0"/>
        <w:autoSpaceDE/>
        <w:autoSpaceDN/>
        <w:bidi w:val="0"/>
        <w:adjustRightInd/>
        <w:snapToGrid/>
        <w:spacing w:line="360" w:lineRule="auto"/>
        <w:ind w:firstLine="440" w:firstLineChars="2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第七章 质疑、投诉材料格式。</w:t>
      </w:r>
    </w:p>
    <w:p w14:paraId="29912C55">
      <w:pPr>
        <w:pStyle w:val="31"/>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第八章 政府采购合同验收书范本</w:t>
      </w:r>
    </w:p>
    <w:p w14:paraId="3F2C4FF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9.供应商的询问</w:t>
      </w:r>
    </w:p>
    <w:p w14:paraId="0262EB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供应商应认真阅读磋商文件的采购需求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如供应商对磋商文件有疑问的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如要求采购人作出澄清或者修改的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供应商尽应在提交首次响应文件截止之日前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以书面形式向采购人、采购代理机构提出。</w:t>
      </w:r>
    </w:p>
    <w:p w14:paraId="55E1FE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10.磋商文件的澄清和修改</w:t>
      </w:r>
    </w:p>
    <w:p w14:paraId="45A2867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10.1已获取磋商文件的潜在供应商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若有问题需要澄清</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应于应标截止时间前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以书面形式向采购代理机构提出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采购代理机构与采购人研究后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对认为有必要回答的问题</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按照本章10.3的内容处理。</w:t>
      </w:r>
    </w:p>
    <w:p w14:paraId="0981FE8C">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10.2采购人或者采购代理机构可以对已发出的磋商文件进行必要的澄清或者修改</w:t>
      </w:r>
      <w:r>
        <w:rPr>
          <w:rFonts w:hint="eastAsia" w:asciiTheme="minorEastAsia" w:hAnsiTheme="minorEastAsia" w:eastAsiaTheme="minorEastAsia" w:cstheme="minorEastAsia"/>
          <w:b/>
          <w:color w:val="auto"/>
          <w:sz w:val="22"/>
          <w:szCs w:val="22"/>
          <w:highlight w:val="none"/>
          <w:lang w:eastAsia="zh-CN"/>
        </w:rPr>
        <w:t>，</w:t>
      </w:r>
      <w:r>
        <w:rPr>
          <w:rFonts w:hint="eastAsia" w:asciiTheme="minorEastAsia" w:hAnsiTheme="minorEastAsia" w:eastAsiaTheme="minorEastAsia" w:cstheme="minorEastAsia"/>
          <w:b/>
          <w:color w:val="auto"/>
          <w:sz w:val="22"/>
          <w:szCs w:val="22"/>
          <w:highlight w:val="none"/>
        </w:rPr>
        <w:t>但不得改变采购标的和资格条件。澄清或者修改应当在原公告发布媒体上发布澄清公告。澄清或者修改的内容为磋商文件的组成部分。</w:t>
      </w:r>
    </w:p>
    <w:p w14:paraId="2A697EB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10.3提交首次响应文件截止之日前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采购人、采购代理机构或者磋商小组可以对已发出的磋商文件进行必要的澄清或者修改</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澄清或者修改的内容作为磋商文件的组成部分。澄清或者修改的内容可能影响响应文件编制的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采购人、采购代理机构或者磋商小组在提交首次响应文件截止之日3个工作日前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以书面形式（目前为网上公告和系统短信等形式）通知所有获取磋商文件的供应商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不足3个工作日的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应当顺延提交首次响应文件截止之日。</w:t>
      </w:r>
    </w:p>
    <w:p w14:paraId="53EC2C5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10.4</w:t>
      </w:r>
      <w:r>
        <w:rPr>
          <w:rFonts w:hint="eastAsia" w:asciiTheme="minorEastAsia" w:hAnsiTheme="minorEastAsia" w:eastAsiaTheme="minorEastAsia" w:cstheme="minorEastAsia"/>
          <w:color w:val="auto"/>
          <w:sz w:val="22"/>
          <w:szCs w:val="22"/>
          <w:highlight w:val="none"/>
          <w:shd w:val="clear" w:color="auto" w:fill="FFFFFF"/>
        </w:rPr>
        <w:t>采购信息更正公告的内容应当包括采购人和采购代理机构名称、地址、联系方式</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原公告的采购项目名称及首次公告日期</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更正事项、内容及日期</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采购项目联系人和电话。</w:t>
      </w:r>
    </w:p>
    <w:p w14:paraId="145AF53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10.5采购人和采购代理机构可以视采购具体情况</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变更提交首次响应文件截止时间和</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时间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将变更时间将在“采购文件公告”中“七、其他补充事宜</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网上查询地址”规定的政府采购信息发布媒体上发布更正公告。</w:t>
      </w:r>
    </w:p>
    <w:p w14:paraId="1B19FB7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响应文件未按磋商文件的澄清、修改的内容编制</w:t>
      </w:r>
      <w:r>
        <w:rPr>
          <w:rFonts w:hint="eastAsia" w:asciiTheme="minorEastAsia" w:hAnsiTheme="minorEastAsia" w:eastAsiaTheme="minorEastAsia" w:cstheme="minorEastAsia"/>
          <w:b/>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又不符合实质性要求的</w:t>
      </w:r>
      <w:r>
        <w:rPr>
          <w:rFonts w:hint="eastAsia" w:asciiTheme="minorEastAsia" w:hAnsiTheme="minorEastAsia" w:eastAsiaTheme="minorEastAsia" w:cstheme="minorEastAsia"/>
          <w:b/>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其响应文件作无效处理。</w:t>
      </w:r>
    </w:p>
    <w:p w14:paraId="5F284936">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0" w:name="_Toc12429"/>
      <w:r>
        <w:rPr>
          <w:rFonts w:hint="eastAsia" w:asciiTheme="minorEastAsia" w:hAnsiTheme="minorEastAsia" w:eastAsiaTheme="minorEastAsia" w:cstheme="minorEastAsia"/>
          <w:b/>
          <w:bCs/>
          <w:color w:val="auto"/>
          <w:sz w:val="24"/>
          <w:szCs w:val="24"/>
          <w:highlight w:val="none"/>
        </w:rPr>
        <w:t>三、响应文件的编制</w:t>
      </w:r>
      <w:bookmarkEnd w:id="40"/>
    </w:p>
    <w:p w14:paraId="2A656E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11.响应文件的编制原则</w:t>
      </w:r>
    </w:p>
    <w:p w14:paraId="6931D0D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供应商必须按照磋商文件的要求编制响应文件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并对其提交的响应文件的真实性、合法性承担法律责任。响应文件必须对磋商文件作出实质性响应。</w:t>
      </w:r>
    </w:p>
    <w:p w14:paraId="457BF22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12.响应文件的组成</w:t>
      </w:r>
    </w:p>
    <w:p w14:paraId="703ECF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12.1响应文件由资格证明文件、报价文件、商务技术文件三部分组成。</w:t>
      </w:r>
    </w:p>
    <w:p w14:paraId="557B874F">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12.1.1资格证明文件：详见须知前附表</w:t>
      </w:r>
    </w:p>
    <w:p w14:paraId="5FF09C91">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12.1.2商务技术文件：详见须知前附表</w:t>
      </w:r>
    </w:p>
    <w:p w14:paraId="35ECFCB3">
      <w:pPr>
        <w:pageBreakBefore w:val="0"/>
        <w:widowControl w:val="0"/>
        <w:kinsoku/>
        <w:wordWrap/>
        <w:overflowPunct/>
        <w:topLinePunct w:val="0"/>
        <w:autoSpaceDE/>
        <w:autoSpaceDN/>
        <w:bidi w:val="0"/>
        <w:adjustRightInd/>
        <w:snapToGrid/>
        <w:spacing w:line="360" w:lineRule="auto"/>
        <w:ind w:left="420" w:leftChars="20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12.1.3报价文件：详见须知前附表</w:t>
      </w:r>
    </w:p>
    <w:p w14:paraId="66BDF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12.2响应文件电子版：详见须知前附表</w:t>
      </w:r>
    </w:p>
    <w:p w14:paraId="1A8343C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13.计量单位</w:t>
      </w:r>
    </w:p>
    <w:p w14:paraId="73FBBFD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磋商文件已有明确规定的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使用磋商文件规定的计量单位；磋商文件没有规定的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应采用中华人民共和国法定计量单位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货币种类为人民币</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否则视同未响应。</w:t>
      </w:r>
    </w:p>
    <w:p w14:paraId="02E093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14.竞标的风险</w:t>
      </w:r>
    </w:p>
    <w:p w14:paraId="0131AFF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供应商没有按照磋商文件要求提供全部资料</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或者供应商没有对磋商文件在各方面作出实质性响应可能导致其响应无效</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是供应商应当考虑的风险。</w:t>
      </w:r>
    </w:p>
    <w:p w14:paraId="74103D9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15.响应报价要求和构成</w:t>
      </w:r>
    </w:p>
    <w:p w14:paraId="557AF87F">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15.1响应报价应按“第五章 响应文件格式”中“响应报价表”格式填写。</w:t>
      </w:r>
    </w:p>
    <w:p w14:paraId="3CE4BA21">
      <w:pPr>
        <w:pageBreakBefore w:val="0"/>
        <w:widowControl w:val="0"/>
        <w:tabs>
          <w:tab w:val="left" w:pos="2492"/>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15.2响应报价的价格构成见“供应商须知前附表”。</w:t>
      </w:r>
    </w:p>
    <w:p w14:paraId="6A5F26D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15.3响应报价要求</w:t>
      </w:r>
    </w:p>
    <w:p w14:paraId="5008A0E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15.3.1供应商的响应报价应符合以下要求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否则响应文件按无效响应处理：</w:t>
      </w:r>
    </w:p>
    <w:p w14:paraId="74A3D5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（1）供应商必须就“采购需求”中所竞标的全部内容分别作完整唯一总价报价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不得存在漏项报价；</w:t>
      </w:r>
    </w:p>
    <w:p w14:paraId="0C202A7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（2）供应商必须就所竞标</w:t>
      </w:r>
      <w:r>
        <w:rPr>
          <w:rFonts w:hint="eastAsia" w:asciiTheme="minorEastAsia" w:hAnsiTheme="minorEastAsia" w:eastAsiaTheme="minorEastAsia" w:cstheme="minorEastAsia"/>
          <w:color w:val="auto"/>
          <w:sz w:val="22"/>
          <w:szCs w:val="22"/>
          <w:highlight w:val="none"/>
          <w:lang w:val="en-US" w:eastAsia="zh-CN"/>
        </w:rPr>
        <w:t>的</w:t>
      </w:r>
      <w:r>
        <w:rPr>
          <w:rFonts w:hint="eastAsia" w:asciiTheme="minorEastAsia" w:hAnsiTheme="minorEastAsia" w:eastAsiaTheme="minorEastAsia" w:cstheme="minorEastAsia"/>
          <w:color w:val="auto"/>
          <w:sz w:val="22"/>
          <w:szCs w:val="22"/>
          <w:highlight w:val="none"/>
        </w:rPr>
        <w:t>内容作唯一报价。</w:t>
      </w:r>
    </w:p>
    <w:p w14:paraId="74AEA05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15.3.2响应报价（包含首次报价、最后报价）超过所竞标规定的采购预算金额或者最高限价的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其响应文件将作无效处理。</w:t>
      </w:r>
    </w:p>
    <w:p w14:paraId="0B7C80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15.3.3</w:t>
      </w:r>
      <w:bookmarkStart w:id="41" w:name="_Hlk42592874"/>
      <w:r>
        <w:rPr>
          <w:rFonts w:hint="eastAsia" w:asciiTheme="minorEastAsia" w:hAnsiTheme="minorEastAsia" w:eastAsiaTheme="minorEastAsia" w:cstheme="minorEastAsia"/>
          <w:color w:val="auto"/>
          <w:sz w:val="22"/>
          <w:szCs w:val="22"/>
          <w:highlight w:val="none"/>
        </w:rPr>
        <w:t>响应报价（包含首次报价、最后报价）超过分项采购预算金额或者最高限价的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其响应文件将作无效处理。</w:t>
      </w:r>
    </w:p>
    <w:bookmarkEnd w:id="41"/>
    <w:p w14:paraId="29B44B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16.竞标有效期</w:t>
      </w:r>
    </w:p>
    <w:p w14:paraId="3F02CA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16.1竞标有效期是指为保证采购人有足够的时间在提交响应文件后完成评审、确定成交供应商、合同签订等工作而要求供应商提交的响应文件在一定时间内保持有效的期限。</w:t>
      </w:r>
    </w:p>
    <w:p w14:paraId="2EB749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16.2竞标有效期应由供应商按“供应商须知前附表”规定的期限作出响应。</w:t>
      </w:r>
    </w:p>
    <w:p w14:paraId="3971B4F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16.3供应商的响应文件在竞标有效期内均保持有效。</w:t>
      </w:r>
    </w:p>
    <w:p w14:paraId="6156C26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17.磋商保证金</w:t>
      </w:r>
    </w:p>
    <w:p w14:paraId="671F15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17.1提交</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保证金的要求详见采购文件“供应商须知前附表”。</w:t>
      </w:r>
    </w:p>
    <w:p w14:paraId="33164B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17.2</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保证金退还：除采购文件规定不予退还保证金的情形外，未成交供应商的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保证金在成交通知书发出后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个工作日内退还，成交供应商的</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保证金在与采购人签订合同后</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个工作日内退还。[支票、汇票、本票形式</w:t>
      </w:r>
      <w:r>
        <w:rPr>
          <w:rFonts w:hint="eastAsia" w:asciiTheme="minorEastAsia" w:hAnsiTheme="minorEastAsia" w:eastAsiaTheme="minorEastAsia" w:cstheme="minorEastAsia"/>
          <w:bCs/>
          <w:color w:val="auto"/>
          <w:sz w:val="22"/>
          <w:szCs w:val="22"/>
          <w:highlight w:val="none"/>
          <w:lang w:val="en-US" w:eastAsia="zh-CN"/>
        </w:rPr>
        <w:t>磋商</w:t>
      </w:r>
      <w:r>
        <w:rPr>
          <w:rFonts w:hint="eastAsia" w:asciiTheme="minorEastAsia" w:hAnsiTheme="minorEastAsia" w:eastAsiaTheme="minorEastAsia" w:cstheme="minorEastAsia"/>
          <w:bCs/>
          <w:color w:val="auto"/>
          <w:sz w:val="22"/>
          <w:szCs w:val="22"/>
          <w:highlight w:val="none"/>
          <w:lang w:eastAsia="zh-CN"/>
        </w:rPr>
        <w:t>保证金的退还方式：</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应在自接到采购代理机构通知日起（成交通知书发出当日通知未成交供应商；与采购人签订合同当日通知成交供应商）的</w:t>
      </w:r>
      <w:r>
        <w:rPr>
          <w:rFonts w:hint="eastAsia" w:asciiTheme="minorEastAsia" w:hAnsiTheme="minorEastAsia" w:eastAsiaTheme="minorEastAsia" w:cstheme="minorEastAsia"/>
          <w:bCs/>
          <w:color w:val="auto"/>
          <w:sz w:val="22"/>
          <w:szCs w:val="22"/>
          <w:highlight w:val="none"/>
          <w:lang w:val="en-US" w:eastAsia="zh-CN"/>
        </w:rPr>
        <w:t>五</w:t>
      </w:r>
      <w:r>
        <w:rPr>
          <w:rFonts w:hint="eastAsia" w:asciiTheme="minorEastAsia" w:hAnsiTheme="minorEastAsia" w:eastAsiaTheme="minorEastAsia" w:cstheme="minorEastAsia"/>
          <w:bCs/>
          <w:color w:val="auto"/>
          <w:sz w:val="22"/>
          <w:szCs w:val="22"/>
          <w:highlight w:val="none"/>
          <w:lang w:eastAsia="zh-CN"/>
        </w:rPr>
        <w:t>个工作日内自行前往采购代理机构处领取原件。</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因自身原因逾期领取所造成的后果由</w:t>
      </w:r>
      <w:r>
        <w:rPr>
          <w:rFonts w:hint="eastAsia" w:asciiTheme="minorEastAsia" w:hAnsiTheme="minorEastAsia" w:eastAsiaTheme="minorEastAsia" w:cstheme="minorEastAsia"/>
          <w:bCs/>
          <w:color w:val="auto"/>
          <w:sz w:val="22"/>
          <w:szCs w:val="22"/>
          <w:highlight w:val="none"/>
          <w:lang w:val="en-US" w:eastAsia="zh-CN"/>
        </w:rPr>
        <w:t>供应商</w:t>
      </w:r>
      <w:r>
        <w:rPr>
          <w:rFonts w:hint="eastAsia" w:asciiTheme="minorEastAsia" w:hAnsiTheme="minorEastAsia" w:eastAsiaTheme="minorEastAsia" w:cstheme="minorEastAsia"/>
          <w:bCs/>
          <w:color w:val="auto"/>
          <w:sz w:val="22"/>
          <w:szCs w:val="22"/>
          <w:highlight w:val="none"/>
          <w:lang w:eastAsia="zh-CN"/>
        </w:rPr>
        <w:t>自行承担。]</w:t>
      </w:r>
    </w:p>
    <w:p w14:paraId="232CA95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17.3磋商保证金不计息。</w:t>
      </w:r>
    </w:p>
    <w:p w14:paraId="325AA59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17.4供应商有下列情形之一的</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磋商保证金将不予退还：</w:t>
      </w:r>
    </w:p>
    <w:p w14:paraId="124E574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（1）供应商在提交响应文件截止时间后撤回响应文件的；</w:t>
      </w:r>
    </w:p>
    <w:p w14:paraId="010E9B1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（2）供应商在响应文件中提供虚假材料的；</w:t>
      </w:r>
    </w:p>
    <w:p w14:paraId="749EE47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（3）除因不可抗力或者磋商文件认可的情形以外</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成交供应商不与采购人签订合同的；</w:t>
      </w:r>
    </w:p>
    <w:p w14:paraId="5979C26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（4）供应商与采购人、其他供应商或者采购代理机构恶意串通的；</w:t>
      </w:r>
    </w:p>
    <w:p w14:paraId="7B7AFCD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（5）磋商文件规定的其他情形。</w:t>
      </w:r>
    </w:p>
    <w:p w14:paraId="2D8F629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18.响应文件编制的要求</w:t>
      </w:r>
    </w:p>
    <w:p w14:paraId="1D0E91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18.1各供应商在编制响应文件时请按照磋商文件“第五章</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响应文件格式”规定的格式进行</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混乱的编排导致响应文件被误读或磋商小组查找不到有效文件是供应商的风险。不完整、编排混乱导致响应文件被误读、漏读或者查找不到相关内容的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由此引发的后果由供应商承担。</w:t>
      </w:r>
    </w:p>
    <w:p w14:paraId="7ACA23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18.2响应文件应按资格证明、报价分别编制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商务技术文件合并编制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本磋商只接受电子版响应文件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要求见本章“12.2响应文件电子版要求”。</w:t>
      </w:r>
    </w:p>
    <w:p w14:paraId="2532306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w:t>
      </w:r>
      <w:bookmarkStart w:id="42" w:name="_Hlk65832699"/>
      <w:r>
        <w:rPr>
          <w:rFonts w:hint="eastAsia" w:asciiTheme="minorEastAsia" w:hAnsiTheme="minorEastAsia" w:eastAsiaTheme="minorEastAsia" w:cstheme="minorEastAsia"/>
          <w:color w:val="auto"/>
          <w:sz w:val="22"/>
          <w:szCs w:val="22"/>
          <w:highlight w:val="none"/>
        </w:rPr>
        <w:t>3响应文件须由供应商在</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第五章 响应文件格式</w:t>
      </w:r>
      <w:r>
        <w:rPr>
          <w:rFonts w:hint="eastAsia" w:asciiTheme="minorEastAsia" w:hAnsiTheme="minorEastAsia" w:eastAsiaTheme="minorEastAsia" w:cstheme="minorEastAsia"/>
          <w:color w:val="auto"/>
          <w:kern w:val="0"/>
          <w:sz w:val="22"/>
          <w:szCs w:val="22"/>
          <w:highlight w:val="none"/>
          <w:lang w:val="zh-CN"/>
        </w:rPr>
        <w:t>”</w:t>
      </w:r>
      <w:r>
        <w:rPr>
          <w:rFonts w:hint="eastAsia" w:asciiTheme="minorEastAsia" w:hAnsiTheme="minorEastAsia" w:eastAsiaTheme="minorEastAsia" w:cstheme="minorEastAsia"/>
          <w:color w:val="auto"/>
          <w:sz w:val="22"/>
          <w:szCs w:val="22"/>
          <w:highlight w:val="none"/>
        </w:rPr>
        <w:t>规定位置进行签署、盖章</w:t>
      </w:r>
      <w:bookmarkEnd w:id="42"/>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否则其响应文件按无效响应处理。骑缝盖公章不视为在规定位置盖章。</w:t>
      </w:r>
    </w:p>
    <w:p w14:paraId="6CAEEFC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18.4响应文件中标注的供应商名称应与营业执照（事业单位法人证书、执业许可证、自然人身份证）及电子公章一致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否则其响应文件按无效响应处理。</w:t>
      </w:r>
    </w:p>
    <w:p w14:paraId="00B7A4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18.5响应文件应避免涂改、行间插字或者删除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否则其响应文件按无效响应处理。</w:t>
      </w:r>
    </w:p>
    <w:p w14:paraId="0F7F97D1">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19.响应文件的密封和标记</w:t>
      </w:r>
    </w:p>
    <w:p w14:paraId="37C75FB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7EEB90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19.2使用“广西政府采购云平台电子交易客户端”需要提前申领CA数字证书，申领流程见该项目采购公告附件。</w:t>
      </w:r>
    </w:p>
    <w:p w14:paraId="237C0919">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19.3为确保网上操作合法、有效和安全</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供应商应当在响应文件提交截止时间前完成在“政府采购云平台”的身份认证</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确保在电子交易过程中能够对相关数据电文进行加密和使用电子签名。</w:t>
      </w:r>
    </w:p>
    <w:p w14:paraId="4830D3B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20.响应文件的提交</w:t>
      </w:r>
    </w:p>
    <w:p w14:paraId="30B7ACB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20.1供应商必须在“供应商须知前附表”规定的时间和地点提交响应文件。</w:t>
      </w:r>
    </w:p>
    <w:p w14:paraId="0A4178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20.2在响应文件提交截止时间以后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不能补充、修改响应文件。</w:t>
      </w:r>
    </w:p>
    <w:p w14:paraId="2B802BB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20.3在提交“最后报价”后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供应商不能退出</w:t>
      </w:r>
      <w:r>
        <w:rPr>
          <w:rFonts w:hint="eastAsia" w:asciiTheme="minorEastAsia" w:hAnsiTheme="minorEastAsia" w:eastAsiaTheme="minorEastAsia" w:cstheme="minorEastAsia"/>
          <w:color w:val="auto"/>
          <w:sz w:val="22"/>
          <w:szCs w:val="22"/>
          <w:highlight w:val="none"/>
          <w:lang w:val="en-US" w:eastAsia="zh-CN"/>
        </w:rPr>
        <w:t>磋商</w:t>
      </w:r>
      <w:r>
        <w:rPr>
          <w:rFonts w:hint="eastAsia" w:asciiTheme="minorEastAsia" w:hAnsiTheme="minorEastAsia" w:eastAsiaTheme="minorEastAsia" w:cstheme="minorEastAsia"/>
          <w:color w:val="auto"/>
          <w:sz w:val="22"/>
          <w:szCs w:val="22"/>
          <w:highlight w:val="none"/>
        </w:rPr>
        <w:t>。</w:t>
      </w:r>
    </w:p>
    <w:p w14:paraId="4C301C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20.4电子交易平台收到响应文件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将妥善保存并即时向供应商发出确认回执通知。在响应文件提交截止时间前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除供应商补充、修改或者撤回响应文件外</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任何单位和个人不得解密或提取响应文件。</w:t>
      </w:r>
    </w:p>
    <w:p w14:paraId="3F3994B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20.5采购机构不可视情况延长提交响应文件的截止时间。</w:t>
      </w:r>
    </w:p>
    <w:p w14:paraId="53AE587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20.6备份响应文件。</w:t>
      </w:r>
      <w:r>
        <w:rPr>
          <w:rFonts w:hint="eastAsia" w:asciiTheme="minorEastAsia" w:hAnsiTheme="minorEastAsia" w:eastAsiaTheme="minorEastAsia" w:cstheme="minorEastAsia"/>
          <w:bCs/>
          <w:color w:val="auto"/>
          <w:sz w:val="22"/>
          <w:szCs w:val="22"/>
          <w:highlight w:val="none"/>
        </w:rPr>
        <w:t>详见在“供应商须知前附表”。</w:t>
      </w:r>
    </w:p>
    <w:p w14:paraId="76EDFBB9">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21.首次响应文件的补充、修改与撤回</w:t>
      </w:r>
    </w:p>
    <w:p w14:paraId="74A9EA1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供应商应当在提交响应文件截止时间前完成响应文件的传输提交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并可以补充、修改或者撤回响应文件。补充或者修改响应文件的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应当先行撤回原文件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补充、修改后重新传输提交。提交响应文件截止时间前未完成传输的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视为撤回响应文件。响应文件提交截止时间后提交的响应文件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电子交易平台将拒收。</w:t>
      </w:r>
    </w:p>
    <w:p w14:paraId="0AFAFA4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bookmarkStart w:id="43" w:name="_Hlk45702405"/>
      <w:r>
        <w:rPr>
          <w:rFonts w:hint="eastAsia" w:asciiTheme="minorEastAsia" w:hAnsiTheme="minorEastAsia" w:eastAsiaTheme="minorEastAsia" w:cstheme="minorEastAsia"/>
          <w:b/>
          <w:bCs/>
          <w:color w:val="auto"/>
          <w:sz w:val="22"/>
          <w:szCs w:val="22"/>
          <w:highlight w:val="none"/>
        </w:rPr>
        <w:t>22.首次响应文件的退回</w:t>
      </w:r>
    </w:p>
    <w:p w14:paraId="6ADDD09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在首次响应文件提交截止时间止提交响应文件的供应商不足3家时电子响应文件由代理机构在“</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”平台操作退回</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除此之外采购人和采购代理机构对已提交的电子响应文件概不退回。</w:t>
      </w:r>
    </w:p>
    <w:p w14:paraId="4EE973A6">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23.截止时间后的撤回</w:t>
      </w:r>
    </w:p>
    <w:bookmarkEnd w:id="43"/>
    <w:p w14:paraId="2FF9175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供应商在首次响应文件提交截止时间后向采购人、采购代理机构书面申请撤回响应文件的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将根据本须知正文17.4的规定不予退还其磋商保证金。</w:t>
      </w:r>
    </w:p>
    <w:p w14:paraId="3D55E220">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4" w:name="_Toc26182"/>
      <w:r>
        <w:rPr>
          <w:rFonts w:hint="eastAsia" w:asciiTheme="minorEastAsia" w:hAnsiTheme="minorEastAsia" w:eastAsiaTheme="minorEastAsia" w:cstheme="minorEastAsia"/>
          <w:b/>
          <w:bCs/>
          <w:color w:val="auto"/>
          <w:sz w:val="24"/>
          <w:szCs w:val="24"/>
          <w:highlight w:val="none"/>
        </w:rPr>
        <w:t>四、评审及磋商</w:t>
      </w:r>
      <w:bookmarkEnd w:id="44"/>
    </w:p>
    <w:p w14:paraId="4636F99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24.磋商小组成立</w:t>
      </w:r>
    </w:p>
    <w:p w14:paraId="7CF654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24.1磋商小组由采购人代表和评审专家共3人以上单数组成</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或者达到公开招标规模标准的政府采购工程</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经批准采用竞争性磋商方式采购的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磋商小组由5人以上单数组成。</w:t>
      </w:r>
    </w:p>
    <w:p w14:paraId="38DD526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24.2评审专家应当从政府采购评审专家库内相关专业的专家名单中随机抽取。市场竞争不充分的科研项目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以及需要扶持的科技成果转化项目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以及情况特殊、通过随机方式难以确定合适的评审专家的项目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经主管预算单位同意</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可以自行选定评审专家。技术复杂、专业性强的采购项目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评审专家中应当包含1名法律专家。</w:t>
      </w:r>
    </w:p>
    <w:p w14:paraId="59C8ECA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24.3</w:t>
      </w:r>
      <w:r>
        <w:rPr>
          <w:rFonts w:hint="eastAsia" w:asciiTheme="minorEastAsia" w:hAnsiTheme="minorEastAsia" w:eastAsiaTheme="minorEastAsia" w:cstheme="minorEastAsia"/>
          <w:color w:val="auto"/>
          <w:sz w:val="22"/>
          <w:szCs w:val="22"/>
          <w:highlight w:val="none"/>
        </w:rPr>
        <w:t>本项目磋商小组由评审专家</w:t>
      </w:r>
      <w:r>
        <w:rPr>
          <w:rFonts w:hint="eastAsia" w:asciiTheme="minorEastAsia" w:hAnsiTheme="minorEastAsia" w:eastAsiaTheme="minorEastAsia" w:cstheme="minorEastAsia"/>
          <w:color w:val="auto"/>
          <w:sz w:val="22"/>
          <w:szCs w:val="22"/>
          <w:highlight w:val="none"/>
          <w:u w:val="single"/>
        </w:rPr>
        <w:t>2</w:t>
      </w:r>
      <w:r>
        <w:rPr>
          <w:rFonts w:hint="eastAsia" w:asciiTheme="minorEastAsia" w:hAnsiTheme="minorEastAsia" w:eastAsiaTheme="minorEastAsia" w:cstheme="minorEastAsia"/>
          <w:color w:val="auto"/>
          <w:sz w:val="22"/>
          <w:szCs w:val="22"/>
          <w:highlight w:val="none"/>
        </w:rPr>
        <w:t>人和采购人代表</w:t>
      </w:r>
      <w:r>
        <w:rPr>
          <w:rFonts w:hint="eastAsia" w:asciiTheme="minorEastAsia" w:hAnsiTheme="minorEastAsia" w:eastAsiaTheme="minorEastAsia" w:cstheme="minorEastAsia"/>
          <w:color w:val="auto"/>
          <w:sz w:val="22"/>
          <w:szCs w:val="22"/>
          <w:highlight w:val="none"/>
          <w:u w:val="single"/>
        </w:rPr>
        <w:t>1</w:t>
      </w:r>
      <w:r>
        <w:rPr>
          <w:rFonts w:hint="eastAsia" w:asciiTheme="minorEastAsia" w:hAnsiTheme="minorEastAsia" w:eastAsiaTheme="minorEastAsia" w:cstheme="minorEastAsia"/>
          <w:color w:val="auto"/>
          <w:sz w:val="22"/>
          <w:szCs w:val="22"/>
          <w:highlight w:val="none"/>
        </w:rPr>
        <w:t>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共</w:t>
      </w:r>
      <w:r>
        <w:rPr>
          <w:rFonts w:hint="eastAsia" w:asciiTheme="minorEastAsia" w:hAnsiTheme="minorEastAsia" w:eastAsiaTheme="minorEastAsia" w:cstheme="minorEastAsia"/>
          <w:color w:val="auto"/>
          <w:sz w:val="22"/>
          <w:szCs w:val="22"/>
          <w:highlight w:val="none"/>
          <w:u w:val="single"/>
        </w:rPr>
        <w:t>3</w:t>
      </w:r>
      <w:r>
        <w:rPr>
          <w:rFonts w:hint="eastAsia" w:asciiTheme="minorEastAsia" w:hAnsiTheme="minorEastAsia" w:eastAsiaTheme="minorEastAsia" w:cstheme="minorEastAsia"/>
          <w:color w:val="auto"/>
          <w:sz w:val="22"/>
          <w:szCs w:val="22"/>
          <w:highlight w:val="none"/>
        </w:rPr>
        <w:t>人组成。</w:t>
      </w:r>
    </w:p>
    <w:p w14:paraId="39DCD1F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25.首次响应文件的开启</w:t>
      </w:r>
    </w:p>
    <w:p w14:paraId="62717D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25.1首次响应文件由磋商小组或者采购代理机构在“供应商须知前附表”规定的时间开启。</w:t>
      </w:r>
    </w:p>
    <w:p w14:paraId="7EAAB14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25.2</w:t>
      </w:r>
      <w:r>
        <w:rPr>
          <w:rFonts w:hint="eastAsia" w:asciiTheme="minorEastAsia" w:hAnsiTheme="minorEastAsia" w:eastAsiaTheme="minorEastAsia" w:cstheme="minorEastAsia"/>
          <w:bCs/>
          <w:color w:val="auto"/>
          <w:kern w:val="0"/>
          <w:sz w:val="22"/>
          <w:szCs w:val="22"/>
          <w:highlight w:val="none"/>
        </w:rPr>
        <w:t>响应文件解密</w:t>
      </w:r>
    </w:p>
    <w:p w14:paraId="3A050DC5">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kern w:val="0"/>
          <w:sz w:val="22"/>
          <w:szCs w:val="22"/>
          <w:highlight w:val="none"/>
        </w:rPr>
        <w:t>采购代理机构将在“供应商须知前附表”规定的时</w:t>
      </w:r>
      <w:r>
        <w:rPr>
          <w:rFonts w:hint="eastAsia" w:asciiTheme="minorEastAsia" w:hAnsiTheme="minorEastAsia" w:eastAsiaTheme="minorEastAsia" w:cstheme="minorEastAsia"/>
          <w:color w:val="auto"/>
          <w:kern w:val="0"/>
          <w:sz w:val="22"/>
          <w:szCs w:val="22"/>
          <w:highlight w:val="none"/>
        </w:rPr>
        <w:t>间通过电子交易平台组织响应文件开启</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采购机构依托电子交易平台发起开始解密指令</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供应商的法定代表人或其委托代理人</w:t>
      </w:r>
      <w:r>
        <w:rPr>
          <w:rFonts w:hint="eastAsia" w:asciiTheme="minorEastAsia" w:hAnsiTheme="minorEastAsia" w:eastAsiaTheme="minorEastAsia" w:cstheme="minorEastAsia"/>
          <w:b/>
          <w:color w:val="auto"/>
          <w:kern w:val="0"/>
          <w:sz w:val="22"/>
          <w:szCs w:val="22"/>
          <w:highlight w:val="none"/>
        </w:rPr>
        <w:t>须携带加密时所用的CA锁按平台提示和采购文件的规定登录到“</w:t>
      </w:r>
      <w:r>
        <w:rPr>
          <w:rFonts w:hint="eastAsia" w:asciiTheme="minorEastAsia" w:hAnsiTheme="minorEastAsia" w:eastAsiaTheme="minorEastAsia" w:cstheme="minorEastAsia"/>
          <w:b/>
          <w:color w:val="auto"/>
          <w:kern w:val="0"/>
          <w:sz w:val="22"/>
          <w:szCs w:val="22"/>
          <w:highlight w:val="none"/>
          <w:lang w:eastAsia="zh-CN"/>
        </w:rPr>
        <w:t>广西政府采购云平台</w:t>
      </w:r>
      <w:r>
        <w:rPr>
          <w:rFonts w:hint="eastAsia" w:asciiTheme="minorEastAsia" w:hAnsiTheme="minorEastAsia" w:eastAsiaTheme="minorEastAsia" w:cstheme="minorEastAsia"/>
          <w:b/>
          <w:color w:val="auto"/>
          <w:kern w:val="0"/>
          <w:sz w:val="22"/>
          <w:szCs w:val="22"/>
          <w:highlight w:val="none"/>
        </w:rPr>
        <w:t>”平台电子开标大厅签到并在发起解密指令之时起30分钟内完成对电子响应文件在线解密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 w:val="22"/>
          <w:szCs w:val="22"/>
          <w:highlight w:val="none"/>
        </w:rPr>
        <w:t>。发起解密指令之时起5分钟内供应商还未进行解密的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代理机构要通知供应商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供应商没预留联系方式或预留联系方式无效</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导致代理机构无法联系到供应商进行解密的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b/>
          <w:color w:val="auto"/>
          <w:kern w:val="0"/>
          <w:sz w:val="22"/>
          <w:szCs w:val="22"/>
          <w:highlight w:val="none"/>
        </w:rPr>
        <w:t>视为响应文件无效。</w:t>
      </w:r>
      <w:r>
        <w:rPr>
          <w:rFonts w:hint="eastAsia" w:asciiTheme="minorEastAsia" w:hAnsiTheme="minorEastAsia" w:eastAsiaTheme="minorEastAsia" w:cstheme="minorEastAsia"/>
          <w:color w:val="auto"/>
          <w:kern w:val="0"/>
          <w:sz w:val="22"/>
          <w:szCs w:val="22"/>
          <w:highlight w:val="none"/>
        </w:rPr>
        <w:t>（解密</w:t>
      </w:r>
      <w:r>
        <w:rPr>
          <w:rFonts w:hint="eastAsia" w:asciiTheme="minorEastAsia" w:hAnsiTheme="minorEastAsia" w:eastAsiaTheme="minorEastAsia" w:cstheme="minorEastAsia"/>
          <w:bCs/>
          <w:color w:val="auto"/>
          <w:kern w:val="0"/>
          <w:sz w:val="22"/>
          <w:szCs w:val="22"/>
          <w:highlight w:val="none"/>
        </w:rPr>
        <w:t>异常情况处理：详见本章</w:t>
      </w:r>
      <w:r>
        <w:rPr>
          <w:rFonts w:hint="eastAsia" w:asciiTheme="minorEastAsia" w:hAnsiTheme="minorEastAsia" w:eastAsiaTheme="minorEastAsia" w:cstheme="minorEastAsia"/>
          <w:color w:val="auto"/>
          <w:kern w:val="0"/>
          <w:sz w:val="22"/>
          <w:szCs w:val="22"/>
          <w:highlight w:val="none"/>
        </w:rPr>
        <w:t>26.</w:t>
      </w:r>
      <w:r>
        <w:rPr>
          <w:rFonts w:hint="eastAsia" w:asciiTheme="minorEastAsia" w:hAnsiTheme="minorEastAsia" w:eastAsiaTheme="minorEastAsia" w:cstheme="minorEastAsia"/>
          <w:color w:val="auto"/>
          <w:kern w:val="0"/>
          <w:sz w:val="22"/>
          <w:szCs w:val="22"/>
          <w:highlight w:val="none"/>
          <w:lang w:val="en-US" w:eastAsia="zh-CN"/>
        </w:rPr>
        <w:t>4</w:t>
      </w:r>
      <w:r>
        <w:rPr>
          <w:rFonts w:hint="eastAsia" w:asciiTheme="minorEastAsia" w:hAnsiTheme="minorEastAsia" w:eastAsiaTheme="minorEastAsia" w:cstheme="minorEastAsia"/>
          <w:color w:val="auto"/>
          <w:kern w:val="0"/>
          <w:sz w:val="22"/>
          <w:szCs w:val="22"/>
          <w:highlight w:val="none"/>
        </w:rPr>
        <w:t>电子交易活动的中止。）</w:t>
      </w:r>
    </w:p>
    <w:p w14:paraId="7894EE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如</w:t>
      </w:r>
      <w:r>
        <w:rPr>
          <w:rFonts w:hint="eastAsia" w:asciiTheme="minorEastAsia" w:hAnsiTheme="minorEastAsia" w:eastAsiaTheme="minorEastAsia" w:cstheme="minorEastAsia"/>
          <w:bCs/>
          <w:color w:val="auto"/>
          <w:kern w:val="0"/>
          <w:sz w:val="22"/>
          <w:szCs w:val="22"/>
          <w:highlight w:val="none"/>
        </w:rPr>
        <w:t>供应商成功解密响应文件</w:t>
      </w:r>
      <w:r>
        <w:rPr>
          <w:rFonts w:hint="eastAsia" w:asciiTheme="minorEastAsia" w:hAnsiTheme="minorEastAsia" w:eastAsiaTheme="minorEastAsia" w:cstheme="minorEastAsia"/>
          <w:bCs/>
          <w:color w:val="auto"/>
          <w:kern w:val="0"/>
          <w:sz w:val="22"/>
          <w:szCs w:val="22"/>
          <w:highlight w:val="none"/>
          <w:lang w:eastAsia="zh-CN"/>
        </w:rPr>
        <w:t>，</w:t>
      </w:r>
      <w:r>
        <w:rPr>
          <w:rFonts w:hint="eastAsia" w:asciiTheme="minorEastAsia" w:hAnsiTheme="minorEastAsia" w:eastAsiaTheme="minorEastAsia" w:cstheme="minorEastAsia"/>
          <w:bCs/>
          <w:color w:val="auto"/>
          <w:kern w:val="0"/>
          <w:sz w:val="22"/>
          <w:szCs w:val="22"/>
          <w:highlight w:val="none"/>
        </w:rPr>
        <w:t>但未在“</w:t>
      </w:r>
      <w:r>
        <w:rPr>
          <w:rFonts w:hint="eastAsia" w:asciiTheme="minorEastAsia" w:hAnsiTheme="minorEastAsia" w:eastAsiaTheme="minorEastAsia" w:cstheme="minorEastAsia"/>
          <w:bCs/>
          <w:color w:val="auto"/>
          <w:kern w:val="0"/>
          <w:sz w:val="22"/>
          <w:szCs w:val="22"/>
          <w:highlight w:val="none"/>
          <w:lang w:eastAsia="zh-CN"/>
        </w:rPr>
        <w:t>广西政府采购云平台</w:t>
      </w:r>
      <w:r>
        <w:rPr>
          <w:rFonts w:hint="eastAsia" w:asciiTheme="minorEastAsia" w:hAnsiTheme="minorEastAsia" w:eastAsiaTheme="minorEastAsia" w:cstheme="minorEastAsia"/>
          <w:bCs/>
          <w:color w:val="auto"/>
          <w:kern w:val="0"/>
          <w:sz w:val="22"/>
          <w:szCs w:val="22"/>
          <w:highlight w:val="none"/>
        </w:rPr>
        <w:t>”电子开标大厅参加</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的</w:t>
      </w:r>
      <w:r>
        <w:rPr>
          <w:rFonts w:hint="eastAsia" w:asciiTheme="minorEastAsia" w:hAnsiTheme="minorEastAsia" w:eastAsiaTheme="minorEastAsia" w:cstheme="minorEastAsia"/>
          <w:bCs/>
          <w:color w:val="auto"/>
          <w:kern w:val="0"/>
          <w:sz w:val="22"/>
          <w:szCs w:val="22"/>
          <w:highlight w:val="none"/>
          <w:lang w:eastAsia="zh-CN"/>
        </w:rPr>
        <w:t>，</w:t>
      </w:r>
      <w:r>
        <w:rPr>
          <w:rFonts w:hint="eastAsia" w:asciiTheme="minorEastAsia" w:hAnsiTheme="minorEastAsia" w:eastAsiaTheme="minorEastAsia" w:cstheme="minorEastAsia"/>
          <w:bCs/>
          <w:color w:val="auto"/>
          <w:kern w:val="0"/>
          <w:sz w:val="22"/>
          <w:szCs w:val="22"/>
          <w:highlight w:val="none"/>
        </w:rPr>
        <w:t>视同认可</w:t>
      </w:r>
      <w:r>
        <w:rPr>
          <w:rFonts w:hint="eastAsia" w:asciiTheme="minorEastAsia" w:hAnsiTheme="minorEastAsia" w:eastAsiaTheme="minorEastAsia" w:cstheme="minorEastAsia"/>
          <w:bCs/>
          <w:color w:val="auto"/>
          <w:kern w:val="0"/>
          <w:sz w:val="22"/>
          <w:szCs w:val="22"/>
          <w:highlight w:val="none"/>
          <w:lang w:eastAsia="zh-CN"/>
        </w:rPr>
        <w:t>磋商</w:t>
      </w:r>
      <w:r>
        <w:rPr>
          <w:rFonts w:hint="eastAsia" w:asciiTheme="minorEastAsia" w:hAnsiTheme="minorEastAsia" w:eastAsiaTheme="minorEastAsia" w:cstheme="minorEastAsia"/>
          <w:bCs/>
          <w:color w:val="auto"/>
          <w:kern w:val="0"/>
          <w:sz w:val="22"/>
          <w:szCs w:val="22"/>
          <w:highlight w:val="none"/>
        </w:rPr>
        <w:t>过程和结果</w:t>
      </w:r>
      <w:r>
        <w:rPr>
          <w:rFonts w:hint="eastAsia" w:asciiTheme="minorEastAsia" w:hAnsiTheme="minorEastAsia" w:eastAsiaTheme="minorEastAsia" w:cstheme="minorEastAsia"/>
          <w:bCs/>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由此产生的后果由供应商自行负责。参与</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的供应商不足3家的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不得</w:t>
      </w:r>
      <w:r>
        <w:rPr>
          <w:rFonts w:hint="eastAsia" w:asciiTheme="minorEastAsia" w:hAnsiTheme="minorEastAsia" w:eastAsiaTheme="minorEastAsia" w:cstheme="minorEastAsia"/>
          <w:color w:val="auto"/>
          <w:kern w:val="0"/>
          <w:sz w:val="22"/>
          <w:szCs w:val="22"/>
          <w:highlight w:val="none"/>
          <w:lang w:eastAsia="zh-CN"/>
        </w:rPr>
        <w:t>磋商</w:t>
      </w:r>
      <w:r>
        <w:rPr>
          <w:rFonts w:hint="eastAsia" w:asciiTheme="minorEastAsia" w:hAnsiTheme="minorEastAsia" w:eastAsiaTheme="minorEastAsia" w:cstheme="minorEastAsia"/>
          <w:color w:val="auto"/>
          <w:kern w:val="0"/>
          <w:sz w:val="22"/>
          <w:szCs w:val="22"/>
          <w:highlight w:val="none"/>
        </w:rPr>
        <w:t>。</w:t>
      </w:r>
    </w:p>
    <w:p w14:paraId="7D5EE49B">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26.评审程序、评审方法和评审标准</w:t>
      </w:r>
    </w:p>
    <w:p w14:paraId="0E17484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26.1磋商小组按照“第四章 评审程序、评审方法和评审标准”规定的方法、评审因素、标准和程序对响应文件进行评审。</w:t>
      </w:r>
    </w:p>
    <w:p w14:paraId="7D1E63E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26.2磋商文件内容违反国家有关强制性规定的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磋商小组应当停止评审并向采购人或者采购代理机构说明情况</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并在评审报告中书面体现。</w:t>
      </w:r>
    </w:p>
    <w:p w14:paraId="2F604BB2">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采购需求负偏离要求及磋商顺序详见“供应商须知前附表”。</w:t>
      </w:r>
    </w:p>
    <w:p w14:paraId="6DA6547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电子交易活动的中止。采购过程中出现以下情形</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导致电子交易平台无法正常运行</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或者无法保证电子交易的公平、公正和安全时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采购机构可中止电子交易活动：</w:t>
      </w:r>
    </w:p>
    <w:p w14:paraId="5050048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（1）电子交易平台发生故障而无法登录访问的；</w:t>
      </w:r>
    </w:p>
    <w:p w14:paraId="0950DC1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（2）电子交易平台应用或数据库出现错误</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不能进行正常操作的；</w:t>
      </w:r>
    </w:p>
    <w:p w14:paraId="3D8AB31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（3）电子交易平台发现严重安全漏洞</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有潜在泄密危险的；</w:t>
      </w:r>
    </w:p>
    <w:p w14:paraId="257AE65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（4）病毒发作导致不能进行正常操作的；</w:t>
      </w:r>
    </w:p>
    <w:p w14:paraId="3E6F8E3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）其他无法保证电子交易的公平、公正和安全的情况。</w:t>
      </w:r>
    </w:p>
    <w:p w14:paraId="0402E63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出现以上情形</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不影响采购公平、公正性的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采购组织机构可以待上述情形消除后继续组织电子交易活动；影响或可能影响采购公平、公正性的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经采购代理机构确认后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应当重新采购。采购代理机构必须对原有的资料及信息作出妥善保密处理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并报财政部门备案。</w:t>
      </w:r>
    </w:p>
    <w:p w14:paraId="2A793EF7">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5" w:name="_Toc9972"/>
      <w:r>
        <w:rPr>
          <w:rFonts w:hint="eastAsia" w:asciiTheme="minorEastAsia" w:hAnsiTheme="minorEastAsia" w:eastAsiaTheme="minorEastAsia" w:cstheme="minorEastAsia"/>
          <w:b/>
          <w:bCs/>
          <w:color w:val="auto"/>
          <w:sz w:val="24"/>
          <w:szCs w:val="24"/>
          <w:highlight w:val="none"/>
        </w:rPr>
        <w:t>五、成交及合同</w:t>
      </w:r>
      <w:bookmarkEnd w:id="45"/>
    </w:p>
    <w:p w14:paraId="60D71D4A">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27.确定成交供应商及结果公告</w:t>
      </w:r>
    </w:p>
    <w:p w14:paraId="1B5E168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27.1确定成交供应商。</w:t>
      </w:r>
      <w:r>
        <w:rPr>
          <w:rFonts w:hint="eastAsia" w:asciiTheme="minorEastAsia" w:hAnsiTheme="minorEastAsia" w:eastAsiaTheme="minorEastAsia" w:cstheme="minorEastAsia"/>
          <w:color w:val="auto"/>
          <w:kern w:val="0"/>
          <w:sz w:val="22"/>
          <w:szCs w:val="22"/>
          <w:highlight w:val="none"/>
          <w:u w:val="single"/>
        </w:rPr>
        <w:t>由采购人</w:t>
      </w:r>
      <w:r>
        <w:rPr>
          <w:rFonts w:hint="eastAsia" w:asciiTheme="minorEastAsia" w:hAnsiTheme="minorEastAsia" w:eastAsiaTheme="minorEastAsia" w:cstheme="minorEastAsia"/>
          <w:color w:val="auto"/>
          <w:kern w:val="0"/>
          <w:sz w:val="22"/>
          <w:szCs w:val="22"/>
          <w:highlight w:val="none"/>
          <w:u w:val="single"/>
          <w:lang w:val="en-US" w:eastAsia="zh-CN"/>
        </w:rPr>
        <w:t>根据</w:t>
      </w:r>
      <w:r>
        <w:rPr>
          <w:rFonts w:hint="eastAsia" w:asciiTheme="minorEastAsia" w:hAnsiTheme="minorEastAsia" w:eastAsiaTheme="minorEastAsia" w:cstheme="minorEastAsia"/>
          <w:color w:val="auto"/>
          <w:sz w:val="22"/>
          <w:szCs w:val="22"/>
          <w:highlight w:val="none"/>
          <w:u w:val="single"/>
        </w:rPr>
        <w:t>评审报告</w:t>
      </w:r>
      <w:r>
        <w:rPr>
          <w:rFonts w:hint="eastAsia" w:asciiTheme="minorEastAsia" w:hAnsiTheme="minorEastAsia" w:eastAsiaTheme="minorEastAsia" w:cstheme="minorEastAsia"/>
          <w:color w:val="auto"/>
          <w:sz w:val="22"/>
          <w:szCs w:val="22"/>
          <w:highlight w:val="none"/>
          <w:u w:val="single"/>
          <w:lang w:val="en-US" w:eastAsia="zh-CN"/>
        </w:rPr>
        <w:t>确认</w:t>
      </w:r>
      <w:r>
        <w:rPr>
          <w:rFonts w:hint="eastAsia" w:asciiTheme="minorEastAsia" w:hAnsiTheme="minorEastAsia" w:eastAsiaTheme="minorEastAsia" w:cstheme="minorEastAsia"/>
          <w:color w:val="auto"/>
          <w:sz w:val="22"/>
          <w:szCs w:val="22"/>
          <w:highlight w:val="none"/>
          <w:u w:val="single"/>
        </w:rPr>
        <w:t>成交供应商。</w:t>
      </w:r>
    </w:p>
    <w:p w14:paraId="10ADF7F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27.2成交通知及成交结果公告。</w:t>
      </w:r>
      <w:r>
        <w:rPr>
          <w:rFonts w:hint="eastAsia" w:asciiTheme="minorEastAsia" w:hAnsiTheme="minorEastAsia" w:eastAsiaTheme="minorEastAsia" w:cstheme="minorEastAsia"/>
          <w:color w:val="auto"/>
          <w:kern w:val="0"/>
          <w:sz w:val="22"/>
          <w:szCs w:val="22"/>
          <w:highlight w:val="none"/>
        </w:rPr>
        <w:t>成交</w:t>
      </w:r>
      <w:r>
        <w:rPr>
          <w:rFonts w:hint="eastAsia" w:asciiTheme="minorEastAsia" w:hAnsiTheme="minorEastAsia" w:eastAsiaTheme="minorEastAsia" w:cstheme="minorEastAsia"/>
          <w:color w:val="auto"/>
          <w:sz w:val="22"/>
          <w:szCs w:val="22"/>
          <w:highlight w:val="none"/>
        </w:rPr>
        <w:t>供应商确定后2个工作日内</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在省级以上财政部门指定的媒体上公</w:t>
      </w:r>
      <w:r>
        <w:rPr>
          <w:rFonts w:hint="eastAsia" w:asciiTheme="minorEastAsia" w:hAnsiTheme="minorEastAsia" w:eastAsiaTheme="minorEastAsia" w:cstheme="minorEastAsia"/>
          <w:color w:val="auto"/>
          <w:kern w:val="0"/>
          <w:sz w:val="22"/>
          <w:szCs w:val="22"/>
          <w:highlight w:val="none"/>
        </w:rPr>
        <w:t>告成交结果（成交通知及成交结果公告应使用</w:t>
      </w:r>
      <w:r>
        <w:rPr>
          <w:rFonts w:hint="eastAsia" w:asciiTheme="minorEastAsia" w:hAnsiTheme="minorEastAsia" w:eastAsiaTheme="minorEastAsia" w:cstheme="minorEastAsia"/>
          <w:color w:val="auto"/>
          <w:kern w:val="0"/>
          <w:sz w:val="22"/>
          <w:szCs w:val="22"/>
          <w:highlight w:val="none"/>
          <w:lang w:val="en-US" w:eastAsia="zh-CN"/>
        </w:rPr>
        <w:t>相应</w:t>
      </w:r>
      <w:r>
        <w:rPr>
          <w:rFonts w:hint="eastAsia" w:asciiTheme="minorEastAsia" w:hAnsiTheme="minorEastAsia" w:eastAsiaTheme="minorEastAsia" w:cstheme="minorEastAsia"/>
          <w:color w:val="auto"/>
          <w:kern w:val="0"/>
          <w:sz w:val="22"/>
          <w:szCs w:val="22"/>
          <w:highlight w:val="none"/>
        </w:rPr>
        <w:t>模板进行公告</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公告内容除包含《政府采购公告和公示信息格式规范（2020年版）》要求内容外</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还应包含采购人专门面向中小企业预留份额情况及成交供应商评审价格、优惠率等内容）</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sz w:val="22"/>
          <w:szCs w:val="22"/>
          <w:highlight w:val="none"/>
        </w:rPr>
        <w:t>同时向成交供应商发出成交通知书</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成交通知书规定签订合同的时间不得超过25日。</w:t>
      </w:r>
    </w:p>
    <w:p w14:paraId="5287560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27.3采购人或者采购代理机构发出成交通知书前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应当对成交供应商信用进行查询核实</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对列入失信被执行人、重大税收违法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取消其成交资格</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并确定排名第二的成交候选人为成交供应商。排名第二的成交候选人因上述规定的同样原因被取消成交资格的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采购人可以确定排名第三的成交候选人为成交供应商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以此类推。以上信息查询记录及相关证据与竞磋文件一并保存。成交供应商享受《政府采购促进中小企业发展管理办法》（财库〔2020〕46号）规定的中小企业扶持政策的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采购人、采购代理机构应当随成交结果公开成交供应商的《中小企业声明函》。</w:t>
      </w:r>
    </w:p>
    <w:p w14:paraId="681976E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27.4采购人、采购代理机构认为供应商对采购过程、成交结果提出的质疑成立且影响或者可能影响成交结果的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合格供应商符合法定数量时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可以从合格的成交候选人中另行确定成交供应商的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应当依法另行确定成交供应商；否则应当重新开展采购活动。</w:t>
      </w:r>
    </w:p>
    <w:p w14:paraId="38EAAE0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27.5</w:t>
      </w:r>
      <w:r>
        <w:rPr>
          <w:rFonts w:hint="eastAsia" w:asciiTheme="minorEastAsia" w:hAnsiTheme="minorEastAsia" w:eastAsiaTheme="minorEastAsia" w:cstheme="minorEastAsia"/>
          <w:color w:val="auto"/>
          <w:sz w:val="22"/>
          <w:szCs w:val="22"/>
          <w:highlight w:val="none"/>
        </w:rPr>
        <w:t>排名第一的成交候选人放弃成交、因不可抗力提出不能履行合同</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采购人可以确定排名第二的成交候选人为成交供应商。排名第二的成交候选人因前款规定的同样原因不能签订合同的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采购人可以确定排名第三的成交候选人为成交供应商。</w:t>
      </w:r>
    </w:p>
    <w:p w14:paraId="3C28CCC3">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28.履约保证金</w:t>
      </w:r>
    </w:p>
    <w:p w14:paraId="6440BEE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color w:val="auto"/>
          <w:sz w:val="22"/>
          <w:szCs w:val="22"/>
          <w:highlight w:val="none"/>
        </w:rPr>
        <w:t>详见“供应商须知前附表”</w:t>
      </w:r>
    </w:p>
    <w:p w14:paraId="6CABC69F">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29.签订合同</w:t>
      </w:r>
    </w:p>
    <w:p w14:paraId="36B25DCC">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29.1采购人与成交供应商应当在成交通知书规定的时间内</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kern w:val="0"/>
          <w:sz w:val="22"/>
          <w:szCs w:val="22"/>
          <w:highlight w:val="none"/>
          <w:lang w:val="zh-CN"/>
        </w:rPr>
        <w:t>如成交供应商为联合体的，由联合体成员各方法定代表人或其授权代表与采购人代表签订合同。</w:t>
      </w:r>
    </w:p>
    <w:p w14:paraId="4B38C6D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29.2采购人不得向成交供应商提出超出磋商文件以外的任何要求作为签订合同的条件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不得与成交供应商订立背离磋商文件确定的合同文本以及采购标的、服务技术、采购金额、采购数量、技术和服务要求等实质性内容的协议。</w:t>
      </w:r>
    </w:p>
    <w:p w14:paraId="7A125BA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29.3成交供应商拒绝签订政府采购合同的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采购人可以按照评审报告推荐的成交候选人名单排序</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确定下一候选人为成交供应商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也可以重新开展采购活动。拒绝签订政府采购合同的成交供应商不得参加对该项目重新开展的采购活动。</w:t>
      </w:r>
    </w:p>
    <w:p w14:paraId="6D8311D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29.4如签订合同并生效后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供应商无故拒绝或延期</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除按照合同条款处理外</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列入不良行为记录</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并给予通报。</w:t>
      </w:r>
    </w:p>
    <w:p w14:paraId="58775F2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29.5采购合同由采购人与成交供应商根据磋商文件、响应文件等内容通过政府采购电子交易平台在线签订</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自动备案</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在线签订须携带的材料见“供应商须知前附表”。</w:t>
      </w:r>
    </w:p>
    <w:p w14:paraId="6628846D">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30.政府采购合同公告</w:t>
      </w:r>
    </w:p>
    <w:p w14:paraId="69F8C7A0">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根据《中华人民共和国政府采购法实施条例》第五十条规定</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采购人应当自政府采购合同签订之日起2个工作日内</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将政府采购合同在省级以上人民政府财政部门指定的媒体上公告</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但政府采购合同中涉及国家秘密、商业秘密的内容除外。</w:t>
      </w:r>
    </w:p>
    <w:p w14:paraId="5CEEF257">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31.询问、质疑和投诉</w:t>
      </w:r>
    </w:p>
    <w:p w14:paraId="395847F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31.1供应商对政府采购活动事项有疑问的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可以向采购人、采购代理机构提出询问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采购人或者采购代理机构应当在3个工作日内对供应商依法提出的询问作出答复。</w:t>
      </w:r>
    </w:p>
    <w:p w14:paraId="32B3B7E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31.2供应商认为磋商文件、采购过程或者成交结果使自己的合法权益受到损害的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应当在知道或者应知其权益受到损害之日起7个工作日内</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以书面形式向采购人、采购代理机构提出质疑</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2"/>
          <w:szCs w:val="22"/>
          <w:highlight w:val="none"/>
        </w:rPr>
        <w:t>“供应商须知前附表”。</w:t>
      </w:r>
      <w:r>
        <w:rPr>
          <w:rFonts w:hint="eastAsia" w:asciiTheme="minorEastAsia" w:hAnsiTheme="minorEastAsia" w:eastAsiaTheme="minorEastAsia" w:cstheme="minorEastAsia"/>
          <w:b/>
          <w:color w:val="auto"/>
          <w:sz w:val="22"/>
          <w:szCs w:val="22"/>
          <w:highlight w:val="none"/>
        </w:rPr>
        <w:t>具体质疑起算时间及处理方式如下：</w:t>
      </w:r>
    </w:p>
    <w:p w14:paraId="49A4A80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（1）潜在供应商依法获取采购文件后</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认为采购文件使自己的权益受到损害的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应当在竞争性磋商采购文件公告期限届满之日起7个工作日内提出质疑。</w:t>
      </w:r>
      <w:r>
        <w:rPr>
          <w:rFonts w:hint="eastAsia" w:asciiTheme="minorEastAsia" w:hAnsiTheme="minorEastAsia" w:eastAsiaTheme="minorEastAsia" w:cstheme="minorEastAsia"/>
          <w:color w:val="auto"/>
          <w:sz w:val="22"/>
          <w:szCs w:val="22"/>
          <w:highlight w:val="none"/>
        </w:rPr>
        <w:t>委托代理协议无特殊约定的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对竞争性磋商文件中采购需求（含资格要求、采购预算和评分办法）的质疑由采购人受理并负责答复；对竞争性磋商文件中的采购执行程序的质疑由采购代理机构受理并负责答复。</w:t>
      </w:r>
    </w:p>
    <w:p w14:paraId="518B8C98">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（2）供应商认为采购过程使自己的权益受到损害的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应当在各采购程序环节结束之日起7个工作日内提出质疑。对采购过程中资格审查、符合性审查等具体评审情况的质疑应向采购人或代理机构提出</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由采购人或代理机构受理并负责答复；对采购过程中采购执行程序的质疑由采购代理机构受理并负责答复。</w:t>
      </w:r>
    </w:p>
    <w:p w14:paraId="2B89D8F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（3）供应商认为成交结果使自己的权益受到损害的</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应当在成交结果公告期限届满之日起7个工作日内提出质疑</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由采购人受理并负责答复。</w:t>
      </w:r>
    </w:p>
    <w:p w14:paraId="40F9E036">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31.3供应商提出的询问或者质疑超出采购人对采购代理机构委托授权范围的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采购代理机构应当告知供应商向采购人提出。政府采购评审专家应当配合采购人或者采购代理机构答复供应商的询问和质疑。</w:t>
      </w:r>
    </w:p>
    <w:p w14:paraId="03D3DB2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31.4供应商提出质疑应当提交质疑函和必要的证明材料</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2"/>
          <w:szCs w:val="22"/>
          <w:highlight w:val="none"/>
        </w:rPr>
        <w:t>（质疑函格式后附）</w:t>
      </w:r>
      <w:r>
        <w:rPr>
          <w:rFonts w:hint="eastAsia" w:asciiTheme="minorEastAsia" w:hAnsiTheme="minorEastAsia" w:eastAsiaTheme="minorEastAsia" w:cstheme="minorEastAsia"/>
          <w:color w:val="auto"/>
          <w:sz w:val="22"/>
          <w:szCs w:val="22"/>
          <w:highlight w:val="none"/>
        </w:rPr>
        <w:t>：</w:t>
      </w:r>
    </w:p>
    <w:p w14:paraId="10EE708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（1）供应商的姓名或者名称、地址、邮编、联系人及联系电话；</w:t>
      </w:r>
    </w:p>
    <w:p w14:paraId="5E0CA45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（2）质疑项目的名称、编号；</w:t>
      </w:r>
    </w:p>
    <w:p w14:paraId="4455418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（3）具体、明确的质疑事项和与质疑事项相关的请求；</w:t>
      </w:r>
    </w:p>
    <w:p w14:paraId="7B1A4A3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（4）事实依据；</w:t>
      </w:r>
    </w:p>
    <w:p w14:paraId="30CC19FD">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（5）必要的法律依据；</w:t>
      </w:r>
    </w:p>
    <w:p w14:paraId="6AF86343">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（6）提出质疑的日期。</w:t>
      </w:r>
    </w:p>
    <w:p w14:paraId="3D9F4477">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供应商为自然人的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应当由本人签字；供应商为法人或者其他组织的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应当由法定代表人、主要负责人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或者其委托代理人签字或者盖章</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并加盖公章。</w:t>
      </w:r>
    </w:p>
    <w:p w14:paraId="30157B6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31.5采购人、采购代理机构认为供应商质疑不成立</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或者成立但未对成交结果构成影响的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继续开展采购活动；认为供应商质疑成立且影响或者可能影响成交结果的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按照下列情况处理：</w:t>
      </w:r>
    </w:p>
    <w:p w14:paraId="05BCCB1E">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（一）对采购文件提出的质疑</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依法通过澄清或者修改可以继续开展采购活动的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澄清或者修改采购文件后继续开展采购活动；否则应当修改采购文件后重新开展采购活动。</w:t>
      </w:r>
    </w:p>
    <w:p w14:paraId="04C5BACF">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（二）对采购过程或者成交结果提出的质疑</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合格供应商符合法定数量时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可以从合格的成交候选人中另行确定成交供应商的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应当依法另行确定成交供应商；否则应当重新开展采购活动。</w:t>
      </w:r>
    </w:p>
    <w:p w14:paraId="2E9C9C1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质疑答复导致成交结果改变的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采购人或者采购代理机构应当将有关情况书面报告本级财政部门。</w:t>
      </w:r>
    </w:p>
    <w:p w14:paraId="645E88E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31.6投诉的权利。质疑供应商对采购人、采购代理机构的答复不满意</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或者采购人、采购代理机构未在规定时间内作出答复的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可以在答复期满后15个工作日内向《政府采购质疑和投诉办法》（财政部令第94号）第六条规定的财政部门提起投诉（投诉书格式后附）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受理投诉方式见“供应商须知前附表”。</w:t>
      </w:r>
      <w:bookmarkStart w:id="46" w:name="_Toc80205930"/>
    </w:p>
    <w:p w14:paraId="6DF13EF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31.7</w:t>
      </w:r>
      <w:r>
        <w:rPr>
          <w:rFonts w:hint="eastAsia" w:asciiTheme="minorEastAsia" w:hAnsiTheme="minorEastAsia" w:eastAsiaTheme="minorEastAsia" w:cstheme="minorEastAsia"/>
          <w:color w:val="auto"/>
          <w:sz w:val="22"/>
          <w:szCs w:val="22"/>
          <w:highlight w:val="none"/>
        </w:rPr>
        <w:t>供应商应明确知悉投诉可能产生的后果并承担相应的责任：</w:t>
      </w:r>
    </w:p>
    <w:p w14:paraId="7C05A314">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按照《政府采购质疑和投诉办法》（中华人民共和国财政部令第94号）第三十七条：投诉人在全国范围12个月内三次以上投诉查无实据的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由财政部门列入不良行为记录名单。</w:t>
      </w:r>
    </w:p>
    <w:p w14:paraId="32612E6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投诉人有下列行为之一的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属于虚假、恶意投诉</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由财政部门列入不良行为记录名单</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禁止其1至3年内参加政府采购活动：</w:t>
      </w:r>
    </w:p>
    <w:p w14:paraId="3A234F4A">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（一）捏造事实</w:t>
      </w:r>
      <w:r>
        <w:rPr>
          <w:rFonts w:hint="eastAsia" w:asciiTheme="minorEastAsia" w:hAnsiTheme="minorEastAsia" w:eastAsiaTheme="minorEastAsia" w:cstheme="minorEastAsia"/>
          <w:color w:val="auto"/>
          <w:sz w:val="22"/>
          <w:szCs w:val="22"/>
          <w:highlight w:val="none"/>
          <w:lang w:eastAsia="zh-CN"/>
        </w:rPr>
        <w:t>；</w:t>
      </w:r>
    </w:p>
    <w:p w14:paraId="0A27D74B">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（二）提供虚假材料</w:t>
      </w:r>
      <w:r>
        <w:rPr>
          <w:rFonts w:hint="eastAsia" w:asciiTheme="minorEastAsia" w:hAnsiTheme="minorEastAsia" w:eastAsiaTheme="minorEastAsia" w:cstheme="minorEastAsia"/>
          <w:color w:val="auto"/>
          <w:sz w:val="22"/>
          <w:szCs w:val="22"/>
          <w:highlight w:val="none"/>
          <w:lang w:eastAsia="zh-CN"/>
        </w:rPr>
        <w:t>；</w:t>
      </w:r>
    </w:p>
    <w:p w14:paraId="3955EB41">
      <w:pPr>
        <w:pageBreakBefore w:val="0"/>
        <w:widowControl w:val="0"/>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（三）</w:t>
      </w:r>
      <w:r>
        <w:rPr>
          <w:rFonts w:hint="eastAsia" w:asciiTheme="minorEastAsia" w:hAnsiTheme="minorEastAsia" w:eastAsiaTheme="minorEastAsia" w:cstheme="minorEastAsia"/>
          <w:color w:val="auto"/>
          <w:sz w:val="22"/>
          <w:szCs w:val="22"/>
          <w:highlight w:val="none"/>
        </w:rPr>
        <w:t>以非法手段取得证明材料。证据来源的合法性存在明显疑问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投诉人无法证明其取得方式合法的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视为以非法手段取得证明材料。</w:t>
      </w:r>
    </w:p>
    <w:p w14:paraId="596E037B">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7" w:name="_Toc8074"/>
      <w:r>
        <w:rPr>
          <w:rFonts w:hint="eastAsia" w:asciiTheme="minorEastAsia" w:hAnsiTheme="minorEastAsia" w:eastAsiaTheme="minorEastAsia" w:cstheme="minorEastAsia"/>
          <w:b/>
          <w:bCs/>
          <w:color w:val="auto"/>
          <w:sz w:val="24"/>
          <w:szCs w:val="24"/>
          <w:highlight w:val="none"/>
        </w:rPr>
        <w:t>六、验收</w:t>
      </w:r>
      <w:bookmarkEnd w:id="46"/>
      <w:bookmarkEnd w:id="47"/>
    </w:p>
    <w:p w14:paraId="7565A481">
      <w:pPr>
        <w:pageBreakBefore w:val="0"/>
        <w:widowControl w:val="0"/>
        <w:tabs>
          <w:tab w:val="left" w:pos="0"/>
        </w:tabs>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32.验收</w:t>
      </w:r>
    </w:p>
    <w:p w14:paraId="3BE892AA">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32.1采购人会同实际使用人组织对供应商履约的验收。大型或者复杂的政府采购项目</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应当邀请国家认可的质量检测机构参加验收工作。验收方成员应当在验收书上签字</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并承担相应的法律责任。如果发现与合同中要求不符</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供应商须承担由此发生的一切损失和费用</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并接受相应的处理。</w:t>
      </w:r>
    </w:p>
    <w:p w14:paraId="5799A702">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32.2采购人可以邀请参加本项目的其他供应商或者第三方机构参与验收。参与验收的供应商或者第三方机构的意见作为验收书的参考资料一并存档。</w:t>
      </w:r>
    </w:p>
    <w:p w14:paraId="472C3D37">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32.3严格按照采购合同开展履约验收。采购人成立验收小组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按照采购合同的约定对供应商履约情况进行验收。验收时</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按照采购合同的约定对每一项技术、服务、安全标准的履约情况进行确认。验收结束后</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应当出具验收书</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列明各项标准的验收情况及项目总体评价</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由验收双方共同签署。验收结果与采购合同约定的资金支付及履约保证金返还条件挂钩。履约验收的各项资料应当存档备查。</w:t>
      </w:r>
    </w:p>
    <w:p w14:paraId="56DD688D">
      <w:pPr>
        <w:pageBreakBefore w:val="0"/>
        <w:widowControl w:val="0"/>
        <w:tabs>
          <w:tab w:val="left" w:pos="0"/>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32.4验收合格的项目</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实际使用人将根据采购合同的约定及时向供应商支付采购资金。验收不合格的项目</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采购人将依法及时处理。采购合同的履行、违约责任和解决争议的方式等适用《中华人民共和国民法典》。供应商在履约过程中有政府采购法律法规规定的违法违规情形的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采购人应当及时报告本级财政部门。</w:t>
      </w:r>
    </w:p>
    <w:p w14:paraId="59A4EA73">
      <w:pPr>
        <w:keepNext/>
        <w:keepLines/>
        <w:pageBreakBefore w:val="0"/>
        <w:widowControl w:val="0"/>
        <w:kinsoku/>
        <w:wordWrap/>
        <w:overflowPunct/>
        <w:topLinePunct w:val="0"/>
        <w:autoSpaceDE/>
        <w:autoSpaceDN/>
        <w:bidi w:val="0"/>
        <w:adjustRightInd/>
        <w:snapToGrid/>
        <w:spacing w:line="360" w:lineRule="auto"/>
        <w:ind w:firstLine="482" w:firstLineChars="200"/>
        <w:outlineLvl w:val="2"/>
        <w:rPr>
          <w:rFonts w:hint="eastAsia" w:asciiTheme="minorEastAsia" w:hAnsiTheme="minorEastAsia" w:eastAsiaTheme="minorEastAsia" w:cstheme="minorEastAsia"/>
          <w:color w:val="auto"/>
          <w:sz w:val="22"/>
          <w:szCs w:val="22"/>
          <w:highlight w:val="none"/>
        </w:rPr>
      </w:pPr>
      <w:bookmarkStart w:id="48" w:name="_Toc9558"/>
      <w:r>
        <w:rPr>
          <w:rFonts w:hint="eastAsia" w:asciiTheme="minorEastAsia" w:hAnsiTheme="minorEastAsia" w:eastAsiaTheme="minorEastAsia" w:cstheme="minorEastAsia"/>
          <w:b/>
          <w:bCs/>
          <w:color w:val="auto"/>
          <w:sz w:val="24"/>
          <w:szCs w:val="24"/>
          <w:highlight w:val="none"/>
        </w:rPr>
        <w:t>七、其他事项</w:t>
      </w:r>
      <w:bookmarkEnd w:id="48"/>
    </w:p>
    <w:p w14:paraId="7C993638">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33.代理服务费</w:t>
      </w:r>
    </w:p>
    <w:p w14:paraId="5FD9543F">
      <w:pPr>
        <w:pageBreakBefore w:val="0"/>
        <w:widowControl w:val="0"/>
        <w:tabs>
          <w:tab w:val="left" w:pos="2835"/>
        </w:tabs>
        <w:kinsoku/>
        <w:wordWrap/>
        <w:overflowPunct/>
        <w:topLinePunct w:val="0"/>
        <w:autoSpaceDE/>
        <w:autoSpaceDN/>
        <w:bidi w:val="0"/>
        <w:adjustRightInd/>
        <w:snapToGrid/>
        <w:spacing w:line="360" w:lineRule="auto"/>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代理服务收费标准详见“供应商须知前附表”。</w:t>
      </w:r>
    </w:p>
    <w:p w14:paraId="73319C04">
      <w:pPr>
        <w:pageBreakBefore w:val="0"/>
        <w:widowControl w:val="0"/>
        <w:kinsoku/>
        <w:wordWrap/>
        <w:overflowPunct/>
        <w:topLinePunct w:val="0"/>
        <w:autoSpaceDE/>
        <w:autoSpaceDN/>
        <w:bidi w:val="0"/>
        <w:adjustRightInd/>
        <w:snapToGrid/>
        <w:spacing w:line="360" w:lineRule="auto"/>
        <w:ind w:firstLine="442" w:firstLineChars="200"/>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34.需要补充的其他内容</w:t>
      </w:r>
    </w:p>
    <w:p w14:paraId="5539589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34.1本磋商文件解释规则详见“供应商须知前附表”。</w:t>
      </w:r>
    </w:p>
    <w:p w14:paraId="76925220">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34.2其他事项详见“供应商须知前附表”。</w:t>
      </w:r>
    </w:p>
    <w:p w14:paraId="2AC0F6F5">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34.3本文件所称中小企业</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是指在中华人民共和国境内依法设立</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依据国务院批准的中小企业划分标准确定的中型企业、小型企业和微型企业</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但与大企业的负责人为同一人</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或者与大企业存在直接控股、管理关系的除外。符合中小企业划分标准的个体工商户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在政府采购活动中视同中小企业。在政府采购活动中</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供应商提供的</w:t>
      </w:r>
      <w:r>
        <w:rPr>
          <w:rFonts w:hint="eastAsia" w:asciiTheme="minorEastAsia" w:hAnsiTheme="minorEastAsia" w:eastAsiaTheme="minorEastAsia" w:cstheme="minorEastAsia"/>
          <w:color w:val="auto"/>
          <w:kern w:val="0"/>
          <w:sz w:val="22"/>
          <w:szCs w:val="22"/>
          <w:highlight w:val="none"/>
        </w:rPr>
        <w:t>服务由中小企业承接</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即提供服务的人员为中小企业依照《中华人民共和国劳动合同法》订立劳动合同的从业人员</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不对其中涉及的货物的制造商和工程承建商作出要求的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享受本文件规定的中小企业扶持政策。</w:t>
      </w:r>
    </w:p>
    <w:p w14:paraId="123EBB86">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以联合体形式参加政府采购活动</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联合体各方均为中小企业的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联合体视同中小企业。其中</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联合体各方均为小微企业的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联合体视同小微企业。</w:t>
      </w:r>
    </w:p>
    <w:p w14:paraId="10613244">
      <w:pPr>
        <w:pageBreakBefore w:val="0"/>
        <w:widowControl w:val="0"/>
        <w:kinsoku/>
        <w:wordWrap/>
        <w:overflowPunct/>
        <w:topLinePunct w:val="0"/>
        <w:autoSpaceDE/>
        <w:autoSpaceDN/>
        <w:bidi w:val="0"/>
        <w:adjustRightInd/>
        <w:snapToGrid/>
        <w:spacing w:line="360" w:lineRule="auto"/>
        <w:ind w:firstLine="440" w:firstLineChars="200"/>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依据本文件规定享受扶持政策获得政府采购合同的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小微企业不得将合同分包给大中型企业</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中型企业不得将合同分包给大型企业。</w:t>
      </w:r>
    </w:p>
    <w:p w14:paraId="7E8136AF">
      <w:pPr>
        <w:spacing w:line="360" w:lineRule="auto"/>
        <w:jc w:val="center"/>
        <w:textAlignment w:val="center"/>
        <w:outlineLvl w:val="0"/>
        <w:rPr>
          <w:rFonts w:hint="eastAsia" w:ascii="宋体" w:hAnsi="宋体" w:eastAsia="宋体" w:cs="宋体"/>
          <w:b/>
          <w:bCs/>
          <w:color w:val="auto"/>
          <w:kern w:val="44"/>
          <w:sz w:val="24"/>
          <w:szCs w:val="24"/>
          <w:highlight w:val="none"/>
        </w:rPr>
      </w:pPr>
      <w:r>
        <w:rPr>
          <w:rFonts w:hint="eastAsia" w:ascii="宋体" w:hAnsi="宋体" w:eastAsia="宋体" w:cs="宋体"/>
          <w:b/>
          <w:color w:val="auto"/>
          <w:kern w:val="0"/>
          <w:sz w:val="24"/>
          <w:szCs w:val="24"/>
          <w:highlight w:val="none"/>
        </w:rPr>
        <w:br w:type="page"/>
      </w:r>
      <w:bookmarkStart w:id="49" w:name="_Toc9978"/>
      <w:r>
        <w:rPr>
          <w:rFonts w:hint="eastAsia" w:ascii="宋体" w:hAnsi="宋体" w:eastAsia="宋体" w:cs="宋体"/>
          <w:b/>
          <w:color w:val="auto"/>
          <w:kern w:val="44"/>
          <w:sz w:val="32"/>
          <w:szCs w:val="32"/>
          <w:highlight w:val="none"/>
        </w:rPr>
        <w:t>第四章  评标方法及评分标准</w:t>
      </w:r>
    </w:p>
    <w:p w14:paraId="73C3B0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0" w:name="_Toc994"/>
      <w:r>
        <w:rPr>
          <w:rFonts w:hint="eastAsia" w:ascii="宋体" w:hAnsi="宋体" w:eastAsia="宋体" w:cs="宋体"/>
          <w:bCs/>
          <w:color w:val="auto"/>
          <w:sz w:val="32"/>
          <w:szCs w:val="32"/>
          <w:highlight w:val="none"/>
        </w:rPr>
        <w:t>第一节 评审程序和评审方法</w:t>
      </w:r>
      <w:bookmarkEnd w:id="50"/>
    </w:p>
    <w:p w14:paraId="35A5689C">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1.确认磋商文件</w:t>
      </w:r>
    </w:p>
    <w:p w14:paraId="06CA05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由磋商小组确认磋商文件。</w:t>
      </w:r>
    </w:p>
    <w:p w14:paraId="4D24189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2.资格审查</w:t>
      </w:r>
    </w:p>
    <w:p w14:paraId="13425AF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2.1响应文件开启后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磋商小组依法对供应商的资格证明文件进行审查。</w:t>
      </w:r>
    </w:p>
    <w:p w14:paraId="51C5B80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注：采购人代表或者采购代理机构在资格审查结束前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对供应商进行信用查询。</w:t>
      </w:r>
    </w:p>
    <w:p w14:paraId="6C7348DD">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（1）查询渠道：“</w:t>
      </w:r>
      <w:r>
        <w:rPr>
          <w:rFonts w:hint="eastAsia" w:asciiTheme="minorEastAsia" w:hAnsiTheme="minorEastAsia" w:eastAsiaTheme="minorEastAsia" w:cstheme="minorEastAsia"/>
          <w:color w:val="auto"/>
          <w:sz w:val="22"/>
          <w:szCs w:val="22"/>
          <w:highlight w:val="none"/>
          <w:lang w:eastAsia="zh-CN"/>
        </w:rPr>
        <w:t>广西政府采购云平台</w:t>
      </w:r>
      <w:r>
        <w:rPr>
          <w:rFonts w:hint="eastAsia" w:asciiTheme="minorEastAsia" w:hAnsiTheme="minorEastAsia" w:eastAsiaTheme="minorEastAsia" w:cstheme="minorEastAsia"/>
          <w:color w:val="auto"/>
          <w:sz w:val="22"/>
          <w:szCs w:val="22"/>
          <w:highlight w:val="none"/>
        </w:rPr>
        <w:t>”平台“信用中国”网站(</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www.creditchina.gov.cn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)、中国政府采购网(</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"http://www.ccgp.gov.cn"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u w:val="single"/>
        </w:rPr>
        <w:t>www.ccgp.gov.cn</w:t>
      </w:r>
      <w:r>
        <w:rPr>
          <w:rFonts w:hint="eastAsia" w:asciiTheme="minorEastAsia" w:hAnsiTheme="minorEastAsia" w:eastAsiaTheme="minorEastAsia" w:cstheme="minorEastAsia"/>
          <w:color w:val="auto"/>
          <w:sz w:val="22"/>
          <w:szCs w:val="22"/>
          <w:highlight w:val="none"/>
          <w:u w:val="single"/>
        </w:rPr>
        <w:fldChar w:fldCharType="end"/>
      </w:r>
      <w:r>
        <w:rPr>
          <w:rFonts w:hint="eastAsia" w:asciiTheme="minorEastAsia" w:hAnsiTheme="minorEastAsia" w:eastAsiaTheme="minorEastAsia" w:cstheme="minorEastAsia"/>
          <w:color w:val="auto"/>
          <w:sz w:val="22"/>
          <w:szCs w:val="22"/>
          <w:highlight w:val="none"/>
        </w:rPr>
        <w:t>)链接入口。</w:t>
      </w:r>
    </w:p>
    <w:p w14:paraId="5A5690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（2）信用查询截止时点：资格审查结束前。</w:t>
      </w:r>
    </w:p>
    <w:p w14:paraId="17D5D3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查询记录和证据留存方式：在查询网站中直接打印查询记录</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截图另存为电子文档作为评审资料保存。</w:t>
      </w:r>
    </w:p>
    <w:p w14:paraId="4836D9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（3）信用信息使用规则：对在“信用中国”网站(www.creditchina.gov.cn)、中国政府采购网(www.ccgp.gov.cn)被列入失信被执行人、重大税收违法</w:t>
      </w:r>
      <w:r>
        <w:rPr>
          <w:rFonts w:hint="eastAsia" w:asciiTheme="minorEastAsia" w:hAnsiTheme="minorEastAsia" w:eastAsiaTheme="minorEastAsia" w:cstheme="minorEastAsia"/>
          <w:color w:val="auto"/>
          <w:sz w:val="22"/>
          <w:szCs w:val="22"/>
          <w:highlight w:val="none"/>
          <w:lang w:val="en-US" w:eastAsia="zh-CN"/>
        </w:rPr>
        <w:t>失信主体</w:t>
      </w:r>
      <w:r>
        <w:rPr>
          <w:rFonts w:hint="eastAsia" w:asciiTheme="minorEastAsia" w:hAnsiTheme="minorEastAsia" w:eastAsiaTheme="minorEastAsia" w:cstheme="minorEastAsia"/>
          <w:color w:val="auto"/>
          <w:sz w:val="22"/>
          <w:szCs w:val="22"/>
          <w:highlight w:val="none"/>
        </w:rPr>
        <w:t>、政府采购严重违法失信行为记录名单及其他不符合《中华人民共和国政府采购法》第二十二条规定条件的供应商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资格审查不通过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不得参与政府采购活动。两个以上的自然人、法人或者其他组织组成一个联合体</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以一个供应商的身份共同参加政府采购活动的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应当对所有联合体成员进行信用记录查询</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联合体成员存在不良信用记录的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视同联合体存在不良信用记录。</w:t>
      </w:r>
    </w:p>
    <w:p w14:paraId="306CA69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2.2资格审查标准为本磋商文件中载明对供应商资格要求的条件。资格审查采用合格制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凡符合磋商文件规定的供应商资格要求的响应文件均通过资格审查。</w:t>
      </w:r>
    </w:p>
    <w:p w14:paraId="649A8F5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2.3供应商有下列情形之一的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资格审查不通过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其响应文件按无效响应处理：</w:t>
      </w:r>
    </w:p>
    <w:p w14:paraId="77B2144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（1）不具备磋商文件中规定的资格要求的；</w:t>
      </w:r>
    </w:p>
    <w:p w14:paraId="6AB4538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（2）响应文件未提供任一项“供应商须知前附表”资格证明文件规定的“必须提供”的文件资料的；</w:t>
      </w:r>
    </w:p>
    <w:p w14:paraId="5A925DE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（3）响应文件提供的资格证明文件出现任一项不符合“供应商须知前附表”资格证明文件规定的“必须提供”的文件资料要求或者无效的。</w:t>
      </w:r>
    </w:p>
    <w:p w14:paraId="7269E18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bookmarkStart w:id="51" w:name="_Hlk68601553"/>
      <w:r>
        <w:rPr>
          <w:rFonts w:hint="eastAsia" w:asciiTheme="minorEastAsia" w:hAnsiTheme="minorEastAsia" w:eastAsiaTheme="minorEastAsia" w:cstheme="minorEastAsia"/>
          <w:color w:val="auto"/>
          <w:sz w:val="22"/>
          <w:szCs w:val="22"/>
          <w:highlight w:val="none"/>
        </w:rPr>
        <w:t>（4）同一合同项下的不同供应商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单位负责人为同一人或者存在直接控股、管理关系的；为本项目提供过整体设计、规范编制或者项目管理、监理、检测等服务的。</w:t>
      </w:r>
      <w:bookmarkEnd w:id="51"/>
    </w:p>
    <w:p w14:paraId="6D78D8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2.4通过资格审查的合格供应商不足3家的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不得进入符合性审查环节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采购人或者采购代理机构应当重新开展采购活动。</w:t>
      </w:r>
    </w:p>
    <w:p w14:paraId="305E2C39">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3.符合性审查</w:t>
      </w:r>
    </w:p>
    <w:p w14:paraId="7590D6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3.1由磋商小组对通过资格审查的合格供应商的响应文件的响应报价、商务、技术等实质性要求进行符合性审查</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以确定其是否满足磋商文件的实质性要求。</w:t>
      </w:r>
    </w:p>
    <w:p w14:paraId="3390F02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3.2磋商小组在对响应文件进行符合性审查时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9EC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3.3磋商小组要求供应商澄清、说明或者更正响应文件应当以电子澄清函形式作出。供应商的澄清、说明或者更正应当已电子回函形式按照磋商小组的要求作出明确的澄清、说明或者更正</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2"/>
          <w:szCs w:val="22"/>
          <w:highlight w:val="none"/>
        </w:rPr>
        <w:t>。供应商为自然人的</w:t>
      </w:r>
      <w:r>
        <w:rPr>
          <w:rFonts w:hint="eastAsia" w:asciiTheme="minorEastAsia" w:hAnsiTheme="minorEastAsia" w:eastAsiaTheme="minorEastAsia" w:cstheme="minorEastAsia"/>
          <w:color w:val="auto"/>
          <w:spacing w:val="-6"/>
          <w:sz w:val="22"/>
          <w:szCs w:val="22"/>
          <w:highlight w:val="none"/>
          <w:lang w:eastAsia="zh-CN"/>
        </w:rPr>
        <w:t>，</w:t>
      </w:r>
      <w:r>
        <w:rPr>
          <w:rFonts w:hint="eastAsia" w:asciiTheme="minorEastAsia" w:hAnsiTheme="minorEastAsia" w:eastAsiaTheme="minorEastAsia" w:cstheme="minorEastAsia"/>
          <w:color w:val="auto"/>
          <w:spacing w:val="-6"/>
          <w:sz w:val="22"/>
          <w:szCs w:val="22"/>
          <w:highlight w:val="none"/>
        </w:rPr>
        <w:t>必须由本人签字并附身份证明。</w:t>
      </w:r>
    </w:p>
    <w:p w14:paraId="18C815D6">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pacing w:val="-6"/>
          <w:sz w:val="22"/>
          <w:szCs w:val="22"/>
          <w:highlight w:val="none"/>
        </w:rPr>
        <w:t>3.4</w:t>
      </w:r>
      <w:r>
        <w:rPr>
          <w:rFonts w:hint="eastAsia" w:asciiTheme="minorEastAsia" w:hAnsiTheme="minorEastAsia" w:eastAsiaTheme="minorEastAsia" w:cstheme="minorEastAsia"/>
          <w:color w:val="auto"/>
          <w:sz w:val="22"/>
          <w:szCs w:val="22"/>
          <w:highlight w:val="none"/>
        </w:rPr>
        <w:t>首次响应文件报价出现前后不一致的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按照下列规定修正：</w:t>
      </w:r>
    </w:p>
    <w:p w14:paraId="267CCC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（1）响应文件中报价表内容与响应文件中相应内容不一致的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以报价表为准；</w:t>
      </w:r>
    </w:p>
    <w:p w14:paraId="633F305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（2）大写金额和小写金额不一致的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以大写金额为准；</w:t>
      </w:r>
    </w:p>
    <w:p w14:paraId="5437422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（3）单价金额小数点或者百分比有明显错位的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以报价表的总价为准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并修改单价；</w:t>
      </w:r>
    </w:p>
    <w:p w14:paraId="48CC63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（4）总价金额与按单价汇总金额不一致的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以单价金额计算结果为准。</w:t>
      </w:r>
    </w:p>
    <w:p w14:paraId="4695A67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同时出现两种以上不一致的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按照以上（1）-（4）规定的顺序逐条进行修正。修正后的报价经供应商确认后产生约束力</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供应商不确认的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其响应文件按无效响应处理。</w:t>
      </w:r>
    </w:p>
    <w:p w14:paraId="6C1734E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3.5商务技术、报价评审</w:t>
      </w:r>
    </w:p>
    <w:p w14:paraId="5B371E5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在评审时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如发现下列情形之一的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将被视为响应文件无效处理：</w:t>
      </w:r>
    </w:p>
    <w:p w14:paraId="5BC0C9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（1）商务技术评审</w:t>
      </w:r>
    </w:p>
    <w:p w14:paraId="6B3EF75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1）响应文件未按磋商文件要求签署、盖章；</w:t>
      </w:r>
    </w:p>
    <w:p w14:paraId="5CFA5D4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2）委托代理人未能出具有效身份证明或者出具的身份证明与授权委托书中的信息不符；</w:t>
      </w:r>
    </w:p>
    <w:p w14:paraId="03D7B75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94BE64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4）商务条款中标“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”的条款发生负偏离的或者允许负偏离的条款数超过“供应商须知前附表”规定项数的或者标明实质性的要求发生负偏离；</w:t>
      </w:r>
    </w:p>
    <w:p w14:paraId="00684C2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5）未对竞标有效期作出响应或者响应文件承诺的竞标有效期不满足磋商文件要求；</w:t>
      </w:r>
    </w:p>
    <w:p w14:paraId="25488B3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6）响应文件的实质性内容未使用中文表述、使用计量单位不符合磋商文件要求；</w:t>
      </w:r>
    </w:p>
    <w:p w14:paraId="115366F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7）响应文件中的文件资料因填写不齐全或者内容虚假或者出现其他情形而导致被磋商小组认定无效；</w:t>
      </w:r>
    </w:p>
    <w:p w14:paraId="38470D8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8）响应文件含有采购人不能接受的附加条件；</w:t>
      </w:r>
    </w:p>
    <w:p w14:paraId="0AEE9FE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9）属于“供应商须知正文”第7.5条情形；</w:t>
      </w:r>
    </w:p>
    <w:p w14:paraId="2FFDD4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10）技术需求允许负偏离的条款数超过“供应商须知前附表”规定项数；</w:t>
      </w:r>
    </w:p>
    <w:p w14:paraId="07080AA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11）虚假竞标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或者出现其他情形而导致被磋商小组认定无效；</w:t>
      </w:r>
    </w:p>
    <w:p w14:paraId="4869450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12）竞标技术方案不明确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磋商文件未允许但响应文件中存在一个或者一个以上备选（替代）竞标方案；</w:t>
      </w:r>
    </w:p>
    <w:p w14:paraId="3F9B2B5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13）响应文件标注的项目名称或者项目编号与竞争性磋商文件标注的项目名称或者项目编号不一致的；</w:t>
      </w:r>
    </w:p>
    <w:p w14:paraId="2B7719D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14）未响应磋商文件实质性要求；</w:t>
      </w:r>
    </w:p>
    <w:p w14:paraId="773D74B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15）法律、法规和磋商文件规定的其他无效情形。</w:t>
      </w:r>
    </w:p>
    <w:p w14:paraId="71627E2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（2）报价评审</w:t>
      </w:r>
    </w:p>
    <w:p w14:paraId="6984E325">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1）响应文件未提供“供应商须知前附表”报价文件中规定的“响应报价表”；</w:t>
      </w:r>
    </w:p>
    <w:p w14:paraId="525A2D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2）未采用人民币报价或者未按照磋商文件标明的币种报价；</w:t>
      </w:r>
    </w:p>
    <w:p w14:paraId="281BB6E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3）供应商未就所竞标</w:t>
      </w:r>
      <w:r>
        <w:rPr>
          <w:rFonts w:hint="eastAsia" w:asciiTheme="minorEastAsia" w:hAnsiTheme="minorEastAsia" w:eastAsiaTheme="minorEastAsia" w:cstheme="minorEastAsia"/>
          <w:color w:val="auto"/>
          <w:sz w:val="22"/>
          <w:szCs w:val="22"/>
          <w:highlight w:val="none"/>
          <w:lang w:val="en-US" w:eastAsia="zh-CN"/>
        </w:rPr>
        <w:t>内容</w:t>
      </w:r>
      <w:r>
        <w:rPr>
          <w:rFonts w:hint="eastAsia" w:asciiTheme="minorEastAsia" w:hAnsiTheme="minorEastAsia" w:eastAsiaTheme="minorEastAsia" w:cstheme="minorEastAsia"/>
          <w:color w:val="auto"/>
          <w:sz w:val="22"/>
          <w:szCs w:val="22"/>
          <w:highlight w:val="none"/>
        </w:rPr>
        <w:t>进行报价或者存在漏项报价；供应商未就所竞标单项内容作唯一报价；供应商未就所竞标的全部内容作唯一总价报价；供应商响应文件中存在有选择、有条件报价的（磋商文件允许有备选方案或者其他约定的除外）；</w:t>
      </w:r>
    </w:p>
    <w:p w14:paraId="0BE16D3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响应报价（包含首次报价、最后报价）超过所竞标规定的采购预算金额或者最高限价的（如本项目公布了最高限价）；响应报价（包含首次报价、最后报价）超过磋商文件分项采购预算金额或者最高限价的（如本项目公布了最高限价）；</w:t>
      </w:r>
    </w:p>
    <w:p w14:paraId="1AE7D7B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5）修正后的报价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2473ACD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6）响应文件响应的标的数量及单位与竞争性磋商采购文件要求实质性不一致的。</w:t>
      </w:r>
    </w:p>
    <w:p w14:paraId="3DA13AF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3.6磋商小组对响应文件进行评审</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未实质性响应磋商文件的响应文件按无效处理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磋商小组应当将资格和符合性不通过的情况告知有关供应商。磋商小组从符合磋商文件规定的相应资格条件的供应商名单中确定不少于3家的供应商参加磋商。</w:t>
      </w:r>
    </w:p>
    <w:p w14:paraId="1F0F2A4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3.7非政府购买服务项目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通过符合性审查的合格供应商不足3家的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不得进入磋商环节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采购人或者采购代理机构应当重新开展采购活动。政府购买服务项目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按《财政部关于政府采购竞争性磋商采购方式管理暂行办法有关问题的补充通知》（财库〔2015〕124号）规定</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采购过程中通过符合性审查的供应商（社会资本）只有2家的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磋商采购活动可以继续进行。</w:t>
      </w:r>
    </w:p>
    <w:p w14:paraId="1796ED2B">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4.磋商程序</w:t>
      </w:r>
    </w:p>
    <w:p w14:paraId="6624C8F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4.1磋商小组按照“供应商须知前附表”确定的</w:t>
      </w:r>
      <w:r>
        <w:rPr>
          <w:rFonts w:hint="eastAsia" w:asciiTheme="minorEastAsia" w:hAnsiTheme="minorEastAsia" w:eastAsiaTheme="minorEastAsia" w:cstheme="minorEastAsia"/>
          <w:color w:val="auto"/>
          <w:sz w:val="22"/>
          <w:szCs w:val="22"/>
          <w:highlight w:val="none"/>
        </w:rPr>
        <w:t>顺序</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集中与单一供应商分别进行磋商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并给予所有参加磋商的供应商平等的磋商机会。符合磋商资格的供应商必须在接到磋商通知后规定时间内参加磋商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未在规定时间内参加磋商的视同放弃参加磋商权利</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其响应文件按无效响应处理。</w:t>
      </w:r>
    </w:p>
    <w:p w14:paraId="60AAC93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4.2在磋商过程中</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磋商小组可以根据磋商文件和磋商情况实质性变动采购需求中的技术、服务要求以及合同草案条款</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但不得变动磋商文件中的其他内容。实质性变动的内容</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须经采购人代表确认。可能实质性变动的内容为采购需求中的技术、服务要求以及合同草案条款。</w:t>
      </w:r>
    </w:p>
    <w:p w14:paraId="5E69880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4.3对磋商文件作出的实质性变动是磋商文件的有效组成部分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由磋商小组及时以电子澄清函形式同时通知所有参加磋商的供应商。</w:t>
      </w:r>
    </w:p>
    <w:p w14:paraId="7B3336C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4.4供应商必须按照磋商文件的变动情况和磋商小组的要求以回函的形式重新提交响应文件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并加盖电子公章。供应商为自然人的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必须由本人签字并附身份证明。参加磋商的供应商未在规定时间内重新提交响应文件的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视同退出磋商。</w:t>
      </w:r>
    </w:p>
    <w:p w14:paraId="15FBC26A">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4.5磋商中</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pacing w:val="-6"/>
          <w:sz w:val="22"/>
          <w:szCs w:val="22"/>
          <w:highlight w:val="none"/>
        </w:rPr>
        <w:t>磋商的任何一方不得透露与磋商有关的其他供应商的技术资料、价格和其他信息。</w:t>
      </w:r>
    </w:p>
    <w:p w14:paraId="468C28D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4.6磋商小组应对磋商过程和重要磋商内容进行记录</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作为评标报告一部分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磋商小组在记录上签字确认。</w:t>
      </w:r>
      <w:r>
        <w:rPr>
          <w:rFonts w:hint="eastAsia" w:asciiTheme="minorEastAsia" w:hAnsiTheme="minorEastAsia" w:eastAsiaTheme="minorEastAsia" w:cstheme="minorEastAsia"/>
          <w:b/>
          <w:color w:val="auto"/>
          <w:sz w:val="22"/>
          <w:szCs w:val="22"/>
          <w:highlight w:val="none"/>
        </w:rPr>
        <w:t>主要内容包括：</w:t>
      </w:r>
    </w:p>
    <w:p w14:paraId="7A220231">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（1）按照相关规定进行公示的</w:t>
      </w:r>
      <w:r>
        <w:rPr>
          <w:rFonts w:hint="eastAsia" w:asciiTheme="minorEastAsia" w:hAnsiTheme="minorEastAsia" w:eastAsiaTheme="minorEastAsia" w:cstheme="minorEastAsia"/>
          <w:color w:val="auto"/>
          <w:spacing w:val="-6"/>
          <w:sz w:val="22"/>
          <w:szCs w:val="22"/>
          <w:highlight w:val="none"/>
          <w:lang w:eastAsia="zh-CN"/>
        </w:rPr>
        <w:t>，</w:t>
      </w:r>
      <w:r>
        <w:rPr>
          <w:rFonts w:hint="eastAsia" w:asciiTheme="minorEastAsia" w:hAnsiTheme="minorEastAsia" w:eastAsiaTheme="minorEastAsia" w:cstheme="minorEastAsia"/>
          <w:color w:val="auto"/>
          <w:spacing w:val="-6"/>
          <w:sz w:val="22"/>
          <w:szCs w:val="22"/>
          <w:highlight w:val="none"/>
        </w:rPr>
        <w:t>公示情况说明；</w:t>
      </w:r>
    </w:p>
    <w:p w14:paraId="1E32ECBB">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（2）磋商日期和地点</w:t>
      </w:r>
      <w:r>
        <w:rPr>
          <w:rFonts w:hint="eastAsia" w:asciiTheme="minorEastAsia" w:hAnsiTheme="minorEastAsia" w:eastAsiaTheme="minorEastAsia" w:cstheme="minorEastAsia"/>
          <w:color w:val="auto"/>
          <w:spacing w:val="-6"/>
          <w:sz w:val="22"/>
          <w:szCs w:val="22"/>
          <w:highlight w:val="none"/>
          <w:lang w:eastAsia="zh-CN"/>
        </w:rPr>
        <w:t>，</w:t>
      </w:r>
      <w:r>
        <w:rPr>
          <w:rFonts w:hint="eastAsia" w:asciiTheme="minorEastAsia" w:hAnsiTheme="minorEastAsia" w:eastAsiaTheme="minorEastAsia" w:cstheme="minorEastAsia"/>
          <w:color w:val="auto"/>
          <w:spacing w:val="-6"/>
          <w:sz w:val="22"/>
          <w:szCs w:val="22"/>
          <w:highlight w:val="none"/>
        </w:rPr>
        <w:t>磋商人员名单；</w:t>
      </w:r>
    </w:p>
    <w:p w14:paraId="5662F32A">
      <w:pPr>
        <w:keepNext w:val="0"/>
        <w:keepLines w:val="0"/>
        <w:pageBreakBefore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（3）合同主要条款及价格商定情况。</w:t>
      </w:r>
    </w:p>
    <w:p w14:paraId="76F4E8C5">
      <w:pPr>
        <w:keepNext w:val="0"/>
        <w:keepLines w:val="0"/>
        <w:pageBreakBefore w:val="0"/>
        <w:widowControl/>
        <w:tabs>
          <w:tab w:val="left" w:pos="540"/>
        </w:tabs>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4.7磋商过程中重新提交的响应文件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供应商可以在开启前补充、修改。</w:t>
      </w:r>
    </w:p>
    <w:p w14:paraId="38081259">
      <w:pPr>
        <w:keepNext w:val="0"/>
        <w:keepLines w:val="0"/>
        <w:pageBreakBefore w:val="0"/>
        <w:tabs>
          <w:tab w:val="left" w:pos="2835"/>
        </w:tabs>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4.8对磋商过程提交的响应文件进行有效性、完整性和响应程度审查</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通过审查的合格供应商不足3家的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采购人或者采购代理机构应当重新开展采购活动。</w:t>
      </w:r>
    </w:p>
    <w:p w14:paraId="383F87A1">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5.最后报价</w:t>
      </w:r>
    </w:p>
    <w:p w14:paraId="0F7A4E7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5.1磋商文件能够详细列明采购标的的技术、服务要求的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磋商结束后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由磋商小组要求所有继续参加磋商的供应商在规定时间内密封提交最后报价</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除本章第5.3条外</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提交最后报价的供应商不得少于3家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否则必须重新采购。</w:t>
      </w:r>
    </w:p>
    <w:p w14:paraId="753EC7D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5.2磋商文件不能详细列明采购标的的技术、服务要求</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需经磋商由供应商提供最后设计方案或者解决方案的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磋商结束后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由磋商小组按照少数服从多数的原则投票推荐3家以上供应商的设计方案或者解决方案</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并要求其在规定时间内密封提交最后报价。</w:t>
      </w:r>
    </w:p>
    <w:p w14:paraId="261422B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5.3最后报价是供应商响应文件的有效组成部分。符合《政府采购竞争性磋商采购方式管理暂行办法》（财库〔2014〕214号）第三条第四项“市场竞争不充分的科研项目</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以及需要扶持的科技成果转化项目”的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提交最后报价的供应商可以为2家。</w:t>
      </w:r>
    </w:p>
    <w:p w14:paraId="2F6B03A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5.4已经提交响应文件的供应商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在提交最后报价之前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可以根据磋商情况退出磋商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退出磋商的供应商的响应文件按无效响应处理。</w:t>
      </w:r>
    </w:p>
    <w:p w14:paraId="3DC552A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5.5供应商未在规定时间内提交最后报价的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视同退出磋商。</w:t>
      </w:r>
    </w:p>
    <w:p w14:paraId="45E256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5.6磋商小组收齐最后报价后统一开启</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磋商小组对最后报价进行有效性、完整性和响应程度的审查。</w:t>
      </w:r>
    </w:p>
    <w:p w14:paraId="26AD0AC3">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5.7最终响应文件的报价出现前后不一致的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按照本章第3.4条的规定修正。</w:t>
      </w:r>
    </w:p>
    <w:p w14:paraId="01A1843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5.8修正后的最终报价出现下列情形的</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按无效响应处理：</w:t>
      </w:r>
    </w:p>
    <w:p w14:paraId="24C7704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（1）供应商不确认的（全流程电子化评标采取在线确认）；</w:t>
      </w:r>
    </w:p>
    <w:p w14:paraId="04A2351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（2）经供应商确认修正后的响应报价（包含首次报价、最后报价）超过所竞标规定的采购预算金额或者最高限价的（如本项目公布了最高限价）；</w:t>
      </w:r>
    </w:p>
    <w:p w14:paraId="51E9BDA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（3）经供应商确认修正后的响应报价（包含首次报价、最后报价）超过分项采购预算金额或者最高限价的（如本项目公布了最高限价）。</w:t>
      </w:r>
    </w:p>
    <w:p w14:paraId="7531085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5.9经供应商确认修正后的最后报价作为评审及签订合同的依据。</w:t>
      </w:r>
    </w:p>
    <w:p w14:paraId="6A5D0987">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5.10供应商出现最后报价按无效响应处理或者响应文件按无效处理时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磋商小组应当告知有关供应商。</w:t>
      </w:r>
    </w:p>
    <w:p w14:paraId="5293084D">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5.11最后报价结束后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磋商小组不得再与供应商进行任何形式的商谈。</w:t>
      </w:r>
    </w:p>
    <w:p w14:paraId="5E1F6D36">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6.比较与评价</w:t>
      </w:r>
    </w:p>
    <w:p w14:paraId="170AAA9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6.1评审方法：综合评分法。</w:t>
      </w:r>
    </w:p>
    <w:p w14:paraId="0E1BA9F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6.2经磋商确定最终采购需求和提交最后报价的供应商后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由磋商小组采用综合评分法对提交最后报价的供应商的响应文件和最后报价进行综合评分。</w:t>
      </w:r>
    </w:p>
    <w:p w14:paraId="2A482892">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6.3评审时</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磋商小组各成员应当独立对每个有效响应的文件进行评价、打分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然后汇总每个供应商每项评分因素的得分。</w:t>
      </w:r>
    </w:p>
    <w:p w14:paraId="26F6D96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（1）评审委员会成员要根据政府采购法律法规和采购文件所载明的评审方法、标准进行评审。对供应商的价格分等客观评分项的评分应当一致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对其他需要借助专业知识评判的主观评分项</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应当严格按照评分细则公正评分。</w:t>
      </w:r>
    </w:p>
    <w:p w14:paraId="7645669E">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）磋商小组按照磋商文件中规定的评审标准计算各供应商的报价得分。项目评审过程中</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不得去掉最后报价中的最高报价和最低报价。</w:t>
      </w:r>
    </w:p>
    <w:p w14:paraId="5EE307F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）各供应商的得分为磋商小组所有成员的有效评分的算术平均数。</w:t>
      </w:r>
    </w:p>
    <w:p w14:paraId="68B80869">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6.4评审价为供应商的最后报价进行政策性扣除后的价格</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评审价只是作为评审时使用。最终成交供应商的成交金额等于最后报价（如有修正</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以确认修正后的最后报价为准）。</w:t>
      </w:r>
    </w:p>
    <w:p w14:paraId="4458A47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6.5由磋商小组根据综合评分情况</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按照评审得分由高到低顺序推荐3名以上成交候选供应商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并编写评</w:t>
      </w:r>
      <w:r>
        <w:rPr>
          <w:rFonts w:hint="eastAsia" w:asciiTheme="minorEastAsia" w:hAnsiTheme="minorEastAsia" w:eastAsiaTheme="minorEastAsia" w:cstheme="minorEastAsia"/>
          <w:color w:val="auto"/>
          <w:kern w:val="0"/>
          <w:sz w:val="22"/>
          <w:szCs w:val="22"/>
          <w:highlight w:val="none"/>
        </w:rPr>
        <w:t>审报告。符合本章第4.3条情形的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可以推荐2家成交候选供应商。评审得分相同的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按照最后报价由低到高的顺序推荐。评审得分且最后报价相同的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按照技术指标优劣顺序推荐。</w:t>
      </w:r>
    </w:p>
    <w:p w14:paraId="17ECC3A1">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6.6评审报告应当由磋商小组全体人员签字认可。磋商小组成员对评审报告有异议的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磋商小组按照少数服从多数的原则推荐成交候选供应商</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采购程序继续进行。对评审报告有异议的磋商小组成员</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应当在报告上签署不同意见并说明理由</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由磋商小组书面记录相关情况。磋商小组成员拒绝在报告上签字又不书面说明其不同意见和理由的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视为同意评审报告。</w:t>
      </w:r>
    </w:p>
    <w:p w14:paraId="4AC42CFD">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7.评审复核</w:t>
      </w:r>
    </w:p>
    <w:p w14:paraId="4A1A545F">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7.1评审报告签署前</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评审委员会要对评审结果进行复核</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复核意见要体现在评审报告中。</w:t>
      </w:r>
    </w:p>
    <w:p w14:paraId="2C47E94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7.2评审结果汇总完成后</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采购人、采购代理机构和评审委员会均不得修改评审结果或者要求重新评审</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但资格性检查认定错误、分值汇总计算错误、分项评分超出评分标准范围、客观分评分不一致、经评审委员会一致认定评分畸高、畸低的情形除外。出现上述除外情形的</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评审委员会应当现场修改评审结果</w:t>
      </w:r>
      <w:r>
        <w:rPr>
          <w:rFonts w:hint="eastAsia" w:asciiTheme="minorEastAsia" w:hAnsiTheme="minorEastAsia" w:eastAsiaTheme="minorEastAsia" w:cstheme="minorEastAsia"/>
          <w:color w:val="auto"/>
          <w:kern w:val="0"/>
          <w:sz w:val="22"/>
          <w:szCs w:val="22"/>
          <w:highlight w:val="none"/>
          <w:lang w:eastAsia="zh-CN"/>
        </w:rPr>
        <w:t>，</w:t>
      </w:r>
      <w:r>
        <w:rPr>
          <w:rFonts w:hint="eastAsia" w:asciiTheme="minorEastAsia" w:hAnsiTheme="minorEastAsia" w:eastAsiaTheme="minorEastAsia" w:cstheme="minorEastAsia"/>
          <w:color w:val="auto"/>
          <w:kern w:val="0"/>
          <w:sz w:val="22"/>
          <w:szCs w:val="22"/>
          <w:highlight w:val="none"/>
        </w:rPr>
        <w:t>并在评审报告中明确记载。</w:t>
      </w:r>
    </w:p>
    <w:p w14:paraId="05C652A3">
      <w:pPr>
        <w:keepNext w:val="0"/>
        <w:keepLines w:val="0"/>
        <w:pageBreakBefore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.评审标准</w:t>
      </w:r>
    </w:p>
    <w:p w14:paraId="19846A68">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color w:val="auto"/>
          <w:sz w:val="22"/>
          <w:szCs w:val="22"/>
          <w:highlight w:val="none"/>
          <w:lang w:val="en-US" w:eastAsia="zh-CN"/>
        </w:rPr>
        <w:t>8</w:t>
      </w:r>
      <w:r>
        <w:rPr>
          <w:rFonts w:hint="eastAsia" w:asciiTheme="minorEastAsia" w:hAnsiTheme="minorEastAsia" w:eastAsiaTheme="minorEastAsia" w:cstheme="minorEastAsia"/>
          <w:b w:val="0"/>
          <w:bCs/>
          <w:color w:val="auto"/>
          <w:sz w:val="22"/>
          <w:szCs w:val="22"/>
          <w:highlight w:val="none"/>
        </w:rPr>
        <w:t>.</w:t>
      </w:r>
      <w:r>
        <w:rPr>
          <w:rFonts w:hint="eastAsia" w:asciiTheme="minorEastAsia" w:hAnsiTheme="minorEastAsia" w:eastAsiaTheme="minorEastAsia" w:cstheme="minorEastAsia"/>
          <w:bCs/>
          <w:color w:val="auto"/>
          <w:sz w:val="22"/>
          <w:szCs w:val="22"/>
          <w:highlight w:val="none"/>
        </w:rPr>
        <w:t>1评审依据：磋商小组将以磋商响应文件为评审依据</w:t>
      </w: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对供应商的报价、技术、商务等方面内容按百分制打分。（计分方法按四舍五入取至百分位）</w:t>
      </w:r>
    </w:p>
    <w:bookmarkEnd w:id="49"/>
    <w:tbl>
      <w:tblPr>
        <w:tblStyle w:val="3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80"/>
        <w:gridCol w:w="1755"/>
        <w:gridCol w:w="6920"/>
      </w:tblGrid>
      <w:tr w14:paraId="2AD1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37DB7CD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bookmarkStart w:id="52" w:name="_Hlk164695717"/>
            <w:bookmarkStart w:id="53" w:name="_Toc80205935"/>
            <w:bookmarkStart w:id="54" w:name="_Toc91258508"/>
            <w:r>
              <w:rPr>
                <w:rFonts w:hint="eastAsia" w:ascii="宋体" w:hAnsi="宋体" w:eastAsia="宋体" w:cs="宋体"/>
                <w:b/>
                <w:color w:val="auto"/>
                <w:sz w:val="21"/>
                <w:szCs w:val="21"/>
                <w:highlight w:val="none"/>
              </w:rPr>
              <w:t>序号</w:t>
            </w:r>
          </w:p>
        </w:tc>
        <w:tc>
          <w:tcPr>
            <w:tcW w:w="2235" w:type="dxa"/>
            <w:gridSpan w:val="2"/>
            <w:noWrap w:val="0"/>
            <w:vAlign w:val="center"/>
          </w:tcPr>
          <w:p w14:paraId="7507FF3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eastAsia="宋体" w:cs="宋体"/>
                <w:b/>
                <w:bCs/>
                <w:color w:val="auto"/>
                <w:kern w:val="0"/>
                <w:sz w:val="21"/>
                <w:szCs w:val="21"/>
                <w:highlight w:val="none"/>
              </w:rPr>
              <w:t>审</w:t>
            </w:r>
            <w:r>
              <w:rPr>
                <w:rFonts w:hint="eastAsia" w:ascii="宋体" w:hAnsi="宋体" w:eastAsia="宋体" w:cs="宋体"/>
                <w:b/>
                <w:color w:val="auto"/>
                <w:sz w:val="21"/>
                <w:szCs w:val="21"/>
                <w:highlight w:val="none"/>
              </w:rPr>
              <w:t>因素</w:t>
            </w:r>
          </w:p>
        </w:tc>
        <w:tc>
          <w:tcPr>
            <w:tcW w:w="6920" w:type="dxa"/>
            <w:noWrap w:val="0"/>
            <w:vAlign w:val="center"/>
          </w:tcPr>
          <w:p w14:paraId="4AA7D93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评审因素具体内容</w:t>
            </w:r>
          </w:p>
        </w:tc>
      </w:tr>
      <w:tr w14:paraId="7A95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28CB078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35" w:type="dxa"/>
            <w:gridSpan w:val="2"/>
            <w:noWrap w:val="0"/>
            <w:vAlign w:val="center"/>
          </w:tcPr>
          <w:p w14:paraId="3E10179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03DCA6B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920" w:type="dxa"/>
            <w:noWrap w:val="0"/>
            <w:vAlign w:val="center"/>
          </w:tcPr>
          <w:p w14:paraId="47124EF8">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本项目专门面向中小企业采购，不执行价格政策性扣除。</w:t>
            </w:r>
          </w:p>
          <w:p w14:paraId="747F7056">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）以进入综合评分环节的最低的</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报价为基准价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基准价报价得分为</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6887BFF4">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）价格分计算公式：某</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价格分=基准价/某</w:t>
            </w:r>
            <w:r>
              <w:rPr>
                <w:rFonts w:hint="eastAsia" w:ascii="宋体" w:hAnsi="宋体" w:eastAsia="宋体" w:cs="宋体"/>
                <w:bCs/>
                <w:color w:val="auto"/>
                <w:sz w:val="21"/>
                <w:szCs w:val="21"/>
                <w:highlight w:val="none"/>
                <w:lang w:val="en-US" w:eastAsia="zh-CN"/>
              </w:rPr>
              <w:t>供应商评审</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r>
      <w:tr w14:paraId="4E42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41C097D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35" w:type="dxa"/>
            <w:gridSpan w:val="2"/>
            <w:noWrap w:val="0"/>
            <w:vAlign w:val="center"/>
          </w:tcPr>
          <w:p w14:paraId="3AC14AD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p>
          <w:p w14:paraId="344FA98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6920" w:type="dxa"/>
            <w:noWrap w:val="0"/>
            <w:vAlign w:val="center"/>
          </w:tcPr>
          <w:p w14:paraId="1C84E233">
            <w:pPr>
              <w:keepNext w:val="0"/>
              <w:keepLines w:val="0"/>
              <w:pageBreakBefore w:val="0"/>
              <w:widowControl w:val="0"/>
              <w:kinsoku/>
              <w:wordWrap/>
              <w:overflowPunct/>
              <w:topLinePunct w:val="0"/>
              <w:autoSpaceDE/>
              <w:autoSpaceDN/>
              <w:bidi w:val="0"/>
              <w:adjustRightInd w:val="0"/>
              <w:spacing w:line="360" w:lineRule="auto"/>
              <w:ind w:left="0" w:leftChars="0" w:right="0" w:firstLine="33" w:firstLineChars="16"/>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r>
      <w:tr w14:paraId="781D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19290C9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80" w:type="dxa"/>
            <w:vMerge w:val="restart"/>
            <w:noWrap w:val="0"/>
            <w:vAlign w:val="center"/>
          </w:tcPr>
          <w:p w14:paraId="34BAD91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监理大纲</w:t>
            </w:r>
          </w:p>
        </w:tc>
        <w:tc>
          <w:tcPr>
            <w:tcW w:w="1755" w:type="dxa"/>
            <w:noWrap w:val="0"/>
            <w:vAlign w:val="center"/>
          </w:tcPr>
          <w:p w14:paraId="385993F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工程特点、难点分析及监理对策（满分10分）</w:t>
            </w:r>
          </w:p>
        </w:tc>
        <w:tc>
          <w:tcPr>
            <w:tcW w:w="6920" w:type="dxa"/>
            <w:noWrap w:val="0"/>
            <w:vAlign w:val="top"/>
          </w:tcPr>
          <w:p w14:paraId="302690D1">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一档（3分）：针对项目工程特点、难点有简单表述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有建议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解决方案不可行。</w:t>
            </w:r>
          </w:p>
          <w:p w14:paraId="1B9506D5">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二档（7分）：针对项目工程特点、难点有一定的了解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有监理对策</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解决方案可行。</w:t>
            </w:r>
          </w:p>
          <w:p w14:paraId="4BAD1AFD">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三档（10分）：针对项目工程特点、难点有科学、全面的分析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监理对策、解决方案完整、经济、安全、确实可行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措施得力。</w:t>
            </w:r>
          </w:p>
        </w:tc>
      </w:tr>
      <w:tr w14:paraId="5C23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0FAD844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480" w:type="dxa"/>
            <w:vMerge w:val="continue"/>
            <w:noWrap w:val="0"/>
            <w:vAlign w:val="center"/>
          </w:tcPr>
          <w:p w14:paraId="2626A77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623F353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质量控制重点及监理措施（满分10分）</w:t>
            </w:r>
          </w:p>
        </w:tc>
        <w:tc>
          <w:tcPr>
            <w:tcW w:w="6920" w:type="dxa"/>
            <w:noWrap w:val="0"/>
            <w:vAlign w:val="top"/>
          </w:tcPr>
          <w:p w14:paraId="48CB7B46">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一档（3分）：质量无总目标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未能响应采购文件要求进行目标分解：对各分解目标未能提出相应的控制点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相应的措施不齐全：质量控制的基本程序（包括质量事故的处理程序）不完善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未能针对本工程特点关键部位、关键工序进行编制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方案不完善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预控措施不全面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可操作性不强。</w:t>
            </w:r>
          </w:p>
          <w:p w14:paraId="126A43FD">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二档（7分）：质量有总目标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基本响应采购文件要求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目标分解符合采购需求；对各分解目标提出相应的控制点不齐全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相应的措施不齐全；质量控制的基本程序（包括质量事故的处理程序）满足招标文件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未能针对本工程特点关键部位、关键工序进行编制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方案可行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预控措施不全面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可操作性符合采购需求。</w:t>
            </w:r>
          </w:p>
          <w:p w14:paraId="72D85654">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三档（10分）：质量有总目标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并响应采购文件要求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且进行了目标分解：对各分解目标提出相应的控制点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并提出相应的措施：质量控制的基本程序（包括质量事故的处理程序）能针对本工程特点关键部位、关键工序进行编制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方案清晰、明确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预控措施全面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具有可操作性。</w:t>
            </w:r>
          </w:p>
        </w:tc>
      </w:tr>
      <w:tr w14:paraId="685F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3F2D83D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480" w:type="dxa"/>
            <w:vMerge w:val="continue"/>
            <w:noWrap w:val="0"/>
            <w:vAlign w:val="center"/>
          </w:tcPr>
          <w:p w14:paraId="3F04928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6406A73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进度控制重点及监理措施（满分11分）</w:t>
            </w:r>
          </w:p>
        </w:tc>
        <w:tc>
          <w:tcPr>
            <w:tcW w:w="6920" w:type="dxa"/>
            <w:noWrap w:val="0"/>
            <w:vAlign w:val="top"/>
          </w:tcPr>
          <w:p w14:paraId="6141C48E">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一档（4分）：有进度控制的监理工作内容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方法和程序可行性一般。</w:t>
            </w:r>
          </w:p>
          <w:p w14:paraId="7A0BBA9C">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二档（8分）：节点或阶段工期明确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进度控制重点明确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工期总进度计划设置合理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控制措施与手段基本满足项目进展需求。</w:t>
            </w:r>
          </w:p>
          <w:p w14:paraId="5FA7631D">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对总进度目标的分解合理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能体现预控水平和全面控制水平</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预控方法及手段明确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工期总进度计划合理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控制措施与手段可靠有力</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有效保证项目的顺利实施。</w:t>
            </w:r>
          </w:p>
        </w:tc>
      </w:tr>
      <w:tr w14:paraId="7C33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1" w:type="dxa"/>
            <w:noWrap w:val="0"/>
            <w:vAlign w:val="center"/>
          </w:tcPr>
          <w:p w14:paraId="0F78A6D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480" w:type="dxa"/>
            <w:vMerge w:val="continue"/>
            <w:noWrap w:val="0"/>
            <w:vAlign w:val="center"/>
          </w:tcPr>
          <w:p w14:paraId="749CF1A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2DF2378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造价控制重点及监理措施（满分8分）</w:t>
            </w:r>
          </w:p>
        </w:tc>
        <w:tc>
          <w:tcPr>
            <w:tcW w:w="6920" w:type="dxa"/>
            <w:noWrap w:val="0"/>
            <w:vAlign w:val="top"/>
          </w:tcPr>
          <w:p w14:paraId="5C0D5C27">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一档（3分）：提供的监理投资控制的任务与方法是否根据本项目的业务特点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对各阶段的投资情况进行分析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分别对各投资关键点进行评估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并提出有效控制投资的措施。内容齐全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方法及措施没有针对性。</w:t>
            </w:r>
          </w:p>
          <w:p w14:paraId="445BFE13">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二档（5分）：提供的监理投资控制的任务与方法是否根据本项目的业务特点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对各阶段的投资情况进行分析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分别对各投资关键点进行评估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并提出有效控制投资的措施。内容齐全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方法及措施较好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有针对性。</w:t>
            </w:r>
          </w:p>
          <w:p w14:paraId="7338C0D8">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三档（8分）：提供的监理投资控制的任务与方法是否根据本项目的业务特点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对各阶段的投资情况进行分析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分别对各投资关键点进行评估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并提出有效控制投资的措施。内容齐全、合理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方法及措施较完善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针对性强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可操作性强。</w:t>
            </w:r>
          </w:p>
        </w:tc>
      </w:tr>
      <w:tr w14:paraId="2773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5EE34F4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80" w:type="dxa"/>
            <w:vMerge w:val="continue"/>
            <w:noWrap w:val="0"/>
            <w:vAlign w:val="center"/>
          </w:tcPr>
          <w:p w14:paraId="6F430E0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58A6431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合同及信息管理措施（满分8分）</w:t>
            </w:r>
          </w:p>
        </w:tc>
        <w:tc>
          <w:tcPr>
            <w:tcW w:w="6920" w:type="dxa"/>
            <w:noWrap w:val="0"/>
            <w:vAlign w:val="top"/>
          </w:tcPr>
          <w:p w14:paraId="7584D6A7">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一档（3分）：对本工程合同及信息管理提出不具体或表述不全的监理措施的；</w:t>
            </w:r>
          </w:p>
          <w:p w14:paraId="71752884">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二档（5分）：对本工程合同及信息管理提出了基本可行的监理措施的；</w:t>
            </w:r>
          </w:p>
          <w:p w14:paraId="07AA152C">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三档（8分）：对本工程合同及信息管理提出了具体、全面监理措施的。</w:t>
            </w:r>
          </w:p>
        </w:tc>
      </w:tr>
      <w:tr w14:paraId="2813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002DE2C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80" w:type="dxa"/>
            <w:vMerge w:val="continue"/>
            <w:noWrap w:val="0"/>
            <w:vAlign w:val="center"/>
          </w:tcPr>
          <w:p w14:paraId="132FFB5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70AC07B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监理工作协调措施（满分8分）</w:t>
            </w:r>
          </w:p>
        </w:tc>
        <w:tc>
          <w:tcPr>
            <w:tcW w:w="6920" w:type="dxa"/>
            <w:noWrap w:val="0"/>
            <w:vAlign w:val="top"/>
          </w:tcPr>
          <w:p w14:paraId="7B9FD534">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一档（3分）：监理工作协调方法不完整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方案一般</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可实施性不强。</w:t>
            </w:r>
          </w:p>
          <w:p w14:paraId="3329F631">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二档（5分）：监理工作协调方法较合理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基本满足项目需求。</w:t>
            </w:r>
          </w:p>
          <w:p w14:paraId="0AA32656">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三档（8分）：监理工作协调方法正确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措施得力</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方法切实可行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完全满足项目需求。</w:t>
            </w:r>
          </w:p>
        </w:tc>
      </w:tr>
      <w:tr w14:paraId="340D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09CAB01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480" w:type="dxa"/>
            <w:vMerge w:val="continue"/>
            <w:noWrap w:val="0"/>
            <w:vAlign w:val="center"/>
          </w:tcPr>
          <w:p w14:paraId="2125555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19C0193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环境保护及文明施工监理措施（满分5分）</w:t>
            </w:r>
          </w:p>
        </w:tc>
        <w:tc>
          <w:tcPr>
            <w:tcW w:w="6920" w:type="dxa"/>
            <w:noWrap w:val="0"/>
            <w:vAlign w:val="top"/>
          </w:tcPr>
          <w:p w14:paraId="3494B206">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一档（1分）：没有能满足采购文件提出的目标要求的措施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或严重不齐全；没有综合协调措施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或严重不齐全；没有要点分析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没有环境保护与文明施工措施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或严重不齐全。</w:t>
            </w:r>
          </w:p>
          <w:p w14:paraId="1069944E">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二档（3分）：有目标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但不能很好满足采购文件提出的目标要求：方法不明确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有措施但内容没有针对性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有综合协调方案但不完整；要点分析不完整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环境保护与文明施工措施不完整。</w:t>
            </w:r>
          </w:p>
          <w:p w14:paraId="0FB3F2A8">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三档（5分）：目标明确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措施得力</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能满足采购文件提出的目标要求：方法明确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措施内容有针对性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有完整的综合协调方案：有要点分析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根据工程特点制定了完整的环境保护与文明施工措施。</w:t>
            </w:r>
          </w:p>
        </w:tc>
      </w:tr>
      <w:tr w14:paraId="596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75C6689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480" w:type="dxa"/>
            <w:vMerge w:val="continue"/>
            <w:noWrap w:val="0"/>
            <w:vAlign w:val="center"/>
          </w:tcPr>
          <w:p w14:paraId="0C9ED9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p>
        </w:tc>
        <w:tc>
          <w:tcPr>
            <w:tcW w:w="1755" w:type="dxa"/>
            <w:noWrap w:val="0"/>
            <w:vAlign w:val="center"/>
          </w:tcPr>
          <w:p w14:paraId="6A326E3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履行安全职责措施（满分5分）</w:t>
            </w:r>
          </w:p>
        </w:tc>
        <w:tc>
          <w:tcPr>
            <w:tcW w:w="6920" w:type="dxa"/>
            <w:noWrap w:val="0"/>
            <w:vAlign w:val="top"/>
          </w:tcPr>
          <w:p w14:paraId="28245DDF">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一档（1分）：没有能满足采购文件提出的目标要求的措施；没有综合协调措施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或严重不齐全；没有要点分析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没有履行安全职责的措施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或严重不齐全。</w:t>
            </w:r>
          </w:p>
          <w:p w14:paraId="7D0B186A">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二档（3分）：有目标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但不能很好满足采购文件提出的目标要求；方法不明确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有措施但内容没有针对性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有综合协调方案但不完整；要点分析不完整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履行安全职责的措施不完整。</w:t>
            </w:r>
          </w:p>
          <w:p w14:paraId="1C5C1E6F">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三档（5分）：目标明确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措施得力</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能满足采购文件提出的目标要求；方法明确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措施内容有针对性</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有完整的综合协调方案；有要点分析。根据工程特点制定了完整的行安全职责的措施。</w:t>
            </w:r>
          </w:p>
        </w:tc>
      </w:tr>
      <w:tr w14:paraId="17ED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7DBB61EB">
            <w:pPr>
              <w:keepNext w:val="0"/>
              <w:keepLines w:val="0"/>
              <w:pageBreakBefore w:val="0"/>
              <w:widowControl w:val="0"/>
              <w:tabs>
                <w:tab w:val="left" w:pos="0"/>
              </w:tabs>
              <w:kinsoku/>
              <w:wordWrap/>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235" w:type="dxa"/>
            <w:gridSpan w:val="2"/>
            <w:noWrap w:val="0"/>
            <w:vAlign w:val="center"/>
          </w:tcPr>
          <w:p w14:paraId="70155C8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监理服务承诺（满分10分）</w:t>
            </w:r>
          </w:p>
        </w:tc>
        <w:tc>
          <w:tcPr>
            <w:tcW w:w="6920" w:type="dxa"/>
            <w:noWrap w:val="0"/>
            <w:vAlign w:val="center"/>
          </w:tcPr>
          <w:p w14:paraId="7F661FCC">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一档：（3分）：监理服务承诺书中的服务内容及服务承诺简单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能够满足磋商文件需求；</w:t>
            </w:r>
          </w:p>
          <w:p w14:paraId="70E72F8E">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二档：（6分）：监理服务承诺书中的服务内容及服务承诺较详细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完整性、可行性、优惠条件良好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能够较好地满足磋商文件需求；</w:t>
            </w:r>
          </w:p>
          <w:p w14:paraId="447FB8BA">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三档：（10分）：监理服务承诺书中的服务内容及服务承诺非常详细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响应、处理问题及时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完整性、可行性、优惠条件优秀。</w:t>
            </w:r>
          </w:p>
        </w:tc>
      </w:tr>
      <w:tr w14:paraId="2562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6C2955C2">
            <w:pPr>
              <w:keepNext w:val="0"/>
              <w:keepLines w:val="0"/>
              <w:pageBreakBefore w:val="0"/>
              <w:widowControl w:val="0"/>
              <w:tabs>
                <w:tab w:val="left" w:pos="0"/>
              </w:tabs>
              <w:kinsoku/>
              <w:wordWrap/>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35" w:type="dxa"/>
            <w:gridSpan w:val="2"/>
            <w:noWrap w:val="0"/>
            <w:vAlign w:val="center"/>
          </w:tcPr>
          <w:p w14:paraId="347C7D2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3BBF95D4">
            <w:pPr>
              <w:keepNext w:val="0"/>
              <w:keepLines w:val="0"/>
              <w:pageBreakBefore w:val="0"/>
              <w:widowControl w:val="0"/>
              <w:kinsoku/>
              <w:wordWrap/>
              <w:overflowPunct/>
              <w:topLinePunct w:val="0"/>
              <w:autoSpaceDE/>
              <w:autoSpaceDN/>
              <w:bidi w:val="0"/>
              <w:spacing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920" w:type="dxa"/>
            <w:noWrap w:val="0"/>
            <w:vAlign w:val="center"/>
          </w:tcPr>
          <w:p w14:paraId="41074B61">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r>
      <w:tr w14:paraId="6B22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51" w:type="dxa"/>
            <w:noWrap w:val="0"/>
            <w:vAlign w:val="center"/>
          </w:tcPr>
          <w:p w14:paraId="29E63367">
            <w:pPr>
              <w:keepNext w:val="0"/>
              <w:keepLines w:val="0"/>
              <w:pageBreakBefore w:val="0"/>
              <w:widowControl w:val="0"/>
              <w:tabs>
                <w:tab w:val="left" w:pos="0"/>
              </w:tabs>
              <w:kinsoku/>
              <w:wordWrap/>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235" w:type="dxa"/>
            <w:gridSpan w:val="2"/>
            <w:noWrap w:val="0"/>
            <w:vAlign w:val="center"/>
          </w:tcPr>
          <w:p w14:paraId="2075937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拟投入人员（满分7分）</w:t>
            </w:r>
          </w:p>
        </w:tc>
        <w:tc>
          <w:tcPr>
            <w:tcW w:w="6920" w:type="dxa"/>
            <w:noWrap w:val="0"/>
            <w:vAlign w:val="top"/>
          </w:tcPr>
          <w:p w14:paraId="524071F6">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拟投入人员情况：拟派项目的人员满足项目基本要求3人的得2分，每增加1人得1分，最多得2分；拟派项目人员中具有高级工程师职称及以上的每人得1分（不含总监理工程师），最多得3分。</w:t>
            </w:r>
          </w:p>
        </w:tc>
      </w:tr>
      <w:tr w14:paraId="0833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51" w:type="dxa"/>
            <w:noWrap w:val="0"/>
            <w:vAlign w:val="center"/>
          </w:tcPr>
          <w:p w14:paraId="41795857">
            <w:pPr>
              <w:keepNext w:val="0"/>
              <w:keepLines w:val="0"/>
              <w:pageBreakBefore w:val="0"/>
              <w:widowControl w:val="0"/>
              <w:tabs>
                <w:tab w:val="left" w:pos="0"/>
              </w:tabs>
              <w:kinsoku/>
              <w:wordWrap/>
              <w:overflowPunct/>
              <w:topLinePunct w:val="0"/>
              <w:autoSpaceDE/>
              <w:autoSpaceDN/>
              <w:bidi w:val="0"/>
              <w:adjustRightInd w:val="0"/>
              <w:spacing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235" w:type="dxa"/>
            <w:gridSpan w:val="2"/>
            <w:noWrap w:val="0"/>
            <w:vAlign w:val="center"/>
          </w:tcPr>
          <w:p w14:paraId="7B8C85A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业绩分（满分8分）</w:t>
            </w:r>
          </w:p>
        </w:tc>
        <w:tc>
          <w:tcPr>
            <w:tcW w:w="6920" w:type="dxa"/>
            <w:noWrap w:val="0"/>
            <w:vAlign w:val="top"/>
          </w:tcPr>
          <w:p w14:paraId="11264CE8">
            <w:pPr>
              <w:keepNext w:val="0"/>
              <w:keepLines w:val="0"/>
              <w:pageBreakBefore w:val="0"/>
              <w:widowControl w:val="0"/>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2022年以来完成同类项目的相关证明材料复印件（以签订的服务合同或中标/成交通知书为准，并能清晰反映所完成的服务项目名称、内容、金额，同一个编号的项目有两个或两个以上的分标成交的只算一次）的，每个业绩得2分，满分8分。</w:t>
            </w:r>
          </w:p>
        </w:tc>
      </w:tr>
      <w:tr w14:paraId="5477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6" w:type="dxa"/>
            <w:gridSpan w:val="4"/>
            <w:noWrap w:val="0"/>
            <w:vAlign w:val="center"/>
          </w:tcPr>
          <w:p w14:paraId="0E650AD0">
            <w:pPr>
              <w:pStyle w:val="16"/>
              <w:keepNext w:val="0"/>
              <w:keepLines w:val="0"/>
              <w:pageBreakBefore w:val="0"/>
              <w:widowControl w:val="0"/>
              <w:kinsoku/>
              <w:wordWrap/>
              <w:overflowPunct/>
              <w:topLinePunct w:val="0"/>
              <w:autoSpaceDE/>
              <w:autoSpaceDN/>
              <w:bidi w:val="0"/>
              <w:spacing w:line="360" w:lineRule="auto"/>
              <w:ind w:left="0" w:leftChars="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bookmarkEnd w:id="52"/>
    </w:tbl>
    <w:p w14:paraId="2212FC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8.2商务技术评审因素为客观评分项的</w:t>
      </w:r>
      <w:r>
        <w:rPr>
          <w:rFonts w:hint="eastAsia" w:ascii="宋体" w:hAnsi="宋体" w:cs="宋体"/>
          <w:color w:val="auto"/>
          <w:highlight w:val="none"/>
          <w:lang w:eastAsia="zh-CN"/>
        </w:rPr>
        <w:t>，</w:t>
      </w:r>
      <w:r>
        <w:rPr>
          <w:rFonts w:hint="eastAsia" w:ascii="宋体" w:hAnsi="宋体" w:eastAsia="宋体" w:cs="宋体"/>
          <w:color w:val="auto"/>
          <w:highlight w:val="none"/>
        </w:rPr>
        <w:t>应在评分项目或评分标准中予以标注为“客观分”。对供应商的客观评分项目</w:t>
      </w:r>
      <w:r>
        <w:rPr>
          <w:rFonts w:hint="eastAsia" w:ascii="宋体" w:hAnsi="宋体" w:cs="宋体"/>
          <w:color w:val="auto"/>
          <w:highlight w:val="none"/>
          <w:lang w:eastAsia="zh-CN"/>
        </w:rPr>
        <w:t>，</w:t>
      </w:r>
      <w:r>
        <w:rPr>
          <w:rFonts w:hint="eastAsia" w:ascii="宋体" w:hAnsi="宋体" w:eastAsia="宋体" w:cs="宋体"/>
          <w:color w:val="auto"/>
          <w:highlight w:val="none"/>
        </w:rPr>
        <w:t>各评审专家评分应当一致。</w:t>
      </w:r>
    </w:p>
    <w:p w14:paraId="1A538B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.终止竞争性磋商采购活动</w:t>
      </w:r>
    </w:p>
    <w:p w14:paraId="504D54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w:t>
      </w:r>
      <w:r>
        <w:rPr>
          <w:rFonts w:hint="eastAsia" w:ascii="宋体" w:hAnsi="宋体" w:cs="宋体"/>
          <w:color w:val="auto"/>
          <w:highlight w:val="none"/>
          <w:lang w:eastAsia="zh-CN"/>
        </w:rPr>
        <w:t>，</w:t>
      </w:r>
      <w:r>
        <w:rPr>
          <w:rFonts w:hint="eastAsia" w:ascii="宋体" w:hAnsi="宋体" w:eastAsia="宋体" w:cs="宋体"/>
          <w:color w:val="auto"/>
          <w:highlight w:val="none"/>
        </w:rPr>
        <w:t>或者竞争性磋商文件内容违反国家有关规定的</w:t>
      </w:r>
      <w:r>
        <w:rPr>
          <w:rFonts w:hint="eastAsia" w:ascii="宋体" w:hAnsi="宋体" w:cs="宋体"/>
          <w:color w:val="auto"/>
          <w:highlight w:val="none"/>
          <w:lang w:eastAsia="zh-CN"/>
        </w:rPr>
        <w:t>，</w:t>
      </w:r>
      <w:r>
        <w:rPr>
          <w:rFonts w:hint="eastAsia" w:ascii="宋体" w:hAnsi="宋体" w:eastAsia="宋体" w:cs="宋体"/>
          <w:color w:val="auto"/>
          <w:highlight w:val="none"/>
        </w:rPr>
        <w:t>要停止评审工作并向采购人或采购代理机构书面说明情况</w:t>
      </w:r>
      <w:r>
        <w:rPr>
          <w:rFonts w:hint="eastAsia" w:ascii="宋体" w:hAnsi="宋体" w:cs="宋体"/>
          <w:color w:val="auto"/>
          <w:highlight w:val="none"/>
          <w:lang w:eastAsia="zh-CN"/>
        </w:rPr>
        <w:t>，</w:t>
      </w:r>
      <w:r>
        <w:rPr>
          <w:rFonts w:hint="eastAsia" w:ascii="宋体" w:hAnsi="宋体" w:eastAsia="宋体" w:cs="宋体"/>
          <w:color w:val="auto"/>
          <w:highlight w:val="none"/>
        </w:rPr>
        <w:t>采购人或采购代理机构应当修改竞争性磋商文件后重新组织采购活动；发现供应商提供虚假材料、串通等违法违规行为的</w:t>
      </w:r>
      <w:r>
        <w:rPr>
          <w:rFonts w:hint="eastAsia" w:ascii="宋体" w:hAnsi="宋体" w:cs="宋体"/>
          <w:color w:val="auto"/>
          <w:highlight w:val="none"/>
          <w:lang w:eastAsia="zh-CN"/>
        </w:rPr>
        <w:t>，</w:t>
      </w:r>
      <w:r>
        <w:rPr>
          <w:rFonts w:hint="eastAsia" w:ascii="宋体" w:hAnsi="宋体" w:eastAsia="宋体" w:cs="宋体"/>
          <w:color w:val="auto"/>
          <w:highlight w:val="none"/>
        </w:rPr>
        <w:t>要及时向采购人或采购代理机构报告。</w:t>
      </w:r>
    </w:p>
    <w:p w14:paraId="1FD0A7AF">
      <w:pPr>
        <w:keepNext/>
        <w:keepLines/>
        <w:spacing w:line="360" w:lineRule="auto"/>
        <w:jc w:val="center"/>
        <w:outlineLvl w:val="1"/>
        <w:rPr>
          <w:rFonts w:hint="eastAsia" w:ascii="宋体" w:hAnsi="宋体" w:eastAsia="宋体" w:cs="宋体"/>
          <w:bCs/>
          <w:color w:val="auto"/>
          <w:sz w:val="32"/>
          <w:szCs w:val="32"/>
          <w:highlight w:val="none"/>
        </w:rPr>
      </w:pPr>
      <w:bookmarkStart w:id="55" w:name="_Toc14052"/>
      <w:r>
        <w:rPr>
          <w:rFonts w:hint="eastAsia" w:ascii="宋体" w:hAnsi="宋体" w:eastAsia="宋体" w:cs="宋体"/>
          <w:bCs/>
          <w:color w:val="auto"/>
          <w:sz w:val="32"/>
          <w:szCs w:val="32"/>
          <w:highlight w:val="none"/>
        </w:rPr>
        <w:t>第二节 评标报告</w:t>
      </w:r>
      <w:bookmarkEnd w:id="53"/>
      <w:bookmarkEnd w:id="55"/>
    </w:p>
    <w:p w14:paraId="5783D1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64DCF2D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按照评审得分由高到低顺序推荐3名以上成交候选供应商</w:t>
      </w:r>
      <w:r>
        <w:rPr>
          <w:rFonts w:hint="eastAsia" w:ascii="宋体" w:hAnsi="宋体" w:cs="宋体"/>
          <w:color w:val="auto"/>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可以推荐2家成交候选供应商。评审得分相同的</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按照最后报价（不计算价格折扣）由低到高的顺序推荐。评审得分且最后报价（不计算价格折扣）相同的</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按照技术指标优劣顺序推荐（按技术得分由高到低排序</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技术得分相同的按照服务需求偏离分由高到低排序）。评审得分、最后报价（不计算价格折扣）、技术得分、服务需求偏离分均相同的</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由磋商小组随机抽取推荐。</w:t>
      </w:r>
    </w:p>
    <w:p w14:paraId="1ED347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09090D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w:t>
      </w:r>
      <w:r>
        <w:rPr>
          <w:rFonts w:hint="eastAsia" w:ascii="宋体" w:hAnsi="宋体" w:cs="宋体"/>
          <w:color w:val="auto"/>
          <w:highlight w:val="none"/>
          <w:lang w:eastAsia="zh-CN"/>
        </w:rPr>
        <w:t>，</w:t>
      </w:r>
      <w:r>
        <w:rPr>
          <w:rFonts w:hint="eastAsia" w:ascii="宋体" w:hAnsi="宋体" w:eastAsia="宋体" w:cs="宋体"/>
          <w:color w:val="auto"/>
          <w:highlight w:val="none"/>
        </w:rPr>
        <w:t>应当按照少数服从多数的原则作出结论。持不同意见的磋商小组成员应当在评标报告上签署不同意见及理由</w:t>
      </w:r>
      <w:r>
        <w:rPr>
          <w:rFonts w:hint="eastAsia" w:ascii="宋体" w:hAnsi="宋体" w:cs="宋体"/>
          <w:color w:val="auto"/>
          <w:highlight w:val="none"/>
          <w:lang w:eastAsia="zh-CN"/>
        </w:rPr>
        <w:t>，</w:t>
      </w:r>
      <w:r>
        <w:rPr>
          <w:rFonts w:hint="eastAsia" w:ascii="宋体" w:hAnsi="宋体" w:eastAsia="宋体" w:cs="宋体"/>
          <w:color w:val="auto"/>
          <w:highlight w:val="none"/>
        </w:rPr>
        <w:t>否则视为同意评标报告。</w:t>
      </w:r>
    </w:p>
    <w:p w14:paraId="69055A38">
      <w:pPr>
        <w:adjustRightInd w:val="0"/>
        <w:spacing w:line="360" w:lineRule="auto"/>
        <w:ind w:firstLine="420" w:firstLineChars="200"/>
        <w:rPr>
          <w:rFonts w:hint="eastAsia" w:ascii="宋体" w:hAnsi="宋体" w:eastAsia="宋体" w:cs="宋体"/>
          <w:color w:val="auto"/>
          <w:highlight w:val="none"/>
        </w:rPr>
      </w:pPr>
    </w:p>
    <w:p w14:paraId="367C7DD1">
      <w:pPr>
        <w:keepNext/>
        <w:keepLines/>
        <w:spacing w:line="360" w:lineRule="auto"/>
        <w:jc w:val="center"/>
        <w:outlineLvl w:val="1"/>
        <w:rPr>
          <w:rFonts w:hint="eastAsia" w:ascii="宋体" w:hAnsi="宋体" w:eastAsia="宋体" w:cs="宋体"/>
          <w:bCs/>
          <w:color w:val="auto"/>
          <w:sz w:val="32"/>
          <w:szCs w:val="32"/>
          <w:highlight w:val="none"/>
        </w:rPr>
      </w:pPr>
      <w:bookmarkStart w:id="56" w:name="_Toc80205936"/>
      <w:bookmarkStart w:id="57" w:name="_Toc13089"/>
      <w:r>
        <w:rPr>
          <w:rFonts w:hint="eastAsia" w:ascii="宋体" w:hAnsi="宋体" w:eastAsia="宋体" w:cs="宋体"/>
          <w:bCs/>
          <w:color w:val="auto"/>
          <w:sz w:val="32"/>
          <w:szCs w:val="32"/>
          <w:highlight w:val="none"/>
        </w:rPr>
        <w:t>第三节 评审过程的保密与录像</w:t>
      </w:r>
      <w:bookmarkEnd w:id="56"/>
      <w:bookmarkEnd w:id="57"/>
    </w:p>
    <w:p w14:paraId="14E176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A943C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w:t>
      </w:r>
      <w:r>
        <w:rPr>
          <w:rFonts w:hint="eastAsia" w:ascii="宋体" w:hAnsi="宋体" w:cs="宋体"/>
          <w:color w:val="auto"/>
          <w:highlight w:val="none"/>
          <w:lang w:eastAsia="zh-CN"/>
        </w:rPr>
        <w:t>，</w:t>
      </w:r>
      <w:r>
        <w:rPr>
          <w:rFonts w:hint="eastAsia" w:ascii="宋体" w:hAnsi="宋体" w:eastAsia="宋体" w:cs="宋体"/>
          <w:color w:val="auto"/>
          <w:highlight w:val="none"/>
        </w:rPr>
        <w:t>以及涉及国家秘密和商业秘密等信息</w:t>
      </w:r>
      <w:r>
        <w:rPr>
          <w:rFonts w:hint="eastAsia" w:ascii="宋体" w:hAnsi="宋体" w:cs="宋体"/>
          <w:color w:val="auto"/>
          <w:highlight w:val="none"/>
          <w:lang w:eastAsia="zh-CN"/>
        </w:rPr>
        <w:t>，</w:t>
      </w:r>
      <w:r>
        <w:rPr>
          <w:rFonts w:hint="eastAsia" w:ascii="宋体" w:hAnsi="宋体" w:eastAsia="宋体" w:cs="宋体"/>
          <w:color w:val="auto"/>
          <w:highlight w:val="none"/>
        </w:rPr>
        <w:t>评审委员会成员、采购人和采购机构工作人员、相关监督人员等与评审有关的人员应当予以保密。</w:t>
      </w:r>
    </w:p>
    <w:p w14:paraId="73F0FA8F">
      <w:p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2.录音录像</w:t>
      </w:r>
    </w:p>
    <w:p w14:paraId="7CDFFB89">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w:t>
      </w:r>
      <w:r>
        <w:rPr>
          <w:rFonts w:hint="eastAsia" w:ascii="宋体" w:hAnsi="宋体" w:cs="宋体"/>
          <w:color w:val="auto"/>
          <w:highlight w:val="none"/>
          <w:lang w:eastAsia="zh-CN"/>
        </w:rPr>
        <w:t>，</w:t>
      </w:r>
      <w:r>
        <w:rPr>
          <w:rFonts w:hint="eastAsia" w:ascii="宋体" w:hAnsi="宋体" w:eastAsia="宋体" w:cs="宋体"/>
          <w:color w:val="auto"/>
          <w:highlight w:val="none"/>
        </w:rPr>
        <w:t>录音录像资料作为采购项目文件随其他文件一并存档。</w:t>
      </w:r>
    </w:p>
    <w:p w14:paraId="0AE11B85">
      <w:pPr>
        <w:rPr>
          <w:rFonts w:hint="eastAsia"/>
          <w:highlight w:val="none"/>
        </w:rPr>
      </w:pPr>
      <w:r>
        <w:rPr>
          <w:rFonts w:hint="eastAsia" w:ascii="宋体" w:hAnsi="宋体" w:eastAsia="宋体" w:cs="宋体"/>
          <w:bCs/>
          <w:color w:val="auto"/>
          <w:kern w:val="2"/>
          <w:szCs w:val="24"/>
          <w:highlight w:val="none"/>
          <w:lang w:val="en-US" w:eastAsia="zh-CN" w:bidi="ar-SA"/>
        </w:rPr>
        <w:br w:type="page"/>
      </w:r>
      <w:bookmarkEnd w:id="54"/>
    </w:p>
    <w:p w14:paraId="6F79E01A">
      <w:pPr>
        <w:keepNext/>
        <w:keepLines/>
        <w:numPr>
          <w:ilvl w:val="0"/>
          <w:numId w:val="1"/>
        </w:numPr>
        <w:spacing w:before="340" w:after="330" w:line="578" w:lineRule="auto"/>
        <w:jc w:val="center"/>
        <w:outlineLvl w:val="0"/>
        <w:rPr>
          <w:rFonts w:hint="eastAsia" w:ascii="宋体" w:hAnsi="宋体" w:eastAsia="宋体" w:cs="宋体"/>
          <w:b/>
          <w:bCs/>
          <w:color w:val="auto"/>
          <w:kern w:val="44"/>
          <w:sz w:val="32"/>
          <w:szCs w:val="32"/>
          <w:highlight w:val="none"/>
        </w:rPr>
      </w:pPr>
      <w:bookmarkStart w:id="58" w:name="_Toc26450"/>
      <w:r>
        <w:rPr>
          <w:rFonts w:hint="eastAsia" w:ascii="宋体" w:hAnsi="宋体" w:eastAsia="宋体" w:cs="宋体"/>
          <w:b/>
          <w:bCs/>
          <w:color w:val="auto"/>
          <w:kern w:val="44"/>
          <w:sz w:val="32"/>
          <w:szCs w:val="32"/>
          <w:highlight w:val="none"/>
        </w:rPr>
        <w:t>响应文件格式</w:t>
      </w:r>
      <w:bookmarkEnd w:id="58"/>
    </w:p>
    <w:p w14:paraId="4DDEDD7E">
      <w:pPr>
        <w:keepNext/>
        <w:keepLines/>
        <w:spacing w:before="260" w:after="260" w:line="416"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响应文件封面格式</w:t>
      </w:r>
    </w:p>
    <w:p w14:paraId="08D782A5">
      <w:pPr>
        <w:shd w:val="clear" w:color="auto" w:fill="auto"/>
        <w:snapToGrid w:val="0"/>
        <w:spacing w:before="158" w:beforeLines="50" w:after="50"/>
        <w:jc w:val="right"/>
        <w:rPr>
          <w:rFonts w:hint="eastAsia" w:ascii="宋体" w:hAnsi="宋体" w:eastAsia="宋体" w:cs="宋体"/>
          <w:bCs/>
          <w:color w:val="000000"/>
          <w:sz w:val="32"/>
          <w:szCs w:val="20"/>
          <w:highlight w:val="none"/>
        </w:rPr>
      </w:pPr>
      <w:r>
        <w:rPr>
          <w:rFonts w:hint="eastAsia" w:ascii="宋体" w:hAnsi="宋体" w:eastAsia="宋体" w:cs="宋体"/>
          <w:bCs/>
          <w:color w:val="000000"/>
          <w:sz w:val="24"/>
          <w:szCs w:val="32"/>
          <w:highlight w:val="none"/>
        </w:rPr>
        <w:t>全流程电子文件</w:t>
      </w:r>
    </w:p>
    <w:p w14:paraId="39A8E5B8">
      <w:pPr>
        <w:shd w:val="clear" w:color="auto" w:fill="auto"/>
        <w:snapToGrid w:val="0"/>
        <w:spacing w:before="158" w:beforeLines="50" w:after="50"/>
        <w:rPr>
          <w:rFonts w:hint="eastAsia" w:ascii="宋体" w:hAnsi="宋体" w:eastAsia="宋体" w:cs="宋体"/>
          <w:color w:val="000000"/>
          <w:sz w:val="24"/>
          <w:szCs w:val="20"/>
          <w:highlight w:val="none"/>
        </w:rPr>
      </w:pPr>
    </w:p>
    <w:p w14:paraId="6C3F52F9">
      <w:pPr>
        <w:shd w:val="clear" w:color="auto" w:fill="auto"/>
        <w:snapToGrid w:val="0"/>
        <w:spacing w:before="158" w:beforeLines="50" w:after="50"/>
        <w:rPr>
          <w:rFonts w:hint="eastAsia" w:ascii="宋体" w:hAnsi="宋体" w:eastAsia="宋体" w:cs="宋体"/>
          <w:color w:val="000000"/>
          <w:sz w:val="24"/>
          <w:szCs w:val="20"/>
          <w:highlight w:val="none"/>
        </w:rPr>
      </w:pPr>
    </w:p>
    <w:p w14:paraId="068FAD7E">
      <w:pPr>
        <w:shd w:val="clear" w:color="auto" w:fill="auto"/>
        <w:snapToGrid w:val="0"/>
        <w:spacing w:before="158" w:beforeLines="50" w:after="50"/>
        <w:rPr>
          <w:rFonts w:hint="eastAsia" w:ascii="宋体" w:hAnsi="宋体" w:eastAsia="宋体" w:cs="宋体"/>
          <w:color w:val="000000"/>
          <w:sz w:val="24"/>
          <w:szCs w:val="20"/>
          <w:highlight w:val="none"/>
        </w:rPr>
      </w:pPr>
    </w:p>
    <w:p w14:paraId="4985E1A5">
      <w:pPr>
        <w:shd w:val="clear" w:color="auto" w:fill="auto"/>
        <w:snapToGrid w:val="0"/>
        <w:spacing w:before="158" w:beforeLines="50" w:after="50"/>
        <w:rPr>
          <w:rFonts w:hint="eastAsia" w:ascii="宋体" w:hAnsi="宋体" w:eastAsia="宋体" w:cs="宋体"/>
          <w:color w:val="000000"/>
          <w:sz w:val="24"/>
          <w:szCs w:val="20"/>
          <w:highlight w:val="none"/>
        </w:rPr>
      </w:pPr>
    </w:p>
    <w:p w14:paraId="6DF757CE">
      <w:pPr>
        <w:shd w:val="clear" w:color="auto" w:fill="auto"/>
        <w:snapToGrid w:val="0"/>
        <w:spacing w:before="158" w:beforeLines="50" w:after="50"/>
        <w:rPr>
          <w:rFonts w:hint="eastAsia" w:ascii="宋体" w:hAnsi="宋体" w:eastAsia="宋体" w:cs="宋体"/>
          <w:color w:val="000000"/>
          <w:sz w:val="24"/>
          <w:szCs w:val="20"/>
          <w:highlight w:val="none"/>
        </w:rPr>
      </w:pPr>
    </w:p>
    <w:p w14:paraId="271B9F88">
      <w:pPr>
        <w:shd w:val="clear" w:color="auto" w:fill="auto"/>
        <w:snapToGrid w:val="0"/>
        <w:spacing w:before="158" w:beforeLines="50" w:after="50"/>
        <w:jc w:val="center"/>
        <w:rPr>
          <w:rFonts w:hint="eastAsia" w:ascii="宋体" w:hAnsi="宋体" w:eastAsia="宋体" w:cs="宋体"/>
          <w:bCs/>
          <w:color w:val="000000"/>
          <w:sz w:val="44"/>
          <w:szCs w:val="44"/>
          <w:highlight w:val="none"/>
        </w:rPr>
      </w:pPr>
      <w:r>
        <w:rPr>
          <w:rFonts w:hint="eastAsia" w:ascii="宋体" w:hAnsi="宋体" w:eastAsia="宋体" w:cs="宋体"/>
          <w:bCs/>
          <w:color w:val="000000"/>
          <w:sz w:val="44"/>
          <w:szCs w:val="44"/>
          <w:highlight w:val="none"/>
        </w:rPr>
        <w:t>资格证明文件\商务技术文件\报价文件</w:t>
      </w:r>
    </w:p>
    <w:p w14:paraId="322F71D7">
      <w:pPr>
        <w:snapToGrid w:val="0"/>
        <w:spacing w:before="120" w:beforeLines="50" w:after="50"/>
        <w:rPr>
          <w:rFonts w:hint="eastAsia" w:ascii="宋体" w:hAnsi="宋体" w:eastAsia="宋体" w:cs="宋体"/>
          <w:bCs/>
          <w:color w:val="auto"/>
          <w:sz w:val="24"/>
          <w:szCs w:val="20"/>
          <w:highlight w:val="none"/>
        </w:rPr>
      </w:pPr>
    </w:p>
    <w:p w14:paraId="38EE5158">
      <w:pPr>
        <w:snapToGrid w:val="0"/>
        <w:spacing w:before="120" w:beforeLines="50" w:after="50"/>
        <w:rPr>
          <w:rFonts w:hint="eastAsia" w:ascii="宋体" w:hAnsi="宋体" w:eastAsia="宋体" w:cs="宋体"/>
          <w:bCs/>
          <w:color w:val="auto"/>
          <w:sz w:val="24"/>
          <w:szCs w:val="20"/>
          <w:highlight w:val="none"/>
        </w:rPr>
      </w:pPr>
    </w:p>
    <w:p w14:paraId="70C2DA2E">
      <w:pPr>
        <w:snapToGrid w:val="0"/>
        <w:spacing w:before="120" w:beforeLines="50" w:after="50"/>
        <w:rPr>
          <w:rFonts w:hint="eastAsia" w:ascii="宋体" w:hAnsi="宋体" w:eastAsia="宋体" w:cs="宋体"/>
          <w:bCs/>
          <w:color w:val="auto"/>
          <w:sz w:val="32"/>
          <w:szCs w:val="32"/>
          <w:highlight w:val="none"/>
        </w:rPr>
      </w:pPr>
    </w:p>
    <w:p w14:paraId="54FF41A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BB69FDE">
      <w:pPr>
        <w:snapToGrid w:val="0"/>
        <w:spacing w:before="120" w:beforeLines="50" w:after="50"/>
        <w:ind w:firstLine="480" w:firstLineChars="150"/>
        <w:rPr>
          <w:rFonts w:hint="eastAsia" w:ascii="宋体" w:hAnsi="宋体" w:eastAsia="宋体" w:cs="宋体"/>
          <w:bCs/>
          <w:color w:val="auto"/>
          <w:sz w:val="32"/>
          <w:szCs w:val="32"/>
          <w:highlight w:val="none"/>
        </w:rPr>
      </w:pPr>
    </w:p>
    <w:p w14:paraId="59F45DC8">
      <w:pPr>
        <w:snapToGrid w:val="0"/>
        <w:spacing w:before="120" w:beforeLines="50" w:after="50"/>
        <w:ind w:firstLine="640" w:firstLineChars="200"/>
        <w:rPr>
          <w:rFonts w:hint="eastAsia" w:ascii="宋体" w:hAnsi="宋体" w:eastAsia="宋体" w:cs="宋体"/>
          <w:bCs/>
          <w:color w:val="000000"/>
          <w:sz w:val="32"/>
          <w:szCs w:val="32"/>
          <w:highlight w:val="none"/>
        </w:rPr>
      </w:pPr>
      <w:r>
        <w:rPr>
          <w:rFonts w:hint="eastAsia" w:ascii="宋体" w:hAnsi="宋体" w:eastAsia="宋体" w:cs="宋体"/>
          <w:bCs/>
          <w:color w:val="auto"/>
          <w:sz w:val="32"/>
          <w:szCs w:val="32"/>
          <w:highlight w:val="none"/>
        </w:rPr>
        <w:t>项目编号：</w:t>
      </w:r>
    </w:p>
    <w:p w14:paraId="36FC9EDE">
      <w:pPr>
        <w:snapToGrid w:val="0"/>
        <w:spacing w:before="120" w:beforeLines="50" w:after="50"/>
        <w:rPr>
          <w:rFonts w:hint="eastAsia" w:ascii="宋体" w:hAnsi="宋体" w:eastAsia="宋体" w:cs="宋体"/>
          <w:bCs/>
          <w:color w:val="auto"/>
          <w:sz w:val="32"/>
          <w:szCs w:val="32"/>
          <w:highlight w:val="none"/>
        </w:rPr>
      </w:pPr>
    </w:p>
    <w:p w14:paraId="2298AEC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02DD34">
      <w:pPr>
        <w:snapToGrid w:val="0"/>
        <w:spacing w:before="120" w:beforeLines="50" w:after="50"/>
        <w:rPr>
          <w:rFonts w:hint="eastAsia" w:ascii="宋体" w:hAnsi="宋体" w:eastAsia="宋体" w:cs="宋体"/>
          <w:bCs/>
          <w:color w:val="auto"/>
          <w:sz w:val="32"/>
          <w:szCs w:val="32"/>
          <w:highlight w:val="none"/>
        </w:rPr>
      </w:pPr>
    </w:p>
    <w:p w14:paraId="49AEDE9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9889E8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E8991A5">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69C72CF">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color w:val="auto"/>
          <w:highlight w:val="none"/>
        </w:rPr>
        <w:br w:type="page"/>
      </w:r>
    </w:p>
    <w:p w14:paraId="0B274B1C">
      <w:pPr>
        <w:shd w:val="clear" w:color="auto" w:fill="auto"/>
        <w:snapToGrid w:val="0"/>
        <w:spacing w:line="360" w:lineRule="auto"/>
        <w:ind w:right="480"/>
        <w:jc w:val="center"/>
        <w:rPr>
          <w:rFonts w:hint="eastAsia" w:ascii="宋体" w:hAnsi="宋体" w:eastAsia="宋体" w:cs="宋体"/>
          <w:b/>
          <w:color w:val="auto"/>
          <w:kern w:val="2"/>
          <w:sz w:val="30"/>
          <w:szCs w:val="30"/>
          <w:highlight w:val="none"/>
          <w:lang w:eastAsia="zh-CN"/>
        </w:rPr>
      </w:pPr>
      <w:r>
        <w:rPr>
          <w:rFonts w:hint="eastAsia" w:ascii="宋体" w:hAnsi="宋体" w:cs="宋体"/>
          <w:b/>
          <w:color w:val="auto"/>
          <w:sz w:val="30"/>
          <w:szCs w:val="30"/>
          <w:highlight w:val="none"/>
          <w:lang w:eastAsia="zh-CN"/>
        </w:rPr>
        <w:t>政府采购供应商资格信用承诺函</w:t>
      </w:r>
    </w:p>
    <w:p w14:paraId="7F98A186">
      <w:pPr>
        <w:snapToGrid w:val="0"/>
        <w:spacing w:line="360" w:lineRule="auto"/>
        <w:ind w:firstLine="480" w:firstLineChars="200"/>
        <w:rPr>
          <w:rFonts w:hint="eastAsia" w:ascii="宋体" w:hAnsi="宋体" w:eastAsia="宋体" w:cs="宋体"/>
          <w:color w:val="auto"/>
          <w:sz w:val="24"/>
          <w:highlight w:val="none"/>
        </w:rPr>
      </w:pPr>
    </w:p>
    <w:p w14:paraId="38E1F5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val="en-US" w:eastAsia="zh-CN"/>
        </w:rPr>
        <w:t>柳州市城中区自然资源局</w:t>
      </w:r>
      <w:r>
        <w:rPr>
          <w:rFonts w:hint="eastAsia" w:ascii="宋体" w:hAnsi="宋体" w:eastAsia="宋体" w:cs="宋体"/>
          <w:color w:val="auto"/>
          <w:spacing w:val="6"/>
          <w:sz w:val="24"/>
          <w:highlight w:val="none"/>
          <w:u w:val="single"/>
        </w:rPr>
        <w:t>、</w:t>
      </w:r>
      <w:r>
        <w:rPr>
          <w:rFonts w:hint="eastAsia" w:ascii="宋体" w:hAnsi="宋体" w:cs="宋体"/>
          <w:color w:val="auto"/>
          <w:spacing w:val="6"/>
          <w:sz w:val="24"/>
          <w:highlight w:val="none"/>
          <w:u w:val="single"/>
          <w:lang w:eastAsia="zh-CN"/>
        </w:rPr>
        <w:t>广西嘉达工程咨询管理有限公司</w:t>
      </w:r>
      <w:r>
        <w:rPr>
          <w:rFonts w:hint="eastAsia" w:ascii="宋体" w:hAnsi="宋体" w:eastAsia="宋体" w:cs="宋体"/>
          <w:color w:val="auto"/>
          <w:spacing w:val="6"/>
          <w:sz w:val="24"/>
          <w:highlight w:val="none"/>
        </w:rPr>
        <w:t>：</w:t>
      </w:r>
    </w:p>
    <w:p w14:paraId="398DEF46">
      <w:pPr>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514" w:firstLineChars="204"/>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我方自愿参加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w:t>
      </w:r>
      <w:r>
        <w:rPr>
          <w:rFonts w:hint="eastAsia" w:ascii="宋体" w:hAnsi="宋体" w:cs="宋体"/>
          <w:color w:val="auto"/>
          <w:spacing w:val="6"/>
          <w:sz w:val="24"/>
          <w:highlight w:val="none"/>
          <w:lang w:eastAsia="zh-CN"/>
        </w:rPr>
        <w:t>项目编号：</w:t>
      </w:r>
      <w:r>
        <w:rPr>
          <w:rFonts w:hint="eastAsia" w:ascii="宋体" w:hAnsi="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）的政府采购活动</w:t>
      </w:r>
      <w:r>
        <w:rPr>
          <w:rFonts w:hint="eastAsia" w:ascii="宋体" w:hAnsi="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并郑重承诺我方符合《中华人民共和国政府采购法》第二十二条规定的条件： </w:t>
      </w:r>
    </w:p>
    <w:p w14:paraId="52D36DF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（一）具有独立承担民事责任的能力； </w:t>
      </w:r>
    </w:p>
    <w:p w14:paraId="2673C84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（二）具有良好的商业信誉和健全的财务会计制度； </w:t>
      </w:r>
    </w:p>
    <w:p w14:paraId="2A0979D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（三）具有履行合同所必需的设备和专业技术能力； </w:t>
      </w:r>
    </w:p>
    <w:p w14:paraId="7D730027">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（四）有依法缴纳税收和社会保障资金的良好记录； </w:t>
      </w:r>
    </w:p>
    <w:p w14:paraId="3F8F27A1">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（五）参加政府采购活动前三年内</w:t>
      </w:r>
      <w:r>
        <w:rPr>
          <w:rFonts w:hint="eastAsia" w:ascii="宋体" w:hAnsi="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在经营活动中没有重大违法记录； </w:t>
      </w:r>
    </w:p>
    <w:p w14:paraId="733BD62A">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（六）法律、行政法规规定的其他条件。 </w:t>
      </w:r>
    </w:p>
    <w:p w14:paraId="2A10E116">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我方保证上述承诺事项的真实性</w:t>
      </w:r>
      <w:r>
        <w:rPr>
          <w:rFonts w:hint="eastAsia" w:ascii="宋体" w:hAnsi="宋体" w:cs="宋体"/>
          <w:color w:val="auto"/>
          <w:spacing w:val="6"/>
          <w:sz w:val="24"/>
          <w:highlight w:val="none"/>
          <w:lang w:eastAsia="zh-CN"/>
        </w:rPr>
        <w:t>，</w:t>
      </w:r>
      <w:r>
        <w:rPr>
          <w:rFonts w:hint="eastAsia" w:ascii="宋体" w:hAnsi="宋体" w:eastAsia="宋体" w:cs="宋体"/>
          <w:color w:val="auto"/>
          <w:spacing w:val="6"/>
          <w:sz w:val="24"/>
          <w:highlight w:val="none"/>
        </w:rPr>
        <w:t>如有弄虚作假或其他违法违规行为</w:t>
      </w:r>
      <w:r>
        <w:rPr>
          <w:rFonts w:hint="eastAsia" w:ascii="宋体" w:hAnsi="宋体" w:cs="宋体"/>
          <w:color w:val="auto"/>
          <w:spacing w:val="6"/>
          <w:sz w:val="24"/>
          <w:highlight w:val="none"/>
          <w:lang w:eastAsia="zh-CN"/>
        </w:rPr>
        <w:t>，</w:t>
      </w:r>
      <w:r>
        <w:rPr>
          <w:rFonts w:hint="eastAsia" w:ascii="宋体" w:hAnsi="宋体" w:eastAsia="宋体" w:cs="宋体"/>
          <w:color w:val="auto"/>
          <w:spacing w:val="6"/>
          <w:sz w:val="24"/>
          <w:highlight w:val="none"/>
        </w:rPr>
        <w:t>愿意承担一切法律责任</w:t>
      </w:r>
      <w:r>
        <w:rPr>
          <w:rFonts w:hint="eastAsia" w:ascii="宋体" w:hAnsi="宋体" w:cs="宋体"/>
          <w:color w:val="auto"/>
          <w:spacing w:val="6"/>
          <w:sz w:val="24"/>
          <w:highlight w:val="none"/>
          <w:lang w:eastAsia="zh-CN"/>
        </w:rPr>
        <w:t>，</w:t>
      </w:r>
      <w:r>
        <w:rPr>
          <w:rFonts w:hint="eastAsia" w:ascii="宋体" w:hAnsi="宋体" w:eastAsia="宋体" w:cs="宋体"/>
          <w:color w:val="auto"/>
          <w:spacing w:val="6"/>
          <w:sz w:val="24"/>
          <w:highlight w:val="none"/>
        </w:rPr>
        <w:t xml:space="preserve">并承担因此所造成的一切损失。 </w:t>
      </w:r>
    </w:p>
    <w:p w14:paraId="2C2A982D">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pacing w:val="6"/>
          <w:sz w:val="24"/>
          <w:highlight w:val="none"/>
        </w:rPr>
      </w:pPr>
      <w:r>
        <w:rPr>
          <w:rFonts w:hint="eastAsia" w:ascii="宋体" w:hAnsi="宋体" w:eastAsia="宋体" w:cs="宋体"/>
          <w:b w:val="0"/>
          <w:bCs w:val="0"/>
          <w:color w:val="auto"/>
          <w:spacing w:val="6"/>
          <w:sz w:val="24"/>
          <w:highlight w:val="none"/>
        </w:rPr>
        <w:t>特此声明！</w:t>
      </w:r>
      <w:r>
        <w:rPr>
          <w:rFonts w:hint="eastAsia" w:ascii="宋体" w:hAnsi="宋体" w:eastAsia="宋体" w:cs="宋体"/>
          <w:color w:val="auto"/>
          <w:spacing w:val="6"/>
          <w:sz w:val="24"/>
          <w:highlight w:val="none"/>
        </w:rPr>
        <w:t xml:space="preserve"> </w:t>
      </w:r>
    </w:p>
    <w:p w14:paraId="627E5C4D">
      <w:pPr>
        <w:spacing w:line="300" w:lineRule="auto"/>
        <w:rPr>
          <w:rFonts w:hint="eastAsia" w:ascii="宋体" w:hAnsi="宋体" w:eastAsia="宋体" w:cs="宋体"/>
          <w:color w:val="auto"/>
          <w:szCs w:val="21"/>
          <w:highlight w:val="none"/>
        </w:rPr>
      </w:pPr>
    </w:p>
    <w:p w14:paraId="59E5A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11300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6E3D823">
      <w:pPr>
        <w:jc w:val="center"/>
        <w:rPr>
          <w:rFonts w:hint="eastAsia" w:ascii="宋体" w:hAnsi="宋体" w:eastAsia="宋体" w:cs="宋体"/>
          <w:b/>
          <w:bCs/>
          <w:color w:val="auto"/>
          <w:sz w:val="36"/>
          <w:szCs w:val="36"/>
          <w:highlight w:val="none"/>
          <w:lang w:val="en"/>
        </w:rPr>
      </w:pPr>
    </w:p>
    <w:p w14:paraId="767872F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val="0"/>
          <w:color w:val="auto"/>
          <w:sz w:val="30"/>
          <w:szCs w:val="30"/>
          <w:highlight w:val="none"/>
          <w:lang w:val="en-US" w:eastAsia="zh-CN"/>
        </w:rPr>
        <w:t>供应商</w:t>
      </w:r>
      <w:r>
        <w:rPr>
          <w:rFonts w:hint="eastAsia" w:ascii="宋体" w:hAnsi="宋体" w:eastAsia="宋体" w:cs="宋体"/>
          <w:b/>
          <w:bCs w:val="0"/>
          <w:color w:val="auto"/>
          <w:sz w:val="30"/>
          <w:szCs w:val="30"/>
          <w:highlight w:val="none"/>
          <w:lang w:val="en-US"/>
        </w:rPr>
        <w:t>直接控股</w:t>
      </w:r>
      <w:r>
        <w:rPr>
          <w:rFonts w:hint="eastAsia" w:ascii="宋体" w:hAnsi="宋体" w:eastAsia="宋体" w:cs="宋体"/>
          <w:b/>
          <w:bCs w:val="0"/>
          <w:color w:val="auto"/>
          <w:sz w:val="30"/>
          <w:szCs w:val="30"/>
          <w:highlight w:val="none"/>
          <w:lang w:val="en"/>
        </w:rPr>
        <w:t>、管理关系信息表</w:t>
      </w:r>
    </w:p>
    <w:p w14:paraId="053EF76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1、</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直接控股股东信息表</w:t>
      </w:r>
    </w:p>
    <w:tbl>
      <w:tblPr>
        <w:tblStyle w:val="32"/>
        <w:tblW w:w="0" w:type="auto"/>
        <w:jc w:val="center"/>
        <w:shd w:val="clear" w:color="auto" w:fill="FBFBFB"/>
        <w:tblLayout w:type="fixed"/>
        <w:tblCellMar>
          <w:top w:w="0" w:type="dxa"/>
          <w:left w:w="0" w:type="dxa"/>
          <w:bottom w:w="0" w:type="dxa"/>
          <w:right w:w="0" w:type="dxa"/>
        </w:tblCellMar>
      </w:tblPr>
      <w:tblGrid>
        <w:gridCol w:w="828"/>
        <w:gridCol w:w="2269"/>
        <w:gridCol w:w="1239"/>
        <w:gridCol w:w="4256"/>
        <w:gridCol w:w="1128"/>
      </w:tblGrid>
      <w:tr w14:paraId="62D8B05F">
        <w:tblPrEx>
          <w:shd w:val="clear" w:color="auto" w:fill="FBFBFB"/>
          <w:tblCellMar>
            <w:top w:w="0" w:type="dxa"/>
            <w:left w:w="0" w:type="dxa"/>
            <w:bottom w:w="0" w:type="dxa"/>
            <w:right w:w="0" w:type="dxa"/>
          </w:tblCellMar>
        </w:tblPrEx>
        <w:trPr>
          <w:trHeight w:val="454"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8B57ABC">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29E58B">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713F9">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5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61D5F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1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6F5B50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72285C">
        <w:tblPrEx>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09F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C918B7">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3082">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13B03">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55CEE7">
            <w:pPr>
              <w:jc w:val="center"/>
              <w:rPr>
                <w:rFonts w:hint="eastAsia" w:ascii="宋体" w:hAnsi="宋体" w:eastAsia="宋体" w:cs="宋体"/>
                <w:color w:val="auto"/>
                <w:kern w:val="0"/>
                <w:sz w:val="24"/>
                <w:highlight w:val="none"/>
              </w:rPr>
            </w:pPr>
          </w:p>
        </w:tc>
      </w:tr>
      <w:tr w14:paraId="0B7D3CBC">
        <w:tblPrEx>
          <w:shd w:val="clear" w:color="auto" w:fill="FBFBFB"/>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916F2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C9969">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83F4BA">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2A367A">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5FD49">
            <w:pPr>
              <w:jc w:val="center"/>
              <w:rPr>
                <w:rFonts w:hint="eastAsia" w:ascii="宋体" w:hAnsi="宋体" w:eastAsia="宋体" w:cs="宋体"/>
                <w:color w:val="auto"/>
                <w:kern w:val="0"/>
                <w:sz w:val="24"/>
                <w:highlight w:val="none"/>
              </w:rPr>
            </w:pPr>
          </w:p>
        </w:tc>
      </w:tr>
      <w:tr w14:paraId="3592D636">
        <w:tblPrEx>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65D1F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FBB88E">
            <w:pPr>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DA3488">
            <w:pPr>
              <w:jc w:val="center"/>
              <w:rPr>
                <w:rFonts w:hint="eastAsia" w:ascii="宋体" w:hAnsi="宋体" w:eastAsia="宋体" w:cs="宋体"/>
                <w:color w:val="auto"/>
                <w:kern w:val="0"/>
                <w:sz w:val="24"/>
                <w:highlight w:val="none"/>
              </w:rPr>
            </w:pPr>
          </w:p>
        </w:tc>
        <w:tc>
          <w:tcPr>
            <w:tcW w:w="425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7B7C97">
            <w:pPr>
              <w:jc w:val="center"/>
              <w:rPr>
                <w:rFonts w:hint="eastAsia" w:ascii="宋体" w:hAnsi="宋体" w:eastAsia="宋体" w:cs="宋体"/>
                <w:color w:val="auto"/>
                <w:kern w:val="0"/>
                <w:sz w:val="24"/>
                <w:highlight w:val="none"/>
              </w:rPr>
            </w:pPr>
          </w:p>
        </w:tc>
        <w:tc>
          <w:tcPr>
            <w:tcW w:w="11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88B260">
            <w:pPr>
              <w:jc w:val="center"/>
              <w:rPr>
                <w:rFonts w:hint="eastAsia" w:ascii="宋体" w:hAnsi="宋体" w:eastAsia="宋体" w:cs="宋体"/>
                <w:color w:val="auto"/>
                <w:kern w:val="0"/>
                <w:sz w:val="24"/>
                <w:highlight w:val="none"/>
              </w:rPr>
            </w:pPr>
          </w:p>
        </w:tc>
      </w:tr>
    </w:tbl>
    <w:p w14:paraId="2A6CE97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198886A">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但依其出资额或者持有的股份所享有的表决权已足以对股东会、股东大会的决议产生重大影响的股东。</w:t>
      </w:r>
    </w:p>
    <w:p w14:paraId="6BF02B0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不包括间接的控股关系。公司实际控制人与公司之间的关系不属于本表所指的直接控股关系。</w:t>
      </w:r>
    </w:p>
    <w:p w14:paraId="194511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则填“无”。</w:t>
      </w:r>
    </w:p>
    <w:p w14:paraId="2F6AA67A">
      <w:pPr>
        <w:spacing w:line="300" w:lineRule="auto"/>
        <w:rPr>
          <w:rFonts w:hint="eastAsia" w:ascii="宋体" w:hAnsi="宋体" w:eastAsia="宋体" w:cs="宋体"/>
          <w:color w:val="auto"/>
          <w:szCs w:val="21"/>
          <w:highlight w:val="none"/>
        </w:rPr>
      </w:pPr>
    </w:p>
    <w:p w14:paraId="07EB50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2271E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3B2AB5C">
      <w:pPr>
        <w:snapToGrid w:val="0"/>
        <w:jc w:val="center"/>
        <w:rPr>
          <w:rFonts w:hint="eastAsia" w:ascii="宋体" w:hAnsi="宋体" w:eastAsia="宋体" w:cs="宋体"/>
          <w:b/>
          <w:color w:val="auto"/>
          <w:sz w:val="28"/>
          <w:szCs w:val="28"/>
          <w:highlight w:val="none"/>
        </w:rPr>
      </w:pPr>
    </w:p>
    <w:p w14:paraId="3157BF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直接管理关系信息表</w:t>
      </w:r>
    </w:p>
    <w:tbl>
      <w:tblPr>
        <w:tblStyle w:val="32"/>
        <w:tblW w:w="0" w:type="auto"/>
        <w:jc w:val="center"/>
        <w:shd w:val="clear" w:color="auto" w:fill="FBFBFB"/>
        <w:tblLayout w:type="fixed"/>
        <w:tblCellMar>
          <w:top w:w="0" w:type="dxa"/>
          <w:left w:w="0" w:type="dxa"/>
          <w:bottom w:w="0" w:type="dxa"/>
          <w:right w:w="0" w:type="dxa"/>
        </w:tblCellMar>
      </w:tblPr>
      <w:tblGrid>
        <w:gridCol w:w="1005"/>
        <w:gridCol w:w="2659"/>
        <w:gridCol w:w="3924"/>
        <w:gridCol w:w="2226"/>
      </w:tblGrid>
      <w:tr w14:paraId="7CA7BD4E">
        <w:tblPrEx>
          <w:shd w:val="clear" w:color="auto" w:fill="FBFBFB"/>
          <w:tblCellMar>
            <w:top w:w="0" w:type="dxa"/>
            <w:left w:w="0" w:type="dxa"/>
            <w:bottom w:w="0" w:type="dxa"/>
            <w:right w:w="0" w:type="dxa"/>
          </w:tblCellMar>
        </w:tblPrEx>
        <w:trPr>
          <w:trHeight w:val="454" w:hRule="atLeast"/>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02DD2A">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A3638F">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F05640">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22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BC5C15">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10DC24">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E2F77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05F7E6">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89F24">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77920B">
            <w:pPr>
              <w:jc w:val="center"/>
              <w:rPr>
                <w:rFonts w:hint="eastAsia" w:ascii="宋体" w:hAnsi="宋体" w:eastAsia="宋体" w:cs="宋体"/>
                <w:color w:val="auto"/>
                <w:kern w:val="0"/>
                <w:sz w:val="24"/>
                <w:highlight w:val="none"/>
              </w:rPr>
            </w:pPr>
          </w:p>
        </w:tc>
      </w:tr>
      <w:tr w14:paraId="4D6A9851">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75873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035B90">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278FEA">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4EA73D">
            <w:pPr>
              <w:jc w:val="center"/>
              <w:rPr>
                <w:rFonts w:hint="eastAsia" w:ascii="宋体" w:hAnsi="宋体" w:eastAsia="宋体" w:cs="宋体"/>
                <w:color w:val="auto"/>
                <w:kern w:val="0"/>
                <w:sz w:val="24"/>
                <w:highlight w:val="none"/>
              </w:rPr>
            </w:pPr>
          </w:p>
        </w:tc>
      </w:tr>
      <w:tr w14:paraId="4243023A">
        <w:tblPrEx>
          <w:shd w:val="clear" w:color="auto" w:fill="FBFBFB"/>
          <w:tblCellMar>
            <w:top w:w="0" w:type="dxa"/>
            <w:left w:w="0" w:type="dxa"/>
            <w:bottom w:w="0" w:type="dxa"/>
            <w:right w:w="0"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80F33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AA8A7">
            <w:pPr>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9A2F1">
            <w:pPr>
              <w:jc w:val="center"/>
              <w:rPr>
                <w:rFonts w:hint="eastAsia" w:ascii="宋体" w:hAnsi="宋体" w:eastAsia="宋体" w:cs="宋体"/>
                <w:color w:val="auto"/>
                <w:kern w:val="0"/>
                <w:sz w:val="24"/>
                <w:highlight w:val="none"/>
              </w:rPr>
            </w:pPr>
          </w:p>
        </w:tc>
        <w:tc>
          <w:tcPr>
            <w:tcW w:w="222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7E8ABF">
            <w:pPr>
              <w:jc w:val="center"/>
              <w:rPr>
                <w:rFonts w:hint="eastAsia" w:ascii="宋体" w:hAnsi="宋体" w:eastAsia="宋体" w:cs="宋体"/>
                <w:color w:val="auto"/>
                <w:kern w:val="0"/>
                <w:sz w:val="24"/>
                <w:highlight w:val="none"/>
              </w:rPr>
            </w:pPr>
          </w:p>
        </w:tc>
      </w:tr>
    </w:tbl>
    <w:p w14:paraId="40FDBBE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0EE68">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如一些上下级关系的事业单位和团体组织。</w:t>
      </w:r>
    </w:p>
    <w:p w14:paraId="11A490A7">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不包括间接的管理关系。</w:t>
      </w:r>
    </w:p>
    <w:p w14:paraId="3F9ED200">
      <w:pPr>
        <w:snapToGrid w:val="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则填“无”。</w:t>
      </w:r>
    </w:p>
    <w:p w14:paraId="791A2778">
      <w:pPr>
        <w:spacing w:line="300" w:lineRule="auto"/>
        <w:rPr>
          <w:rFonts w:hint="eastAsia" w:ascii="宋体" w:hAnsi="宋体" w:eastAsia="宋体" w:cs="宋体"/>
          <w:color w:val="auto"/>
          <w:szCs w:val="21"/>
          <w:highlight w:val="none"/>
        </w:rPr>
      </w:pPr>
    </w:p>
    <w:p w14:paraId="6FDD1B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C33E37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BEC5F2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3840C566">
      <w:pPr>
        <w:pStyle w:val="2"/>
        <w:rPr>
          <w:rFonts w:hint="eastAsia"/>
          <w:highlight w:val="none"/>
          <w:lang w:val="zh-CN"/>
        </w:rPr>
      </w:pPr>
    </w:p>
    <w:p w14:paraId="08242C6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中小企业声明函（服务）</w:t>
      </w:r>
    </w:p>
    <w:p w14:paraId="2DAED2CD">
      <w:pPr>
        <w:spacing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根据《政府采购促进中小企业发展管理办法》（财库﹝2020﹞46号）的规定</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服务全部由符合政策要求的中小企业承接。相关企业（含联合体中的中小企业、签订分包意向协议的中小企业）的具体情况如下：</w:t>
      </w:r>
    </w:p>
    <w:p w14:paraId="611461BF">
      <w:pPr>
        <w:keepNext w:val="0"/>
        <w:keepLines w:val="0"/>
        <w:pageBreakBefore w:val="0"/>
        <w:widowControl w:val="0"/>
        <w:tabs>
          <w:tab w:val="left" w:pos="1384"/>
          <w:tab w:val="left" w:pos="4562"/>
          <w:tab w:val="left" w:pos="6803"/>
        </w:tabs>
        <w:kinsoku/>
        <w:wordWrap/>
        <w:overflowPunct/>
        <w:topLinePunct w:val="0"/>
        <w:autoSpaceDE/>
        <w:autoSpaceDN/>
        <w:bidi w:val="0"/>
        <w:adjustRightInd/>
        <w:snapToGrid/>
        <w:spacing w:before="13" w:line="360" w:lineRule="auto"/>
        <w:ind w:right="142" w:firstLine="686" w:firstLineChars="28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3010784">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17C14F5">
      <w:pPr>
        <w:keepNext w:val="0"/>
        <w:keepLines w:val="0"/>
        <w:pageBreakBefore w:val="0"/>
        <w:widowControl w:val="0"/>
        <w:tabs>
          <w:tab w:val="left" w:pos="1065"/>
          <w:tab w:val="left" w:pos="4262"/>
          <w:tab w:val="left" w:pos="6477"/>
        </w:tabs>
        <w:kinsoku/>
        <w:wordWrap/>
        <w:overflowPunct/>
        <w:topLinePunct w:val="0"/>
        <w:autoSpaceDE/>
        <w:autoSpaceDN/>
        <w:bidi w:val="0"/>
        <w:adjustRightInd/>
        <w:snapToGrid/>
        <w:spacing w:before="20" w:line="360" w:lineRule="auto"/>
        <w:ind w:right="84" w:firstLine="686" w:firstLineChars="28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p>
    <w:p w14:paraId="51B5F9A9">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不属于大企业的分支机构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不存在控股股东为大企业的情形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也不存在与大企业的负责人为同一人的情形。</w:t>
      </w:r>
    </w:p>
    <w:p w14:paraId="591C564E">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将依法承担相应责任。</w:t>
      </w:r>
    </w:p>
    <w:p w14:paraId="1E3DB8FD">
      <w:pPr>
        <w:spacing w:line="360" w:lineRule="auto"/>
        <w:ind w:left="3960" w:right="1808"/>
        <w:contextualSpacing/>
        <w:rPr>
          <w:rFonts w:hint="eastAsia" w:ascii="宋体" w:hAnsi="宋体" w:eastAsia="宋体" w:cs="宋体"/>
          <w:color w:val="auto"/>
          <w:sz w:val="24"/>
          <w:highlight w:val="none"/>
        </w:rPr>
      </w:pPr>
    </w:p>
    <w:p w14:paraId="1E86CD0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2239EF2">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171D287">
      <w:pPr>
        <w:spacing w:line="360" w:lineRule="auto"/>
        <w:ind w:left="3960" w:right="1808"/>
        <w:contextualSpacing/>
        <w:rPr>
          <w:rFonts w:hint="eastAsia" w:ascii="宋体" w:hAnsi="宋体" w:eastAsia="宋体" w:cs="宋体"/>
          <w:color w:val="auto"/>
          <w:highlight w:val="none"/>
        </w:rPr>
      </w:pPr>
    </w:p>
    <w:p w14:paraId="1D336B7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采购人、采购代理机构应当随成交结果公开成交供应商的《中小企业声明函》。从业人员、营业收入、资产总额填报上一年度数据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无上一年度数据的新成立企业可不填报。</w:t>
      </w:r>
    </w:p>
    <w:p w14:paraId="5F9E28C0">
      <w:pPr>
        <w:spacing w:line="528"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bCs/>
          <w:color w:val="auto"/>
          <w:sz w:val="30"/>
          <w:szCs w:val="30"/>
          <w:highlight w:val="none"/>
        </w:rPr>
        <w:t>中小微企业划型标准</w:t>
      </w:r>
    </w:p>
    <w:tbl>
      <w:tblPr>
        <w:tblStyle w:val="32"/>
        <w:tblW w:w="9536" w:type="dxa"/>
        <w:jc w:val="center"/>
        <w:tblLayout w:type="fixed"/>
        <w:tblCellMar>
          <w:top w:w="0" w:type="dxa"/>
          <w:left w:w="108" w:type="dxa"/>
          <w:bottom w:w="0" w:type="dxa"/>
          <w:right w:w="108" w:type="dxa"/>
        </w:tblCellMar>
      </w:tblPr>
      <w:tblGrid>
        <w:gridCol w:w="1550"/>
        <w:gridCol w:w="1915"/>
        <w:gridCol w:w="961"/>
        <w:gridCol w:w="2071"/>
        <w:gridCol w:w="1836"/>
        <w:gridCol w:w="1203"/>
      </w:tblGrid>
      <w:tr w14:paraId="007D641A">
        <w:tblPrEx>
          <w:tblCellMar>
            <w:top w:w="0" w:type="dxa"/>
            <w:left w:w="108" w:type="dxa"/>
            <w:bottom w:w="0" w:type="dxa"/>
            <w:right w:w="108" w:type="dxa"/>
          </w:tblCellMar>
        </w:tblPrEx>
        <w:trPr>
          <w:trHeight w:val="742"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14:paraId="6D85B5D2">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915" w:type="dxa"/>
            <w:tcBorders>
              <w:top w:val="single" w:color="auto" w:sz="4" w:space="0"/>
              <w:left w:val="nil"/>
              <w:bottom w:val="single" w:color="auto" w:sz="4" w:space="0"/>
              <w:right w:val="single" w:color="auto" w:sz="4" w:space="0"/>
            </w:tcBorders>
            <w:noWrap w:val="0"/>
            <w:vAlign w:val="center"/>
          </w:tcPr>
          <w:p w14:paraId="68CE7C7B">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961" w:type="dxa"/>
            <w:tcBorders>
              <w:top w:val="single" w:color="auto" w:sz="4" w:space="0"/>
              <w:left w:val="nil"/>
              <w:bottom w:val="single" w:color="auto" w:sz="4" w:space="0"/>
              <w:right w:val="single" w:color="auto" w:sz="4" w:space="0"/>
            </w:tcBorders>
            <w:noWrap w:val="0"/>
            <w:vAlign w:val="center"/>
          </w:tcPr>
          <w:p w14:paraId="71EDD304">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2071" w:type="dxa"/>
            <w:tcBorders>
              <w:top w:val="single" w:color="auto" w:sz="4" w:space="0"/>
              <w:left w:val="nil"/>
              <w:bottom w:val="single" w:color="auto" w:sz="4" w:space="0"/>
              <w:right w:val="single" w:color="auto" w:sz="4" w:space="0"/>
            </w:tcBorders>
            <w:noWrap w:val="0"/>
            <w:vAlign w:val="center"/>
          </w:tcPr>
          <w:p w14:paraId="61337201">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836" w:type="dxa"/>
            <w:tcBorders>
              <w:top w:val="single" w:color="auto" w:sz="4" w:space="0"/>
              <w:left w:val="nil"/>
              <w:bottom w:val="single" w:color="auto" w:sz="4" w:space="0"/>
              <w:right w:val="single" w:color="auto" w:sz="4" w:space="0"/>
            </w:tcBorders>
            <w:noWrap w:val="0"/>
            <w:vAlign w:val="center"/>
          </w:tcPr>
          <w:p w14:paraId="4468FF85">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203" w:type="dxa"/>
            <w:tcBorders>
              <w:top w:val="single" w:color="auto" w:sz="4" w:space="0"/>
              <w:left w:val="nil"/>
              <w:bottom w:val="single" w:color="auto" w:sz="4" w:space="0"/>
              <w:right w:val="single" w:color="auto" w:sz="4" w:space="0"/>
            </w:tcBorders>
            <w:noWrap w:val="0"/>
            <w:vAlign w:val="center"/>
          </w:tcPr>
          <w:p w14:paraId="416F9BDB">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1EFED0CF">
        <w:tblPrEx>
          <w:tblCellMar>
            <w:top w:w="0" w:type="dxa"/>
            <w:left w:w="108" w:type="dxa"/>
            <w:bottom w:w="0" w:type="dxa"/>
            <w:right w:w="108" w:type="dxa"/>
          </w:tblCellMar>
        </w:tblPrEx>
        <w:trPr>
          <w:trHeight w:val="337" w:hRule="atLeast"/>
          <w:jc w:val="center"/>
        </w:trPr>
        <w:tc>
          <w:tcPr>
            <w:tcW w:w="1550" w:type="dxa"/>
            <w:tcBorders>
              <w:top w:val="nil"/>
              <w:left w:val="single" w:color="auto" w:sz="4" w:space="0"/>
              <w:bottom w:val="single" w:color="auto" w:sz="4" w:space="0"/>
              <w:right w:val="single" w:color="auto" w:sz="4" w:space="0"/>
            </w:tcBorders>
            <w:noWrap w:val="0"/>
            <w:vAlign w:val="center"/>
          </w:tcPr>
          <w:p w14:paraId="0A47BC0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915" w:type="dxa"/>
            <w:tcBorders>
              <w:top w:val="nil"/>
              <w:left w:val="nil"/>
              <w:bottom w:val="single" w:color="auto" w:sz="4" w:space="0"/>
              <w:right w:val="single" w:color="auto" w:sz="4" w:space="0"/>
            </w:tcBorders>
            <w:noWrap w:val="0"/>
            <w:vAlign w:val="center"/>
          </w:tcPr>
          <w:p w14:paraId="6DD1FC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85AA7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9A90F6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03C7CDF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203" w:type="dxa"/>
            <w:tcBorders>
              <w:top w:val="nil"/>
              <w:left w:val="nil"/>
              <w:bottom w:val="single" w:color="auto" w:sz="4" w:space="0"/>
              <w:right w:val="single" w:color="auto" w:sz="4" w:space="0"/>
            </w:tcBorders>
            <w:noWrap w:val="0"/>
            <w:vAlign w:val="center"/>
          </w:tcPr>
          <w:p w14:paraId="18AB4C3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3692E18">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C97FA2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915" w:type="dxa"/>
            <w:tcBorders>
              <w:top w:val="nil"/>
              <w:left w:val="nil"/>
              <w:bottom w:val="single" w:color="auto" w:sz="4" w:space="0"/>
              <w:right w:val="single" w:color="auto" w:sz="4" w:space="0"/>
            </w:tcBorders>
            <w:noWrap w:val="0"/>
            <w:vAlign w:val="center"/>
          </w:tcPr>
          <w:p w14:paraId="70ED268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2E0A854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DEF36F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1EBBD4E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47ED65F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7CBAC52">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F8E0D83">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2CAC209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4DEA93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7FFF3D7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836" w:type="dxa"/>
            <w:tcBorders>
              <w:top w:val="nil"/>
              <w:left w:val="nil"/>
              <w:bottom w:val="single" w:color="auto" w:sz="4" w:space="0"/>
              <w:right w:val="single" w:color="auto" w:sz="4" w:space="0"/>
            </w:tcBorders>
            <w:noWrap w:val="0"/>
            <w:vAlign w:val="center"/>
          </w:tcPr>
          <w:p w14:paraId="6F9EE30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203" w:type="dxa"/>
            <w:tcBorders>
              <w:top w:val="nil"/>
              <w:left w:val="nil"/>
              <w:bottom w:val="single" w:color="auto" w:sz="4" w:space="0"/>
              <w:right w:val="single" w:color="auto" w:sz="4" w:space="0"/>
            </w:tcBorders>
            <w:noWrap w:val="0"/>
            <w:vAlign w:val="center"/>
          </w:tcPr>
          <w:p w14:paraId="3122270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13C98F0A">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3AC387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915" w:type="dxa"/>
            <w:tcBorders>
              <w:top w:val="nil"/>
              <w:left w:val="nil"/>
              <w:bottom w:val="single" w:color="auto" w:sz="4" w:space="0"/>
              <w:right w:val="single" w:color="auto" w:sz="4" w:space="0"/>
            </w:tcBorders>
            <w:noWrap w:val="0"/>
            <w:vAlign w:val="center"/>
          </w:tcPr>
          <w:p w14:paraId="386BDBC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7C1D96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EAA82C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836" w:type="dxa"/>
            <w:tcBorders>
              <w:top w:val="nil"/>
              <w:left w:val="nil"/>
              <w:bottom w:val="single" w:color="auto" w:sz="4" w:space="0"/>
              <w:right w:val="single" w:color="auto" w:sz="4" w:space="0"/>
            </w:tcBorders>
            <w:noWrap w:val="0"/>
            <w:vAlign w:val="center"/>
          </w:tcPr>
          <w:p w14:paraId="795B59B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203" w:type="dxa"/>
            <w:tcBorders>
              <w:top w:val="nil"/>
              <w:left w:val="nil"/>
              <w:bottom w:val="single" w:color="auto" w:sz="4" w:space="0"/>
              <w:right w:val="single" w:color="auto" w:sz="4" w:space="0"/>
            </w:tcBorders>
            <w:noWrap w:val="0"/>
            <w:vAlign w:val="center"/>
          </w:tcPr>
          <w:p w14:paraId="5399C67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441F20FA">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C849C01">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677FDF4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61EEF54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E85DAF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836" w:type="dxa"/>
            <w:tcBorders>
              <w:top w:val="nil"/>
              <w:left w:val="nil"/>
              <w:bottom w:val="single" w:color="auto" w:sz="4" w:space="0"/>
              <w:right w:val="single" w:color="auto" w:sz="4" w:space="0"/>
            </w:tcBorders>
            <w:noWrap w:val="0"/>
            <w:vAlign w:val="center"/>
          </w:tcPr>
          <w:p w14:paraId="11D87D8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203" w:type="dxa"/>
            <w:tcBorders>
              <w:top w:val="nil"/>
              <w:left w:val="nil"/>
              <w:bottom w:val="single" w:color="auto" w:sz="4" w:space="0"/>
              <w:right w:val="single" w:color="auto" w:sz="4" w:space="0"/>
            </w:tcBorders>
            <w:noWrap w:val="0"/>
            <w:vAlign w:val="center"/>
          </w:tcPr>
          <w:p w14:paraId="3C69CE5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7E7A2DFE">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6ADF8CC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915" w:type="dxa"/>
            <w:tcBorders>
              <w:top w:val="nil"/>
              <w:left w:val="nil"/>
              <w:bottom w:val="single" w:color="auto" w:sz="4" w:space="0"/>
              <w:right w:val="single" w:color="auto" w:sz="4" w:space="0"/>
            </w:tcBorders>
            <w:noWrap w:val="0"/>
            <w:vAlign w:val="center"/>
          </w:tcPr>
          <w:p w14:paraId="2DF4D7A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38CD0A9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014D2A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836" w:type="dxa"/>
            <w:tcBorders>
              <w:top w:val="nil"/>
              <w:left w:val="nil"/>
              <w:bottom w:val="single" w:color="auto" w:sz="4" w:space="0"/>
              <w:right w:val="single" w:color="auto" w:sz="4" w:space="0"/>
            </w:tcBorders>
            <w:noWrap w:val="0"/>
            <w:vAlign w:val="center"/>
          </w:tcPr>
          <w:p w14:paraId="3350CB6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203" w:type="dxa"/>
            <w:tcBorders>
              <w:top w:val="nil"/>
              <w:left w:val="nil"/>
              <w:bottom w:val="single" w:color="auto" w:sz="4" w:space="0"/>
              <w:right w:val="single" w:color="auto" w:sz="4" w:space="0"/>
            </w:tcBorders>
            <w:noWrap w:val="0"/>
            <w:vAlign w:val="center"/>
          </w:tcPr>
          <w:p w14:paraId="746B17E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09BB217D">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2C64F542">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743B967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E2D9CB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81516E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836" w:type="dxa"/>
            <w:tcBorders>
              <w:top w:val="nil"/>
              <w:left w:val="nil"/>
              <w:bottom w:val="single" w:color="auto" w:sz="4" w:space="0"/>
              <w:right w:val="single" w:color="auto" w:sz="4" w:space="0"/>
            </w:tcBorders>
            <w:noWrap w:val="0"/>
            <w:vAlign w:val="center"/>
          </w:tcPr>
          <w:p w14:paraId="10077FB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203" w:type="dxa"/>
            <w:tcBorders>
              <w:top w:val="nil"/>
              <w:left w:val="nil"/>
              <w:bottom w:val="single" w:color="auto" w:sz="4" w:space="0"/>
              <w:right w:val="single" w:color="auto" w:sz="4" w:space="0"/>
            </w:tcBorders>
            <w:noWrap w:val="0"/>
            <w:vAlign w:val="center"/>
          </w:tcPr>
          <w:p w14:paraId="763134E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12FC7066">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66E48F8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915" w:type="dxa"/>
            <w:tcBorders>
              <w:top w:val="nil"/>
              <w:left w:val="nil"/>
              <w:bottom w:val="single" w:color="auto" w:sz="4" w:space="0"/>
              <w:right w:val="single" w:color="auto" w:sz="4" w:space="0"/>
            </w:tcBorders>
            <w:noWrap w:val="0"/>
            <w:vAlign w:val="center"/>
          </w:tcPr>
          <w:p w14:paraId="5D9BCAD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5BA2A8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9979FB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836" w:type="dxa"/>
            <w:tcBorders>
              <w:top w:val="nil"/>
              <w:left w:val="nil"/>
              <w:bottom w:val="single" w:color="auto" w:sz="4" w:space="0"/>
              <w:right w:val="single" w:color="auto" w:sz="4" w:space="0"/>
            </w:tcBorders>
            <w:noWrap w:val="0"/>
            <w:vAlign w:val="center"/>
          </w:tcPr>
          <w:p w14:paraId="6B2ACF4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203" w:type="dxa"/>
            <w:tcBorders>
              <w:top w:val="nil"/>
              <w:left w:val="nil"/>
              <w:bottom w:val="single" w:color="auto" w:sz="4" w:space="0"/>
              <w:right w:val="single" w:color="auto" w:sz="4" w:space="0"/>
            </w:tcBorders>
            <w:noWrap w:val="0"/>
            <w:vAlign w:val="center"/>
          </w:tcPr>
          <w:p w14:paraId="0A8F99B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B2DC69D">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104157A4">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55D06CD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05C79C9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CD65FE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836" w:type="dxa"/>
            <w:tcBorders>
              <w:top w:val="nil"/>
              <w:left w:val="nil"/>
              <w:bottom w:val="single" w:color="auto" w:sz="4" w:space="0"/>
              <w:right w:val="single" w:color="auto" w:sz="4" w:space="0"/>
            </w:tcBorders>
            <w:noWrap w:val="0"/>
            <w:vAlign w:val="center"/>
          </w:tcPr>
          <w:p w14:paraId="33FC14A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203" w:type="dxa"/>
            <w:tcBorders>
              <w:top w:val="nil"/>
              <w:left w:val="nil"/>
              <w:bottom w:val="single" w:color="auto" w:sz="4" w:space="0"/>
              <w:right w:val="single" w:color="auto" w:sz="4" w:space="0"/>
            </w:tcBorders>
            <w:noWrap w:val="0"/>
            <w:vAlign w:val="center"/>
          </w:tcPr>
          <w:p w14:paraId="4B36F79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FF9C643">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099AF27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915" w:type="dxa"/>
            <w:tcBorders>
              <w:top w:val="nil"/>
              <w:left w:val="nil"/>
              <w:bottom w:val="single" w:color="auto" w:sz="4" w:space="0"/>
              <w:right w:val="single" w:color="auto" w:sz="4" w:space="0"/>
            </w:tcBorders>
            <w:noWrap w:val="0"/>
            <w:vAlign w:val="center"/>
          </w:tcPr>
          <w:p w14:paraId="67E4869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169500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3F9B9A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0890249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62782EC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8707148">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D93F720">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4E182CB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06E6FA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06DF777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836" w:type="dxa"/>
            <w:tcBorders>
              <w:top w:val="nil"/>
              <w:left w:val="nil"/>
              <w:bottom w:val="single" w:color="auto" w:sz="4" w:space="0"/>
              <w:right w:val="single" w:color="auto" w:sz="4" w:space="0"/>
            </w:tcBorders>
            <w:noWrap w:val="0"/>
            <w:vAlign w:val="center"/>
          </w:tcPr>
          <w:p w14:paraId="34ECCCF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203" w:type="dxa"/>
            <w:tcBorders>
              <w:top w:val="nil"/>
              <w:left w:val="nil"/>
              <w:bottom w:val="single" w:color="auto" w:sz="4" w:space="0"/>
              <w:right w:val="single" w:color="auto" w:sz="4" w:space="0"/>
            </w:tcBorders>
            <w:noWrap w:val="0"/>
            <w:vAlign w:val="center"/>
          </w:tcPr>
          <w:p w14:paraId="12AFED9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60DA8CE0">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419CC3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915" w:type="dxa"/>
            <w:tcBorders>
              <w:top w:val="nil"/>
              <w:left w:val="nil"/>
              <w:bottom w:val="single" w:color="auto" w:sz="4" w:space="0"/>
              <w:right w:val="single" w:color="auto" w:sz="4" w:space="0"/>
            </w:tcBorders>
            <w:noWrap w:val="0"/>
            <w:vAlign w:val="center"/>
          </w:tcPr>
          <w:p w14:paraId="2D437B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4BD651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25B5AC1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836" w:type="dxa"/>
            <w:tcBorders>
              <w:top w:val="nil"/>
              <w:left w:val="nil"/>
              <w:bottom w:val="single" w:color="auto" w:sz="4" w:space="0"/>
              <w:right w:val="single" w:color="auto" w:sz="4" w:space="0"/>
            </w:tcBorders>
            <w:noWrap w:val="0"/>
            <w:vAlign w:val="center"/>
          </w:tcPr>
          <w:p w14:paraId="597533C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203" w:type="dxa"/>
            <w:tcBorders>
              <w:top w:val="nil"/>
              <w:left w:val="nil"/>
              <w:bottom w:val="single" w:color="auto" w:sz="4" w:space="0"/>
              <w:right w:val="single" w:color="auto" w:sz="4" w:space="0"/>
            </w:tcBorders>
            <w:noWrap w:val="0"/>
            <w:vAlign w:val="center"/>
          </w:tcPr>
          <w:p w14:paraId="296D753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27B47434">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2CCDFC6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DAB44E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C90BF4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037034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836" w:type="dxa"/>
            <w:tcBorders>
              <w:top w:val="nil"/>
              <w:left w:val="nil"/>
              <w:bottom w:val="single" w:color="auto" w:sz="4" w:space="0"/>
              <w:right w:val="single" w:color="auto" w:sz="4" w:space="0"/>
            </w:tcBorders>
            <w:noWrap w:val="0"/>
            <w:vAlign w:val="center"/>
          </w:tcPr>
          <w:p w14:paraId="61D4138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29B3E8A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AD4F12D">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7EF411D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915" w:type="dxa"/>
            <w:tcBorders>
              <w:top w:val="nil"/>
              <w:left w:val="nil"/>
              <w:bottom w:val="single" w:color="auto" w:sz="4" w:space="0"/>
              <w:right w:val="single" w:color="auto" w:sz="4" w:space="0"/>
            </w:tcBorders>
            <w:noWrap w:val="0"/>
            <w:vAlign w:val="center"/>
          </w:tcPr>
          <w:p w14:paraId="3E11094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0DC9022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3123EF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3E17EFE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203" w:type="dxa"/>
            <w:tcBorders>
              <w:top w:val="nil"/>
              <w:left w:val="nil"/>
              <w:bottom w:val="single" w:color="auto" w:sz="4" w:space="0"/>
              <w:right w:val="single" w:color="auto" w:sz="4" w:space="0"/>
            </w:tcBorders>
            <w:noWrap w:val="0"/>
            <w:vAlign w:val="center"/>
          </w:tcPr>
          <w:p w14:paraId="6884525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310FDAA">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9993BDC">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FBB38F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5FA18E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B46755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836" w:type="dxa"/>
            <w:tcBorders>
              <w:top w:val="nil"/>
              <w:left w:val="nil"/>
              <w:bottom w:val="single" w:color="auto" w:sz="4" w:space="0"/>
              <w:right w:val="single" w:color="auto" w:sz="4" w:space="0"/>
            </w:tcBorders>
            <w:noWrap w:val="0"/>
            <w:vAlign w:val="center"/>
          </w:tcPr>
          <w:p w14:paraId="084FB5E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6B3A5CA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A2BEDD5">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3F7C40C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915" w:type="dxa"/>
            <w:tcBorders>
              <w:top w:val="nil"/>
              <w:left w:val="nil"/>
              <w:bottom w:val="single" w:color="auto" w:sz="4" w:space="0"/>
              <w:right w:val="single" w:color="auto" w:sz="4" w:space="0"/>
            </w:tcBorders>
            <w:noWrap w:val="0"/>
            <w:vAlign w:val="center"/>
          </w:tcPr>
          <w:p w14:paraId="369E475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090519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371700D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0DDECA0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0E57725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00654B8">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24B2FED8">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918629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123DA7D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B65D05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03F5CD1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7148BB3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F67F188">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771C5F5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915" w:type="dxa"/>
            <w:tcBorders>
              <w:top w:val="nil"/>
              <w:left w:val="nil"/>
              <w:bottom w:val="single" w:color="auto" w:sz="4" w:space="0"/>
              <w:right w:val="single" w:color="auto" w:sz="4" w:space="0"/>
            </w:tcBorders>
            <w:noWrap w:val="0"/>
            <w:vAlign w:val="center"/>
          </w:tcPr>
          <w:p w14:paraId="58D5343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9AFCCB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63CE532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7A8A9F7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52592B7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0AEA535">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51F1E21A">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485FB76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B3FA4F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F3B882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836" w:type="dxa"/>
            <w:tcBorders>
              <w:top w:val="nil"/>
              <w:left w:val="nil"/>
              <w:bottom w:val="single" w:color="auto" w:sz="4" w:space="0"/>
              <w:right w:val="single" w:color="auto" w:sz="4" w:space="0"/>
            </w:tcBorders>
            <w:noWrap w:val="0"/>
            <w:vAlign w:val="center"/>
          </w:tcPr>
          <w:p w14:paraId="65BB431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203" w:type="dxa"/>
            <w:tcBorders>
              <w:top w:val="nil"/>
              <w:left w:val="nil"/>
              <w:bottom w:val="single" w:color="auto" w:sz="4" w:space="0"/>
              <w:right w:val="single" w:color="auto" w:sz="4" w:space="0"/>
            </w:tcBorders>
            <w:noWrap w:val="0"/>
            <w:vAlign w:val="center"/>
          </w:tcPr>
          <w:p w14:paraId="5168AD0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95243E7">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770C314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915" w:type="dxa"/>
            <w:tcBorders>
              <w:top w:val="nil"/>
              <w:left w:val="nil"/>
              <w:bottom w:val="single" w:color="auto" w:sz="4" w:space="0"/>
              <w:right w:val="single" w:color="auto" w:sz="4" w:space="0"/>
            </w:tcBorders>
            <w:noWrap w:val="0"/>
            <w:vAlign w:val="center"/>
          </w:tcPr>
          <w:p w14:paraId="4E5A2E7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4C331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4D3E4CD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836" w:type="dxa"/>
            <w:tcBorders>
              <w:top w:val="nil"/>
              <w:left w:val="nil"/>
              <w:bottom w:val="single" w:color="auto" w:sz="4" w:space="0"/>
              <w:right w:val="single" w:color="auto" w:sz="4" w:space="0"/>
            </w:tcBorders>
            <w:noWrap w:val="0"/>
            <w:vAlign w:val="center"/>
          </w:tcPr>
          <w:p w14:paraId="08A726B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5D129C0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0A11726">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3FFC8814">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738525B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6A11A0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B6277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836" w:type="dxa"/>
            <w:tcBorders>
              <w:top w:val="nil"/>
              <w:left w:val="nil"/>
              <w:bottom w:val="single" w:color="auto" w:sz="4" w:space="0"/>
              <w:right w:val="single" w:color="auto" w:sz="4" w:space="0"/>
            </w:tcBorders>
            <w:noWrap w:val="0"/>
            <w:vAlign w:val="center"/>
          </w:tcPr>
          <w:p w14:paraId="57ABF78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203" w:type="dxa"/>
            <w:tcBorders>
              <w:top w:val="nil"/>
              <w:left w:val="nil"/>
              <w:bottom w:val="single" w:color="auto" w:sz="4" w:space="0"/>
              <w:right w:val="single" w:color="auto" w:sz="4" w:space="0"/>
            </w:tcBorders>
            <w:noWrap w:val="0"/>
            <w:vAlign w:val="center"/>
          </w:tcPr>
          <w:p w14:paraId="3A4280A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9CE3169">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3A62FB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915" w:type="dxa"/>
            <w:tcBorders>
              <w:top w:val="nil"/>
              <w:left w:val="nil"/>
              <w:bottom w:val="single" w:color="auto" w:sz="4" w:space="0"/>
              <w:right w:val="single" w:color="auto" w:sz="4" w:space="0"/>
            </w:tcBorders>
            <w:noWrap w:val="0"/>
            <w:vAlign w:val="center"/>
          </w:tcPr>
          <w:p w14:paraId="2024D97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74CA7EE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010CED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0ABB79B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7AB9460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1AF3A709">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F74EF5F">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06D8C4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DA05C4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6BD2B17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836" w:type="dxa"/>
            <w:tcBorders>
              <w:top w:val="nil"/>
              <w:left w:val="nil"/>
              <w:bottom w:val="single" w:color="auto" w:sz="4" w:space="0"/>
              <w:right w:val="single" w:color="auto" w:sz="4" w:space="0"/>
            </w:tcBorders>
            <w:noWrap w:val="0"/>
            <w:vAlign w:val="center"/>
          </w:tcPr>
          <w:p w14:paraId="7AA6E7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203" w:type="dxa"/>
            <w:tcBorders>
              <w:top w:val="nil"/>
              <w:left w:val="nil"/>
              <w:bottom w:val="single" w:color="auto" w:sz="4" w:space="0"/>
              <w:right w:val="single" w:color="auto" w:sz="4" w:space="0"/>
            </w:tcBorders>
            <w:noWrap w:val="0"/>
            <w:vAlign w:val="center"/>
          </w:tcPr>
          <w:p w14:paraId="4E22933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107FBC95">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2D9F3CF7">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915" w:type="dxa"/>
            <w:tcBorders>
              <w:top w:val="nil"/>
              <w:left w:val="nil"/>
              <w:bottom w:val="single" w:color="auto" w:sz="4" w:space="0"/>
              <w:right w:val="single" w:color="auto" w:sz="4" w:space="0"/>
            </w:tcBorders>
            <w:noWrap w:val="0"/>
            <w:vAlign w:val="center"/>
          </w:tcPr>
          <w:p w14:paraId="3A7AC2B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38FE7B7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212EBA2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836" w:type="dxa"/>
            <w:tcBorders>
              <w:top w:val="nil"/>
              <w:left w:val="nil"/>
              <w:bottom w:val="single" w:color="auto" w:sz="4" w:space="0"/>
              <w:right w:val="single" w:color="auto" w:sz="4" w:space="0"/>
            </w:tcBorders>
            <w:noWrap w:val="0"/>
            <w:vAlign w:val="center"/>
          </w:tcPr>
          <w:p w14:paraId="0BB8BF5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203" w:type="dxa"/>
            <w:tcBorders>
              <w:top w:val="nil"/>
              <w:left w:val="nil"/>
              <w:bottom w:val="single" w:color="auto" w:sz="4" w:space="0"/>
              <w:right w:val="single" w:color="auto" w:sz="4" w:space="0"/>
            </w:tcBorders>
            <w:noWrap w:val="0"/>
            <w:vAlign w:val="center"/>
          </w:tcPr>
          <w:p w14:paraId="059534C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33210152">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34C4B29">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38943C0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7507668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3DB512D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836" w:type="dxa"/>
            <w:tcBorders>
              <w:top w:val="nil"/>
              <w:left w:val="nil"/>
              <w:bottom w:val="single" w:color="auto" w:sz="4" w:space="0"/>
              <w:right w:val="single" w:color="auto" w:sz="4" w:space="0"/>
            </w:tcBorders>
            <w:noWrap w:val="0"/>
            <w:vAlign w:val="center"/>
          </w:tcPr>
          <w:p w14:paraId="115C57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203" w:type="dxa"/>
            <w:tcBorders>
              <w:top w:val="nil"/>
              <w:left w:val="nil"/>
              <w:bottom w:val="single" w:color="auto" w:sz="4" w:space="0"/>
              <w:right w:val="single" w:color="auto" w:sz="4" w:space="0"/>
            </w:tcBorders>
            <w:noWrap w:val="0"/>
            <w:vAlign w:val="center"/>
          </w:tcPr>
          <w:p w14:paraId="2E5BD56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6DF5364C">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5148EF9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915" w:type="dxa"/>
            <w:tcBorders>
              <w:top w:val="nil"/>
              <w:left w:val="nil"/>
              <w:bottom w:val="single" w:color="auto" w:sz="4" w:space="0"/>
              <w:right w:val="single" w:color="auto" w:sz="4" w:space="0"/>
            </w:tcBorders>
            <w:noWrap w:val="0"/>
            <w:vAlign w:val="center"/>
          </w:tcPr>
          <w:p w14:paraId="08A928B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12F0596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0A42D22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836" w:type="dxa"/>
            <w:tcBorders>
              <w:top w:val="nil"/>
              <w:left w:val="nil"/>
              <w:bottom w:val="single" w:color="auto" w:sz="4" w:space="0"/>
              <w:right w:val="single" w:color="auto" w:sz="4" w:space="0"/>
            </w:tcBorders>
            <w:noWrap w:val="0"/>
            <w:vAlign w:val="center"/>
          </w:tcPr>
          <w:p w14:paraId="6E5607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203" w:type="dxa"/>
            <w:tcBorders>
              <w:top w:val="nil"/>
              <w:left w:val="nil"/>
              <w:bottom w:val="single" w:color="auto" w:sz="4" w:space="0"/>
              <w:right w:val="single" w:color="auto" w:sz="4" w:space="0"/>
            </w:tcBorders>
            <w:noWrap w:val="0"/>
            <w:vAlign w:val="center"/>
          </w:tcPr>
          <w:p w14:paraId="101949D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788817AE">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66B378B6">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2DCCF0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961" w:type="dxa"/>
            <w:tcBorders>
              <w:top w:val="nil"/>
              <w:left w:val="nil"/>
              <w:bottom w:val="single" w:color="auto" w:sz="4" w:space="0"/>
              <w:right w:val="single" w:color="auto" w:sz="4" w:space="0"/>
            </w:tcBorders>
            <w:noWrap w:val="0"/>
            <w:vAlign w:val="center"/>
          </w:tcPr>
          <w:p w14:paraId="2E05B0A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1094D05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836" w:type="dxa"/>
            <w:tcBorders>
              <w:top w:val="nil"/>
              <w:left w:val="nil"/>
              <w:bottom w:val="single" w:color="auto" w:sz="4" w:space="0"/>
              <w:right w:val="single" w:color="auto" w:sz="4" w:space="0"/>
            </w:tcBorders>
            <w:noWrap w:val="0"/>
            <w:vAlign w:val="center"/>
          </w:tcPr>
          <w:p w14:paraId="0D1A49C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203" w:type="dxa"/>
            <w:tcBorders>
              <w:top w:val="nil"/>
              <w:left w:val="nil"/>
              <w:bottom w:val="single" w:color="auto" w:sz="4" w:space="0"/>
              <w:right w:val="single" w:color="auto" w:sz="4" w:space="0"/>
            </w:tcBorders>
            <w:noWrap w:val="0"/>
            <w:vAlign w:val="center"/>
          </w:tcPr>
          <w:p w14:paraId="6B35DC9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63125CB6">
        <w:tblPrEx>
          <w:tblCellMar>
            <w:top w:w="0" w:type="dxa"/>
            <w:left w:w="108" w:type="dxa"/>
            <w:bottom w:w="0" w:type="dxa"/>
            <w:right w:w="108" w:type="dxa"/>
          </w:tblCellMar>
        </w:tblPrEx>
        <w:trPr>
          <w:trHeight w:val="337" w:hRule="atLeast"/>
          <w:jc w:val="center"/>
        </w:trPr>
        <w:tc>
          <w:tcPr>
            <w:tcW w:w="1550" w:type="dxa"/>
            <w:vMerge w:val="restart"/>
            <w:tcBorders>
              <w:top w:val="nil"/>
              <w:left w:val="single" w:color="auto" w:sz="4" w:space="0"/>
              <w:bottom w:val="single" w:color="auto" w:sz="4" w:space="0"/>
              <w:right w:val="single" w:color="auto" w:sz="4" w:space="0"/>
            </w:tcBorders>
            <w:noWrap w:val="0"/>
            <w:vAlign w:val="center"/>
          </w:tcPr>
          <w:p w14:paraId="1AD15F2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915" w:type="dxa"/>
            <w:tcBorders>
              <w:top w:val="nil"/>
              <w:left w:val="nil"/>
              <w:bottom w:val="single" w:color="auto" w:sz="4" w:space="0"/>
              <w:right w:val="single" w:color="auto" w:sz="4" w:space="0"/>
            </w:tcBorders>
            <w:noWrap w:val="0"/>
            <w:vAlign w:val="center"/>
          </w:tcPr>
          <w:p w14:paraId="455E224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32450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56D17B1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7D1DE8D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5CA225E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BD961CC">
        <w:tblPrEx>
          <w:tblCellMar>
            <w:top w:w="0" w:type="dxa"/>
            <w:left w:w="108" w:type="dxa"/>
            <w:bottom w:w="0" w:type="dxa"/>
            <w:right w:w="108" w:type="dxa"/>
          </w:tblCellMar>
        </w:tblPrEx>
        <w:trPr>
          <w:trHeight w:val="337" w:hRule="atLeast"/>
          <w:jc w:val="center"/>
        </w:trPr>
        <w:tc>
          <w:tcPr>
            <w:tcW w:w="1550" w:type="dxa"/>
            <w:vMerge w:val="continue"/>
            <w:tcBorders>
              <w:top w:val="nil"/>
              <w:left w:val="single" w:color="auto" w:sz="4" w:space="0"/>
              <w:bottom w:val="single" w:color="auto" w:sz="4" w:space="0"/>
              <w:right w:val="single" w:color="auto" w:sz="4" w:space="0"/>
            </w:tcBorders>
            <w:noWrap w:val="0"/>
            <w:vAlign w:val="center"/>
          </w:tcPr>
          <w:p w14:paraId="7152105B">
            <w:pPr>
              <w:widowControl/>
              <w:jc w:val="left"/>
              <w:rPr>
                <w:rFonts w:hint="eastAsia" w:ascii="宋体" w:hAnsi="宋体" w:eastAsia="宋体" w:cs="宋体"/>
                <w:b/>
                <w:bCs/>
                <w:color w:val="auto"/>
                <w:kern w:val="0"/>
                <w:sz w:val="24"/>
                <w:szCs w:val="24"/>
                <w:highlight w:val="none"/>
              </w:rPr>
            </w:pPr>
          </w:p>
        </w:tc>
        <w:tc>
          <w:tcPr>
            <w:tcW w:w="1915" w:type="dxa"/>
            <w:tcBorders>
              <w:top w:val="nil"/>
              <w:left w:val="nil"/>
              <w:bottom w:val="single" w:color="auto" w:sz="4" w:space="0"/>
              <w:right w:val="single" w:color="auto" w:sz="4" w:space="0"/>
            </w:tcBorders>
            <w:noWrap w:val="0"/>
            <w:vAlign w:val="center"/>
          </w:tcPr>
          <w:p w14:paraId="01091C1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961" w:type="dxa"/>
            <w:tcBorders>
              <w:top w:val="nil"/>
              <w:left w:val="nil"/>
              <w:bottom w:val="single" w:color="auto" w:sz="4" w:space="0"/>
              <w:right w:val="single" w:color="auto" w:sz="4" w:space="0"/>
            </w:tcBorders>
            <w:noWrap w:val="0"/>
            <w:vAlign w:val="center"/>
          </w:tcPr>
          <w:p w14:paraId="284AD1A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2071" w:type="dxa"/>
            <w:tcBorders>
              <w:top w:val="nil"/>
              <w:left w:val="nil"/>
              <w:bottom w:val="single" w:color="auto" w:sz="4" w:space="0"/>
              <w:right w:val="single" w:color="auto" w:sz="4" w:space="0"/>
            </w:tcBorders>
            <w:noWrap w:val="0"/>
            <w:vAlign w:val="center"/>
          </w:tcPr>
          <w:p w14:paraId="5BA55EE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836" w:type="dxa"/>
            <w:tcBorders>
              <w:top w:val="nil"/>
              <w:left w:val="nil"/>
              <w:bottom w:val="single" w:color="auto" w:sz="4" w:space="0"/>
              <w:right w:val="single" w:color="auto" w:sz="4" w:space="0"/>
            </w:tcBorders>
            <w:noWrap w:val="0"/>
            <w:vAlign w:val="center"/>
          </w:tcPr>
          <w:p w14:paraId="0EF0C5B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203" w:type="dxa"/>
            <w:tcBorders>
              <w:top w:val="nil"/>
              <w:left w:val="nil"/>
              <w:bottom w:val="single" w:color="auto" w:sz="4" w:space="0"/>
              <w:right w:val="single" w:color="auto" w:sz="4" w:space="0"/>
            </w:tcBorders>
            <w:noWrap w:val="0"/>
            <w:vAlign w:val="center"/>
          </w:tcPr>
          <w:p w14:paraId="223F0B0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93F3D55">
        <w:tblPrEx>
          <w:tblCellMar>
            <w:top w:w="0" w:type="dxa"/>
            <w:left w:w="108" w:type="dxa"/>
            <w:bottom w:w="0" w:type="dxa"/>
            <w:right w:w="108" w:type="dxa"/>
          </w:tblCellMar>
        </w:tblPrEx>
        <w:trPr>
          <w:trHeight w:val="359" w:hRule="atLeast"/>
          <w:jc w:val="center"/>
        </w:trPr>
        <w:tc>
          <w:tcPr>
            <w:tcW w:w="1550" w:type="dxa"/>
            <w:tcBorders>
              <w:top w:val="nil"/>
              <w:left w:val="single" w:color="auto" w:sz="4" w:space="0"/>
              <w:bottom w:val="single" w:color="auto" w:sz="4" w:space="0"/>
              <w:right w:val="single" w:color="auto" w:sz="4" w:space="0"/>
            </w:tcBorders>
            <w:noWrap w:val="0"/>
            <w:vAlign w:val="center"/>
          </w:tcPr>
          <w:p w14:paraId="27CD1C55">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915" w:type="dxa"/>
            <w:tcBorders>
              <w:top w:val="nil"/>
              <w:left w:val="nil"/>
              <w:bottom w:val="single" w:color="auto" w:sz="4" w:space="0"/>
              <w:right w:val="single" w:color="auto" w:sz="4" w:space="0"/>
            </w:tcBorders>
            <w:noWrap w:val="0"/>
            <w:vAlign w:val="center"/>
          </w:tcPr>
          <w:p w14:paraId="6DACDE3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961" w:type="dxa"/>
            <w:tcBorders>
              <w:top w:val="nil"/>
              <w:left w:val="nil"/>
              <w:bottom w:val="single" w:color="auto" w:sz="4" w:space="0"/>
              <w:right w:val="single" w:color="auto" w:sz="4" w:space="0"/>
            </w:tcBorders>
            <w:noWrap w:val="0"/>
            <w:vAlign w:val="center"/>
          </w:tcPr>
          <w:p w14:paraId="6A9BFE3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2071" w:type="dxa"/>
            <w:tcBorders>
              <w:top w:val="nil"/>
              <w:left w:val="nil"/>
              <w:bottom w:val="single" w:color="auto" w:sz="4" w:space="0"/>
              <w:right w:val="single" w:color="auto" w:sz="4" w:space="0"/>
            </w:tcBorders>
            <w:noWrap w:val="0"/>
            <w:vAlign w:val="center"/>
          </w:tcPr>
          <w:p w14:paraId="79714B0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836" w:type="dxa"/>
            <w:tcBorders>
              <w:top w:val="nil"/>
              <w:left w:val="nil"/>
              <w:bottom w:val="single" w:color="auto" w:sz="4" w:space="0"/>
              <w:right w:val="single" w:color="auto" w:sz="4" w:space="0"/>
            </w:tcBorders>
            <w:noWrap w:val="0"/>
            <w:vAlign w:val="center"/>
          </w:tcPr>
          <w:p w14:paraId="29CB0C5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203" w:type="dxa"/>
            <w:tcBorders>
              <w:top w:val="nil"/>
              <w:left w:val="nil"/>
              <w:bottom w:val="single" w:color="auto" w:sz="4" w:space="0"/>
              <w:right w:val="single" w:color="auto" w:sz="4" w:space="0"/>
            </w:tcBorders>
            <w:noWrap w:val="0"/>
            <w:vAlign w:val="center"/>
          </w:tcPr>
          <w:p w14:paraId="6125D80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53277FD4">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说明：上述标准参照《关于印发中小企业划型标准规定的通知》（工信部联企业[2011]300号）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大型、中型和小型企业须同时满足所列指标的下限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否则下划一档；微型企业只须满足所列指标中的一项即可。</w:t>
      </w:r>
    </w:p>
    <w:p w14:paraId="24EBB1A1">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24"/>
          <w:highlight w:val="none"/>
          <w:lang w:val="zh-CN"/>
        </w:rPr>
        <w:br w:type="page"/>
      </w:r>
      <w:r>
        <w:rPr>
          <w:rFonts w:hint="eastAsia" w:ascii="宋体" w:hAnsi="宋体" w:eastAsia="宋体" w:cs="宋体"/>
          <w:b/>
          <w:bCs/>
          <w:color w:val="auto"/>
          <w:sz w:val="30"/>
          <w:szCs w:val="30"/>
          <w:highlight w:val="none"/>
        </w:rPr>
        <w:t>残疾人福利性单位声明函</w:t>
      </w:r>
    </w:p>
    <w:p w14:paraId="4FF6357A">
      <w:pPr>
        <w:spacing w:line="520" w:lineRule="exact"/>
        <w:rPr>
          <w:rFonts w:hint="eastAsia" w:ascii="宋体" w:hAnsi="宋体" w:eastAsia="宋体" w:cs="宋体"/>
          <w:color w:val="auto"/>
          <w:sz w:val="32"/>
          <w:szCs w:val="32"/>
          <w:highlight w:val="none"/>
        </w:rPr>
      </w:pPr>
    </w:p>
    <w:p w14:paraId="5245D3D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根据《财政部 民政部 中国残疾人联合会关于促进残疾人就业政府采购政策的通知》（财库〔2017〕141号）的规定</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本单位为符合条件的残疾人福利性单位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24207D5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将依法承担相应责任。</w:t>
      </w:r>
    </w:p>
    <w:p w14:paraId="03DB7078">
      <w:pPr>
        <w:spacing w:line="360" w:lineRule="auto"/>
        <w:contextualSpacing/>
        <w:rPr>
          <w:rFonts w:hint="eastAsia" w:ascii="宋体" w:hAnsi="宋体" w:eastAsia="宋体" w:cs="宋体"/>
          <w:color w:val="auto"/>
          <w:sz w:val="24"/>
          <w:highlight w:val="none"/>
        </w:rPr>
      </w:pPr>
    </w:p>
    <w:p w14:paraId="13401D3D">
      <w:pPr>
        <w:spacing w:line="360" w:lineRule="auto"/>
        <w:contextualSpacing/>
        <w:rPr>
          <w:rFonts w:hint="eastAsia" w:ascii="宋体" w:hAnsi="宋体" w:eastAsia="宋体" w:cs="宋体"/>
          <w:color w:val="auto"/>
          <w:sz w:val="24"/>
          <w:highlight w:val="none"/>
        </w:rPr>
      </w:pPr>
    </w:p>
    <w:p w14:paraId="7378E085">
      <w:pPr>
        <w:spacing w:line="360" w:lineRule="auto"/>
        <w:contextualSpacing/>
        <w:rPr>
          <w:rFonts w:hint="eastAsia" w:ascii="宋体" w:hAnsi="宋体" w:eastAsia="宋体" w:cs="宋体"/>
          <w:color w:val="auto"/>
          <w:sz w:val="24"/>
          <w:highlight w:val="none"/>
        </w:rPr>
      </w:pPr>
    </w:p>
    <w:p w14:paraId="123A75AA">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CD921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5FF9E9A">
      <w:pPr>
        <w:spacing w:line="360" w:lineRule="auto"/>
        <w:contextualSpacing/>
        <w:rPr>
          <w:rFonts w:hint="eastAsia" w:ascii="宋体" w:hAnsi="宋体" w:eastAsia="宋体" w:cs="宋体"/>
          <w:color w:val="auto"/>
          <w:sz w:val="24"/>
          <w:highlight w:val="none"/>
        </w:rPr>
      </w:pPr>
    </w:p>
    <w:p w14:paraId="3B98582C">
      <w:pPr>
        <w:spacing w:line="360" w:lineRule="auto"/>
        <w:contextualSpacing/>
        <w:rPr>
          <w:rFonts w:hint="eastAsia" w:ascii="宋体" w:hAnsi="宋体" w:eastAsia="宋体" w:cs="宋体"/>
          <w:color w:val="auto"/>
          <w:sz w:val="24"/>
          <w:highlight w:val="none"/>
        </w:rPr>
      </w:pPr>
    </w:p>
    <w:p w14:paraId="5FCF32F9">
      <w:pPr>
        <w:spacing w:line="360" w:lineRule="auto"/>
        <w:contextualSpacing/>
        <w:rPr>
          <w:rFonts w:hint="eastAsia" w:ascii="宋体" w:hAnsi="宋体" w:eastAsia="宋体" w:cs="宋体"/>
          <w:color w:val="auto"/>
          <w:sz w:val="24"/>
          <w:highlight w:val="none"/>
        </w:rPr>
      </w:pPr>
    </w:p>
    <w:p w14:paraId="2FD8615E">
      <w:pPr>
        <w:keepNext w:val="0"/>
        <w:keepLines w:val="0"/>
        <w:pageBreakBefore w:val="0"/>
        <w:widowControl w:val="0"/>
        <w:kinsoku/>
        <w:wordWrap/>
        <w:overflowPunct/>
        <w:topLinePunct w:val="0"/>
        <w:autoSpaceDE w:val="0"/>
        <w:autoSpaceDN w:val="0"/>
        <w:bidi w:val="0"/>
        <w:adjustRightInd/>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注：请根据自己的真实情况出具《残疾人福利性单位声明函》。依法享受中小企业优惠政策的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采购人或者采购代理机构在公告中标结果时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同时公告其《残疾人福利性单位声明函》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接受社会监督。</w:t>
      </w:r>
    </w:p>
    <w:p w14:paraId="5E86A448">
      <w:pPr>
        <w:pStyle w:val="13"/>
        <w:rPr>
          <w:rFonts w:hint="eastAsia" w:ascii="宋体" w:hAnsi="宋体" w:eastAsia="宋体" w:cs="宋体"/>
          <w:color w:val="auto"/>
          <w:kern w:val="0"/>
          <w:sz w:val="24"/>
          <w:highlight w:val="none"/>
          <w:lang w:val="zh-CN"/>
        </w:rPr>
      </w:pPr>
    </w:p>
    <w:p w14:paraId="5AC0E808">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ACB85A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54597A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0FB8F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3810BF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C7DA5D">
      <w:pPr>
        <w:pStyle w:val="2"/>
        <w:rPr>
          <w:rFonts w:hint="eastAsia" w:ascii="宋体" w:hAnsi="宋体" w:eastAsia="宋体" w:cs="宋体"/>
          <w:color w:val="auto"/>
          <w:kern w:val="0"/>
          <w:sz w:val="24"/>
          <w:highlight w:val="none"/>
          <w:lang w:val="zh-CN"/>
        </w:rPr>
      </w:pPr>
    </w:p>
    <w:p w14:paraId="57AF5E95">
      <w:pPr>
        <w:pStyle w:val="2"/>
        <w:rPr>
          <w:rFonts w:hint="eastAsia" w:ascii="宋体" w:hAnsi="宋体" w:eastAsia="宋体" w:cs="宋体"/>
          <w:color w:val="auto"/>
          <w:kern w:val="0"/>
          <w:sz w:val="24"/>
          <w:highlight w:val="none"/>
          <w:lang w:val="zh-CN"/>
        </w:rPr>
      </w:pPr>
    </w:p>
    <w:p w14:paraId="0B7163A9">
      <w:pP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val="0"/>
          <w:caps w:val="0"/>
          <w:smallCaps w:val="0"/>
          <w:color w:val="auto"/>
          <w:spacing w:val="0"/>
          <w:kern w:val="2"/>
          <w:sz w:val="30"/>
          <w:szCs w:val="30"/>
          <w:highlight w:val="none"/>
          <w:lang w:val="en-US" w:eastAsia="zh-CN"/>
        </w:rPr>
        <w:br w:type="page"/>
      </w:r>
    </w:p>
    <w:p w14:paraId="028B0EF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0"/>
          <w:szCs w:val="30"/>
          <w:highlight w:val="none"/>
        </w:rPr>
        <w:t>无串通竞标行为的承诺函</w:t>
      </w:r>
    </w:p>
    <w:p w14:paraId="1D69746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13D92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294E6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6FDC0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582F5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CEA3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A7B0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035887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0332F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29AB6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D7486F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D55896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56B89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或者在竞争性磋商项目中事先约定轮流以高价位或者低价位成交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或者事先约定由某一特定供应商成交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然后再参加竞标；</w:t>
      </w:r>
    </w:p>
    <w:p w14:paraId="528978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3A225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w:t>
      </w:r>
      <w:r>
        <w:rPr>
          <w:rFonts w:hint="eastAsia" w:ascii="宋体" w:hAnsi="宋体" w:eastAsia="宋体" w:cs="宋体"/>
          <w:color w:val="auto"/>
          <w:spacing w:val="-6"/>
          <w:sz w:val="24"/>
          <w:highlight w:val="none"/>
        </w:rPr>
        <w:t>谋求特定供应商成交或者排斥其他供应商的其他串通行为。</w:t>
      </w:r>
    </w:p>
    <w:p w14:paraId="33AEEBB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接受政府采购监管部门对我方认定存在围标串标行为</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我方愿意承担一切后果</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并不再寻求任何旨在减轻或者免除法律责任的辩解。</w:t>
      </w:r>
    </w:p>
    <w:p w14:paraId="3A69DFE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A9958B">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年  月   日  </w:t>
      </w:r>
    </w:p>
    <w:p w14:paraId="36ADA619">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0C7B9CF0">
      <w:pPr>
        <w:autoSpaceDE w:val="0"/>
        <w:autoSpaceDN w:val="0"/>
        <w:spacing w:line="360" w:lineRule="auto"/>
        <w:ind w:firstLine="6144" w:firstLineChars="2550"/>
        <w:rPr>
          <w:rFonts w:hint="eastAsia" w:ascii="宋体" w:hAnsi="宋体" w:eastAsia="宋体" w:cs="宋体"/>
          <w:b/>
          <w:bCs/>
          <w:color w:val="auto"/>
          <w:sz w:val="24"/>
          <w:highlight w:val="none"/>
        </w:rPr>
      </w:pPr>
    </w:p>
    <w:p w14:paraId="7F4A304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
          <w:bCs w:val="0"/>
          <w:color w:val="auto"/>
          <w:sz w:val="30"/>
          <w:szCs w:val="30"/>
          <w:highlight w:val="none"/>
        </w:rPr>
        <w:t>法定代表人证明书</w:t>
      </w:r>
    </w:p>
    <w:p w14:paraId="5897AE98">
      <w:pPr>
        <w:spacing w:line="360" w:lineRule="auto"/>
        <w:ind w:left="540"/>
        <w:contextualSpacing/>
        <w:rPr>
          <w:rFonts w:hint="eastAsia" w:ascii="宋体" w:hAnsi="宋体" w:eastAsia="宋体" w:cs="宋体"/>
          <w:color w:val="auto"/>
          <w:sz w:val="32"/>
          <w:szCs w:val="32"/>
          <w:highlight w:val="none"/>
        </w:rPr>
      </w:pPr>
    </w:p>
    <w:p w14:paraId="3872CDD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86B31F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79D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27DA5E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3FBBEF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E7D05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3EB73A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76BA62">
      <w:pPr>
        <w:spacing w:line="360" w:lineRule="auto"/>
        <w:ind w:left="540"/>
        <w:contextualSpacing/>
        <w:rPr>
          <w:rFonts w:hint="eastAsia" w:ascii="宋体" w:hAnsi="宋体" w:eastAsia="宋体" w:cs="宋体"/>
          <w:color w:val="auto"/>
          <w:sz w:val="24"/>
          <w:highlight w:val="none"/>
        </w:rPr>
      </w:pPr>
    </w:p>
    <w:p w14:paraId="086A82A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tbl>
      <w:tblPr>
        <w:tblStyle w:val="3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090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9480" w:type="dxa"/>
            <w:noWrap w:val="0"/>
            <w:vAlign w:val="top"/>
          </w:tcPr>
          <w:p w14:paraId="4B5856AE">
            <w:pPr>
              <w:spacing w:line="360" w:lineRule="auto"/>
              <w:rPr>
                <w:rFonts w:hint="eastAsia" w:ascii="宋体" w:hAnsi="宋体" w:eastAsia="宋体" w:cs="宋体"/>
                <w:b/>
                <w:color w:val="auto"/>
                <w:sz w:val="24"/>
                <w:highlight w:val="none"/>
              </w:rPr>
            </w:pPr>
          </w:p>
          <w:p w14:paraId="4E5E43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B3BDBC9">
      <w:pPr>
        <w:spacing w:line="360" w:lineRule="auto"/>
        <w:ind w:left="540"/>
        <w:contextualSpacing/>
        <w:rPr>
          <w:rFonts w:hint="eastAsia" w:ascii="宋体" w:hAnsi="宋体" w:eastAsia="宋体" w:cs="宋体"/>
          <w:color w:val="auto"/>
          <w:sz w:val="24"/>
          <w:highlight w:val="none"/>
        </w:rPr>
      </w:pPr>
    </w:p>
    <w:p w14:paraId="48B1E73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B52E92">
      <w:pPr>
        <w:autoSpaceDE w:val="0"/>
        <w:autoSpaceDN w:val="0"/>
        <w:spacing w:line="360" w:lineRule="auto"/>
        <w:ind w:firstLine="5280" w:firstLineChars="2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3048884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939179">
      <w:pPr>
        <w:spacing w:line="360" w:lineRule="auto"/>
        <w:contextualSpacing/>
        <w:jc w:val="left"/>
        <w:rPr>
          <w:rFonts w:hint="eastAsia" w:ascii="宋体" w:hAnsi="宋体" w:eastAsia="宋体" w:cs="宋体"/>
          <w:color w:val="auto"/>
          <w:sz w:val="24"/>
          <w:highlight w:val="none"/>
        </w:rPr>
      </w:pPr>
    </w:p>
    <w:p w14:paraId="555E30C1">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注：供应商为其他组织或者自然人时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本磋商文件规定的法定代表人指负责人或者自然人。本磋商文件所称负责人是指参加竞标的其他组织营业执照上的负责人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本磋商文件所称自然人指参与竞标的自然人本人。</w:t>
      </w:r>
    </w:p>
    <w:p w14:paraId="66B23098">
      <w:pPr>
        <w:numPr>
          <w:ilvl w:val="0"/>
          <w:numId w:val="0"/>
        </w:numPr>
        <w:spacing w:line="360" w:lineRule="auto"/>
        <w:ind w:firstLine="480" w:firstLineChars="200"/>
        <w:contextualSpacing/>
        <w:jc w:val="left"/>
        <w:rPr>
          <w:rFonts w:hint="eastAsia" w:ascii="宋体" w:hAnsi="宋体" w:eastAsia="宋体" w:cs="宋体"/>
          <w:color w:val="auto"/>
          <w:sz w:val="24"/>
          <w:highlight w:val="none"/>
          <w:lang w:val="en-US" w:eastAsia="zh-CN"/>
        </w:rPr>
      </w:pPr>
    </w:p>
    <w:p w14:paraId="413B6750">
      <w:pPr>
        <w:spacing w:line="520" w:lineRule="exact"/>
        <w:jc w:val="center"/>
        <w:rPr>
          <w:rFonts w:hint="eastAsia" w:ascii="宋体" w:hAnsi="宋体" w:eastAsia="宋体" w:cs="宋体"/>
          <w:b/>
          <w:color w:val="auto"/>
          <w:kern w:val="2"/>
          <w:sz w:val="30"/>
          <w:szCs w:val="30"/>
          <w:highlight w:val="none"/>
          <w:lang w:val="en-US" w:eastAsia="zh-CN"/>
        </w:rPr>
      </w:pPr>
    </w:p>
    <w:p w14:paraId="0AB382DA">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9D78F4A">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授权委托书</w:t>
      </w:r>
    </w:p>
    <w:p w14:paraId="1A6FE563">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宋体" w:hAnsi="宋体" w:eastAsia="宋体" w:cs="宋体"/>
          <w:color w:val="auto"/>
          <w:sz w:val="44"/>
          <w:szCs w:val="44"/>
          <w:highlight w:val="none"/>
        </w:rPr>
      </w:pPr>
      <w:r>
        <w:rPr>
          <w:rFonts w:hint="eastAsia" w:ascii="宋体" w:hAnsi="宋体" w:eastAsia="宋体" w:cs="宋体"/>
          <w:b/>
          <w:bCs/>
          <w:color w:val="auto"/>
          <w:sz w:val="30"/>
          <w:szCs w:val="30"/>
          <w:highlight w:val="none"/>
        </w:rPr>
        <w:t>（如有委托时）</w:t>
      </w:r>
    </w:p>
    <w:p w14:paraId="501FB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53B270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并代表我方全权办理针对上述项目的所有采购程序和环节的具体事务和签署相关文件。</w:t>
      </w:r>
    </w:p>
    <w:p w14:paraId="1BC793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07940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在撤销授权的书面通知以前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本授权书一直有效。委托代理人在授权书有效期内签署的所有文件不因授权的撤销而失效。</w:t>
      </w:r>
    </w:p>
    <w:p w14:paraId="63A710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特此委托。</w:t>
      </w:r>
    </w:p>
    <w:p w14:paraId="16FDD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F070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A862E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14:paraId="2B652F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tbl>
      <w:tblPr>
        <w:tblStyle w:val="33"/>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0"/>
      </w:tblGrid>
      <w:tr w14:paraId="44C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880" w:type="dxa"/>
            <w:noWrap w:val="0"/>
            <w:vAlign w:val="top"/>
          </w:tcPr>
          <w:p w14:paraId="0191173B">
            <w:pPr>
              <w:autoSpaceDE w:val="0"/>
              <w:autoSpaceDN w:val="0"/>
              <w:spacing w:line="360" w:lineRule="auto"/>
              <w:rPr>
                <w:rFonts w:hint="eastAsia" w:ascii="宋体" w:hAnsi="宋体" w:eastAsia="宋体" w:cs="宋体"/>
                <w:b/>
                <w:bCs/>
                <w:color w:val="auto"/>
                <w:sz w:val="24"/>
                <w:highlight w:val="none"/>
                <w:vertAlign w:val="baseline"/>
              </w:rPr>
            </w:pPr>
            <w:r>
              <w:rPr>
                <w:rFonts w:hint="eastAsia" w:ascii="宋体" w:hAnsi="宋体" w:eastAsia="宋体" w:cs="宋体"/>
                <w:b/>
                <w:color w:val="auto"/>
                <w:sz w:val="24"/>
                <w:highlight w:val="none"/>
              </w:rPr>
              <w:t>委托代理人有效身份证正反面复印件粘帖处（正、反面）</w:t>
            </w:r>
          </w:p>
        </w:tc>
      </w:tr>
    </w:tbl>
    <w:p w14:paraId="3896B42F">
      <w:pPr>
        <w:autoSpaceDE w:val="0"/>
        <w:autoSpaceDN w:val="0"/>
        <w:spacing w:line="360" w:lineRule="auto"/>
        <w:ind w:left="4365" w:leftChars="1850" w:hanging="480" w:hangingChars="200"/>
        <w:rPr>
          <w:rFonts w:hint="eastAsia" w:ascii="宋体" w:hAnsi="宋体" w:eastAsia="宋体" w:cs="宋体"/>
          <w:color w:val="auto"/>
          <w:sz w:val="24"/>
          <w:highlight w:val="none"/>
        </w:rPr>
      </w:pPr>
    </w:p>
    <w:p w14:paraId="6A6403E3">
      <w:pPr>
        <w:autoSpaceDE w:val="0"/>
        <w:autoSpaceDN w:val="0"/>
        <w:spacing w:line="360" w:lineRule="auto"/>
        <w:ind w:left="4365" w:leftChars="1850" w:hanging="480" w:hanging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1E1C2EC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B41CDE">
      <w:pPr>
        <w:spacing w:line="360" w:lineRule="auto"/>
        <w:rPr>
          <w:rFonts w:hint="eastAsia" w:ascii="宋体" w:hAnsi="宋体" w:eastAsia="宋体" w:cs="宋体"/>
          <w:color w:val="auto"/>
          <w:sz w:val="24"/>
          <w:highlight w:val="none"/>
        </w:rPr>
      </w:pPr>
    </w:p>
    <w:p w14:paraId="070FB1C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注：1.法定代表人必须在授权委托书上亲笔签字或盖章</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委托代理人必须在授权委托书上亲笔签字</w:t>
      </w:r>
      <w:r>
        <w:rPr>
          <w:rFonts w:hint="eastAsia" w:ascii="宋体" w:hAnsi="宋体" w:cs="宋体"/>
          <w:color w:val="auto"/>
          <w:sz w:val="22"/>
          <w:szCs w:val="22"/>
          <w:highlight w:val="none"/>
          <w:lang w:eastAsia="zh-CN"/>
        </w:rPr>
        <w:t>，</w:t>
      </w:r>
      <w:r>
        <w:rPr>
          <w:rFonts w:hint="eastAsia" w:ascii="宋体" w:hAnsi="宋体" w:eastAsia="宋体" w:cs="宋体"/>
          <w:b/>
          <w:color w:val="auto"/>
          <w:sz w:val="22"/>
          <w:szCs w:val="22"/>
          <w:highlight w:val="none"/>
        </w:rPr>
        <w:t>否则其响应文件按无效响应处理。</w:t>
      </w:r>
    </w:p>
    <w:p w14:paraId="65FFD7F1">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2.供应商为其他组织或者自然人时</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本磋商文件规定的法定代表人指负责人或者自然人。本磋商文件所称负责人是指参加竞标的其他组织营业执照上的负责人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本磋商文件所称自然人指参与竞标的自然人本人。</w:t>
      </w:r>
    </w:p>
    <w:p w14:paraId="0120D4A9">
      <w:pPr>
        <w:spacing w:line="360" w:lineRule="auto"/>
        <w:ind w:firstLine="440" w:firstLineChars="200"/>
        <w:jc w:val="lef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3.法人、其他组织竞标时“我方”是指“我单位”</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自然人竞标时“我方”是指“本人”。</w:t>
      </w:r>
    </w:p>
    <w:p w14:paraId="5B7EDA45">
      <w:pPr>
        <w:autoSpaceDE w:val="0"/>
        <w:autoSpaceDN w:val="0"/>
        <w:spacing w:line="360" w:lineRule="auto"/>
        <w:ind w:firstLine="6144" w:firstLineChars="2550"/>
        <w:rPr>
          <w:rFonts w:hint="eastAsia" w:ascii="宋体" w:hAnsi="宋体" w:eastAsia="宋体" w:cs="宋体"/>
          <w:b/>
          <w:bCs/>
          <w:color w:val="auto"/>
          <w:sz w:val="24"/>
          <w:highlight w:val="none"/>
        </w:rPr>
      </w:pPr>
    </w:p>
    <w:p w14:paraId="4357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6"/>
          <w:szCs w:val="36"/>
          <w:highlight w:val="none"/>
          <w:lang w:val="en"/>
        </w:rPr>
      </w:pPr>
      <w:r>
        <w:rPr>
          <w:rFonts w:hint="eastAsia" w:ascii="宋体" w:hAnsi="宋体" w:eastAsia="宋体" w:cs="宋体"/>
          <w:b/>
          <w:bCs/>
          <w:color w:val="auto"/>
          <w:sz w:val="36"/>
          <w:szCs w:val="36"/>
          <w:highlight w:val="none"/>
          <w:lang w:val="en"/>
        </w:rPr>
        <w:br w:type="page"/>
      </w:r>
      <w:r>
        <w:rPr>
          <w:rFonts w:hint="eastAsia" w:ascii="宋体" w:hAnsi="宋体" w:eastAsia="宋体" w:cs="宋体"/>
          <w:b/>
          <w:bCs/>
          <w:color w:val="auto"/>
          <w:sz w:val="30"/>
          <w:szCs w:val="30"/>
          <w:highlight w:val="none"/>
          <w:lang w:val="en"/>
        </w:rPr>
        <w:t>商务条款偏离表</w:t>
      </w:r>
    </w:p>
    <w:p w14:paraId="0D23FB66">
      <w:pPr>
        <w:jc w:val="center"/>
        <w:rPr>
          <w:rFonts w:hint="eastAsia" w:ascii="宋体" w:hAnsi="宋体" w:eastAsia="宋体" w:cs="宋体"/>
          <w:b/>
          <w:bCs/>
          <w:color w:val="auto"/>
          <w:sz w:val="28"/>
          <w:szCs w:val="28"/>
          <w:highlight w:val="none"/>
        </w:rPr>
      </w:pPr>
    </w:p>
    <w:p w14:paraId="03B7AF6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450B05D8">
      <w:pPr>
        <w:spacing w:line="360" w:lineRule="auto"/>
        <w:contextualSpacing/>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p>
    <w:p w14:paraId="5885D37A">
      <w:pPr>
        <w:spacing w:line="360" w:lineRule="auto"/>
        <w:contextualSpacing/>
        <w:rPr>
          <w:rFonts w:hint="eastAsia" w:ascii="宋体" w:hAnsi="宋体" w:eastAsia="宋体" w:cs="宋体"/>
          <w:color w:val="auto"/>
          <w:sz w:val="24"/>
          <w:highlight w:val="none"/>
          <w:u w:val="single"/>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BD6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7FAFF3C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11488A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3804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165CDF2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7C1A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3632C2AA">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3B00206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49D79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5C9B1FA">
            <w:pPr>
              <w:spacing w:line="360" w:lineRule="auto"/>
              <w:contextualSpacing/>
              <w:jc w:val="center"/>
              <w:rPr>
                <w:rFonts w:ascii="宋体" w:hAnsi="宋体" w:cs="宋体"/>
                <w:color w:val="auto"/>
                <w:sz w:val="24"/>
                <w:highlight w:val="none"/>
              </w:rPr>
            </w:pPr>
          </w:p>
        </w:tc>
      </w:tr>
      <w:tr w14:paraId="1F18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5FB9C930">
            <w:pPr>
              <w:spacing w:line="360" w:lineRule="auto"/>
              <w:contextualSpacing/>
              <w:jc w:val="center"/>
              <w:rPr>
                <w:rFonts w:ascii="宋体" w:hAnsi="宋体" w:cs="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1208F13">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DBF63BC">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00B0805">
            <w:pPr>
              <w:spacing w:line="360" w:lineRule="auto"/>
              <w:ind w:left="43"/>
              <w:contextualSpacing/>
              <w:jc w:val="center"/>
              <w:rPr>
                <w:rFonts w:ascii="宋体" w:hAnsi="宋体" w:cs="宋体"/>
                <w:color w:val="auto"/>
                <w:sz w:val="24"/>
                <w:highlight w:val="none"/>
              </w:rPr>
            </w:pPr>
          </w:p>
        </w:tc>
      </w:tr>
      <w:tr w14:paraId="32D9F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493708F9">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66D25E1B">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686A4F9">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24CC7F05">
            <w:pPr>
              <w:spacing w:line="360" w:lineRule="auto"/>
              <w:contextualSpacing/>
              <w:jc w:val="center"/>
              <w:rPr>
                <w:rFonts w:ascii="宋体" w:hAnsi="宋体" w:cs="宋体"/>
                <w:color w:val="auto"/>
                <w:sz w:val="24"/>
                <w:highlight w:val="none"/>
              </w:rPr>
            </w:pPr>
          </w:p>
        </w:tc>
      </w:tr>
      <w:tr w14:paraId="39CAB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56694CB">
            <w:pPr>
              <w:spacing w:line="360" w:lineRule="auto"/>
              <w:contextualSpacing/>
              <w:jc w:val="center"/>
              <w:rPr>
                <w:rFonts w:hint="default" w:ascii="宋体" w:hAnsi="宋体" w:eastAsia="宋体" w:cs="宋体"/>
                <w:color w:val="auto"/>
                <w:sz w:val="24"/>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vAlign w:val="center"/>
          </w:tcPr>
          <w:p w14:paraId="23392E28">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58575DE">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899FB">
            <w:pPr>
              <w:spacing w:line="360" w:lineRule="auto"/>
              <w:contextualSpacing/>
              <w:jc w:val="center"/>
              <w:rPr>
                <w:rFonts w:ascii="宋体" w:hAnsi="宋体" w:cs="宋体"/>
                <w:color w:val="auto"/>
                <w:sz w:val="24"/>
                <w:highlight w:val="none"/>
              </w:rPr>
            </w:pPr>
          </w:p>
        </w:tc>
      </w:tr>
      <w:tr w14:paraId="7D18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F18E314">
            <w:pPr>
              <w:spacing w:line="360" w:lineRule="auto"/>
              <w:contextualSpacing/>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2668" w:type="dxa"/>
            <w:tcBorders>
              <w:top w:val="single" w:color="auto" w:sz="4" w:space="0"/>
              <w:left w:val="single" w:color="auto" w:sz="4" w:space="0"/>
              <w:bottom w:val="single" w:color="auto" w:sz="4" w:space="0"/>
              <w:right w:val="single" w:color="auto" w:sz="4" w:space="0"/>
            </w:tcBorders>
            <w:vAlign w:val="center"/>
          </w:tcPr>
          <w:p w14:paraId="31D5682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5D7D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FA3C726">
            <w:pPr>
              <w:spacing w:line="360" w:lineRule="auto"/>
              <w:contextualSpacing/>
              <w:jc w:val="center"/>
              <w:rPr>
                <w:rFonts w:ascii="宋体" w:hAnsi="宋体" w:cs="宋体"/>
                <w:color w:val="auto"/>
                <w:sz w:val="24"/>
                <w:highlight w:val="none"/>
              </w:rPr>
            </w:pPr>
          </w:p>
        </w:tc>
      </w:tr>
    </w:tbl>
    <w:p w14:paraId="04F350DD">
      <w:pPr>
        <w:spacing w:line="400" w:lineRule="exact"/>
        <w:contextualSpacing/>
        <w:rPr>
          <w:rFonts w:hint="eastAsia" w:ascii="宋体" w:hAnsi="宋体" w:eastAsia="宋体" w:cs="宋体"/>
          <w:color w:val="auto"/>
          <w:kern w:val="0"/>
          <w:sz w:val="24"/>
          <w:highlight w:val="none"/>
        </w:rPr>
      </w:pPr>
    </w:p>
    <w:p w14:paraId="37052325">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656BEDC">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w:t>
      </w:r>
      <w:r>
        <w:rPr>
          <w:rFonts w:hint="eastAsia" w:ascii="宋体" w:hAnsi="宋体" w:cs="宋体"/>
          <w:color w:val="auto"/>
          <w:kern w:val="0"/>
          <w:sz w:val="24"/>
          <w:highlight w:val="none"/>
          <w:lang w:eastAsia="zh-CN"/>
        </w:rPr>
        <w:t>“</w:t>
      </w:r>
      <w:r>
        <w:rPr>
          <w:rFonts w:hint="eastAsia" w:ascii="宋体" w:hAnsi="宋体" w:eastAsia="宋体" w:cs="宋体"/>
          <w:b/>
          <w:sz w:val="21"/>
          <w:szCs w:val="21"/>
          <w:highlight w:val="none"/>
        </w:rPr>
        <w:t>▲二、商务要求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逐条作出明确响应</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并作出偏离说明。</w:t>
      </w:r>
    </w:p>
    <w:p w14:paraId="4C917632">
      <w:pPr>
        <w:spacing w:line="400" w:lineRule="exact"/>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2.供应商应根据自身的承诺</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对照磋商文件要求</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在“偏离说明”中注明“正偏离”、“负偏离”或者“无偏离”。既不属于“正偏离”也不属于“负偏离”即为“无偏离”。当响应文件的商务内容低于竞争性磋商采购文件要求时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竞标人应当如实写明“负偏离”</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否则视为虚假应标</w:t>
      </w:r>
    </w:p>
    <w:p w14:paraId="688E0E2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不得留空</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否则按竞标无效处理。</w:t>
      </w:r>
    </w:p>
    <w:p w14:paraId="26603051">
      <w:pPr>
        <w:spacing w:line="360" w:lineRule="auto"/>
        <w:ind w:firstLine="3840" w:firstLineChars="1600"/>
        <w:rPr>
          <w:rFonts w:hint="eastAsia" w:ascii="宋体" w:hAnsi="宋体" w:eastAsia="宋体" w:cs="宋体"/>
          <w:color w:val="auto"/>
          <w:kern w:val="0"/>
          <w:sz w:val="24"/>
          <w:highlight w:val="none"/>
        </w:rPr>
      </w:pPr>
    </w:p>
    <w:p w14:paraId="146CA18D">
      <w:pPr>
        <w:spacing w:line="360" w:lineRule="auto"/>
        <w:ind w:firstLine="3840" w:firstLineChars="16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供应商名称（电子签章）：</w:t>
      </w:r>
      <w:r>
        <w:rPr>
          <w:rFonts w:hint="eastAsia" w:ascii="宋体" w:hAnsi="宋体" w:cs="宋体"/>
          <w:color w:val="auto"/>
          <w:kern w:val="0"/>
          <w:sz w:val="24"/>
          <w:highlight w:val="none"/>
          <w:u w:val="single"/>
          <w:lang w:val="en-US" w:eastAsia="zh-CN"/>
        </w:rPr>
        <w:t xml:space="preserve">                 </w:t>
      </w:r>
    </w:p>
    <w:p w14:paraId="59166403">
      <w:pPr>
        <w:spacing w:line="360" w:lineRule="auto"/>
        <w:contextualSpacing/>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  年  月   日</w:t>
      </w:r>
    </w:p>
    <w:p w14:paraId="392F310D">
      <w:pPr>
        <w:autoSpaceDE w:val="0"/>
        <w:autoSpaceDN w:val="0"/>
        <w:spacing w:line="360" w:lineRule="auto"/>
        <w:ind w:firstLine="6144" w:firstLineChars="2550"/>
        <w:rPr>
          <w:rFonts w:hint="eastAsia" w:ascii="宋体" w:hAnsi="宋体" w:eastAsia="宋体" w:cs="宋体"/>
          <w:b/>
          <w:bCs/>
          <w:color w:val="auto"/>
          <w:sz w:val="24"/>
          <w:highlight w:val="none"/>
        </w:rPr>
      </w:pPr>
    </w:p>
    <w:p w14:paraId="572BF9F4">
      <w:pPr>
        <w:pStyle w:val="31"/>
        <w:jc w:val="center"/>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7DC10F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服务需求偏离表</w:t>
      </w:r>
    </w:p>
    <w:p w14:paraId="697975B9">
      <w:pPr>
        <w:spacing w:line="360" w:lineRule="auto"/>
        <w:contextualSpacing/>
        <w:rPr>
          <w:rFonts w:hint="eastAsia" w:ascii="宋体" w:hAnsi="宋体" w:eastAsia="宋体" w:cs="宋体"/>
          <w:color w:val="auto"/>
          <w:kern w:val="0"/>
          <w:sz w:val="24"/>
          <w:highlight w:val="none"/>
        </w:rPr>
      </w:pPr>
    </w:p>
    <w:tbl>
      <w:tblPr>
        <w:tblStyle w:val="32"/>
        <w:tblW w:w="93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7"/>
        <w:gridCol w:w="900"/>
        <w:gridCol w:w="2989"/>
        <w:gridCol w:w="2690"/>
        <w:gridCol w:w="1467"/>
      </w:tblGrid>
      <w:tr w14:paraId="33DCA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1267" w:type="dxa"/>
            <w:tcBorders>
              <w:top w:val="single" w:color="auto" w:sz="4" w:space="0"/>
            </w:tcBorders>
            <w:vAlign w:val="center"/>
          </w:tcPr>
          <w:p w14:paraId="5D6CF1A2">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59" w:name="_Toc297193185"/>
            <w:bookmarkStart w:id="60" w:name="_Toc173066401"/>
            <w:bookmarkStart w:id="61" w:name="_Toc173211900"/>
            <w:bookmarkStart w:id="62" w:name="_Toc295404981"/>
            <w:bookmarkStart w:id="63" w:name="_Toc254970588"/>
            <w:bookmarkStart w:id="64" w:name="_Toc383699906"/>
            <w:bookmarkStart w:id="65" w:name="_Toc373333689"/>
            <w:bookmarkStart w:id="66" w:name="_Toc301781611"/>
            <w:bookmarkStart w:id="67" w:name="_Toc254970729"/>
            <w:r>
              <w:rPr>
                <w:rFonts w:hint="eastAsia" w:ascii="宋体" w:hAnsi="宋体" w:eastAsia="宋体" w:cs="宋体"/>
                <w:color w:val="auto"/>
                <w:kern w:val="2"/>
                <w:sz w:val="24"/>
                <w:szCs w:val="24"/>
                <w:highlight w:val="none"/>
              </w:rPr>
              <w:t>序号</w:t>
            </w:r>
            <w:bookmarkEnd w:id="59"/>
            <w:bookmarkEnd w:id="60"/>
            <w:bookmarkEnd w:id="61"/>
            <w:bookmarkEnd w:id="62"/>
            <w:bookmarkEnd w:id="63"/>
            <w:bookmarkEnd w:id="64"/>
            <w:bookmarkEnd w:id="65"/>
            <w:bookmarkEnd w:id="66"/>
            <w:bookmarkEnd w:id="67"/>
          </w:p>
        </w:tc>
        <w:tc>
          <w:tcPr>
            <w:tcW w:w="900" w:type="dxa"/>
            <w:tcBorders>
              <w:top w:val="single" w:color="auto" w:sz="4" w:space="0"/>
              <w:right w:val="single" w:color="auto" w:sz="4" w:space="0"/>
            </w:tcBorders>
            <w:vAlign w:val="center"/>
          </w:tcPr>
          <w:p w14:paraId="60045F49">
            <w:pPr>
              <w:pStyle w:val="15"/>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w:t>
            </w:r>
          </w:p>
        </w:tc>
        <w:tc>
          <w:tcPr>
            <w:tcW w:w="2989" w:type="dxa"/>
            <w:tcBorders>
              <w:top w:val="single" w:color="auto" w:sz="4" w:space="0"/>
              <w:left w:val="single" w:color="auto" w:sz="4" w:space="0"/>
            </w:tcBorders>
            <w:vAlign w:val="center"/>
          </w:tcPr>
          <w:p w14:paraId="0BF499FC">
            <w:pPr>
              <w:pStyle w:val="15"/>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磋商文件</w:t>
            </w:r>
            <w:r>
              <w:rPr>
                <w:rFonts w:hint="eastAsia" w:ascii="宋体" w:hAnsi="宋体" w:eastAsia="宋体" w:cs="宋体"/>
                <w:color w:val="auto"/>
                <w:kern w:val="2"/>
                <w:sz w:val="24"/>
                <w:szCs w:val="24"/>
                <w:highlight w:val="none"/>
                <w:lang w:val="en-US" w:eastAsia="zh-CN"/>
              </w:rPr>
              <w:t>服务要求</w:t>
            </w:r>
          </w:p>
        </w:tc>
        <w:tc>
          <w:tcPr>
            <w:tcW w:w="2690" w:type="dxa"/>
            <w:tcBorders>
              <w:top w:val="single" w:color="auto" w:sz="4" w:space="0"/>
            </w:tcBorders>
            <w:vAlign w:val="center"/>
          </w:tcPr>
          <w:p w14:paraId="6B63EDC0">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68" w:name="_Toc295404983"/>
            <w:bookmarkStart w:id="69" w:name="_Toc383699908"/>
            <w:bookmarkStart w:id="70" w:name="_Toc254970590"/>
            <w:bookmarkStart w:id="71" w:name="_Toc254970731"/>
            <w:bookmarkStart w:id="72" w:name="_Toc301781613"/>
            <w:bookmarkStart w:id="73" w:name="_Toc373333691"/>
            <w:bookmarkStart w:id="74" w:name="_Toc297193187"/>
            <w:bookmarkStart w:id="75" w:name="_Toc173066403"/>
            <w:bookmarkStart w:id="76" w:name="_Toc173211902"/>
            <w:r>
              <w:rPr>
                <w:rFonts w:hint="eastAsia" w:ascii="宋体" w:hAnsi="宋体" w:eastAsia="宋体" w:cs="宋体"/>
                <w:color w:val="auto"/>
                <w:kern w:val="2"/>
                <w:sz w:val="24"/>
                <w:szCs w:val="24"/>
                <w:highlight w:val="none"/>
              </w:rPr>
              <w:t>竞标响应</w:t>
            </w:r>
            <w:bookmarkEnd w:id="68"/>
            <w:bookmarkEnd w:id="69"/>
            <w:bookmarkEnd w:id="70"/>
            <w:bookmarkEnd w:id="71"/>
            <w:bookmarkEnd w:id="72"/>
            <w:bookmarkEnd w:id="73"/>
            <w:bookmarkEnd w:id="74"/>
            <w:bookmarkEnd w:id="75"/>
            <w:bookmarkEnd w:id="76"/>
          </w:p>
        </w:tc>
        <w:tc>
          <w:tcPr>
            <w:tcW w:w="1467" w:type="dxa"/>
            <w:tcBorders>
              <w:top w:val="single" w:color="auto" w:sz="4" w:space="0"/>
            </w:tcBorders>
            <w:vAlign w:val="center"/>
          </w:tcPr>
          <w:p w14:paraId="7A94799C">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77" w:name="_Toc383699909"/>
            <w:bookmarkStart w:id="78" w:name="_Toc295404984"/>
            <w:bookmarkStart w:id="79" w:name="_Toc297193188"/>
            <w:bookmarkStart w:id="80" w:name="_Toc254970591"/>
            <w:bookmarkStart w:id="81" w:name="_Toc254970732"/>
            <w:bookmarkStart w:id="82" w:name="_Toc173211903"/>
            <w:bookmarkStart w:id="83" w:name="_Toc301781614"/>
            <w:bookmarkStart w:id="84" w:name="_Toc173066404"/>
            <w:bookmarkStart w:id="85" w:name="_Toc373333692"/>
            <w:r>
              <w:rPr>
                <w:rFonts w:hint="eastAsia" w:ascii="宋体" w:hAnsi="宋体" w:eastAsia="宋体" w:cs="宋体"/>
                <w:color w:val="auto"/>
                <w:kern w:val="2"/>
                <w:sz w:val="24"/>
                <w:szCs w:val="24"/>
                <w:highlight w:val="none"/>
              </w:rPr>
              <w:t>偏离</w:t>
            </w:r>
            <w:bookmarkEnd w:id="77"/>
            <w:bookmarkEnd w:id="78"/>
            <w:bookmarkEnd w:id="79"/>
            <w:bookmarkEnd w:id="80"/>
            <w:bookmarkEnd w:id="81"/>
            <w:bookmarkEnd w:id="82"/>
            <w:bookmarkEnd w:id="83"/>
            <w:bookmarkEnd w:id="84"/>
            <w:bookmarkEnd w:id="85"/>
            <w:bookmarkStart w:id="86" w:name="_Toc383699910"/>
            <w:bookmarkStart w:id="87" w:name="_Toc373333693"/>
            <w:bookmarkStart w:id="88" w:name="_Toc173211904"/>
            <w:bookmarkStart w:id="89" w:name="_Toc173066405"/>
            <w:bookmarkStart w:id="90" w:name="_Toc295404985"/>
            <w:bookmarkStart w:id="91" w:name="_Toc254970592"/>
            <w:bookmarkStart w:id="92" w:name="_Toc301781615"/>
            <w:bookmarkStart w:id="93" w:name="_Toc297193189"/>
            <w:bookmarkStart w:id="94" w:name="_Toc254970733"/>
            <w:r>
              <w:rPr>
                <w:rFonts w:hint="eastAsia" w:ascii="宋体" w:hAnsi="宋体" w:eastAsia="宋体" w:cs="宋体"/>
                <w:color w:val="auto"/>
                <w:kern w:val="2"/>
                <w:sz w:val="24"/>
                <w:szCs w:val="24"/>
                <w:highlight w:val="none"/>
              </w:rPr>
              <w:t>说明</w:t>
            </w:r>
            <w:bookmarkEnd w:id="86"/>
            <w:bookmarkEnd w:id="87"/>
            <w:bookmarkEnd w:id="88"/>
            <w:bookmarkEnd w:id="89"/>
            <w:bookmarkEnd w:id="90"/>
            <w:bookmarkEnd w:id="91"/>
            <w:bookmarkEnd w:id="92"/>
            <w:bookmarkEnd w:id="93"/>
            <w:bookmarkEnd w:id="94"/>
          </w:p>
        </w:tc>
      </w:tr>
      <w:tr w14:paraId="128C8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58DB5554">
            <w:pPr>
              <w:pStyle w:val="15"/>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p>
        </w:tc>
        <w:tc>
          <w:tcPr>
            <w:tcW w:w="900" w:type="dxa"/>
            <w:tcBorders>
              <w:right w:val="single" w:color="auto" w:sz="4" w:space="0"/>
            </w:tcBorders>
            <w:vAlign w:val="center"/>
          </w:tcPr>
          <w:p w14:paraId="2D7227DF">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61AC9CF4">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E06597C">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9AC9F62">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1350BB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1B497545">
            <w:pPr>
              <w:pStyle w:val="15"/>
              <w:spacing w:line="360" w:lineRule="auto"/>
              <w:ind w:firstLine="0" w:firstLineChars="0"/>
              <w:contextualSpacing/>
              <w:jc w:val="center"/>
              <w:rPr>
                <w:rFonts w:hint="eastAsia" w:ascii="宋体" w:hAnsi="宋体" w:eastAsia="宋体" w:cs="宋体"/>
                <w:color w:val="auto"/>
                <w:kern w:val="2"/>
                <w:sz w:val="24"/>
                <w:szCs w:val="24"/>
                <w:highlight w:val="none"/>
                <w:lang w:val="en-US" w:eastAsia="zh-CN"/>
              </w:rPr>
            </w:pPr>
          </w:p>
        </w:tc>
        <w:tc>
          <w:tcPr>
            <w:tcW w:w="900" w:type="dxa"/>
            <w:tcBorders>
              <w:right w:val="single" w:color="auto" w:sz="4" w:space="0"/>
            </w:tcBorders>
            <w:vAlign w:val="center"/>
          </w:tcPr>
          <w:p w14:paraId="19CD166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1259C9FF">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4CAB4CD">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038F771D">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18806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0F1D3E55">
            <w:pPr>
              <w:pStyle w:val="15"/>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p>
        </w:tc>
        <w:tc>
          <w:tcPr>
            <w:tcW w:w="900" w:type="dxa"/>
            <w:tcBorders>
              <w:right w:val="single" w:color="auto" w:sz="4" w:space="0"/>
            </w:tcBorders>
            <w:vAlign w:val="center"/>
          </w:tcPr>
          <w:p w14:paraId="1E050C02">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2DBC8A53">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4F93AFC2">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C012C12">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46CD34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267" w:type="dxa"/>
            <w:vAlign w:val="center"/>
          </w:tcPr>
          <w:p w14:paraId="698D06B7">
            <w:pPr>
              <w:pStyle w:val="15"/>
              <w:spacing w:line="360" w:lineRule="auto"/>
              <w:ind w:firstLine="0" w:firstLineChars="0"/>
              <w:contextualSpacing/>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p>
        </w:tc>
        <w:tc>
          <w:tcPr>
            <w:tcW w:w="900" w:type="dxa"/>
            <w:tcBorders>
              <w:right w:val="single" w:color="auto" w:sz="4" w:space="0"/>
            </w:tcBorders>
            <w:vAlign w:val="center"/>
          </w:tcPr>
          <w:p w14:paraId="5631957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71CD316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651522C8">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11FEF08C">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bl>
    <w:p w14:paraId="210962A5">
      <w:pPr>
        <w:spacing w:line="360" w:lineRule="auto"/>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A318847">
      <w:pPr>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lang w:eastAsia="zh-CN"/>
        </w:rPr>
        <w:t>“</w:t>
      </w:r>
      <w:r>
        <w:rPr>
          <w:rFonts w:hint="eastAsia" w:ascii="宋体" w:hAnsi="宋体" w:eastAsia="宋体" w:cs="宋体"/>
          <w:b/>
          <w:sz w:val="21"/>
          <w:szCs w:val="21"/>
          <w:highlight w:val="none"/>
        </w:rPr>
        <w:t>▲</w:t>
      </w:r>
      <w:r>
        <w:rPr>
          <w:rFonts w:hint="eastAsia" w:ascii="宋体" w:hAnsi="宋体" w:eastAsia="宋体" w:cs="宋体"/>
          <w:b/>
          <w:bCs/>
          <w:kern w:val="0"/>
          <w:sz w:val="21"/>
          <w:szCs w:val="21"/>
          <w:highlight w:val="none"/>
        </w:rPr>
        <w:t>一、采购项目需求一览表</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条款逐条作出明确响应</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并作出偏离说明。</w:t>
      </w:r>
    </w:p>
    <w:p w14:paraId="44503BA3">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对照磋商文件要求</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在“偏离说明”中注明“正偏离”、“负偏离”或者“无偏离”。既不属于“正偏离”也不属于“负偏离”即为“无偏离”。 当响应文件的商务内容低于竞争性磋商采购文件要求时</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竞标人应当如实写明“负偏离”</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否则视为虚假应标</w:t>
      </w:r>
    </w:p>
    <w:p w14:paraId="73F80A21">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不得留空</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否则按竞标无效处理。</w:t>
      </w:r>
    </w:p>
    <w:p w14:paraId="24D9B65C">
      <w:pPr>
        <w:spacing w:line="400" w:lineRule="exact"/>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4.如技术偏离表中的竞标响应与佐证材料不一致的</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以佐证材料为准。</w:t>
      </w:r>
    </w:p>
    <w:p w14:paraId="5DED5854">
      <w:pPr>
        <w:snapToGrid w:val="0"/>
        <w:spacing w:line="360" w:lineRule="auto"/>
        <w:ind w:firstLine="602" w:firstLineChars="200"/>
        <w:rPr>
          <w:rFonts w:hint="eastAsia" w:ascii="宋体" w:hAnsi="宋体" w:eastAsia="宋体" w:cs="宋体"/>
          <w:b/>
          <w:color w:val="auto"/>
          <w:sz w:val="30"/>
          <w:szCs w:val="30"/>
          <w:highlight w:val="none"/>
        </w:rPr>
      </w:pPr>
    </w:p>
    <w:p w14:paraId="39BA19D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1CDEFF">
      <w:pPr>
        <w:autoSpaceDE w:val="0"/>
        <w:autoSpaceDN w:val="0"/>
        <w:spacing w:line="360" w:lineRule="auto"/>
        <w:ind w:firstLine="6480" w:firstLineChars="27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CA47B40">
      <w:pPr>
        <w:autoSpaceDE w:val="0"/>
        <w:autoSpaceDN w:val="0"/>
        <w:spacing w:line="360" w:lineRule="auto"/>
        <w:ind w:firstLine="6480" w:firstLineChars="2700"/>
        <w:rPr>
          <w:rFonts w:hint="eastAsia" w:ascii="宋体" w:hAnsi="宋体" w:eastAsia="宋体" w:cs="宋体"/>
          <w:color w:val="auto"/>
          <w:sz w:val="24"/>
          <w:highlight w:val="none"/>
        </w:rPr>
      </w:pPr>
    </w:p>
    <w:p w14:paraId="6D4B10F4">
      <w:pPr>
        <w:autoSpaceDE w:val="0"/>
        <w:autoSpaceDN w:val="0"/>
        <w:spacing w:line="360" w:lineRule="auto"/>
        <w:ind w:firstLine="6480" w:firstLineChars="2700"/>
        <w:rPr>
          <w:rFonts w:hint="eastAsia" w:ascii="宋体" w:hAnsi="宋体" w:eastAsia="宋体" w:cs="宋体"/>
          <w:color w:val="auto"/>
          <w:sz w:val="24"/>
          <w:highlight w:val="none"/>
        </w:rPr>
      </w:pPr>
    </w:p>
    <w:p w14:paraId="74C01A09">
      <w:pPr>
        <w:autoSpaceDE w:val="0"/>
        <w:autoSpaceDN w:val="0"/>
        <w:spacing w:line="360" w:lineRule="auto"/>
        <w:ind w:firstLine="6480" w:firstLineChars="2700"/>
        <w:rPr>
          <w:rFonts w:hint="eastAsia" w:ascii="宋体" w:hAnsi="宋体" w:eastAsia="宋体" w:cs="宋体"/>
          <w:color w:val="auto"/>
          <w:sz w:val="24"/>
          <w:highlight w:val="none"/>
        </w:rPr>
      </w:pPr>
    </w:p>
    <w:p w14:paraId="0A11A6B4">
      <w:pPr>
        <w:autoSpaceDE w:val="0"/>
        <w:autoSpaceDN w:val="0"/>
        <w:spacing w:line="360" w:lineRule="auto"/>
        <w:ind w:firstLine="6480" w:firstLineChars="2700"/>
        <w:rPr>
          <w:rFonts w:hint="eastAsia" w:ascii="宋体" w:hAnsi="宋体" w:eastAsia="宋体" w:cs="宋体"/>
          <w:color w:val="auto"/>
          <w:sz w:val="24"/>
          <w:highlight w:val="none"/>
        </w:rPr>
      </w:pPr>
    </w:p>
    <w:p w14:paraId="55B74BB2">
      <w:pPr>
        <w:autoSpaceDE w:val="0"/>
        <w:autoSpaceDN w:val="0"/>
        <w:spacing w:line="360" w:lineRule="auto"/>
        <w:ind w:firstLine="6480" w:firstLineChars="2700"/>
        <w:rPr>
          <w:rFonts w:hint="eastAsia" w:ascii="宋体" w:hAnsi="宋体" w:eastAsia="宋体" w:cs="宋体"/>
          <w:color w:val="auto"/>
          <w:sz w:val="24"/>
          <w:highlight w:val="none"/>
        </w:rPr>
      </w:pPr>
    </w:p>
    <w:p w14:paraId="3FF4E5FE">
      <w:pPr>
        <w:autoSpaceDE w:val="0"/>
        <w:autoSpaceDN w:val="0"/>
        <w:spacing w:line="360" w:lineRule="auto"/>
        <w:ind w:firstLine="6480" w:firstLineChars="2700"/>
        <w:rPr>
          <w:rFonts w:hint="eastAsia" w:ascii="宋体" w:hAnsi="宋体" w:eastAsia="宋体" w:cs="宋体"/>
          <w:color w:val="auto"/>
          <w:sz w:val="24"/>
          <w:highlight w:val="none"/>
          <w:lang w:val="zh-CN"/>
        </w:rPr>
      </w:pPr>
    </w:p>
    <w:p w14:paraId="3D7BC239">
      <w:pPr>
        <w:pStyle w:val="31"/>
        <w:jc w:val="both"/>
        <w:rPr>
          <w:rFonts w:hint="eastAsia" w:ascii="宋体" w:hAnsi="宋体" w:eastAsia="宋体" w:cs="宋体"/>
          <w:b/>
          <w:bCs w:val="0"/>
          <w:caps w:val="0"/>
          <w:smallCaps w:val="0"/>
          <w:color w:val="auto"/>
          <w:spacing w:val="0"/>
          <w:kern w:val="2"/>
          <w:sz w:val="30"/>
          <w:szCs w:val="30"/>
          <w:highlight w:val="none"/>
          <w:lang w:val="en-US" w:eastAsia="zh-CN"/>
        </w:rPr>
      </w:pPr>
      <w:r>
        <w:rPr>
          <w:rFonts w:hint="eastAsia" w:ascii="宋体" w:hAnsi="宋体" w:eastAsia="宋体" w:cs="宋体"/>
          <w:b/>
          <w:bCs/>
          <w:color w:val="auto"/>
          <w:sz w:val="24"/>
          <w:highlight w:val="none"/>
        </w:rPr>
        <w:br w:type="page"/>
      </w:r>
    </w:p>
    <w:p w14:paraId="15631166">
      <w:pPr>
        <w:rPr>
          <w:rFonts w:hint="eastAsia" w:ascii="宋体" w:hAnsi="宋体" w:eastAsia="宋体" w:cs="宋体"/>
          <w:b/>
          <w:bCs w:val="0"/>
          <w:caps w:val="0"/>
          <w:smallCaps w:val="0"/>
          <w:color w:val="auto"/>
          <w:spacing w:val="0"/>
          <w:kern w:val="2"/>
          <w:sz w:val="30"/>
          <w:szCs w:val="30"/>
          <w:highlight w:val="none"/>
          <w:lang w:val="en-US" w:eastAsia="zh-CN"/>
        </w:rPr>
      </w:pPr>
    </w:p>
    <w:p w14:paraId="573C2459">
      <w:pPr>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响应函</w:t>
      </w:r>
    </w:p>
    <w:p w14:paraId="59047C02">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（采购代理机构名称）</w:t>
      </w:r>
    </w:p>
    <w:p w14:paraId="5EB3C986">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我方已仔细阅读了贵方组织的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eastAsia="zh-CN"/>
        </w:rPr>
        <w:t>项目编号：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）的竞争性磋商采购文件的全部内容</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现正式递交下述文件参加贵方组织的本次政府采购活动： </w:t>
      </w:r>
    </w:p>
    <w:p w14:paraId="3C391749">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文件电子版</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壹</w:t>
      </w:r>
      <w:r>
        <w:rPr>
          <w:rFonts w:hint="eastAsia" w:ascii="宋体" w:hAnsi="宋体" w:eastAsia="宋体" w:cs="宋体"/>
          <w:color w:val="auto"/>
          <w:kern w:val="0"/>
          <w:sz w:val="24"/>
          <w:szCs w:val="24"/>
          <w:highlight w:val="none"/>
          <w:u w:val="none"/>
        </w:rPr>
        <w:t xml:space="preserve"> </w:t>
      </w:r>
      <w:r>
        <w:rPr>
          <w:rFonts w:hint="eastAsia" w:ascii="宋体" w:hAnsi="宋体" w:cs="宋体"/>
          <w:color w:val="auto"/>
          <w:kern w:val="0"/>
          <w:sz w:val="24"/>
          <w:szCs w:val="24"/>
          <w:highlight w:val="none"/>
          <w:lang w:val="en-US" w:eastAsia="zh-CN"/>
        </w:rPr>
        <w:t>套</w:t>
      </w:r>
      <w:r>
        <w:rPr>
          <w:rFonts w:hint="eastAsia" w:ascii="宋体" w:hAnsi="宋体" w:eastAsia="宋体" w:cs="宋体"/>
          <w:color w:val="auto"/>
          <w:kern w:val="0"/>
          <w:sz w:val="24"/>
          <w:szCs w:val="24"/>
          <w:highlight w:val="none"/>
        </w:rPr>
        <w:t>（包含按“第三章 供应商须知”提交的全部文件）；</w:t>
      </w:r>
    </w:p>
    <w:p w14:paraId="1F07AEE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据此函</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签字人兹宣布：</w:t>
      </w:r>
    </w:p>
    <w:p w14:paraId="7F7620C6">
      <w:pPr>
        <w:pStyle w:val="16"/>
        <w:spacing w:line="4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我方愿意以报价文件电子版</w:t>
      </w:r>
      <w:r>
        <w:rPr>
          <w:rFonts w:hint="eastAsia" w:ascii="宋体" w:hAnsi="宋体" w:eastAsia="宋体" w:cs="宋体"/>
          <w:color w:val="auto"/>
          <w:sz w:val="24"/>
          <w:szCs w:val="24"/>
          <w:highlight w:val="none"/>
          <w:lang w:val="en-US" w:eastAsia="zh-CN"/>
        </w:rPr>
        <w:t>的响应报价表中</w:t>
      </w:r>
      <w:r>
        <w:rPr>
          <w:rFonts w:hint="eastAsia" w:ascii="宋体" w:hAnsi="宋体" w:eastAsia="宋体" w:cs="宋体"/>
          <w:color w:val="auto"/>
          <w:sz w:val="24"/>
          <w:szCs w:val="24"/>
          <w:highlight w:val="none"/>
        </w:rPr>
        <w:t>的报价</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按照我方承诺的内容</w:t>
      </w:r>
      <w:r>
        <w:rPr>
          <w:rFonts w:hint="eastAsia" w:ascii="宋体" w:hAnsi="宋体" w:eastAsia="宋体" w:cs="宋体"/>
          <w:color w:val="auto"/>
          <w:sz w:val="24"/>
          <w:szCs w:val="24"/>
          <w:highlight w:val="none"/>
        </w:rPr>
        <w:t>提供本项目</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需求”中的相应的采购内容。</w:t>
      </w:r>
    </w:p>
    <w:p w14:paraId="3B812CDD">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2、我方同意自本项目竞争性磋商采购文件采购公告规定的递交响应文件截止时间起遵循本响应函</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并承诺在“第三章 供应商须知”规定的响应有效期内不修改、撤销响应文件。</w:t>
      </w:r>
    </w:p>
    <w:p w14:paraId="325B5DF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3、我方在此声明</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所递交的响应文件及有关资料内容完整、真实和准确。</w:t>
      </w:r>
    </w:p>
    <w:p w14:paraId="6F59B40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4、如本项目采购内容涉及须符合国家强制规定的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我方承诺我方本次竞标均符合国家有关强制规定。</w:t>
      </w:r>
    </w:p>
    <w:p w14:paraId="6E9DEF2A">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5、我方承诺未被列入失信被执行人、</w:t>
      </w:r>
      <w:r>
        <w:rPr>
          <w:rFonts w:hint="eastAsia" w:ascii="宋体" w:hAnsi="宋体" w:eastAsia="宋体" w:cs="宋体"/>
          <w:color w:val="auto"/>
          <w:sz w:val="24"/>
          <w:szCs w:val="24"/>
          <w:highlight w:val="none"/>
        </w:rPr>
        <w:t>重大税收违法</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kern w:val="0"/>
          <w:sz w:val="24"/>
          <w:szCs w:val="24"/>
          <w:highlight w:val="none"/>
        </w:rPr>
        <w:t>、政府采购严重违法失信行为记录名单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并已经具备《中华人民共和国政府采购法》中规定的参加政府采购活动的供应商应当具备的条件：</w:t>
      </w:r>
    </w:p>
    <w:p w14:paraId="6E105B9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具有独立承担民事责任的能力；</w:t>
      </w:r>
    </w:p>
    <w:p w14:paraId="4A340B8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具有良好的商业信誉和健全的财务会计制度；</w:t>
      </w:r>
    </w:p>
    <w:p w14:paraId="10020755">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具有履行合同所必需的设备和专业技术能力；</w:t>
      </w:r>
    </w:p>
    <w:p w14:paraId="6322AF2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有依法缴纳税收和社会保障资金的良好记录；</w:t>
      </w:r>
    </w:p>
    <w:p w14:paraId="6E83754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参加政府采购活动前三年内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在经营活动中没有重大违法记录；</w:t>
      </w:r>
    </w:p>
    <w:p w14:paraId="676CAC93">
      <w:pPr>
        <w:numPr>
          <w:ilvl w:val="0"/>
          <w:numId w:val="2"/>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14:paraId="05EB8E89">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6、如我方成交</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我方承诺在收到成交通知书后</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在成交通知书规定的期限内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根据竞争性磋商采购文件、我方的响应文件及有关澄清承诺书的要求按第六章“合同文本”与采购人订立书面合同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并按照合同约定承担完成合同的责任和义务。</w:t>
      </w:r>
    </w:p>
    <w:p w14:paraId="24E7419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7、我方已详细审核竞争性磋商采购文件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我方知道必须放弃提出含糊不清或误解问题的权利。</w:t>
      </w:r>
    </w:p>
    <w:p w14:paraId="4D051DEF">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8、我方承诺满足竞争性磋商采购文件第六章“合同文本”的条款</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承担完成合同的责任和义务。</w:t>
      </w:r>
    </w:p>
    <w:p w14:paraId="01132385">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9、我方同意应贵方要求提供与本竞标有关的任何数据或资料。若贵方需要</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我方愿意提供我方作出的一切承诺的证明材料。</w:t>
      </w:r>
    </w:p>
    <w:p w14:paraId="48A49AD1">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10、我方完全理解贵方不一定接受响应报价最低的竞标人为成交供应商的行为。</w:t>
      </w:r>
    </w:p>
    <w:p w14:paraId="084B7113">
      <w:pPr>
        <w:spacing w:line="440" w:lineRule="exact"/>
        <w:ind w:firstLine="48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11、我方将严格遵守《中华人民共和国政府采购法》第七十七条的规定</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即供应商有下列情形之一的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处以采购金额千分之五以上千分之十以下的罚款</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列入不良行为记录名单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在一至三年内禁止参加政府采购活动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有违法所得的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并处没收违法所得</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情节严重的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由工商行政管理机关吊销营业执照；构成犯罪的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依法追究刑事责任：</w:t>
      </w:r>
    </w:p>
    <w:p w14:paraId="4B628220">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提供虚假材料谋取中标、成交的；</w:t>
      </w:r>
    </w:p>
    <w:p w14:paraId="53E53CCF">
      <w:pPr>
        <w:numPr>
          <w:ilvl w:val="0"/>
          <w:numId w:val="3"/>
        </w:numPr>
        <w:tabs>
          <w:tab w:val="left" w:pos="945"/>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采取不正当手段诋毁、排挤其他供应商的；</w:t>
      </w:r>
    </w:p>
    <w:p w14:paraId="3F3DD52D">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与采购人、其他供应商或者采购代理机构恶意串通的；</w:t>
      </w:r>
    </w:p>
    <w:p w14:paraId="163BCA44">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向采购人、采购代理机构行贿或者提供其他不正当利益的；</w:t>
      </w:r>
    </w:p>
    <w:p w14:paraId="2B7B89E6">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在采购过程中与采购人进行协商</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的；</w:t>
      </w:r>
    </w:p>
    <w:p w14:paraId="6F58CB33">
      <w:pPr>
        <w:keepNext w:val="0"/>
        <w:keepLines w:val="0"/>
        <w:pageBreakBefore w:val="0"/>
        <w:widowControl w:val="0"/>
        <w:numPr>
          <w:ilvl w:val="0"/>
          <w:numId w:val="3"/>
        </w:numPr>
        <w:tabs>
          <w:tab w:val="left" w:pos="94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拒绝有关部门监督检查或提供虚假情况的。</w:t>
      </w:r>
    </w:p>
    <w:p w14:paraId="04D0894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12.与本磋商有关的一切正式往来信函请寄：</w:t>
      </w:r>
    </w:p>
    <w:p w14:paraId="4D9CFEA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A24FFC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u w:val="single"/>
        </w:rPr>
        <w:t xml:space="preserve">                                      　　　　　　　　　</w:t>
      </w:r>
    </w:p>
    <w:p w14:paraId="7202427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w:t>
      </w:r>
    </w:p>
    <w:p w14:paraId="5408B63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554CC4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开户名称：</w:t>
      </w:r>
      <w:r>
        <w:rPr>
          <w:rFonts w:hint="eastAsia" w:ascii="宋体" w:hAnsi="宋体" w:eastAsia="宋体" w:cs="宋体"/>
          <w:color w:val="auto"/>
          <w:kern w:val="0"/>
          <w:sz w:val="24"/>
          <w:szCs w:val="24"/>
          <w:highlight w:val="none"/>
          <w:u w:val="single"/>
        </w:rPr>
        <w:t xml:space="preserve">                                                    </w:t>
      </w:r>
    </w:p>
    <w:p w14:paraId="59E39C2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u w:val="single"/>
        </w:rPr>
        <w:t xml:space="preserve">                                                    </w:t>
      </w:r>
    </w:p>
    <w:p w14:paraId="7A3A1DB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银行账号：</w:t>
      </w:r>
      <w:r>
        <w:rPr>
          <w:rFonts w:hint="eastAsia" w:ascii="宋体" w:hAnsi="宋体" w:eastAsia="宋体" w:cs="宋体"/>
          <w:color w:val="auto"/>
          <w:kern w:val="0"/>
          <w:sz w:val="24"/>
          <w:szCs w:val="24"/>
          <w:highlight w:val="none"/>
          <w:u w:val="single"/>
        </w:rPr>
        <w:t xml:space="preserve">                                                    </w:t>
      </w:r>
    </w:p>
    <w:p w14:paraId="180519CB">
      <w:pPr>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C716EA9">
      <w:pPr>
        <w:spacing w:line="360" w:lineRule="auto"/>
        <w:contextualSpacing/>
        <w:jc w:val="left"/>
        <w:rPr>
          <w:rFonts w:hint="eastAsia" w:ascii="宋体" w:hAnsi="宋体" w:eastAsia="宋体" w:cs="宋体"/>
          <w:color w:val="auto"/>
          <w:sz w:val="24"/>
          <w:szCs w:val="24"/>
          <w:highlight w:val="none"/>
        </w:rPr>
      </w:pPr>
    </w:p>
    <w:p w14:paraId="746AA3AF">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0D22B2FC">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73190DA">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p>
    <w:p w14:paraId="10E963B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8BA5D8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5D02036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0"/>
          <w:szCs w:val="30"/>
          <w:highlight w:val="none"/>
        </w:rPr>
        <w:t>响应报价表</w:t>
      </w:r>
    </w:p>
    <w:p w14:paraId="1D11B8CF">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C4A3D19">
      <w:pPr>
        <w:snapToGrid w:val="0"/>
        <w:spacing w:before="50" w:after="50" w:line="360" w:lineRule="auto"/>
        <w:rPr>
          <w:rFonts w:hint="default" w:ascii="宋体" w:hAnsi="宋体" w:eastAsia="宋体" w:cs="宋体"/>
          <w:color w:val="auto"/>
          <w:sz w:val="24"/>
          <w:highlight w:val="none"/>
          <w:u w:val="single"/>
          <w:lang w:val="en-US"/>
        </w:rPr>
      </w:pPr>
      <w:r>
        <w:rPr>
          <w:rFonts w:hint="eastAsia" w:ascii="宋体" w:hAnsi="宋体" w:cs="宋体"/>
          <w:color w:val="auto"/>
          <w:sz w:val="24"/>
          <w:highlight w:val="none"/>
          <w:lang w:eastAsia="zh-CN"/>
        </w:rPr>
        <w:t>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52DD0719">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tbl>
      <w:tblPr>
        <w:tblStyle w:val="95"/>
        <w:tblW w:w="8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128"/>
        <w:gridCol w:w="1849"/>
        <w:gridCol w:w="968"/>
        <w:gridCol w:w="1128"/>
        <w:gridCol w:w="1358"/>
        <w:gridCol w:w="857"/>
        <w:gridCol w:w="861"/>
      </w:tblGrid>
      <w:tr w14:paraId="3AEC1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9" w:hRule="atLeast"/>
          <w:jc w:val="center"/>
        </w:trPr>
        <w:tc>
          <w:tcPr>
            <w:tcW w:w="648" w:type="dxa"/>
            <w:vAlign w:val="top"/>
          </w:tcPr>
          <w:p w14:paraId="600921E6">
            <w:pPr>
              <w:pStyle w:val="87"/>
              <w:spacing w:before="65" w:line="229" w:lineRule="auto"/>
              <w:ind w:left="115"/>
              <w:rPr>
                <w:sz w:val="24"/>
                <w:szCs w:val="24"/>
                <w:highlight w:val="none"/>
              </w:rPr>
            </w:pPr>
            <w:r>
              <w:rPr>
                <w:spacing w:val="5"/>
                <w:sz w:val="24"/>
                <w:szCs w:val="24"/>
                <w:highlight w:val="none"/>
              </w:rPr>
              <w:t>序号</w:t>
            </w:r>
          </w:p>
        </w:tc>
        <w:tc>
          <w:tcPr>
            <w:tcW w:w="1128" w:type="dxa"/>
            <w:vAlign w:val="top"/>
          </w:tcPr>
          <w:p w14:paraId="0E01BD45">
            <w:pPr>
              <w:pStyle w:val="87"/>
              <w:spacing w:before="65" w:line="228" w:lineRule="auto"/>
              <w:ind w:left="111"/>
              <w:rPr>
                <w:sz w:val="24"/>
                <w:szCs w:val="24"/>
                <w:highlight w:val="none"/>
              </w:rPr>
            </w:pPr>
            <w:r>
              <w:rPr>
                <w:spacing w:val="7"/>
                <w:sz w:val="24"/>
                <w:szCs w:val="24"/>
                <w:highlight w:val="none"/>
              </w:rPr>
              <w:t>服务名称</w:t>
            </w:r>
          </w:p>
        </w:tc>
        <w:tc>
          <w:tcPr>
            <w:tcW w:w="1849" w:type="dxa"/>
            <w:vAlign w:val="top"/>
          </w:tcPr>
          <w:p w14:paraId="2639B9BE">
            <w:pPr>
              <w:pStyle w:val="87"/>
              <w:spacing w:before="65" w:line="228" w:lineRule="auto"/>
              <w:ind w:left="117"/>
              <w:rPr>
                <w:sz w:val="24"/>
                <w:szCs w:val="24"/>
                <w:highlight w:val="none"/>
              </w:rPr>
            </w:pPr>
            <w:r>
              <w:rPr>
                <w:spacing w:val="7"/>
                <w:sz w:val="24"/>
                <w:szCs w:val="24"/>
                <w:highlight w:val="none"/>
              </w:rPr>
              <w:t>具体服务内容</w:t>
            </w:r>
          </w:p>
        </w:tc>
        <w:tc>
          <w:tcPr>
            <w:tcW w:w="968" w:type="dxa"/>
            <w:vAlign w:val="top"/>
          </w:tcPr>
          <w:p w14:paraId="29910E9B">
            <w:pPr>
              <w:pStyle w:val="87"/>
              <w:spacing w:before="65" w:line="252" w:lineRule="auto"/>
              <w:ind w:left="116" w:right="104"/>
              <w:rPr>
                <w:sz w:val="24"/>
                <w:szCs w:val="24"/>
                <w:highlight w:val="none"/>
              </w:rPr>
            </w:pPr>
            <w:r>
              <w:rPr>
                <w:sz w:val="24"/>
                <w:szCs w:val="24"/>
                <w:highlight w:val="none"/>
              </w:rPr>
              <w:t>数量及</w:t>
            </w:r>
            <w:r>
              <w:rPr>
                <w:spacing w:val="3"/>
                <w:sz w:val="24"/>
                <w:szCs w:val="24"/>
                <w:highlight w:val="none"/>
              </w:rPr>
              <w:t>单位</w:t>
            </w:r>
          </w:p>
        </w:tc>
        <w:tc>
          <w:tcPr>
            <w:tcW w:w="1128" w:type="dxa"/>
            <w:vAlign w:val="top"/>
          </w:tcPr>
          <w:p w14:paraId="27C3636D">
            <w:pPr>
              <w:pStyle w:val="87"/>
              <w:spacing w:before="65" w:line="226" w:lineRule="auto"/>
              <w:ind w:right="10"/>
              <w:jc w:val="right"/>
              <w:rPr>
                <w:sz w:val="24"/>
                <w:szCs w:val="24"/>
                <w:highlight w:val="none"/>
              </w:rPr>
            </w:pPr>
            <w:r>
              <w:rPr>
                <w:spacing w:val="-2"/>
                <w:sz w:val="24"/>
                <w:szCs w:val="24"/>
                <w:highlight w:val="none"/>
              </w:rPr>
              <w:t>总价（元）</w:t>
            </w:r>
          </w:p>
        </w:tc>
        <w:tc>
          <w:tcPr>
            <w:tcW w:w="1358" w:type="dxa"/>
            <w:vAlign w:val="top"/>
          </w:tcPr>
          <w:p w14:paraId="046BB831">
            <w:pPr>
              <w:pStyle w:val="87"/>
              <w:spacing w:before="65" w:line="228" w:lineRule="auto"/>
              <w:ind w:left="115"/>
              <w:rPr>
                <w:sz w:val="24"/>
                <w:szCs w:val="24"/>
                <w:highlight w:val="none"/>
              </w:rPr>
            </w:pPr>
            <w:r>
              <w:rPr>
                <w:spacing w:val="6"/>
                <w:sz w:val="24"/>
                <w:szCs w:val="24"/>
                <w:highlight w:val="none"/>
              </w:rPr>
              <w:t>让利系数</w:t>
            </w:r>
          </w:p>
        </w:tc>
        <w:tc>
          <w:tcPr>
            <w:tcW w:w="857" w:type="dxa"/>
            <w:vAlign w:val="top"/>
          </w:tcPr>
          <w:p w14:paraId="380EF614">
            <w:pPr>
              <w:pStyle w:val="87"/>
              <w:spacing w:before="36" w:line="252" w:lineRule="auto"/>
              <w:ind w:left="130" w:right="102" w:hanging="14"/>
              <w:rPr>
                <w:sz w:val="24"/>
                <w:szCs w:val="24"/>
                <w:highlight w:val="none"/>
              </w:rPr>
            </w:pPr>
            <w:r>
              <w:rPr>
                <w:spacing w:val="10"/>
                <w:sz w:val="24"/>
                <w:szCs w:val="24"/>
                <w:highlight w:val="none"/>
              </w:rPr>
              <w:t>服务期</w:t>
            </w:r>
            <w:r>
              <w:rPr>
                <w:sz w:val="24"/>
                <w:szCs w:val="24"/>
                <w:highlight w:val="none"/>
              </w:rPr>
              <w:t>限</w:t>
            </w:r>
          </w:p>
        </w:tc>
        <w:tc>
          <w:tcPr>
            <w:tcW w:w="861" w:type="dxa"/>
            <w:vAlign w:val="top"/>
          </w:tcPr>
          <w:p w14:paraId="2423EDA4">
            <w:pPr>
              <w:pStyle w:val="87"/>
              <w:spacing w:before="65" w:line="229" w:lineRule="auto"/>
              <w:ind w:left="119"/>
              <w:rPr>
                <w:sz w:val="24"/>
                <w:szCs w:val="24"/>
                <w:highlight w:val="none"/>
              </w:rPr>
            </w:pPr>
            <w:r>
              <w:rPr>
                <w:spacing w:val="3"/>
                <w:sz w:val="24"/>
                <w:szCs w:val="24"/>
                <w:highlight w:val="none"/>
              </w:rPr>
              <w:t>备注</w:t>
            </w:r>
          </w:p>
        </w:tc>
      </w:tr>
      <w:tr w14:paraId="05A78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jc w:val="center"/>
        </w:trPr>
        <w:tc>
          <w:tcPr>
            <w:tcW w:w="648" w:type="dxa"/>
            <w:vAlign w:val="top"/>
          </w:tcPr>
          <w:p w14:paraId="59CB948F">
            <w:pPr>
              <w:pStyle w:val="87"/>
              <w:spacing w:before="65" w:line="270" w:lineRule="exact"/>
              <w:ind w:left="131"/>
              <w:rPr>
                <w:sz w:val="24"/>
                <w:szCs w:val="24"/>
                <w:highlight w:val="none"/>
              </w:rPr>
            </w:pPr>
            <w:r>
              <w:rPr>
                <w:position w:val="1"/>
                <w:sz w:val="24"/>
                <w:szCs w:val="24"/>
                <w:highlight w:val="none"/>
              </w:rPr>
              <w:t>1</w:t>
            </w:r>
          </w:p>
        </w:tc>
        <w:tc>
          <w:tcPr>
            <w:tcW w:w="1128" w:type="dxa"/>
            <w:vAlign w:val="top"/>
          </w:tcPr>
          <w:p w14:paraId="1EC0A14A">
            <w:pPr>
              <w:pStyle w:val="87"/>
              <w:spacing w:before="27" w:line="215" w:lineRule="auto"/>
              <w:ind w:left="113"/>
              <w:rPr>
                <w:sz w:val="24"/>
                <w:szCs w:val="24"/>
                <w:highlight w:val="none"/>
              </w:rPr>
            </w:pPr>
            <w:r>
              <w:rPr>
                <w:rFonts w:hint="eastAsia"/>
                <w:sz w:val="24"/>
                <w:szCs w:val="24"/>
                <w:highlight w:val="none"/>
              </w:rPr>
              <w:t>柳州市城中区五指山危岩地质灾害治理工程施工监理</w:t>
            </w:r>
          </w:p>
        </w:tc>
        <w:tc>
          <w:tcPr>
            <w:tcW w:w="1849" w:type="dxa"/>
            <w:vAlign w:val="top"/>
          </w:tcPr>
          <w:p w14:paraId="07027179">
            <w:pPr>
              <w:rPr>
                <w:rFonts w:ascii="Arial"/>
                <w:sz w:val="24"/>
                <w:szCs w:val="24"/>
                <w:highlight w:val="none"/>
              </w:rPr>
            </w:pPr>
          </w:p>
        </w:tc>
        <w:tc>
          <w:tcPr>
            <w:tcW w:w="968" w:type="dxa"/>
            <w:vAlign w:val="top"/>
          </w:tcPr>
          <w:p w14:paraId="5EC51FC1">
            <w:pPr>
              <w:rPr>
                <w:rFonts w:ascii="Arial"/>
                <w:sz w:val="24"/>
                <w:szCs w:val="24"/>
                <w:highlight w:val="none"/>
              </w:rPr>
            </w:pPr>
          </w:p>
        </w:tc>
        <w:tc>
          <w:tcPr>
            <w:tcW w:w="1128" w:type="dxa"/>
            <w:vAlign w:val="top"/>
          </w:tcPr>
          <w:p w14:paraId="25F94CF9">
            <w:pPr>
              <w:rPr>
                <w:rFonts w:ascii="Arial"/>
                <w:sz w:val="24"/>
                <w:szCs w:val="24"/>
                <w:highlight w:val="none"/>
              </w:rPr>
            </w:pPr>
          </w:p>
        </w:tc>
        <w:tc>
          <w:tcPr>
            <w:tcW w:w="1358" w:type="dxa"/>
            <w:vAlign w:val="top"/>
          </w:tcPr>
          <w:p w14:paraId="65080A5B">
            <w:pPr>
              <w:rPr>
                <w:rFonts w:ascii="Arial"/>
                <w:sz w:val="24"/>
                <w:szCs w:val="24"/>
                <w:highlight w:val="none"/>
              </w:rPr>
            </w:pPr>
          </w:p>
        </w:tc>
        <w:tc>
          <w:tcPr>
            <w:tcW w:w="857" w:type="dxa"/>
            <w:vAlign w:val="top"/>
          </w:tcPr>
          <w:p w14:paraId="620366ED">
            <w:pPr>
              <w:rPr>
                <w:rFonts w:ascii="Arial"/>
                <w:sz w:val="24"/>
                <w:szCs w:val="24"/>
                <w:highlight w:val="none"/>
              </w:rPr>
            </w:pPr>
          </w:p>
        </w:tc>
        <w:tc>
          <w:tcPr>
            <w:tcW w:w="861" w:type="dxa"/>
            <w:vAlign w:val="top"/>
          </w:tcPr>
          <w:p w14:paraId="571174E6">
            <w:pPr>
              <w:rPr>
                <w:rFonts w:ascii="Arial"/>
                <w:sz w:val="24"/>
                <w:szCs w:val="24"/>
                <w:highlight w:val="none"/>
              </w:rPr>
            </w:pPr>
          </w:p>
        </w:tc>
      </w:tr>
      <w:tr w14:paraId="4C5C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8797" w:type="dxa"/>
            <w:gridSpan w:val="8"/>
            <w:vAlign w:val="top"/>
          </w:tcPr>
          <w:p w14:paraId="6132895C">
            <w:pPr>
              <w:pStyle w:val="87"/>
              <w:spacing w:before="34" w:line="227" w:lineRule="auto"/>
              <w:rPr>
                <w:sz w:val="24"/>
                <w:szCs w:val="24"/>
                <w:highlight w:val="none"/>
              </w:rPr>
            </w:pPr>
            <w:r>
              <w:rPr>
                <w:rFonts w:hint="eastAsia"/>
                <w:spacing w:val="-4"/>
                <w:sz w:val="24"/>
                <w:szCs w:val="24"/>
                <w:highlight w:val="none"/>
                <w:lang w:val="en-US" w:eastAsia="zh-CN"/>
              </w:rPr>
              <w:t>报价</w:t>
            </w:r>
            <w:r>
              <w:rPr>
                <w:spacing w:val="-4"/>
                <w:sz w:val="24"/>
                <w:szCs w:val="24"/>
                <w:highlight w:val="none"/>
              </w:rPr>
              <w:t>合计（包含税费等所有费用</w:t>
            </w:r>
            <w:r>
              <w:rPr>
                <w:spacing w:val="-22"/>
                <w:sz w:val="24"/>
                <w:szCs w:val="24"/>
                <w:highlight w:val="none"/>
              </w:rPr>
              <w:t>）：（</w:t>
            </w:r>
            <w:r>
              <w:rPr>
                <w:spacing w:val="-4"/>
                <w:sz w:val="24"/>
                <w:szCs w:val="24"/>
                <w:highlight w:val="none"/>
              </w:rPr>
              <w:t>大写）人民币</w:t>
            </w:r>
            <w:r>
              <w:rPr>
                <w:rFonts w:hint="eastAsia"/>
                <w:spacing w:val="-4"/>
                <w:sz w:val="24"/>
                <w:szCs w:val="24"/>
                <w:highlight w:val="none"/>
                <w:lang w:val="en-US" w:eastAsia="zh-CN"/>
              </w:rPr>
              <w:t xml:space="preserve">          （          </w:t>
            </w:r>
            <w:r>
              <w:rPr>
                <w:spacing w:val="-1"/>
                <w:sz w:val="24"/>
                <w:szCs w:val="24"/>
                <w:highlight w:val="none"/>
              </w:rPr>
              <w:t>元）</w:t>
            </w:r>
          </w:p>
        </w:tc>
      </w:tr>
      <w:tr w14:paraId="163DD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8797" w:type="dxa"/>
            <w:gridSpan w:val="8"/>
            <w:vAlign w:val="top"/>
          </w:tcPr>
          <w:p w14:paraId="42EBDA24">
            <w:pPr>
              <w:pStyle w:val="87"/>
              <w:spacing w:before="34" w:line="228" w:lineRule="auto"/>
              <w:ind w:left="115"/>
              <w:rPr>
                <w:sz w:val="24"/>
                <w:szCs w:val="24"/>
                <w:highlight w:val="none"/>
              </w:rPr>
            </w:pPr>
            <w:r>
              <w:rPr>
                <w:spacing w:val="6"/>
                <w:sz w:val="24"/>
                <w:szCs w:val="24"/>
                <w:highlight w:val="none"/>
              </w:rPr>
              <w:t>优惠及其他：</w:t>
            </w:r>
          </w:p>
        </w:tc>
      </w:tr>
    </w:tbl>
    <w:p w14:paraId="1DBB6267">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p>
    <w:p w14:paraId="65D2D32C">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43706728">
      <w:pPr>
        <w:snapToGrid w:val="0"/>
        <w:spacing w:before="50" w:after="50"/>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不得自行更改</w:t>
      </w:r>
      <w:r>
        <w:rPr>
          <w:rFonts w:hint="eastAsia" w:ascii="宋体" w:hAnsi="宋体" w:eastAsia="宋体" w:cs="宋体"/>
          <w:b w:val="0"/>
          <w:bCs/>
          <w:color w:val="auto"/>
          <w:kern w:val="0"/>
          <w:sz w:val="21"/>
          <w:szCs w:val="21"/>
          <w:highlight w:val="none"/>
          <w:lang w:val="zh-CN"/>
        </w:rPr>
        <w:t>。</w:t>
      </w:r>
    </w:p>
    <w:p w14:paraId="7B21CE97">
      <w:pPr>
        <w:snapToGrid w:val="0"/>
        <w:ind w:firstLine="422" w:firstLineChars="200"/>
        <w:jc w:val="left"/>
        <w:rPr>
          <w:rFonts w:hint="eastAsia" w:ascii="宋体" w:hAnsi="宋体" w:eastAsia="宋体" w:cs="宋体"/>
          <w:b/>
          <w:bCs/>
          <w:color w:val="auto"/>
          <w:kern w:val="0"/>
          <w:sz w:val="21"/>
          <w:szCs w:val="21"/>
          <w:highlight w:val="none"/>
          <w:lang w:val="zh-CN"/>
        </w:rPr>
      </w:pPr>
    </w:p>
    <w:p w14:paraId="6A6F07A8">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p>
    <w:p w14:paraId="7AE0CCC7">
      <w:pPr>
        <w:autoSpaceDE w:val="0"/>
        <w:autoSpaceDN w:val="0"/>
        <w:spacing w:line="360" w:lineRule="auto"/>
        <w:ind w:left="4305" w:leftChars="195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供应商名称（电子签章）：</w:t>
      </w:r>
    </w:p>
    <w:p w14:paraId="6EBF09E0">
      <w:pPr>
        <w:spacing w:line="360" w:lineRule="auto"/>
        <w:contextualSpacing/>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日期： 年  月   日</w:t>
      </w:r>
    </w:p>
    <w:p w14:paraId="3AD85260">
      <w:pPr>
        <w:rPr>
          <w:rFonts w:hint="eastAsia" w:ascii="宋体" w:hAnsi="宋体" w:eastAsia="宋体" w:cs="宋体"/>
          <w:color w:val="auto"/>
          <w:kern w:val="0"/>
          <w:sz w:val="24"/>
          <w:highlight w:val="none"/>
          <w:lang w:val="zh-CN"/>
        </w:rPr>
      </w:pPr>
    </w:p>
    <w:p w14:paraId="308E3FFB">
      <w:pPr>
        <w:pStyle w:val="13"/>
        <w:rPr>
          <w:rFonts w:hint="eastAsia" w:ascii="宋体" w:hAnsi="宋体" w:eastAsia="宋体" w:cs="宋体"/>
          <w:color w:val="auto"/>
          <w:kern w:val="0"/>
          <w:sz w:val="24"/>
          <w:highlight w:val="none"/>
          <w:lang w:val="zh-CN"/>
        </w:rPr>
      </w:pPr>
    </w:p>
    <w:p w14:paraId="48025009">
      <w:pPr>
        <w:pStyle w:val="26"/>
        <w:rPr>
          <w:rFonts w:hint="eastAsia" w:ascii="宋体" w:hAnsi="宋体" w:eastAsia="宋体" w:cs="宋体"/>
          <w:highlight w:val="none"/>
          <w:lang w:val="zh-CN"/>
        </w:rPr>
        <w:sectPr>
          <w:headerReference r:id="rId7" w:type="default"/>
          <w:footerReference r:id="rId8" w:type="default"/>
          <w:pgSz w:w="11910" w:h="16840"/>
          <w:pgMar w:top="1440" w:right="1080" w:bottom="1440" w:left="1080" w:header="720" w:footer="720" w:gutter="0"/>
          <w:pgNumType w:fmt="decimal"/>
          <w:cols w:space="720" w:num="1"/>
          <w:rtlGutter w:val="0"/>
        </w:sectPr>
      </w:pPr>
    </w:p>
    <w:p w14:paraId="44B5E21A">
      <w:pPr>
        <w:spacing w:line="360" w:lineRule="auto"/>
        <w:contextualSpacing/>
        <w:rPr>
          <w:rFonts w:hint="eastAsia" w:ascii="宋体" w:hAnsi="宋体" w:eastAsia="宋体" w:cs="宋体"/>
          <w:color w:val="auto"/>
          <w:sz w:val="24"/>
          <w:highlight w:val="none"/>
        </w:rPr>
      </w:pPr>
    </w:p>
    <w:p w14:paraId="2A19B416">
      <w:pPr>
        <w:spacing w:line="520" w:lineRule="exact"/>
        <w:jc w:val="center"/>
        <w:rPr>
          <w:rFonts w:hint="eastAsia" w:ascii="宋体" w:hAnsi="宋体" w:eastAsia="宋体" w:cs="宋体"/>
          <w:color w:val="auto"/>
          <w:sz w:val="24"/>
          <w:highlight w:val="none"/>
        </w:rPr>
      </w:pPr>
    </w:p>
    <w:p w14:paraId="041DA314">
      <w:pPr>
        <w:spacing w:line="520" w:lineRule="exact"/>
        <w:jc w:val="center"/>
        <w:rPr>
          <w:rFonts w:hint="eastAsia" w:ascii="宋体" w:hAnsi="宋体" w:eastAsia="宋体" w:cs="宋体"/>
          <w:color w:val="auto"/>
          <w:sz w:val="24"/>
          <w:highlight w:val="none"/>
        </w:rPr>
      </w:pPr>
    </w:p>
    <w:p w14:paraId="43533CF7">
      <w:pPr>
        <w:spacing w:line="520" w:lineRule="exact"/>
        <w:jc w:val="center"/>
        <w:rPr>
          <w:rFonts w:hint="eastAsia" w:ascii="宋体" w:hAnsi="宋体" w:eastAsia="宋体" w:cs="宋体"/>
          <w:color w:val="auto"/>
          <w:sz w:val="24"/>
          <w:highlight w:val="none"/>
        </w:rPr>
      </w:pPr>
    </w:p>
    <w:p w14:paraId="2E324440">
      <w:pPr>
        <w:spacing w:line="520" w:lineRule="exact"/>
        <w:jc w:val="center"/>
        <w:rPr>
          <w:rFonts w:hint="eastAsia" w:ascii="宋体" w:hAnsi="宋体" w:eastAsia="宋体" w:cs="宋体"/>
          <w:color w:val="auto"/>
          <w:sz w:val="24"/>
          <w:highlight w:val="none"/>
        </w:rPr>
      </w:pPr>
    </w:p>
    <w:p w14:paraId="67540204">
      <w:pPr>
        <w:keepNext/>
        <w:keepLines/>
        <w:spacing w:before="340" w:after="330" w:line="578" w:lineRule="auto"/>
        <w:jc w:val="center"/>
        <w:outlineLvl w:val="0"/>
        <w:rPr>
          <w:rFonts w:hint="eastAsia" w:ascii="宋体" w:hAnsi="宋体" w:eastAsia="宋体" w:cs="宋体"/>
          <w:b/>
          <w:bCs/>
          <w:color w:val="auto"/>
          <w:kern w:val="44"/>
          <w:sz w:val="32"/>
          <w:szCs w:val="32"/>
          <w:highlight w:val="none"/>
        </w:rPr>
      </w:pPr>
    </w:p>
    <w:p w14:paraId="544B55BB">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95" w:name="_Toc25338"/>
      <w:r>
        <w:rPr>
          <w:rFonts w:hint="eastAsia" w:ascii="宋体" w:hAnsi="宋体" w:eastAsia="宋体" w:cs="宋体"/>
          <w:b/>
          <w:bCs/>
          <w:color w:val="auto"/>
          <w:kern w:val="44"/>
          <w:sz w:val="32"/>
          <w:szCs w:val="32"/>
          <w:highlight w:val="none"/>
        </w:rPr>
        <w:t>第六章  合同文本</w:t>
      </w:r>
      <w:r>
        <w:rPr>
          <w:rFonts w:hint="eastAsia" w:ascii="宋体" w:hAnsi="宋体" w:eastAsia="宋体" w:cs="宋体"/>
          <w:color w:val="auto"/>
          <w:kern w:val="44"/>
          <w:sz w:val="44"/>
          <w:szCs w:val="44"/>
          <w:highlight w:val="none"/>
        </w:rPr>
        <w:br w:type="page"/>
      </w:r>
      <w:bookmarkEnd w:id="95"/>
    </w:p>
    <w:p w14:paraId="3E335717">
      <w:pPr>
        <w:pStyle w:val="16"/>
        <w:jc w:val="center"/>
        <w:rPr>
          <w:rFonts w:hint="eastAsia" w:ascii="宋体" w:hAnsi="宋体" w:eastAsia="宋体" w:cs="宋体"/>
          <w:b/>
          <w:color w:val="auto"/>
          <w:sz w:val="52"/>
          <w:szCs w:val="52"/>
          <w:highlight w:val="none"/>
        </w:rPr>
      </w:pPr>
    </w:p>
    <w:p w14:paraId="780F0F4F">
      <w:pPr>
        <w:spacing w:line="500" w:lineRule="exact"/>
        <w:jc w:val="center"/>
        <w:rPr>
          <w:rFonts w:ascii="宋体" w:hAnsi="宋体" w:eastAsia="黑体" w:cs="宋体"/>
          <w:b/>
          <w:color w:val="auto"/>
          <w:kern w:val="0"/>
          <w:sz w:val="32"/>
          <w:szCs w:val="32"/>
          <w:highlight w:val="none"/>
          <w:u w:val="single"/>
        </w:rPr>
      </w:pPr>
    </w:p>
    <w:p w14:paraId="160CF695">
      <w:pPr>
        <w:pStyle w:val="2"/>
        <w:rPr>
          <w:color w:val="auto"/>
          <w:highlight w:val="none"/>
        </w:rPr>
      </w:pPr>
    </w:p>
    <w:p w14:paraId="692DD612">
      <w:pPr>
        <w:spacing w:line="500" w:lineRule="exact"/>
        <w:jc w:val="center"/>
        <w:rPr>
          <w:rFonts w:ascii="宋体" w:hAnsi="宋体" w:eastAsia="黑体" w:cs="宋体"/>
          <w:b/>
          <w:color w:val="auto"/>
          <w:kern w:val="0"/>
          <w:sz w:val="32"/>
          <w:szCs w:val="32"/>
          <w:highlight w:val="none"/>
          <w:u w:val="single"/>
        </w:rPr>
      </w:pPr>
    </w:p>
    <w:p w14:paraId="54F41FA1">
      <w:pPr>
        <w:spacing w:line="500" w:lineRule="exact"/>
        <w:jc w:val="center"/>
        <w:rPr>
          <w:rFonts w:hint="eastAsia" w:ascii="宋体" w:hAnsi="宋体" w:eastAsia="黑体" w:cs="宋体"/>
          <w:b/>
          <w:color w:val="auto"/>
          <w:kern w:val="0"/>
          <w:sz w:val="44"/>
          <w:szCs w:val="44"/>
          <w:highlight w:val="none"/>
          <w:u w:val="single"/>
        </w:rPr>
      </w:pPr>
      <w:r>
        <w:rPr>
          <w:rFonts w:hint="default" w:ascii="宋体" w:hAnsi="宋体" w:cs="宋体"/>
          <w:b/>
          <w:bCs/>
          <w:color w:val="auto"/>
          <w:sz w:val="30"/>
          <w:szCs w:val="30"/>
          <w:highlight w:val="none"/>
          <w:u w:val="single"/>
          <w:lang w:val="en-US"/>
        </w:rPr>
        <w:t xml:space="preserve"> </w:t>
      </w:r>
      <w:r>
        <w:rPr>
          <w:rFonts w:hint="default" w:ascii="宋体" w:hAnsi="宋体" w:eastAsia="黑体" w:cs="宋体"/>
          <w:b/>
          <w:color w:val="auto"/>
          <w:kern w:val="0"/>
          <w:sz w:val="44"/>
          <w:szCs w:val="44"/>
          <w:highlight w:val="none"/>
          <w:u w:val="single"/>
          <w:lang w:val="en-US"/>
        </w:rPr>
        <w:t>柳州市城中区五指山危岩地质灾害治理工程施工监理</w:t>
      </w:r>
      <w:r>
        <w:rPr>
          <w:rFonts w:hint="eastAsia" w:ascii="宋体" w:hAnsi="宋体" w:eastAsia="黑体" w:cs="宋体"/>
          <w:b/>
          <w:color w:val="auto"/>
          <w:kern w:val="0"/>
          <w:sz w:val="44"/>
          <w:szCs w:val="44"/>
          <w:highlight w:val="none"/>
          <w:u w:val="single"/>
        </w:rPr>
        <w:t>服务</w:t>
      </w:r>
    </w:p>
    <w:p w14:paraId="5AA07204">
      <w:pPr>
        <w:spacing w:line="500" w:lineRule="exact"/>
        <w:jc w:val="center"/>
        <w:rPr>
          <w:rFonts w:hint="eastAsia" w:ascii="宋体" w:hAnsi="宋体" w:eastAsia="黑体" w:cs="宋体"/>
          <w:b/>
          <w:color w:val="auto"/>
          <w:kern w:val="0"/>
          <w:sz w:val="44"/>
          <w:szCs w:val="44"/>
          <w:highlight w:val="none"/>
          <w:u w:val="single"/>
        </w:rPr>
      </w:pPr>
    </w:p>
    <w:p w14:paraId="29228EF0">
      <w:pPr>
        <w:spacing w:line="500" w:lineRule="exact"/>
        <w:jc w:val="center"/>
        <w:rPr>
          <w:rFonts w:ascii="黑体" w:eastAsia="黑体"/>
          <w:b/>
          <w:color w:val="auto"/>
          <w:sz w:val="44"/>
          <w:szCs w:val="44"/>
          <w:highlight w:val="none"/>
        </w:rPr>
      </w:pPr>
    </w:p>
    <w:p w14:paraId="7B06B7BF">
      <w:pPr>
        <w:spacing w:line="500" w:lineRule="exact"/>
        <w:jc w:val="center"/>
        <w:rPr>
          <w:rFonts w:ascii="黑体" w:eastAsia="黑体"/>
          <w:b/>
          <w:color w:val="auto"/>
          <w:sz w:val="44"/>
          <w:szCs w:val="44"/>
          <w:highlight w:val="none"/>
        </w:rPr>
      </w:pPr>
    </w:p>
    <w:p w14:paraId="3F5AD925">
      <w:pPr>
        <w:spacing w:line="500" w:lineRule="exact"/>
        <w:jc w:val="center"/>
        <w:rPr>
          <w:rFonts w:ascii="黑体" w:eastAsia="黑体"/>
          <w:b/>
          <w:color w:val="auto"/>
          <w:sz w:val="44"/>
          <w:szCs w:val="44"/>
          <w:highlight w:val="none"/>
        </w:rPr>
      </w:pPr>
    </w:p>
    <w:p w14:paraId="4EF5E747">
      <w:pPr>
        <w:spacing w:line="500" w:lineRule="exact"/>
        <w:jc w:val="center"/>
        <w:rPr>
          <w:rFonts w:ascii="黑体" w:eastAsia="黑体"/>
          <w:b/>
          <w:color w:val="auto"/>
          <w:sz w:val="44"/>
          <w:szCs w:val="44"/>
          <w:highlight w:val="none"/>
        </w:rPr>
      </w:pPr>
      <w:r>
        <w:rPr>
          <w:rFonts w:hint="eastAsia" w:ascii="黑体" w:eastAsia="黑体"/>
          <w:b/>
          <w:color w:val="auto"/>
          <w:sz w:val="44"/>
          <w:szCs w:val="44"/>
          <w:highlight w:val="none"/>
        </w:rPr>
        <w:t>监理委托合同</w:t>
      </w:r>
    </w:p>
    <w:p w14:paraId="2B3FEF4B">
      <w:pPr>
        <w:spacing w:line="500" w:lineRule="exact"/>
        <w:jc w:val="center"/>
        <w:rPr>
          <w:b/>
          <w:color w:val="auto"/>
          <w:sz w:val="44"/>
          <w:szCs w:val="44"/>
          <w:highlight w:val="none"/>
        </w:rPr>
      </w:pPr>
    </w:p>
    <w:p w14:paraId="21E936A0">
      <w:pPr>
        <w:spacing w:line="500" w:lineRule="exact"/>
        <w:jc w:val="center"/>
        <w:rPr>
          <w:b/>
          <w:color w:val="auto"/>
          <w:sz w:val="44"/>
          <w:szCs w:val="44"/>
          <w:highlight w:val="none"/>
        </w:rPr>
      </w:pPr>
    </w:p>
    <w:p w14:paraId="3B847B5B">
      <w:pPr>
        <w:spacing w:line="500" w:lineRule="exact"/>
        <w:jc w:val="center"/>
        <w:rPr>
          <w:b/>
          <w:color w:val="auto"/>
          <w:sz w:val="44"/>
          <w:szCs w:val="44"/>
          <w:highlight w:val="none"/>
        </w:rPr>
      </w:pPr>
    </w:p>
    <w:p w14:paraId="2A3B85FB">
      <w:pPr>
        <w:spacing w:line="500" w:lineRule="exact"/>
        <w:jc w:val="center"/>
        <w:rPr>
          <w:b/>
          <w:color w:val="auto"/>
          <w:sz w:val="44"/>
          <w:szCs w:val="44"/>
          <w:highlight w:val="none"/>
        </w:rPr>
      </w:pPr>
    </w:p>
    <w:p w14:paraId="2270B46D">
      <w:pPr>
        <w:spacing w:line="500" w:lineRule="exact"/>
        <w:jc w:val="center"/>
        <w:rPr>
          <w:b/>
          <w:color w:val="auto"/>
          <w:sz w:val="44"/>
          <w:szCs w:val="44"/>
          <w:highlight w:val="none"/>
        </w:rPr>
      </w:pPr>
    </w:p>
    <w:p w14:paraId="5B88F881">
      <w:pPr>
        <w:spacing w:line="500" w:lineRule="exact"/>
        <w:jc w:val="center"/>
        <w:rPr>
          <w:b/>
          <w:color w:val="auto"/>
          <w:sz w:val="44"/>
          <w:szCs w:val="44"/>
          <w:highlight w:val="none"/>
        </w:rPr>
      </w:pPr>
    </w:p>
    <w:p w14:paraId="03EFB1B9">
      <w:pPr>
        <w:spacing w:line="500" w:lineRule="exact"/>
        <w:jc w:val="center"/>
        <w:rPr>
          <w:b/>
          <w:color w:val="auto"/>
          <w:sz w:val="44"/>
          <w:szCs w:val="44"/>
          <w:highlight w:val="none"/>
        </w:rPr>
      </w:pPr>
    </w:p>
    <w:p w14:paraId="122DDB64">
      <w:pPr>
        <w:spacing w:line="500" w:lineRule="exact"/>
        <w:rPr>
          <w:b/>
          <w:color w:val="auto"/>
          <w:sz w:val="44"/>
          <w:szCs w:val="44"/>
          <w:highlight w:val="none"/>
        </w:rPr>
      </w:pPr>
    </w:p>
    <w:p w14:paraId="25BC0779">
      <w:pPr>
        <w:spacing w:line="500" w:lineRule="exact"/>
        <w:rPr>
          <w:b/>
          <w:color w:val="auto"/>
          <w:sz w:val="44"/>
          <w:szCs w:val="44"/>
          <w:highlight w:val="none"/>
        </w:rPr>
      </w:pPr>
    </w:p>
    <w:p w14:paraId="681DC2EE">
      <w:pPr>
        <w:spacing w:line="500" w:lineRule="exact"/>
        <w:ind w:firstLine="1124" w:firstLineChars="400"/>
        <w:rPr>
          <w:rFonts w:ascii="宋体" w:hAnsi="宋体"/>
          <w:b/>
          <w:bCs/>
          <w:color w:val="auto"/>
          <w:sz w:val="28"/>
          <w:szCs w:val="28"/>
          <w:highlight w:val="none"/>
          <w:u w:val="single"/>
        </w:rPr>
      </w:pPr>
      <w:r>
        <w:rPr>
          <w:rFonts w:hint="eastAsia" w:ascii="宋体" w:hAnsi="宋体"/>
          <w:b/>
          <w:bCs/>
          <w:color w:val="auto"/>
          <w:sz w:val="28"/>
          <w:szCs w:val="28"/>
          <w:highlight w:val="none"/>
        </w:rPr>
        <w:t>发包人：</w:t>
      </w:r>
      <w:r>
        <w:rPr>
          <w:rFonts w:hint="eastAsia" w:ascii="宋体" w:hAnsi="宋体" w:cs="宋体"/>
          <w:b/>
          <w:bCs/>
          <w:color w:val="auto"/>
          <w:sz w:val="30"/>
          <w:szCs w:val="30"/>
          <w:highlight w:val="none"/>
          <w:u w:val="single"/>
        </w:rPr>
        <w:t xml:space="preserve"> </w:t>
      </w:r>
      <w:r>
        <w:rPr>
          <w:rFonts w:hint="default" w:ascii="宋体" w:hAnsi="宋体" w:cs="宋体"/>
          <w:b/>
          <w:bCs/>
          <w:color w:val="auto"/>
          <w:sz w:val="30"/>
          <w:szCs w:val="30"/>
          <w:highlight w:val="none"/>
          <w:u w:val="single"/>
          <w:lang w:val="en-US"/>
        </w:rPr>
        <w:t xml:space="preserve">                   </w:t>
      </w:r>
      <w:r>
        <w:rPr>
          <w:rFonts w:hint="eastAsia" w:ascii="宋体" w:hAnsi="宋体" w:cs="宋体"/>
          <w:b/>
          <w:bCs/>
          <w:color w:val="auto"/>
          <w:sz w:val="30"/>
          <w:szCs w:val="30"/>
          <w:highlight w:val="none"/>
          <w:u w:val="single"/>
        </w:rPr>
        <w:t xml:space="preserve"> </w:t>
      </w:r>
    </w:p>
    <w:p w14:paraId="14103158">
      <w:pPr>
        <w:ind w:firstLine="1124" w:firstLineChars="400"/>
        <w:rPr>
          <w:rFonts w:ascii="宋体" w:hAnsi="宋体" w:cs="宋体"/>
          <w:b/>
          <w:bCs/>
          <w:color w:val="auto"/>
          <w:sz w:val="30"/>
          <w:szCs w:val="30"/>
          <w:highlight w:val="none"/>
          <w:u w:val="single"/>
        </w:rPr>
      </w:pPr>
      <w:r>
        <w:rPr>
          <w:rFonts w:hint="eastAsia" w:ascii="宋体" w:hAnsi="宋体"/>
          <w:b/>
          <w:bCs/>
          <w:color w:val="auto"/>
          <w:sz w:val="28"/>
          <w:szCs w:val="28"/>
          <w:highlight w:val="none"/>
        </w:rPr>
        <w:t>监理人：</w:t>
      </w:r>
      <w:r>
        <w:rPr>
          <w:rFonts w:hint="default" w:ascii="宋体" w:hAnsi="宋体" w:cs="宋体"/>
          <w:b/>
          <w:bCs/>
          <w:color w:val="auto"/>
          <w:sz w:val="30"/>
          <w:szCs w:val="30"/>
          <w:highlight w:val="none"/>
          <w:u w:val="single"/>
          <w:lang w:val="en-US"/>
        </w:rPr>
        <w:t xml:space="preserve">                    </w:t>
      </w:r>
      <w:r>
        <w:rPr>
          <w:rFonts w:hint="eastAsia" w:ascii="宋体" w:hAnsi="宋体" w:cs="宋体"/>
          <w:b/>
          <w:bCs/>
          <w:color w:val="auto"/>
          <w:sz w:val="30"/>
          <w:szCs w:val="30"/>
          <w:highlight w:val="none"/>
          <w:u w:val="single"/>
        </w:rPr>
        <w:t xml:space="preserve"> </w:t>
      </w:r>
    </w:p>
    <w:p w14:paraId="60C5F6AE">
      <w:pPr>
        <w:spacing w:line="500" w:lineRule="exact"/>
        <w:ind w:firstLine="1355" w:firstLineChars="450"/>
        <w:rPr>
          <w:rFonts w:ascii="宋体" w:hAnsi="宋体"/>
          <w:b/>
          <w:bCs/>
          <w:color w:val="auto"/>
          <w:sz w:val="30"/>
          <w:szCs w:val="30"/>
          <w:highlight w:val="none"/>
          <w:u w:val="single"/>
        </w:rPr>
      </w:pPr>
    </w:p>
    <w:p w14:paraId="255FE469">
      <w:pPr>
        <w:spacing w:line="500" w:lineRule="exact"/>
        <w:ind w:firstLine="1265" w:firstLineChars="450"/>
        <w:rPr>
          <w:rFonts w:ascii="宋体" w:hAnsi="宋体"/>
          <w:b/>
          <w:color w:val="auto"/>
          <w:sz w:val="28"/>
          <w:szCs w:val="28"/>
          <w:highlight w:val="none"/>
        </w:rPr>
      </w:pPr>
      <w:r>
        <w:rPr>
          <w:rFonts w:hint="eastAsia" w:ascii="宋体" w:hAnsi="宋体"/>
          <w:b/>
          <w:bCs/>
          <w:color w:val="auto"/>
          <w:sz w:val="28"/>
          <w:szCs w:val="28"/>
          <w:highlight w:val="none"/>
        </w:rPr>
        <w:t xml:space="preserve">  签订时间：</w:t>
      </w:r>
      <w:r>
        <w:rPr>
          <w:rFonts w:hint="default" w:ascii="宋体" w:hAnsi="宋体"/>
          <w:b/>
          <w:bCs/>
          <w:color w:val="auto"/>
          <w:sz w:val="28"/>
          <w:szCs w:val="28"/>
          <w:highlight w:val="none"/>
          <w:lang w:val="en-US"/>
        </w:rPr>
        <w:t xml:space="preserve">   </w:t>
      </w:r>
      <w:r>
        <w:rPr>
          <w:rFonts w:hint="eastAsia" w:ascii="宋体" w:hAnsi="宋体"/>
          <w:b/>
          <w:bCs/>
          <w:color w:val="auto"/>
          <w:sz w:val="28"/>
          <w:szCs w:val="28"/>
          <w:highlight w:val="none"/>
        </w:rPr>
        <w:t xml:space="preserve"> 年   月   日</w:t>
      </w:r>
    </w:p>
    <w:p w14:paraId="37184AC5">
      <w:pPr>
        <w:spacing w:line="560" w:lineRule="exact"/>
        <w:jc w:val="center"/>
        <w:rPr>
          <w:rFonts w:ascii="宋体" w:hAnsi="宋体"/>
          <w:b/>
          <w:color w:val="auto"/>
          <w:sz w:val="28"/>
          <w:szCs w:val="28"/>
          <w:highlight w:val="none"/>
        </w:rPr>
      </w:pPr>
    </w:p>
    <w:p w14:paraId="17C72E90">
      <w:pPr>
        <w:spacing w:line="560" w:lineRule="exact"/>
        <w:jc w:val="center"/>
        <w:rPr>
          <w:rFonts w:ascii="宋体" w:hAnsi="宋体"/>
          <w:b/>
          <w:color w:val="auto"/>
          <w:sz w:val="28"/>
          <w:szCs w:val="28"/>
          <w:highlight w:val="none"/>
        </w:rPr>
        <w:sectPr>
          <w:pgSz w:w="11906" w:h="16838"/>
          <w:pgMar w:top="1440" w:right="1800" w:bottom="1440" w:left="1800" w:header="851" w:footer="992" w:gutter="0"/>
          <w:cols w:space="425" w:num="1"/>
          <w:docGrid w:type="lines" w:linePitch="312" w:charSpace="0"/>
        </w:sectPr>
      </w:pPr>
    </w:p>
    <w:p w14:paraId="14AF6742">
      <w:pPr>
        <w:pageBreakBefore w:val="0"/>
        <w:kinsoku/>
        <w:wordWrap/>
        <w:overflowPunct/>
        <w:topLinePunct w:val="0"/>
        <w:bidi w:val="0"/>
        <w:spacing w:line="360" w:lineRule="auto"/>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施工监理合同协议书</w:t>
      </w:r>
    </w:p>
    <w:p w14:paraId="5151E374">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发包人（甲方）：</w:t>
      </w:r>
      <w:r>
        <w:rPr>
          <w:rFonts w:hint="eastAsia" w:ascii="宋体" w:hAnsi="宋体" w:eastAsia="宋体" w:cs="宋体"/>
          <w:color w:val="auto"/>
          <w:sz w:val="21"/>
          <w:szCs w:val="21"/>
          <w:highlight w:val="none"/>
          <w:u w:val="single"/>
          <w:lang w:val="en-US"/>
        </w:rPr>
        <w:t xml:space="preserve">                        </w:t>
      </w:r>
    </w:p>
    <w:p w14:paraId="3BA02AEE">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监理人（乙方）：</w:t>
      </w:r>
      <w:r>
        <w:rPr>
          <w:rFonts w:hint="eastAsia" w:ascii="宋体" w:hAnsi="宋体" w:eastAsia="宋体" w:cs="宋体"/>
          <w:color w:val="auto"/>
          <w:sz w:val="21"/>
          <w:szCs w:val="21"/>
          <w:highlight w:val="none"/>
          <w:u w:val="single"/>
          <w:lang w:val="en-US"/>
        </w:rPr>
        <w:t xml:space="preserve">                         </w:t>
      </w:r>
    </w:p>
    <w:p w14:paraId="5A8AF15A">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14:paraId="5DEAC9AA">
      <w:pPr>
        <w:pageBreakBefore w:val="0"/>
        <w:widowControl/>
        <w:kinsoku/>
        <w:wordWrap/>
        <w:overflowPunct/>
        <w:topLinePunct w:val="0"/>
        <w:bidi w:val="0"/>
        <w:spacing w:line="360" w:lineRule="auto"/>
        <w:ind w:left="0" w:left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合同名称：</w:t>
      </w:r>
      <w:r>
        <w:rPr>
          <w:rFonts w:hint="eastAsia" w:ascii="宋体" w:hAnsi="宋体" w:eastAsia="宋体" w:cs="宋体"/>
          <w:color w:val="auto"/>
          <w:sz w:val="21"/>
          <w:szCs w:val="21"/>
          <w:highlight w:val="none"/>
          <w:u w:val="single"/>
          <w:lang w:val="en-US"/>
        </w:rPr>
        <w:t xml:space="preserve"> 柳州市城中区五指山危岩地质灾害治理工程施工监理</w:t>
      </w:r>
      <w:r>
        <w:rPr>
          <w:rFonts w:hint="eastAsia" w:ascii="宋体" w:hAnsi="宋体" w:eastAsia="宋体" w:cs="宋体"/>
          <w:color w:val="auto"/>
          <w:sz w:val="21"/>
          <w:szCs w:val="21"/>
          <w:highlight w:val="none"/>
          <w:u w:val="single"/>
        </w:rPr>
        <w:t>服务</w:t>
      </w:r>
    </w:p>
    <w:p w14:paraId="720B7D6A">
      <w:pPr>
        <w:pageBreakBefore w:val="0"/>
        <w:kinsoku/>
        <w:wordWrap/>
        <w:overflowPunct/>
        <w:topLinePunct w:val="0"/>
        <w:bidi w:val="0"/>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依据国家有关法律、法规，</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（以下简称发包人）委托</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（以下简称监理人）提供</w:t>
      </w:r>
      <w:r>
        <w:rPr>
          <w:rFonts w:hint="eastAsia" w:ascii="宋体" w:hAnsi="宋体" w:eastAsia="宋体" w:cs="宋体"/>
          <w:color w:val="auto"/>
          <w:sz w:val="21"/>
          <w:szCs w:val="21"/>
          <w:highlight w:val="none"/>
          <w:u w:val="single"/>
          <w:lang w:val="en-US"/>
        </w:rPr>
        <w:t xml:space="preserve">   柳州市城中区五指山危岩地质灾害治理工程</w:t>
      </w:r>
      <w:r>
        <w:rPr>
          <w:rFonts w:hint="eastAsia" w:ascii="宋体" w:hAnsi="宋体" w:eastAsia="宋体" w:cs="宋体"/>
          <w:color w:val="auto"/>
          <w:sz w:val="21"/>
          <w:szCs w:val="21"/>
          <w:highlight w:val="none"/>
        </w:rPr>
        <w:t>施工阶段监理服务，经双方协商一致，订立本合同。</w:t>
      </w:r>
    </w:p>
    <w:p w14:paraId="04470E72">
      <w:pPr>
        <w:pageBreakBefore w:val="0"/>
        <w:kinsoku/>
        <w:wordWrap/>
        <w:overflowPunct/>
        <w:topLinePunct w:val="0"/>
        <w:bidi w:val="0"/>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w:t>
      </w:r>
      <w:r>
        <w:rPr>
          <w:rFonts w:hint="eastAsia" w:ascii="宋体" w:hAnsi="宋体" w:eastAsia="宋体" w:cs="宋体"/>
          <w:color w:val="auto"/>
          <w:sz w:val="21"/>
          <w:szCs w:val="21"/>
          <w:highlight w:val="none"/>
        </w:rPr>
        <w:t xml:space="preserve">工程概况 </w:t>
      </w:r>
    </w:p>
    <w:p w14:paraId="28547D0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 </w:t>
      </w:r>
      <w:r>
        <w:rPr>
          <w:rFonts w:hint="eastAsia" w:ascii="宋体" w:hAnsi="宋体" w:eastAsia="宋体" w:cs="宋体"/>
          <w:color w:val="auto"/>
          <w:sz w:val="21"/>
          <w:szCs w:val="21"/>
          <w:highlight w:val="none"/>
        </w:rPr>
        <w:t>工程名称</w:t>
      </w:r>
    </w:p>
    <w:p w14:paraId="03FD52E9">
      <w:pPr>
        <w:pageBreakBefore w:val="0"/>
        <w:kinsoku/>
        <w:wordWrap/>
        <w:overflowPunct/>
        <w:topLinePunct w:val="0"/>
        <w:bidi w:val="0"/>
        <w:spacing w:line="360" w:lineRule="auto"/>
        <w:ind w:left="0" w:leftChars="0"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u w:val="single"/>
          <w:lang w:val="en-US"/>
        </w:rPr>
        <w:t xml:space="preserve">  柳州市城中区五指山危岩地质灾害治理工程</w:t>
      </w:r>
    </w:p>
    <w:p w14:paraId="1A028D80">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 xml:space="preserve"> 工程地点及规模</w:t>
      </w:r>
    </w:p>
    <w:p w14:paraId="78180990">
      <w:pPr>
        <w:pageBreakBefore w:val="0"/>
        <w:tabs>
          <w:tab w:val="left" w:pos="0"/>
        </w:tabs>
        <w:kinsoku/>
        <w:wordWrap/>
        <w:overflowPunct/>
        <w:topLinePunct w:val="0"/>
        <w:bidi w:val="0"/>
        <w:adjustRightInd w:val="0"/>
        <w:snapToGri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工程地点：</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工程规模：</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,建设规模：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，项目施工预算：￥</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万元 </w:t>
      </w:r>
    </w:p>
    <w:p w14:paraId="038F877A">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2 </w:t>
      </w:r>
      <w:r>
        <w:rPr>
          <w:rFonts w:hint="eastAsia" w:ascii="宋体" w:hAnsi="宋体" w:eastAsia="宋体" w:cs="宋体"/>
          <w:color w:val="auto"/>
          <w:sz w:val="21"/>
          <w:szCs w:val="21"/>
          <w:highlight w:val="none"/>
        </w:rPr>
        <w:t>本合同中的有关词语含义与本合同第一部分《通用合同条款》中赋予它们的定义相同。</w:t>
      </w:r>
    </w:p>
    <w:p w14:paraId="5CFDA6EF">
      <w:pPr>
        <w:pageBreakBefore w:val="0"/>
        <w:kinsoku/>
        <w:wordWrap/>
        <w:overflowPunct/>
        <w:topLinePunct w:val="0"/>
        <w:bidi w:val="0"/>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 </w:t>
      </w:r>
      <w:r>
        <w:rPr>
          <w:rFonts w:hint="eastAsia" w:ascii="宋体" w:hAnsi="宋体" w:eastAsia="宋体" w:cs="宋体"/>
          <w:color w:val="auto"/>
          <w:sz w:val="21"/>
          <w:szCs w:val="21"/>
          <w:highlight w:val="none"/>
        </w:rPr>
        <w:t xml:space="preserve">本合同协议书与下列文件一起构成本合同。 </w:t>
      </w:r>
    </w:p>
    <w:p w14:paraId="2F4CB607">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3.1 </w:t>
      </w:r>
      <w:r>
        <w:rPr>
          <w:rFonts w:hint="eastAsia" w:ascii="宋体" w:hAnsi="宋体" w:eastAsia="宋体" w:cs="宋体"/>
          <w:color w:val="auto"/>
          <w:sz w:val="21"/>
          <w:szCs w:val="21"/>
          <w:highlight w:val="none"/>
        </w:rPr>
        <w:t>在实施过程中共同签署的补充与修正文件。</w:t>
      </w:r>
    </w:p>
    <w:p w14:paraId="2A99C33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3.2 </w:t>
      </w:r>
      <w:r>
        <w:rPr>
          <w:rFonts w:hint="eastAsia" w:ascii="宋体" w:hAnsi="宋体" w:eastAsia="宋体" w:cs="宋体"/>
          <w:color w:val="auto"/>
          <w:sz w:val="21"/>
          <w:szCs w:val="21"/>
          <w:highlight w:val="none"/>
        </w:rPr>
        <w:t>本合同专用条款。</w:t>
      </w:r>
    </w:p>
    <w:p w14:paraId="5A21180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3.3 </w:t>
      </w:r>
      <w:r>
        <w:rPr>
          <w:rFonts w:hint="eastAsia" w:ascii="宋体" w:hAnsi="宋体" w:eastAsia="宋体" w:cs="宋体"/>
          <w:color w:val="auto"/>
          <w:sz w:val="21"/>
          <w:szCs w:val="21"/>
          <w:highlight w:val="none"/>
        </w:rPr>
        <w:t>本合同通用条款。</w:t>
      </w:r>
    </w:p>
    <w:p w14:paraId="5D7ACB6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3.4 </w:t>
      </w:r>
      <w:r>
        <w:rPr>
          <w:rFonts w:hint="eastAsia" w:ascii="宋体" w:hAnsi="宋体" w:eastAsia="宋体" w:cs="宋体"/>
          <w:color w:val="auto"/>
          <w:sz w:val="21"/>
          <w:szCs w:val="21"/>
          <w:highlight w:val="none"/>
        </w:rPr>
        <w:t>本合同附件。</w:t>
      </w:r>
    </w:p>
    <w:p w14:paraId="455A451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3.5 </w:t>
      </w:r>
      <w:r>
        <w:rPr>
          <w:rFonts w:hint="eastAsia" w:ascii="宋体" w:hAnsi="宋体" w:eastAsia="宋体" w:cs="宋体"/>
          <w:color w:val="auto"/>
          <w:sz w:val="21"/>
          <w:szCs w:val="21"/>
          <w:highlight w:val="none"/>
        </w:rPr>
        <w:t>双方确认需进人合同的其他文件。</w:t>
      </w:r>
    </w:p>
    <w:p w14:paraId="7B4E3B78">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083CA447">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上述各项合同文件包括合同当事人就该项合同文件所作出的补充和修改属于同一类内容的文件，应以最新签署的为准。专用合同条款及其附仵须经合同当事人签字或盖章。 </w:t>
      </w:r>
    </w:p>
    <w:p w14:paraId="5164F99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 </w:t>
      </w:r>
      <w:r>
        <w:rPr>
          <w:rFonts w:hint="eastAsia" w:ascii="宋体" w:hAnsi="宋体" w:eastAsia="宋体" w:cs="宋体"/>
          <w:color w:val="auto"/>
          <w:sz w:val="21"/>
          <w:szCs w:val="21"/>
          <w:highlight w:val="none"/>
        </w:rPr>
        <w:t>监理人向发包人承诺，按照本合同的规定，承担本合同专用条款中议定范围内的监理业务。</w:t>
      </w:r>
    </w:p>
    <w:p w14:paraId="0407A126">
      <w:pPr>
        <w:pageBreakBefore w:val="0"/>
        <w:kinsoku/>
        <w:wordWrap/>
        <w:overflowPunct/>
        <w:topLinePunct w:val="0"/>
        <w:autoSpaceDE w:val="0"/>
        <w:autoSpaceDN w:val="0"/>
        <w:bidi w:val="0"/>
        <w:adjustRightInd w:val="0"/>
        <w:spacing w:line="360" w:lineRule="auto"/>
        <w:ind w:left="0" w:leftChars="0"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 xml:space="preserve">4.1 </w:t>
      </w:r>
      <w:r>
        <w:rPr>
          <w:rFonts w:hint="eastAsia" w:ascii="宋体" w:hAnsi="宋体" w:eastAsia="宋体" w:cs="宋体"/>
          <w:color w:val="auto"/>
          <w:kern w:val="0"/>
          <w:sz w:val="21"/>
          <w:szCs w:val="21"/>
          <w:highlight w:val="none"/>
        </w:rPr>
        <w:t>总监理工程师:</w:t>
      </w:r>
    </w:p>
    <w:p w14:paraId="301B3F17">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1E03436">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62DE4ED4">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监理工程师执业资格证书号: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08F4148E">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29AAE508">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电子邮箱:</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4E54BE97">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7275E9D7">
      <w:pPr>
        <w:pageBreakBefore w:val="0"/>
        <w:kinsoku/>
        <w:wordWrap/>
        <w:overflowPunct/>
        <w:topLinePunct w:val="0"/>
        <w:autoSpaceDE w:val="0"/>
        <w:autoSpaceDN w:val="0"/>
        <w:bidi w:val="0"/>
        <w:adjustRightInd w:val="0"/>
        <w:spacing w:line="360" w:lineRule="auto"/>
        <w:ind w:left="0" w:leftChars="0" w:firstLine="422"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b/>
          <w:bCs/>
          <w:color w:val="auto"/>
          <w:kern w:val="0"/>
          <w:sz w:val="21"/>
          <w:szCs w:val="21"/>
          <w:highlight w:val="none"/>
        </w:rPr>
        <w:t xml:space="preserve">4.2 </w:t>
      </w:r>
      <w:r>
        <w:rPr>
          <w:rFonts w:hint="eastAsia" w:ascii="宋体" w:hAnsi="宋体" w:eastAsia="宋体" w:cs="宋体"/>
          <w:color w:val="auto"/>
          <w:kern w:val="0"/>
          <w:sz w:val="21"/>
          <w:szCs w:val="21"/>
          <w:highlight w:val="none"/>
        </w:rPr>
        <w:t>监理工程师: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18C25B80">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监理证号:</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4913634D">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096C2020">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78AA1298">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7E52A1E2">
      <w:pPr>
        <w:pageBreakBefore w:val="0"/>
        <w:kinsoku/>
        <w:wordWrap/>
        <w:overflowPunct/>
        <w:topLinePunct w:val="0"/>
        <w:autoSpaceDE w:val="0"/>
        <w:autoSpaceDN w:val="0"/>
        <w:bidi w:val="0"/>
        <w:adjustRightInd w:val="0"/>
        <w:spacing w:line="360" w:lineRule="auto"/>
        <w:ind w:left="0" w:leftChars="0" w:firstLine="422"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b/>
          <w:bCs/>
          <w:color w:val="auto"/>
          <w:kern w:val="0"/>
          <w:sz w:val="21"/>
          <w:szCs w:val="21"/>
          <w:highlight w:val="none"/>
        </w:rPr>
        <w:t xml:space="preserve">4.23 </w:t>
      </w:r>
      <w:r>
        <w:rPr>
          <w:rFonts w:hint="eastAsia" w:ascii="宋体" w:hAnsi="宋体" w:eastAsia="宋体" w:cs="宋体"/>
          <w:color w:val="auto"/>
          <w:kern w:val="0"/>
          <w:sz w:val="21"/>
          <w:szCs w:val="21"/>
          <w:highlight w:val="none"/>
        </w:rPr>
        <w:t>现场监理员: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2E478268">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监理证号:</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52415DBC">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1DD9E054">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 xml:space="preserve"> ；</w:t>
      </w:r>
    </w:p>
    <w:p w14:paraId="531154C1">
      <w:pPr>
        <w:pageBreakBefore w:val="0"/>
        <w:kinsoku/>
        <w:wordWrap/>
        <w:overflowPunct/>
        <w:topLinePunct w:val="0"/>
        <w:autoSpaceDE w:val="0"/>
        <w:autoSpaceDN w:val="0"/>
        <w:bidi w:val="0"/>
        <w:adjustRightInd w:val="0"/>
        <w:spacing w:line="360" w:lineRule="auto"/>
        <w:ind w:left="0" w:leftChars="0"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rPr>
        <w:t xml:space="preserve">              </w:t>
      </w:r>
      <w:r>
        <w:rPr>
          <w:rFonts w:hint="eastAsia" w:ascii="宋体" w:hAnsi="宋体" w:eastAsia="宋体" w:cs="宋体"/>
          <w:color w:val="auto"/>
          <w:kern w:val="0"/>
          <w:sz w:val="21"/>
          <w:szCs w:val="21"/>
          <w:highlight w:val="none"/>
          <w:u w:val="single"/>
        </w:rPr>
        <w:t>；</w:t>
      </w:r>
    </w:p>
    <w:p w14:paraId="162BCC0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5 </w:t>
      </w:r>
      <w:r>
        <w:rPr>
          <w:rFonts w:hint="eastAsia" w:ascii="宋体" w:hAnsi="宋体" w:eastAsia="宋体" w:cs="宋体"/>
          <w:color w:val="auto"/>
          <w:sz w:val="21"/>
          <w:szCs w:val="21"/>
          <w:highlight w:val="none"/>
        </w:rPr>
        <w:t>本工程监理服务酬金收取:</w:t>
      </w:r>
    </w:p>
    <w:p w14:paraId="19142B3A">
      <w:pPr>
        <w:pageBreakBefore w:val="0"/>
        <w:kinsoku/>
        <w:wordWrap/>
        <w:overflowPunct/>
        <w:topLinePunct w:val="0"/>
        <w:autoSpaceDE w:val="0"/>
        <w:autoSpaceDN w:val="0"/>
        <w:bidi w:val="0"/>
        <w:adjustRightInd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5.1 </w:t>
      </w:r>
      <w:r>
        <w:rPr>
          <w:rFonts w:hint="eastAsia" w:ascii="宋体" w:hAnsi="宋体" w:eastAsia="宋体" w:cs="宋体"/>
          <w:color w:val="auto"/>
          <w:sz w:val="21"/>
          <w:szCs w:val="21"/>
          <w:highlight w:val="none"/>
        </w:rPr>
        <w:t>地质灾害治理工程属山地工程，条件复杂，工程建设项目规模小且交通偏避，根据广西自然资源厅、财政厅《广西壮族自治区地质灾害防治工程监理预算标准（修订)》（桂财资环[2024]10号)，经双方协商，本项目施工监理服务费参照上述标准执行，即：施工监理服务费=施工监理服务取费基价×总调整系数，其中，总调整系数=（复杂程度调整系数+基本条件调整系数-调整系数个数+1）。</w:t>
      </w:r>
    </w:p>
    <w:p w14:paraId="264AEF7F">
      <w:pPr>
        <w:pageBreakBefore w:val="0"/>
        <w:kinsoku/>
        <w:wordWrap/>
        <w:overflowPunct/>
        <w:topLinePunct w:val="0"/>
        <w:autoSpaceDE w:val="0"/>
        <w:autoSpaceDN w:val="0"/>
        <w:bidi w:val="0"/>
        <w:adjustRightInd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5.2 </w:t>
      </w:r>
      <w:r>
        <w:rPr>
          <w:rFonts w:hint="eastAsia" w:ascii="宋体" w:hAnsi="宋体" w:eastAsia="宋体" w:cs="宋体"/>
          <w:color w:val="auto"/>
          <w:sz w:val="21"/>
          <w:szCs w:val="21"/>
          <w:highlight w:val="none"/>
        </w:rPr>
        <w:t>治理工程所在坡面坡度</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40°，施工监理复杂程度调整系数取1.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；治理区相对高度100≤H≤150m，高程调整系数</w:t>
      </w:r>
      <w:r>
        <w:rPr>
          <w:rFonts w:hint="eastAsia" w:ascii="宋体" w:hAnsi="宋体" w:eastAsia="宋体" w:cs="宋体"/>
          <w:color w:val="auto"/>
          <w:sz w:val="21"/>
          <w:szCs w:val="21"/>
          <w:highlight w:val="none"/>
          <w:lang w:val="en-US" w:eastAsia="zh-CN"/>
        </w:rPr>
        <w:t>取1.4；</w:t>
      </w:r>
      <w:r>
        <w:rPr>
          <w:rFonts w:hint="eastAsia" w:ascii="宋体" w:hAnsi="宋体" w:eastAsia="宋体" w:cs="宋体"/>
          <w:color w:val="auto"/>
          <w:sz w:val="21"/>
          <w:szCs w:val="21"/>
          <w:highlight w:val="none"/>
        </w:rPr>
        <w:t>治理工程距</w:t>
      </w:r>
      <w:r>
        <w:rPr>
          <w:rFonts w:hint="eastAsia" w:ascii="宋体" w:hAnsi="宋体" w:eastAsia="宋体" w:cs="宋体"/>
          <w:color w:val="auto"/>
          <w:sz w:val="21"/>
          <w:szCs w:val="21"/>
          <w:highlight w:val="none"/>
          <w:lang w:val="en-US" w:eastAsia="zh-CN"/>
        </w:rPr>
        <w:t>城中区</w:t>
      </w:r>
      <w:r>
        <w:rPr>
          <w:rFonts w:hint="eastAsia" w:ascii="宋体" w:hAnsi="宋体" w:eastAsia="宋体" w:cs="宋体"/>
          <w:color w:val="auto"/>
          <w:sz w:val="21"/>
          <w:szCs w:val="21"/>
          <w:highlight w:val="none"/>
        </w:rPr>
        <w:t>中心距离&lt;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km，基本条件调整系数为1.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；监理收费基价用插值法，其中施工费用为</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万时监理取费基价为：</w:t>
      </w:r>
      <w:r>
        <w:rPr>
          <w:rFonts w:hint="eastAsia" w:ascii="宋体" w:hAnsi="宋体" w:eastAsia="宋体" w:cs="宋体"/>
          <w:color w:val="auto"/>
          <w:sz w:val="21"/>
          <w:szCs w:val="21"/>
          <w:highlight w:val="none"/>
          <w:lang w:val="en-US" w:eastAsia="zh-CN"/>
        </w:rPr>
        <w:t>30.10</w:t>
      </w:r>
      <w:r>
        <w:rPr>
          <w:rFonts w:hint="eastAsia" w:ascii="宋体" w:hAnsi="宋体" w:eastAsia="宋体" w:cs="宋体"/>
          <w:color w:val="auto"/>
          <w:sz w:val="21"/>
          <w:szCs w:val="21"/>
          <w:highlight w:val="none"/>
        </w:rPr>
        <w:t>万元、施工费用为</w:t>
      </w: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万时监理取费基价为：</w:t>
      </w:r>
      <w:r>
        <w:rPr>
          <w:rFonts w:hint="eastAsia" w:ascii="宋体" w:hAnsi="宋体" w:eastAsia="宋体" w:cs="宋体"/>
          <w:color w:val="auto"/>
          <w:sz w:val="21"/>
          <w:szCs w:val="21"/>
          <w:highlight w:val="none"/>
          <w:lang w:val="en-US" w:eastAsia="zh-CN"/>
        </w:rPr>
        <w:t>78.10</w:t>
      </w:r>
      <w:r>
        <w:rPr>
          <w:rFonts w:hint="eastAsia" w:ascii="宋体" w:hAnsi="宋体" w:eastAsia="宋体" w:cs="宋体"/>
          <w:color w:val="auto"/>
          <w:sz w:val="21"/>
          <w:szCs w:val="21"/>
          <w:highlight w:val="none"/>
        </w:rPr>
        <w:t>万元。</w:t>
      </w:r>
    </w:p>
    <w:p w14:paraId="164A019D">
      <w:pPr>
        <w:pageBreakBefore w:val="0"/>
        <w:kinsoku/>
        <w:wordWrap/>
        <w:overflowPunct/>
        <w:topLinePunct w:val="0"/>
        <w:autoSpaceDE w:val="0"/>
        <w:autoSpaceDN w:val="0"/>
        <w:bidi w:val="0"/>
        <w:adjustRightInd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5.3 </w:t>
      </w:r>
      <w:r>
        <w:rPr>
          <w:rFonts w:hint="eastAsia" w:ascii="宋体" w:hAnsi="宋体" w:eastAsia="宋体" w:cs="宋体"/>
          <w:color w:val="auto"/>
          <w:sz w:val="21"/>
          <w:szCs w:val="21"/>
          <w:highlight w:val="none"/>
        </w:rPr>
        <w:t>采用插入法计算本次地质灾害施工监理费用为：</w:t>
      </w:r>
    </w:p>
    <w:p w14:paraId="3D0798B9">
      <w:pPr>
        <w:pageBreakBefore w:val="0"/>
        <w:kinsoku/>
        <w:wordWrap/>
        <w:overflowPunct/>
        <w:topLinePunct w:val="0"/>
        <w:autoSpaceDE w:val="0"/>
        <w:autoSpaceDN w:val="0"/>
        <w:bidi w:val="0"/>
        <w:adjustRightInd w:val="0"/>
        <w:spacing w:line="360" w:lineRule="auto"/>
        <w:ind w:left="0" w:leftChars="0"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30.1+(78.1-30.1)*(1186.6001-1000)/(3000-1000)=34.5784万元</w:t>
      </w:r>
      <w:r>
        <w:rPr>
          <w:rFonts w:hint="eastAsia" w:ascii="宋体" w:hAnsi="宋体" w:eastAsia="宋体" w:cs="宋体"/>
          <w:b w:val="0"/>
          <w:bCs/>
          <w:color w:val="auto"/>
          <w:sz w:val="21"/>
          <w:szCs w:val="21"/>
          <w:highlight w:val="none"/>
        </w:rPr>
        <w:t>；</w:t>
      </w:r>
    </w:p>
    <w:p w14:paraId="2452EA87">
      <w:pPr>
        <w:pageBreakBefore w:val="0"/>
        <w:kinsoku/>
        <w:wordWrap/>
        <w:overflowPunct/>
        <w:topLinePunct w:val="0"/>
        <w:autoSpaceDE w:val="0"/>
        <w:autoSpaceDN w:val="0"/>
        <w:bidi w:val="0"/>
        <w:adjustRightInd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结合调整系数，监理费为：</w:t>
      </w:r>
      <w:r>
        <w:rPr>
          <w:rFonts w:hint="eastAsia" w:ascii="宋体" w:hAnsi="宋体" w:eastAsia="宋体" w:cs="宋体"/>
          <w:b w:val="0"/>
          <w:bCs/>
          <w:color w:val="auto"/>
          <w:sz w:val="21"/>
          <w:szCs w:val="21"/>
          <w:highlight w:val="none"/>
          <w:lang w:eastAsia="zh-CN"/>
        </w:rPr>
        <w:t>34.5784</w:t>
      </w:r>
      <w:r>
        <w:rPr>
          <w:rFonts w:hint="eastAsia" w:ascii="宋体" w:hAnsi="宋体" w:eastAsia="宋体" w:cs="宋体"/>
          <w:b w:val="0"/>
          <w:bCs/>
          <w:color w:val="auto"/>
          <w:sz w:val="21"/>
          <w:szCs w:val="21"/>
          <w:highlight w:val="none"/>
        </w:rPr>
        <w:t>×（1.2+1.4+1-3+1）=55.3254万元；</w:t>
      </w:r>
    </w:p>
    <w:p w14:paraId="5C32FF19">
      <w:pPr>
        <w:pageBreakBefore w:val="0"/>
        <w:kinsoku/>
        <w:wordWrap/>
        <w:overflowPunct/>
        <w:topLinePunct w:val="0"/>
        <w:autoSpaceDE w:val="0"/>
        <w:autoSpaceDN w:val="0"/>
        <w:bidi w:val="0"/>
        <w:adjustRightInd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让利</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rPr>
        <w:t>最终总的监理费共计为人民币</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元</w:t>
      </w:r>
      <w:r>
        <w:rPr>
          <w:rFonts w:hint="eastAsia" w:ascii="宋体" w:hAnsi="宋体" w:eastAsia="宋体" w:cs="宋体"/>
          <w:color w:val="auto"/>
          <w:sz w:val="21"/>
          <w:szCs w:val="21"/>
          <w:highlight w:val="none"/>
        </w:rPr>
        <w:t xml:space="preserve">),本工程监理费按照包干制进行结算。  </w:t>
      </w:r>
    </w:p>
    <w:p w14:paraId="3AFFFA76">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发包人承诺按</w:t>
      </w:r>
      <w:r>
        <w:rPr>
          <w:rFonts w:hint="eastAsia" w:ascii="宋体" w:hAnsi="宋体" w:eastAsia="宋体" w:cs="宋体"/>
          <w:b/>
          <w:color w:val="auto"/>
          <w:sz w:val="21"/>
          <w:szCs w:val="21"/>
          <w:highlight w:val="none"/>
          <w:u w:val="single"/>
        </w:rPr>
        <w:t>专用条款8.1</w:t>
      </w:r>
      <w:r>
        <w:rPr>
          <w:rFonts w:hint="eastAsia" w:ascii="宋体" w:hAnsi="宋体" w:eastAsia="宋体" w:cs="宋体"/>
          <w:color w:val="auto"/>
          <w:sz w:val="21"/>
          <w:szCs w:val="21"/>
          <w:highlight w:val="none"/>
        </w:rPr>
        <w:t>约定的方式、时间向监理人支付。</w:t>
      </w:r>
    </w:p>
    <w:p w14:paraId="19014332">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本合同签订并生效后</w:t>
      </w:r>
      <w:r>
        <w:rPr>
          <w:rFonts w:hint="eastAsia" w:ascii="宋体" w:hAnsi="宋体" w:eastAsia="宋体" w:cs="宋体"/>
          <w:color w:val="auto"/>
          <w:kern w:val="0"/>
          <w:sz w:val="21"/>
          <w:szCs w:val="21"/>
          <w:highlight w:val="none"/>
          <w:u w:val="single"/>
        </w:rPr>
        <w:t xml:space="preserve"> 7 </w:t>
      </w:r>
      <w:r>
        <w:rPr>
          <w:rFonts w:hint="eastAsia" w:ascii="宋体" w:hAnsi="宋体" w:eastAsia="宋体" w:cs="宋体"/>
          <w:color w:val="auto"/>
          <w:sz w:val="21"/>
          <w:szCs w:val="21"/>
          <w:highlight w:val="none"/>
        </w:rPr>
        <w:t>日内向发包人提交监理规划和监理实施细则，即可支付第一期监理酬金，金额为酬金总额的30%。</w:t>
      </w:r>
    </w:p>
    <w:p w14:paraId="7CE25B54">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第二期酬金支付金额为酬金总额的50%（以工程为单位），支付时间为工程项目初验收后7日内。</w:t>
      </w:r>
    </w:p>
    <w:p w14:paraId="681C8664">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第三期酬金支付金额为酬金总额的20%（以工程为单位），支付时间为提交工程监理归档材料后。</w:t>
      </w:r>
    </w:p>
    <w:p w14:paraId="5247D814">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color w:val="auto"/>
          <w:sz w:val="21"/>
          <w:szCs w:val="21"/>
          <w:highlight w:val="none"/>
        </w:rPr>
        <w:t xml:space="preserve"> 本协议书经双方法定代表人或其授权代表人签名并加盖本单位公章后生效并自</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月   日</w:t>
      </w:r>
      <w:r>
        <w:rPr>
          <w:rFonts w:hint="eastAsia" w:ascii="宋体" w:hAnsi="宋体" w:eastAsia="宋体" w:cs="宋体"/>
          <w:color w:val="auto"/>
          <w:sz w:val="21"/>
          <w:szCs w:val="21"/>
          <w:highlight w:val="none"/>
        </w:rPr>
        <w:t>开始实施，</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月   日</w:t>
      </w:r>
      <w:r>
        <w:rPr>
          <w:rFonts w:hint="eastAsia" w:ascii="宋体" w:hAnsi="宋体" w:eastAsia="宋体" w:cs="宋体"/>
          <w:color w:val="auto"/>
          <w:sz w:val="21"/>
          <w:szCs w:val="21"/>
          <w:highlight w:val="none"/>
          <w:u w:val="none"/>
          <w:lang w:val="en-US" w:eastAsia="zh-CN"/>
        </w:rPr>
        <w:t>止</w:t>
      </w:r>
      <w:r>
        <w:rPr>
          <w:rFonts w:hint="eastAsia" w:ascii="宋体" w:hAnsi="宋体" w:eastAsia="宋体" w:cs="宋体"/>
          <w:color w:val="auto"/>
          <w:sz w:val="21"/>
          <w:szCs w:val="21"/>
          <w:highlight w:val="none"/>
        </w:rPr>
        <w:t>。</w:t>
      </w:r>
    </w:p>
    <w:p w14:paraId="0FA77CF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7 </w:t>
      </w:r>
      <w:r>
        <w:rPr>
          <w:rFonts w:hint="eastAsia" w:ascii="宋体" w:hAnsi="宋体" w:eastAsia="宋体" w:cs="宋体"/>
          <w:color w:val="auto"/>
          <w:sz w:val="21"/>
          <w:szCs w:val="21"/>
          <w:highlight w:val="none"/>
        </w:rPr>
        <w:t>争议的解决:当甲、乙双方在合同执行过程中产生争议时，双方协商通过以下两种方式中的第</w:t>
      </w:r>
      <w:r>
        <w:rPr>
          <w:rFonts w:hint="eastAsia" w:ascii="宋体" w:hAnsi="宋体" w:eastAsia="宋体" w:cs="宋体"/>
          <w:b/>
          <w:color w:val="auto"/>
          <w:sz w:val="21"/>
          <w:szCs w:val="21"/>
          <w:highlight w:val="none"/>
          <w:u w:val="single"/>
        </w:rPr>
        <w:t>7.2</w:t>
      </w:r>
      <w:r>
        <w:rPr>
          <w:rFonts w:hint="eastAsia" w:ascii="宋体" w:hAnsi="宋体" w:eastAsia="宋体" w:cs="宋体"/>
          <w:color w:val="auto"/>
          <w:sz w:val="21"/>
          <w:szCs w:val="21"/>
          <w:highlight w:val="none"/>
        </w:rPr>
        <w:t>款解决:</w:t>
      </w:r>
    </w:p>
    <w:p w14:paraId="0F2413DE">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7.1</w:t>
      </w:r>
      <w:r>
        <w:rPr>
          <w:rFonts w:hint="eastAsia" w:ascii="宋体" w:hAnsi="宋体" w:eastAsia="宋体" w:cs="宋体"/>
          <w:color w:val="auto"/>
          <w:sz w:val="21"/>
          <w:szCs w:val="21"/>
          <w:highlight w:val="none"/>
        </w:rPr>
        <w:t>采用仲裁方式进行解决，向工程所在地</w:t>
      </w:r>
      <w:r>
        <w:rPr>
          <w:rFonts w:hint="eastAsia" w:ascii="宋体" w:hAnsi="宋体" w:eastAsia="宋体" w:cs="宋体"/>
          <w:color w:val="auto"/>
          <w:kern w:val="0"/>
          <w:sz w:val="21"/>
          <w:szCs w:val="21"/>
          <w:highlight w:val="none"/>
          <w:u w:val="single"/>
        </w:rPr>
        <w:t xml:space="preserve"> 柳州市</w:t>
      </w:r>
      <w:r>
        <w:rPr>
          <w:rFonts w:hint="eastAsia" w:ascii="宋体" w:hAnsi="宋体" w:eastAsia="宋体" w:cs="宋体"/>
          <w:color w:val="auto"/>
          <w:sz w:val="21"/>
          <w:szCs w:val="21"/>
          <w:highlight w:val="none"/>
        </w:rPr>
        <w:t>仲裁委员会提起仲裁。</w:t>
      </w:r>
    </w:p>
    <w:p w14:paraId="0F91AB5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7.2</w:t>
      </w:r>
      <w:r>
        <w:rPr>
          <w:rFonts w:hint="eastAsia" w:ascii="宋体" w:hAnsi="宋体" w:eastAsia="宋体" w:cs="宋体"/>
          <w:color w:val="auto"/>
          <w:sz w:val="21"/>
          <w:szCs w:val="21"/>
          <w:highlight w:val="none"/>
        </w:rPr>
        <w:t>向工程所在地人民法院提起诉讼。</w:t>
      </w:r>
    </w:p>
    <w:p w14:paraId="5F97957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color w:val="auto"/>
          <w:sz w:val="21"/>
          <w:szCs w:val="21"/>
          <w:highlight w:val="none"/>
        </w:rPr>
        <w:t xml:space="preserve"> 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陆 </w:t>
      </w:r>
      <w:r>
        <w:rPr>
          <w:rFonts w:hint="eastAsia" w:ascii="宋体" w:hAnsi="宋体" w:eastAsia="宋体" w:cs="宋体"/>
          <w:color w:val="auto"/>
          <w:sz w:val="21"/>
          <w:szCs w:val="21"/>
          <w:highlight w:val="none"/>
        </w:rPr>
        <w:t>份，发包人执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叁 </w:t>
      </w:r>
      <w:r>
        <w:rPr>
          <w:rFonts w:hint="eastAsia" w:ascii="宋体" w:hAnsi="宋体" w:eastAsia="宋体" w:cs="宋体"/>
          <w:color w:val="auto"/>
          <w:sz w:val="21"/>
          <w:szCs w:val="21"/>
          <w:highlight w:val="none"/>
        </w:rPr>
        <w:t>份，监理人执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叁 </w:t>
      </w:r>
      <w:r>
        <w:rPr>
          <w:rFonts w:hint="eastAsia" w:ascii="宋体" w:hAnsi="宋体" w:eastAsia="宋体" w:cs="宋体"/>
          <w:color w:val="auto"/>
          <w:sz w:val="21"/>
          <w:szCs w:val="21"/>
          <w:highlight w:val="none"/>
        </w:rPr>
        <w:t>份，具有同等法律效力。</w:t>
      </w:r>
    </w:p>
    <w:p w14:paraId="6996A512">
      <w:pPr>
        <w:pageBreakBefore w:val="0"/>
        <w:kinsoku/>
        <w:wordWrap/>
        <w:overflowPunct/>
        <w:topLinePunct w:val="0"/>
        <w:bidi w:val="0"/>
        <w:spacing w:line="360" w:lineRule="auto"/>
        <w:ind w:left="0" w:leftChars="0"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9 </w:t>
      </w:r>
      <w:r>
        <w:rPr>
          <w:rFonts w:hint="eastAsia" w:ascii="宋体" w:hAnsi="宋体" w:eastAsia="宋体" w:cs="宋体"/>
          <w:color w:val="auto"/>
          <w:sz w:val="21"/>
          <w:szCs w:val="21"/>
          <w:highlight w:val="none"/>
        </w:rPr>
        <w:t xml:space="preserve">本合同订立 </w:t>
      </w:r>
    </w:p>
    <w:p w14:paraId="6A9FB778">
      <w:pPr>
        <w:pageBreakBefore w:val="0"/>
        <w:kinsoku/>
        <w:wordWrap/>
        <w:overflowPunct/>
        <w:topLinePunct w:val="0"/>
        <w:bidi w:val="0"/>
        <w:spacing w:line="360" w:lineRule="auto"/>
        <w:ind w:left="0" w:leftChars="0"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9.1 </w:t>
      </w:r>
      <w:r>
        <w:rPr>
          <w:rFonts w:hint="eastAsia" w:ascii="宋体" w:hAnsi="宋体" w:eastAsia="宋体" w:cs="宋体"/>
          <w:color w:val="auto"/>
          <w:sz w:val="21"/>
          <w:szCs w:val="21"/>
          <w:highlight w:val="none"/>
        </w:rPr>
        <w:t>订立时间:</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14:paraId="53844CC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9.2 </w:t>
      </w:r>
      <w:r>
        <w:rPr>
          <w:rFonts w:hint="eastAsia" w:ascii="宋体" w:hAnsi="宋体" w:eastAsia="宋体" w:cs="宋体"/>
          <w:color w:val="auto"/>
          <w:sz w:val="21"/>
          <w:szCs w:val="21"/>
          <w:highlight w:val="none"/>
        </w:rPr>
        <w:t>订立地点:</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8B488D9">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发包人（签章）: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监理人（签章）:</w:t>
      </w:r>
    </w:p>
    <w:p w14:paraId="2D8B793E">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25C17A4E">
      <w:pPr>
        <w:pageBreakBefore w:val="0"/>
        <w:kinsoku/>
        <w:wordWrap/>
        <w:overflowPunct/>
        <w:topLinePunct w:val="0"/>
        <w:bidi w:val="0"/>
        <w:spacing w:line="360"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                    或其委托代理人（签章）:</w:t>
      </w:r>
    </w:p>
    <w:p w14:paraId="040B7B96">
      <w:pPr>
        <w:pStyle w:val="2"/>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经办人（签字）：                           经办人（签字）：</w:t>
      </w:r>
    </w:p>
    <w:p w14:paraId="0D1C6727">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地址: </w:t>
      </w:r>
      <w:r>
        <w:rPr>
          <w:rFonts w:hint="eastAsia" w:ascii="宋体" w:hAnsi="宋体" w:eastAsia="宋体" w:cs="宋体"/>
          <w:color w:val="auto"/>
          <w:sz w:val="21"/>
          <w:szCs w:val="21"/>
          <w:highlight w:val="none"/>
          <w:lang w:val="en-US"/>
        </w:rPr>
        <w:t xml:space="preserve"> </w:t>
      </w:r>
    </w:p>
    <w:p w14:paraId="7737A493">
      <w:pPr>
        <w:pageBreakBefore w:val="0"/>
        <w:kinsoku/>
        <w:wordWrap/>
        <w:overflowPunct/>
        <w:topLinePunct w:val="0"/>
        <w:bidi w:val="0"/>
        <w:spacing w:line="360" w:lineRule="auto"/>
        <w:ind w:left="4620" w:leftChars="0" w:hanging="4620" w:hanging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开户银行: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w:t>
      </w:r>
    </w:p>
    <w:p w14:paraId="27DA55FB">
      <w:pPr>
        <w:pageBreakBefore w:val="0"/>
        <w:kinsoku/>
        <w:wordWrap/>
        <w:overflowPunct/>
        <w:topLinePunct w:val="0"/>
        <w:bidi w:val="0"/>
        <w:spacing w:line="360" w:lineRule="auto"/>
        <w:ind w:left="4620" w:leftChars="210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账号:</w:t>
      </w:r>
    </w:p>
    <w:p w14:paraId="7DD04F39">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电话: </w:t>
      </w:r>
    </w:p>
    <w:p w14:paraId="697CE3BE">
      <w:pPr>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电子邮箱:                 </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 xml:space="preserve">   电子邮箱:</w:t>
      </w:r>
    </w:p>
    <w:p w14:paraId="7A6B09E5">
      <w:pPr>
        <w:pageBreakBefore w:val="0"/>
        <w:kinsoku/>
        <w:wordWrap/>
        <w:overflowPunct/>
        <w:topLinePunct w:val="0"/>
        <w:bidi w:val="0"/>
        <w:spacing w:line="360" w:lineRule="auto"/>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通用合同条款</w:t>
      </w:r>
    </w:p>
    <w:p w14:paraId="3DED920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 xml:space="preserve"> 词语含义及适用语言:</w:t>
      </w:r>
    </w:p>
    <w:p w14:paraId="4DE3958C">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 xml:space="preserve">下列名词和用语，除上下文另有约定外，具有本条所赋予的含义 </w:t>
      </w:r>
    </w:p>
    <w:p w14:paraId="44C9138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1.1.1 </w:t>
      </w:r>
      <w:r>
        <w:rPr>
          <w:rFonts w:hint="eastAsia" w:ascii="宋体" w:hAnsi="宋体" w:eastAsia="宋体" w:cs="宋体"/>
          <w:color w:val="auto"/>
          <w:sz w:val="21"/>
          <w:szCs w:val="21"/>
          <w:highlight w:val="none"/>
        </w:rPr>
        <w:t>“发包人”:指承担地质灾害防治工程直接建设管理责任，委托监理业务的法人或其合法继承人。</w:t>
      </w:r>
    </w:p>
    <w:p w14:paraId="76B578B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1.1.2</w:t>
      </w:r>
      <w:r>
        <w:rPr>
          <w:rFonts w:hint="eastAsia" w:ascii="宋体" w:hAnsi="宋体" w:eastAsia="宋体" w:cs="宋体"/>
          <w:color w:val="auto"/>
          <w:sz w:val="21"/>
          <w:szCs w:val="21"/>
          <w:highlight w:val="none"/>
        </w:rPr>
        <w:t xml:space="preserve"> “监理人”:指受发包人委托，提供监理服务的法人或其合法继承人。 </w:t>
      </w:r>
    </w:p>
    <w:p w14:paraId="16D42550">
      <w:pPr>
        <w:pageBreakBefore w:val="0"/>
        <w:kinsoku/>
        <w:wordWrap/>
        <w:overflowPunct/>
        <w:topLinePunct w:val="0"/>
        <w:bidi w:val="0"/>
        <w:spacing w:line="360" w:lineRule="auto"/>
        <w:ind w:left="0" w:leftChars="0" w:firstLine="211" w:firstLineChars="1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1.1.3</w:t>
      </w:r>
      <w:r>
        <w:rPr>
          <w:rFonts w:hint="eastAsia" w:ascii="宋体" w:hAnsi="宋体" w:eastAsia="宋体" w:cs="宋体"/>
          <w:color w:val="auto"/>
          <w:sz w:val="21"/>
          <w:szCs w:val="21"/>
          <w:highlight w:val="none"/>
        </w:rPr>
        <w:t xml:space="preserve"> “承包人”指与发包人签订了施工合同，承担地质灾害防治工程施工的法人或其合法继承人。</w:t>
      </w:r>
    </w:p>
    <w:p w14:paraId="1C21FDAF">
      <w:pPr>
        <w:pageBreakBefore w:val="0"/>
        <w:kinsoku/>
        <w:wordWrap/>
        <w:overflowPunct/>
        <w:topLinePunct w:val="0"/>
        <w:bidi w:val="0"/>
        <w:spacing w:line="360" w:lineRule="auto"/>
        <w:ind w:left="0" w:leftChars="0" w:firstLine="211" w:firstLineChars="1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1.1.4 </w:t>
      </w:r>
      <w:r>
        <w:rPr>
          <w:rFonts w:hint="eastAsia" w:ascii="宋体" w:hAnsi="宋体" w:eastAsia="宋体" w:cs="宋体"/>
          <w:color w:val="auto"/>
          <w:sz w:val="21"/>
          <w:szCs w:val="21"/>
          <w:highlight w:val="none"/>
        </w:rPr>
        <w:t xml:space="preserve">“工程”指发包人委托监理人实施监理的工程，可包括一个或多个具单独设计和概算的相对独立项目。 </w:t>
      </w:r>
    </w:p>
    <w:p w14:paraId="3AD29DC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1.1.5 </w:t>
      </w:r>
      <w:r>
        <w:rPr>
          <w:rFonts w:hint="eastAsia" w:ascii="宋体" w:hAnsi="宋体" w:eastAsia="宋体" w:cs="宋体"/>
          <w:color w:val="auto"/>
          <w:sz w:val="21"/>
          <w:szCs w:val="21"/>
          <w:highlight w:val="none"/>
        </w:rPr>
        <w:t>“监理机构”指监理人派驻工程现场直接开展监理业务的组织，由总监理工程师、监理工程师和监理员以及其他人员组成。</w:t>
      </w:r>
    </w:p>
    <w:p w14:paraId="48223E0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1.1.6</w:t>
      </w:r>
      <w:r>
        <w:rPr>
          <w:rFonts w:hint="eastAsia" w:ascii="宋体" w:hAnsi="宋体" w:eastAsia="宋体" w:cs="宋体"/>
          <w:color w:val="auto"/>
          <w:sz w:val="21"/>
          <w:szCs w:val="21"/>
          <w:highlight w:val="none"/>
        </w:rPr>
        <w:t xml:space="preserve"> “服务”:指监理人根据监理合同约定所承担的各项工作，包括正常服务、附加服务和额外服务。</w:t>
      </w:r>
    </w:p>
    <w:p w14:paraId="2BBCD53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1.1.7 </w:t>
      </w:r>
      <w:r>
        <w:rPr>
          <w:rFonts w:hint="eastAsia" w:ascii="宋体" w:hAnsi="宋体" w:eastAsia="宋体" w:cs="宋体"/>
          <w:color w:val="auto"/>
          <w:sz w:val="21"/>
          <w:szCs w:val="21"/>
          <w:highlight w:val="none"/>
        </w:rPr>
        <w:t>“正常服务”:指监理人按照合同约定的监理范围、内容和期限所提供的服务。</w:t>
      </w:r>
    </w:p>
    <w:p w14:paraId="415D2DD7">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1.1.8 </w:t>
      </w:r>
      <w:r>
        <w:rPr>
          <w:rFonts w:hint="eastAsia" w:ascii="宋体" w:hAnsi="宋体" w:eastAsia="宋体" w:cs="宋体"/>
          <w:color w:val="auto"/>
          <w:sz w:val="21"/>
          <w:szCs w:val="21"/>
          <w:highlight w:val="none"/>
        </w:rPr>
        <w:t>“附加服务”:指监理人为发包人提供正常服务以外的服务，指:①发包人委托监理范围以外，通过双方书面协议另外增加的工作内容 ；②由于非监理人原因，使监理工作受到阻碍或延误，因增加工作量或持续时间而增加的工作。</w:t>
      </w:r>
    </w:p>
    <w:p w14:paraId="75E7D698">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1.1.9 </w:t>
      </w:r>
      <w:r>
        <w:rPr>
          <w:rFonts w:hint="eastAsia" w:ascii="宋体" w:hAnsi="宋体" w:eastAsia="宋体" w:cs="宋体"/>
          <w:color w:val="auto"/>
          <w:sz w:val="21"/>
          <w:szCs w:val="21"/>
          <w:highlight w:val="none"/>
        </w:rPr>
        <w:t>“额外服务”:是指正常工作和附加工作以外，根据第四十一条规定监理人必须完成的工作 ，或非监理人自己的原因而暂停或结束监理业务的善后工作及恢复监理业务的工作。</w:t>
      </w:r>
    </w:p>
    <w:p w14:paraId="3AA7DC8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1.1.10</w:t>
      </w:r>
      <w:r>
        <w:rPr>
          <w:rFonts w:hint="eastAsia" w:ascii="宋体" w:hAnsi="宋体" w:eastAsia="宋体" w:cs="宋体"/>
          <w:color w:val="auto"/>
          <w:sz w:val="21"/>
          <w:szCs w:val="21"/>
          <w:highlight w:val="none"/>
        </w:rPr>
        <w:t xml:space="preserve"> “服务酬金”:指本合同中监理人完成监理服务应得到的正常服务、附加服务和额外服务酬金。</w:t>
      </w:r>
    </w:p>
    <w:p w14:paraId="7867218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1.1.11</w:t>
      </w:r>
      <w:r>
        <w:rPr>
          <w:rFonts w:hint="eastAsia" w:ascii="宋体" w:hAnsi="宋体" w:eastAsia="宋体" w:cs="宋体"/>
          <w:color w:val="auto"/>
          <w:sz w:val="21"/>
          <w:szCs w:val="21"/>
          <w:highlight w:val="none"/>
        </w:rPr>
        <w:t xml:space="preserve"> “天”:指日历天。</w:t>
      </w:r>
    </w:p>
    <w:p w14:paraId="1E277B0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1.1.12 </w:t>
      </w:r>
      <w:r>
        <w:rPr>
          <w:rFonts w:hint="eastAsia" w:ascii="宋体" w:hAnsi="宋体" w:eastAsia="宋体" w:cs="宋体"/>
          <w:color w:val="auto"/>
          <w:sz w:val="21"/>
          <w:szCs w:val="21"/>
          <w:highlight w:val="none"/>
        </w:rPr>
        <w:t>“月”:是指根据公历从一个月份中任何一天开始到下一个月相应日期的前一天的时间段。</w:t>
      </w:r>
    </w:p>
    <w:p w14:paraId="31BABC90">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1.1.13</w:t>
      </w:r>
      <w:r>
        <w:rPr>
          <w:rFonts w:hint="eastAsia" w:ascii="宋体" w:hAnsi="宋体" w:eastAsia="宋体" w:cs="宋体"/>
          <w:color w:val="auto"/>
          <w:sz w:val="21"/>
          <w:szCs w:val="21"/>
          <w:highlight w:val="none"/>
        </w:rPr>
        <w:t xml:space="preserve"> “现场”:指监理项目实施的场所。</w:t>
      </w:r>
    </w:p>
    <w:p w14:paraId="140A443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 xml:space="preserve"> 本合同适用的语言文字为汉语文字。</w:t>
      </w:r>
    </w:p>
    <w:p w14:paraId="20BC98B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2 </w:t>
      </w:r>
      <w:r>
        <w:rPr>
          <w:rFonts w:hint="eastAsia" w:ascii="宋体" w:hAnsi="宋体" w:eastAsia="宋体" w:cs="宋体"/>
          <w:color w:val="auto"/>
          <w:sz w:val="21"/>
          <w:szCs w:val="21"/>
          <w:highlight w:val="none"/>
        </w:rPr>
        <w:t>监理依据</w:t>
      </w:r>
    </w:p>
    <w:p w14:paraId="3D05A95C">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理的依据是有关工程建设的法律、法规、规章和规范性文件；工程建设强制性条文、有关技术标准；专用条款中议定的部门规章或工程所在地的地方法规、地方规章；经批准的工程设计文件及其相关文件；监理合同、施工合同等合同文件。具体内容在专用合同条款中约定。 </w:t>
      </w:r>
    </w:p>
    <w:p w14:paraId="0296988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通知和联系 </w:t>
      </w:r>
    </w:p>
    <w:p w14:paraId="7434D85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3.1 </w:t>
      </w:r>
      <w:r>
        <w:rPr>
          <w:rFonts w:hint="eastAsia" w:ascii="宋体" w:hAnsi="宋体" w:eastAsia="宋体" w:cs="宋体"/>
          <w:color w:val="auto"/>
          <w:sz w:val="21"/>
          <w:szCs w:val="21"/>
          <w:highlight w:val="none"/>
        </w:rPr>
        <w:t>发包人应指定一名联系人，负责与监理机构联系。更换联系人时，应提前通知监理人。</w:t>
      </w:r>
    </w:p>
    <w:p w14:paraId="596581AC">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3.2</w:t>
      </w:r>
      <w:r>
        <w:rPr>
          <w:rFonts w:hint="eastAsia" w:ascii="宋体" w:hAnsi="宋体" w:eastAsia="宋体" w:cs="宋体"/>
          <w:color w:val="auto"/>
          <w:sz w:val="21"/>
          <w:szCs w:val="21"/>
          <w:highlight w:val="none"/>
        </w:rPr>
        <w:t xml:space="preserve"> 在监理合同实施过程中，双方的联系均应以书面函件为准。在不做出紧急处理有可能导致安全、质量事故的情况下，可先以口头形式通知，并在</w:t>
      </w:r>
      <w:r>
        <w:rPr>
          <w:rFonts w:hint="eastAsia" w:ascii="宋体" w:hAnsi="宋体" w:eastAsia="宋体" w:cs="宋体"/>
          <w:color w:val="auto"/>
          <w:kern w:val="0"/>
          <w:sz w:val="21"/>
          <w:szCs w:val="21"/>
          <w:highlight w:val="none"/>
          <w:u w:val="single"/>
        </w:rPr>
        <w:t xml:space="preserve">  24  </w:t>
      </w:r>
      <w:r>
        <w:rPr>
          <w:rFonts w:hint="eastAsia" w:ascii="宋体" w:hAnsi="宋体" w:eastAsia="宋体" w:cs="宋体"/>
          <w:color w:val="auto"/>
          <w:sz w:val="21"/>
          <w:szCs w:val="21"/>
          <w:highlight w:val="none"/>
        </w:rPr>
        <w:t>小时内补做书面通知。</w:t>
      </w:r>
    </w:p>
    <w:p w14:paraId="42E0EA5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3.3</w:t>
      </w:r>
      <w:r>
        <w:rPr>
          <w:rFonts w:hint="eastAsia" w:ascii="宋体" w:hAnsi="宋体" w:eastAsia="宋体" w:cs="宋体"/>
          <w:color w:val="auto"/>
          <w:sz w:val="21"/>
          <w:szCs w:val="21"/>
          <w:highlight w:val="none"/>
        </w:rPr>
        <w:t xml:space="preserve">发包人对委托监理范围内工程项目实施的意见和决策，应通过监理机构下达，法律、法规另有规定的除外。 </w:t>
      </w:r>
    </w:p>
    <w:p w14:paraId="07D2634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color w:val="auto"/>
          <w:sz w:val="21"/>
          <w:szCs w:val="21"/>
          <w:highlight w:val="none"/>
        </w:rPr>
        <w:t xml:space="preserve"> 发包人的权利</w:t>
      </w:r>
    </w:p>
    <w:p w14:paraId="4D47220A">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w:t>
      </w:r>
      <w:r>
        <w:rPr>
          <w:rFonts w:hint="eastAsia" w:ascii="宋体" w:hAnsi="宋体" w:eastAsia="宋体" w:cs="宋体"/>
          <w:color w:val="auto"/>
          <w:sz w:val="21"/>
          <w:szCs w:val="21"/>
          <w:highlight w:val="none"/>
        </w:rPr>
        <w:t>发包人享有如下权利:</w:t>
      </w:r>
    </w:p>
    <w:p w14:paraId="3C66381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4.1.1</w:t>
      </w:r>
      <w:r>
        <w:rPr>
          <w:rFonts w:hint="eastAsia" w:ascii="宋体" w:hAnsi="宋体" w:eastAsia="宋体" w:cs="宋体"/>
          <w:color w:val="auto"/>
          <w:sz w:val="21"/>
          <w:szCs w:val="21"/>
          <w:highlight w:val="none"/>
        </w:rPr>
        <w:t xml:space="preserve">有选定工程总承包人，以及与其订立合同的权利。 </w:t>
      </w:r>
    </w:p>
    <w:p w14:paraId="003E190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4.1.2</w:t>
      </w:r>
      <w:r>
        <w:rPr>
          <w:rFonts w:hint="eastAsia" w:ascii="宋体" w:hAnsi="宋体" w:eastAsia="宋体" w:cs="宋体"/>
          <w:color w:val="auto"/>
          <w:sz w:val="21"/>
          <w:szCs w:val="21"/>
          <w:highlight w:val="none"/>
        </w:rPr>
        <w:t>对工程规模、设计标准和设计使用功能要求的认定权以及对工程设计变更的审核批准权。</w:t>
      </w:r>
    </w:p>
    <w:p w14:paraId="0FC5583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4.1.3 </w:t>
      </w:r>
      <w:r>
        <w:rPr>
          <w:rFonts w:hint="eastAsia" w:ascii="宋体" w:hAnsi="宋体" w:eastAsia="宋体" w:cs="宋体"/>
          <w:color w:val="auto"/>
          <w:sz w:val="21"/>
          <w:szCs w:val="21"/>
          <w:highlight w:val="none"/>
        </w:rPr>
        <w:t>对工程施工中质量、安全、投资、进度方面的重大问题的决策权。</w:t>
      </w:r>
    </w:p>
    <w:p w14:paraId="70F73A5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4.1.4 </w:t>
      </w:r>
      <w:r>
        <w:rPr>
          <w:rFonts w:hint="eastAsia" w:ascii="宋体" w:hAnsi="宋体" w:eastAsia="宋体" w:cs="宋体"/>
          <w:color w:val="auto"/>
          <w:sz w:val="21"/>
          <w:szCs w:val="21"/>
          <w:highlight w:val="none"/>
        </w:rPr>
        <w:t>对监理工作进行监督、检查，并提出撤换监理工作人员的建议或要求；监理人调换总监理工程师须事先经发包人同意。</w:t>
      </w:r>
    </w:p>
    <w:p w14:paraId="00554FC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4.1.5</w:t>
      </w:r>
      <w:r>
        <w:rPr>
          <w:rFonts w:hint="eastAsia" w:ascii="宋体" w:hAnsi="宋体" w:eastAsia="宋体" w:cs="宋体"/>
          <w:color w:val="auto"/>
          <w:sz w:val="21"/>
          <w:szCs w:val="21"/>
          <w:highlight w:val="none"/>
        </w:rPr>
        <w:t>核定监理人签发的工程计量、付款凭证。</w:t>
      </w:r>
    </w:p>
    <w:p w14:paraId="3C9BAAB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4.1.6</w:t>
      </w:r>
      <w:r>
        <w:rPr>
          <w:rFonts w:hint="eastAsia" w:ascii="宋体" w:hAnsi="宋体" w:eastAsia="宋体" w:cs="宋体"/>
          <w:color w:val="auto"/>
          <w:sz w:val="21"/>
          <w:szCs w:val="21"/>
          <w:highlight w:val="none"/>
        </w:rPr>
        <w:t>要求监理人召开监理例会，提交监理例会会议纪要、监理日记、监理规划、监理实施细则和监理工作总结报告等监理材料。</w:t>
      </w:r>
    </w:p>
    <w:p w14:paraId="772E4AF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4.1.7</w:t>
      </w:r>
      <w:r>
        <w:rPr>
          <w:rFonts w:hint="eastAsia" w:ascii="宋体" w:hAnsi="宋体" w:eastAsia="宋体" w:cs="宋体"/>
          <w:color w:val="auto"/>
          <w:sz w:val="21"/>
          <w:szCs w:val="21"/>
          <w:highlight w:val="none"/>
        </w:rPr>
        <w:t xml:space="preserve">当发包人发现监理人员不按监理合同履行监理职责，不及时向发包人汇报重要工程情况，或与承包人串通给发包人或工程造成损失的，发包人有权要求监理人更换监理人员，直到解除合同并要求监理人承担相应的赔偿责任或连带赔偿责任。 </w:t>
      </w:r>
    </w:p>
    <w:p w14:paraId="5AB84F9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4.1.8 </w:t>
      </w:r>
      <w:r>
        <w:rPr>
          <w:rFonts w:hint="eastAsia" w:ascii="宋体" w:hAnsi="宋体" w:eastAsia="宋体" w:cs="宋体"/>
          <w:color w:val="auto"/>
          <w:sz w:val="21"/>
          <w:szCs w:val="21"/>
          <w:highlight w:val="none"/>
        </w:rPr>
        <w:t>当发包人发现监理人员不按时提交相关工作资料，不按专用条款约定的时间审核承包人提交的施工组织设计、工程联系单、工程量完成确认单、签证单等与工程相关的材料，发包人有权要求监理人支付违约金。</w:t>
      </w:r>
    </w:p>
    <w:p w14:paraId="3D2D4E1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5 </w:t>
      </w:r>
      <w:r>
        <w:rPr>
          <w:rFonts w:hint="eastAsia" w:ascii="宋体" w:hAnsi="宋体" w:eastAsia="宋体" w:cs="宋体"/>
          <w:color w:val="auto"/>
          <w:sz w:val="21"/>
          <w:szCs w:val="21"/>
          <w:highlight w:val="none"/>
        </w:rPr>
        <w:t xml:space="preserve">监理人的权利 </w:t>
      </w:r>
    </w:p>
    <w:p w14:paraId="55EEB388">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w:t>
      </w:r>
      <w:r>
        <w:rPr>
          <w:rFonts w:hint="eastAsia" w:ascii="宋体" w:hAnsi="宋体" w:eastAsia="宋体" w:cs="宋体"/>
          <w:color w:val="auto"/>
          <w:sz w:val="21"/>
          <w:szCs w:val="21"/>
          <w:highlight w:val="none"/>
        </w:rPr>
        <w:t xml:space="preserve">发包人赋予监理人如下权利: </w:t>
      </w:r>
    </w:p>
    <w:p w14:paraId="440E9D07">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5.1.1</w:t>
      </w:r>
      <w:r>
        <w:rPr>
          <w:rFonts w:hint="eastAsia" w:ascii="宋体" w:hAnsi="宋体" w:eastAsia="宋体" w:cs="宋体"/>
          <w:color w:val="auto"/>
          <w:sz w:val="21"/>
          <w:szCs w:val="21"/>
          <w:highlight w:val="none"/>
        </w:rPr>
        <w:t>选择工程总承包人的建议权。</w:t>
      </w:r>
    </w:p>
    <w:p w14:paraId="165B473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5.1.2 </w:t>
      </w:r>
      <w:r>
        <w:rPr>
          <w:rFonts w:hint="eastAsia" w:ascii="宋体" w:hAnsi="宋体" w:eastAsia="宋体" w:cs="宋体"/>
          <w:color w:val="auto"/>
          <w:sz w:val="21"/>
          <w:szCs w:val="21"/>
          <w:highlight w:val="none"/>
        </w:rPr>
        <w:t xml:space="preserve">对工程有关事项包括工程规模、设计标准和使用功能要求，向发包人提出的建议权。 </w:t>
      </w:r>
    </w:p>
    <w:p w14:paraId="1F5A17C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5.1.3</w:t>
      </w:r>
      <w:r>
        <w:rPr>
          <w:rFonts w:hint="eastAsia" w:ascii="宋体" w:hAnsi="宋体" w:eastAsia="宋体" w:cs="宋体"/>
          <w:color w:val="auto"/>
          <w:sz w:val="21"/>
          <w:szCs w:val="21"/>
          <w:highlight w:val="none"/>
        </w:rPr>
        <w:t>对工程设计中的技术问题，按照安全和优化的原则，向设计人提出建议；如果拟提出的建议可能会提高工程造价，或延长工期，应当事先征得发包人的同意。当发现工程设计不符合国家颁布的有关质量标准或设计合同约定的质量标准时，监理人应当书面报告发包人并要求设计人更正。</w:t>
      </w:r>
    </w:p>
    <w:p w14:paraId="7CF5E8D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5.1.4</w:t>
      </w:r>
      <w:r>
        <w:rPr>
          <w:rFonts w:hint="eastAsia" w:ascii="宋体" w:hAnsi="宋体" w:eastAsia="宋体" w:cs="宋体"/>
          <w:color w:val="auto"/>
          <w:sz w:val="21"/>
          <w:szCs w:val="21"/>
          <w:highlight w:val="none"/>
        </w:rPr>
        <w:t xml:space="preserve">审批工程施工组织设计和技术方案，按照保质量、保工期和降低成本的原则，向承包人提出建议，并向发包人提出书面报告。 </w:t>
      </w:r>
    </w:p>
    <w:p w14:paraId="6CB9905A">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5.1.5</w:t>
      </w:r>
      <w:r>
        <w:rPr>
          <w:rFonts w:hint="eastAsia" w:ascii="宋体" w:hAnsi="宋体" w:eastAsia="宋体" w:cs="宋体"/>
          <w:color w:val="auto"/>
          <w:sz w:val="21"/>
          <w:szCs w:val="21"/>
          <w:highlight w:val="none"/>
        </w:rPr>
        <w:t xml:space="preserve">主持工程建设有关协作单位的组织协调，重要协调事项应当事先向发包人报告。 </w:t>
      </w:r>
    </w:p>
    <w:p w14:paraId="262AD328">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5.1.6</w:t>
      </w:r>
      <w:r>
        <w:rPr>
          <w:rFonts w:hint="eastAsia" w:ascii="宋体" w:hAnsi="宋体" w:eastAsia="宋体" w:cs="宋体"/>
          <w:color w:val="auto"/>
          <w:sz w:val="21"/>
          <w:szCs w:val="21"/>
          <w:highlight w:val="none"/>
        </w:rPr>
        <w:t xml:space="preserve">监理人有权发布开工令、停工令、复工令，但应当事先向发包人报告。如在紧急情况下未能事先报告，应在24小时内向发包人做出书面报告。 </w:t>
      </w:r>
    </w:p>
    <w:p w14:paraId="2EB34978">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5.1.7</w:t>
      </w:r>
      <w:r>
        <w:rPr>
          <w:rFonts w:hint="eastAsia" w:ascii="宋体" w:hAnsi="宋体" w:eastAsia="宋体" w:cs="宋体"/>
          <w:color w:val="auto"/>
          <w:sz w:val="21"/>
          <w:szCs w:val="21"/>
          <w:highlight w:val="none"/>
        </w:rPr>
        <w:t>工程上使用的材料和施工质量的检验权。</w:t>
      </w:r>
    </w:p>
    <w:p w14:paraId="1395EC0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5.1.8</w:t>
      </w:r>
      <w:r>
        <w:rPr>
          <w:rFonts w:hint="eastAsia" w:ascii="宋体" w:hAnsi="宋体" w:eastAsia="宋体" w:cs="宋体"/>
          <w:color w:val="auto"/>
          <w:sz w:val="21"/>
          <w:szCs w:val="21"/>
          <w:highlight w:val="none"/>
        </w:rPr>
        <w:t>工程施工进度的检查、监督权，以及工程实际竣工日期提前或超过工程施工合同规定的竣工期限的签认权。</w:t>
      </w:r>
    </w:p>
    <w:p w14:paraId="6B935C0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5.1.9</w:t>
      </w:r>
      <w:r>
        <w:rPr>
          <w:rFonts w:hint="eastAsia" w:ascii="宋体" w:hAnsi="宋体" w:eastAsia="宋体" w:cs="宋体"/>
          <w:color w:val="auto"/>
          <w:sz w:val="21"/>
          <w:szCs w:val="21"/>
          <w:highlight w:val="none"/>
        </w:rPr>
        <w:t>在工程施工合同约定的工程价格范围内，工程款支付的审核和签认权，以及工程结算的复核确认权与否决权。未经总监理工程师签字确认，发包人不支付工程款。</w:t>
      </w:r>
    </w:p>
    <w:p w14:paraId="18566FE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5.2</w:t>
      </w:r>
      <w:r>
        <w:rPr>
          <w:rFonts w:hint="eastAsia" w:ascii="宋体" w:hAnsi="宋体" w:eastAsia="宋体" w:cs="宋体"/>
          <w:color w:val="auto"/>
          <w:sz w:val="21"/>
          <w:szCs w:val="21"/>
          <w:highlight w:val="none"/>
        </w:rPr>
        <w:t>监理人在发包人授权下，可对任何承包人合同规定的义务提出变更。如果由此影响了工程费用或质量、或进度，这种变更须经发包人事先批准。在紧急情况下未能事先报发包人批准时，监理人所做的变更也应在4小时内通知发包人。在监理过程中如发现工程承包人人员工作不力，监理人可要求承包人调换有关人员。</w:t>
      </w:r>
    </w:p>
    <w:p w14:paraId="125BE4BA">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5.3</w:t>
      </w:r>
      <w:r>
        <w:rPr>
          <w:rFonts w:hint="eastAsia" w:ascii="宋体" w:hAnsi="宋体" w:eastAsia="宋体" w:cs="宋体"/>
          <w:color w:val="auto"/>
          <w:sz w:val="21"/>
          <w:szCs w:val="21"/>
          <w:highlight w:val="none"/>
        </w:rPr>
        <w:t>当发包人和承包人发生争议时，监理机构应根据自己的职能，以独立的身份判断，公正进行调解。当双方的争议由政府自然资源主管部门调解或仲裁机关仲裁时，应当提供作证的事实材料。</w:t>
      </w:r>
    </w:p>
    <w:p w14:paraId="2D1204FD">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color w:val="auto"/>
          <w:sz w:val="21"/>
          <w:szCs w:val="21"/>
          <w:highlight w:val="none"/>
        </w:rPr>
        <w:t xml:space="preserve"> 发包人的义务 </w:t>
      </w:r>
    </w:p>
    <w:p w14:paraId="13BD14DD">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6.1</w:t>
      </w:r>
      <w:r>
        <w:rPr>
          <w:rFonts w:hint="eastAsia" w:ascii="宋体" w:hAnsi="宋体" w:eastAsia="宋体" w:cs="宋体"/>
          <w:color w:val="auto"/>
          <w:sz w:val="21"/>
          <w:szCs w:val="21"/>
          <w:highlight w:val="none"/>
        </w:rPr>
        <w:t>按本合同约定及时、足额支付监理服务酬金。</w:t>
      </w:r>
    </w:p>
    <w:p w14:paraId="6D02E4C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6.2</w:t>
      </w:r>
      <w:r>
        <w:rPr>
          <w:rFonts w:hint="eastAsia" w:ascii="宋体" w:hAnsi="宋体" w:eastAsia="宋体" w:cs="宋体"/>
          <w:color w:val="auto"/>
          <w:sz w:val="21"/>
          <w:szCs w:val="21"/>
          <w:highlight w:val="none"/>
        </w:rPr>
        <w:t>负责工程建设所有外部关系的协调，为监理工作提供外部条件。</w:t>
      </w:r>
    </w:p>
    <w:p w14:paraId="4F7351E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6.3</w:t>
      </w:r>
      <w:r>
        <w:rPr>
          <w:rFonts w:hint="eastAsia" w:ascii="宋体" w:hAnsi="宋体" w:eastAsia="宋体" w:cs="宋体"/>
          <w:color w:val="auto"/>
          <w:sz w:val="21"/>
          <w:szCs w:val="21"/>
          <w:highlight w:val="none"/>
        </w:rPr>
        <w:t xml:space="preserve">按专用合同条款约定的时间、数量、方式，免费向监理机构提供开展监理服务的有关本工程的资料，并在不影响监理人开展监理工作的时间内提供如下资料: </w:t>
      </w:r>
    </w:p>
    <w:p w14:paraId="6D99471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6.3.1</w:t>
      </w:r>
      <w:r>
        <w:rPr>
          <w:rFonts w:hint="eastAsia" w:ascii="宋体" w:hAnsi="宋体" w:eastAsia="宋体" w:cs="宋体"/>
          <w:color w:val="auto"/>
          <w:sz w:val="21"/>
          <w:szCs w:val="21"/>
          <w:highlight w:val="none"/>
        </w:rPr>
        <w:t xml:space="preserve"> 与本工程合作的原材料、构配件、机械设各等生产厂家名录。</w:t>
      </w:r>
    </w:p>
    <w:p w14:paraId="14BBC51C">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6.3.2 </w:t>
      </w:r>
      <w:r>
        <w:rPr>
          <w:rFonts w:hint="eastAsia" w:ascii="宋体" w:hAnsi="宋体" w:eastAsia="宋体" w:cs="宋体"/>
          <w:color w:val="auto"/>
          <w:sz w:val="21"/>
          <w:szCs w:val="21"/>
          <w:highlight w:val="none"/>
        </w:rPr>
        <w:t>提供与本工程有关的协作单位、配合单位的名录。</w:t>
      </w:r>
    </w:p>
    <w:p w14:paraId="4CFA5B1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6.3.3</w:t>
      </w:r>
      <w:r>
        <w:rPr>
          <w:rFonts w:hint="eastAsia" w:ascii="宋体" w:hAnsi="宋体" w:eastAsia="宋体" w:cs="宋体"/>
          <w:color w:val="auto"/>
          <w:sz w:val="21"/>
          <w:szCs w:val="21"/>
          <w:highlight w:val="none"/>
        </w:rPr>
        <w:t>与本工程有关的其他资料。</w:t>
      </w:r>
    </w:p>
    <w:p w14:paraId="565CADA0">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6.4 </w:t>
      </w:r>
      <w:r>
        <w:rPr>
          <w:rFonts w:hint="eastAsia" w:ascii="宋体" w:hAnsi="宋体" w:eastAsia="宋体" w:cs="宋体"/>
          <w:color w:val="auto"/>
          <w:sz w:val="21"/>
          <w:szCs w:val="21"/>
          <w:highlight w:val="none"/>
        </w:rPr>
        <w:t>就监理机构书面提交并要求做出决定的问题做出书面决定。</w:t>
      </w:r>
    </w:p>
    <w:p w14:paraId="40E7857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6.5</w:t>
      </w:r>
      <w:r>
        <w:rPr>
          <w:rFonts w:hint="eastAsia" w:ascii="宋体" w:hAnsi="宋体" w:eastAsia="宋体" w:cs="宋体"/>
          <w:color w:val="auto"/>
          <w:sz w:val="21"/>
          <w:szCs w:val="21"/>
          <w:highlight w:val="none"/>
        </w:rPr>
        <w:t xml:space="preserve"> 与承包人签订的施工合同中明确其赋予监理人的权限，并在工程开工前将监理机构、总监理工程师通知承包人。</w:t>
      </w:r>
    </w:p>
    <w:p w14:paraId="3333567B">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发包人应授权一名熟悉工程情况的代表，负责与监理人联系。发包人应在双方签订本合同后 7天内，将发包人代表的姓名和职责书面告知监理人。当发包人更换发包人代表时，应提前7天通知监理人。</w:t>
      </w:r>
    </w:p>
    <w:p w14:paraId="69C320A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6.6</w:t>
      </w:r>
      <w:r>
        <w:rPr>
          <w:rFonts w:hint="eastAsia" w:ascii="宋体" w:hAnsi="宋体" w:eastAsia="宋体" w:cs="宋体"/>
          <w:color w:val="auto"/>
          <w:sz w:val="21"/>
          <w:szCs w:val="21"/>
          <w:highlight w:val="none"/>
        </w:rPr>
        <w:t xml:space="preserve"> 维护监理机构工作的独立性，不干涉监理机构正常开展监理业务，不擅自作出有悖于监理机构在合同授权范围内所做出的指示的决定；未经监理机构签字确认，不得支付工程款。</w:t>
      </w:r>
    </w:p>
    <w:p w14:paraId="0FD9404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6.7</w:t>
      </w:r>
      <w:r>
        <w:rPr>
          <w:rFonts w:hint="eastAsia" w:ascii="宋体" w:hAnsi="宋体" w:eastAsia="宋体" w:cs="宋体"/>
          <w:color w:val="auto"/>
          <w:sz w:val="21"/>
          <w:szCs w:val="21"/>
          <w:highlight w:val="none"/>
        </w:rPr>
        <w:t xml:space="preserve"> 根据情况需要，如果双方约定，由发包人向监理人提供其他人员，应在监理合同专用条款中予以明确。</w:t>
      </w:r>
    </w:p>
    <w:p w14:paraId="5ABF2148">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6.8</w:t>
      </w:r>
      <w:r>
        <w:rPr>
          <w:rFonts w:hint="eastAsia" w:ascii="宋体" w:hAnsi="宋体" w:eastAsia="宋体" w:cs="宋体"/>
          <w:color w:val="auto"/>
          <w:sz w:val="21"/>
          <w:szCs w:val="21"/>
          <w:highlight w:val="none"/>
        </w:rPr>
        <w:t xml:space="preserve"> 未经监理人同意，不得将监理人用于本工程监理服务的任何文件直接或间接用于其他工程项目之中。 </w:t>
      </w:r>
    </w:p>
    <w:p w14:paraId="0FF60078">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 xml:space="preserve"> 监理人的义务 </w:t>
      </w:r>
    </w:p>
    <w:p w14:paraId="020DBFB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7.1</w:t>
      </w:r>
      <w:r>
        <w:rPr>
          <w:rFonts w:hint="eastAsia" w:ascii="宋体" w:hAnsi="宋体" w:eastAsia="宋体" w:cs="宋体"/>
          <w:color w:val="auto"/>
          <w:sz w:val="21"/>
          <w:szCs w:val="21"/>
          <w:highlight w:val="none"/>
        </w:rPr>
        <w:t xml:space="preserve"> 本着“守法、诚信、公正、科学”的原则，按专用合同条款约定的监理服务内容为发包人提供与其水平相适应的优质服务，公正维护各方面的合法权益。</w:t>
      </w:r>
    </w:p>
    <w:p w14:paraId="570EA410">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监理人应在专用条件约定的授权范围内，处理发包人与承包人所签订合同的变更事宜。如果变更超过授权范围，应以书面形式报发包人批准。</w:t>
      </w:r>
    </w:p>
    <w:p w14:paraId="415540B5">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在紧急情况下，为了保护财产和人身安全，监理人所发出的指令未能事先报发包人批准时，应在发出指令后的24小时内以书面形式报发包人。</w:t>
      </w:r>
    </w:p>
    <w:p w14:paraId="614F5B1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7.2</w:t>
      </w:r>
      <w:r>
        <w:rPr>
          <w:rFonts w:hint="eastAsia" w:ascii="宋体" w:hAnsi="宋体" w:eastAsia="宋体" w:cs="宋体"/>
          <w:color w:val="auto"/>
          <w:sz w:val="21"/>
          <w:szCs w:val="21"/>
          <w:highlight w:val="none"/>
        </w:rPr>
        <w:t xml:space="preserve"> 在专用合同条款约定的时间内组建监理机构，并进驻现场，项目监理机构的主要人员应具有相应的资格条件。及时将监理规划、监理机构及其主要人员名单提交发包人，将监理机构及其人员名单、监理工程师和监理员的授权范围通知承包人；实施期间有变化的，应当及时通知发包人和承包人；更换总监理工程师和其他主要监理人员应征得发包人同意。 </w:t>
      </w:r>
    </w:p>
    <w:p w14:paraId="240F2B61">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本合同履行过程中，总监理工程师及重要岗位监理人员应保持相对稳定，以保证监理工作正常进行。</w:t>
      </w:r>
    </w:p>
    <w:p w14:paraId="04851E38">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可根据工程进展和工作需要调整项目监理机构人员。监理人更换总监理工程师时，应提前7天向发包人书面报告，经发包人同意后方可更换；监理人更换项目监理机构其他监理人员，应以相当资格与能力的人员替换，并通知发包人。</w:t>
      </w:r>
    </w:p>
    <w:p w14:paraId="5C5ED7FC">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7.3</w:t>
      </w:r>
      <w:r>
        <w:rPr>
          <w:rFonts w:hint="eastAsia" w:ascii="宋体" w:hAnsi="宋体" w:eastAsia="宋体" w:cs="宋体"/>
          <w:color w:val="auto"/>
          <w:sz w:val="21"/>
          <w:szCs w:val="21"/>
          <w:highlight w:val="none"/>
        </w:rPr>
        <w:t xml:space="preserve"> 按照发包人签订的工程保险合同，做好施工现场工程保险合同的管理。协助发包人向保险公司及时提供一切必要的材料和证据。</w:t>
      </w:r>
    </w:p>
    <w:p w14:paraId="09276517">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7.4</w:t>
      </w:r>
      <w:r>
        <w:rPr>
          <w:rFonts w:hint="eastAsia" w:ascii="宋体" w:hAnsi="宋体" w:eastAsia="宋体" w:cs="宋体"/>
          <w:color w:val="auto"/>
          <w:sz w:val="21"/>
          <w:szCs w:val="21"/>
          <w:highlight w:val="none"/>
        </w:rPr>
        <w:t xml:space="preserve"> 协调施工合同各方之间的关系。在监理与相关服务范围内，发包人和承包人提出的意见和要求，监理人应及时提出处置意见。当发包人与承包人之间发生合同争议时，监理人应协助发包人、承包人协商解决。</w:t>
      </w:r>
    </w:p>
    <w:p w14:paraId="32F0F052">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理人员的工资福利、社保待遇以及人身和财产安全由监理人负责。监理人在进行监理时，应采取相应的安全、保卫和环境保护措施，如监理人未能采取有效的措施，而发生的与监理活动有关的人身伤亡、罚款、索赔、损失赔偿、诉讼费用及其他一切责任应由监理人负责。 </w:t>
      </w:r>
    </w:p>
    <w:p w14:paraId="7996E355">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7.5</w:t>
      </w:r>
      <w:r>
        <w:rPr>
          <w:rFonts w:hint="eastAsia" w:ascii="宋体" w:hAnsi="宋体" w:eastAsia="宋体" w:cs="宋体"/>
          <w:color w:val="auto"/>
          <w:sz w:val="21"/>
          <w:szCs w:val="21"/>
          <w:highlight w:val="none"/>
        </w:rPr>
        <w:t xml:space="preserve"> 及时做好工程施工过程中各种监理信息的收集、整理和归档，并保证现场记录、试验、检验、检查等资料的完整和真实，并对所有工程相关信息、文件、材料等进行保密，直至等该信息被公开之日为止。及时向发包人汇报工程进度、质量情况，及工程变更、新增等工程重要情况。</w:t>
      </w:r>
    </w:p>
    <w:p w14:paraId="165930B1">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监理人不得将监理任务进行转包。发现有转包情形的，发包人有权解除监理合同，并要求监理人支付违约金，违约金为</w:t>
      </w:r>
      <w:r>
        <w:rPr>
          <w:rFonts w:hint="eastAsia" w:ascii="宋体" w:hAnsi="宋体" w:eastAsia="宋体" w:cs="宋体"/>
          <w:color w:val="auto"/>
          <w:sz w:val="21"/>
          <w:szCs w:val="21"/>
          <w:highlight w:val="none"/>
          <w:u w:val="single"/>
        </w:rPr>
        <w:t xml:space="preserve">监理服务酬金的20%  </w:t>
      </w:r>
      <w:r>
        <w:rPr>
          <w:rFonts w:hint="eastAsia" w:ascii="宋体" w:hAnsi="宋体" w:eastAsia="宋体" w:cs="宋体"/>
          <w:color w:val="auto"/>
          <w:sz w:val="21"/>
          <w:szCs w:val="21"/>
          <w:highlight w:val="none"/>
        </w:rPr>
        <w:t>。</w:t>
      </w:r>
    </w:p>
    <w:p w14:paraId="1BFA8DFE">
      <w:pPr>
        <w:pageBreakBefore w:val="0"/>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7.6</w:t>
      </w:r>
      <w:r>
        <w:rPr>
          <w:rFonts w:hint="eastAsia" w:ascii="宋体" w:hAnsi="宋体" w:eastAsia="宋体" w:cs="宋体"/>
          <w:color w:val="auto"/>
          <w:sz w:val="21"/>
          <w:szCs w:val="21"/>
          <w:highlight w:val="none"/>
          <w:u w:val="single"/>
        </w:rPr>
        <w:t>监理人应在签订合同后7内编制并提交监理规划、监理实施细则，工程开工后每周向发包人提交监理周报、监理日志。在召开监理例会7日内出具会议纪要并盖章。在承包人提交施工组织设计、工程联系单、工程量完成确认单、签证单、进度款支付证书等与工程相关的材料后，监理人应在7日内审核完毕，并向发包人和承包人反馈。监理人不按照本项约定时间内提交、审核相关材料的，</w:t>
      </w:r>
      <w:r>
        <w:rPr>
          <w:rFonts w:hint="eastAsia" w:ascii="宋体" w:hAnsi="宋体" w:eastAsia="宋体" w:cs="宋体"/>
          <w:b/>
          <w:bCs/>
          <w:color w:val="auto"/>
          <w:sz w:val="21"/>
          <w:szCs w:val="21"/>
          <w:highlight w:val="none"/>
          <w:u w:val="single"/>
        </w:rPr>
        <w:t>每逾期一天，按监理服务酬金的 1% 处罚，罚款直接从监理服务酬金中扣除。</w:t>
      </w:r>
    </w:p>
    <w:p w14:paraId="39B8C53C">
      <w:pPr>
        <w:pageBreakBefore w:val="0"/>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rPr>
        <w:t>7.7</w:t>
      </w:r>
      <w:r>
        <w:rPr>
          <w:rFonts w:hint="eastAsia" w:ascii="宋体" w:hAnsi="宋体" w:eastAsia="宋体" w:cs="宋体"/>
          <w:color w:val="auto"/>
          <w:sz w:val="21"/>
          <w:szCs w:val="21"/>
          <w:highlight w:val="none"/>
          <w:u w:val="single"/>
        </w:rPr>
        <w:t>在主体工程完工后，监理人应组织承包人、设计人等参建单位对工程进行自检。按有关规定参加工程验收，做好相关配合工作。在工程初步验收合格后  28日  内提交监理专题报告和监理工作总结报告，并将监理中标通知书及其资质复印件、监理合同（含中标报价）、监理规划、监理实施细则、监理周报、监理日志、监理会议纪要、监理专题报告和监理工作总结报告等监理材料按发包人要求装订成册，并提交所有材料电子版归档。监理人不按照本项约定时间内提交、审核相关材料的，</w:t>
      </w:r>
      <w:r>
        <w:rPr>
          <w:rFonts w:hint="eastAsia" w:ascii="宋体" w:hAnsi="宋体" w:eastAsia="宋体" w:cs="宋体"/>
          <w:b/>
          <w:bCs/>
          <w:color w:val="auto"/>
          <w:sz w:val="21"/>
          <w:szCs w:val="21"/>
          <w:highlight w:val="none"/>
          <w:u w:val="single"/>
        </w:rPr>
        <w:t>每逾期一天，按监理服务酬金的 1% 处罚，罚款直接从监理服务酬金中扣除。</w:t>
      </w:r>
    </w:p>
    <w:p w14:paraId="2555ADF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7.8</w:t>
      </w:r>
      <w:r>
        <w:rPr>
          <w:rFonts w:hint="eastAsia" w:ascii="宋体" w:hAnsi="宋体" w:eastAsia="宋体" w:cs="宋体"/>
          <w:color w:val="auto"/>
          <w:sz w:val="21"/>
          <w:szCs w:val="21"/>
          <w:highlight w:val="none"/>
        </w:rPr>
        <w:t xml:space="preserve"> 监理人使用发包人提供的设施和物品属发包人的财产。在监理工作完成或中止时，应将其设施和剩余物品按合同约定的时间和方式移交给发包人。</w:t>
      </w:r>
    </w:p>
    <w:p w14:paraId="680D388F">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7.9</w:t>
      </w:r>
      <w:r>
        <w:rPr>
          <w:rFonts w:hint="eastAsia" w:ascii="宋体" w:hAnsi="宋体" w:eastAsia="宋体" w:cs="宋体"/>
          <w:color w:val="auto"/>
          <w:sz w:val="21"/>
          <w:szCs w:val="21"/>
          <w:highlight w:val="none"/>
        </w:rPr>
        <w:t xml:space="preserve"> 妥善做好发包人所提供的工程建设文件资料的保存、回收及保密工作。在本合同期限内或专用合同条款约定的合同解除后的一定期限内，未征得发包人同意，不得公开涉及发包人的专利、专有技术或其他需保密的资料，不得泄露与本合同业务有关的技术、商务等秘密。 </w:t>
      </w:r>
    </w:p>
    <w:p w14:paraId="50B478ED">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8 </w:t>
      </w:r>
      <w:r>
        <w:rPr>
          <w:rFonts w:hint="eastAsia" w:ascii="宋体" w:hAnsi="宋体" w:eastAsia="宋体" w:cs="宋体"/>
          <w:color w:val="auto"/>
          <w:sz w:val="21"/>
          <w:szCs w:val="21"/>
          <w:highlight w:val="none"/>
        </w:rPr>
        <w:t xml:space="preserve">监理服务酬金 </w:t>
      </w:r>
    </w:p>
    <w:p w14:paraId="2E51E5BD">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本合同签订并生效后</w:t>
      </w:r>
      <w:r>
        <w:rPr>
          <w:rFonts w:hint="eastAsia" w:ascii="宋体" w:hAnsi="宋体" w:eastAsia="宋体" w:cs="宋体"/>
          <w:color w:val="auto"/>
          <w:kern w:val="0"/>
          <w:sz w:val="21"/>
          <w:szCs w:val="21"/>
          <w:highlight w:val="none"/>
          <w:u w:val="single"/>
        </w:rPr>
        <w:t xml:space="preserve"> 7 </w:t>
      </w:r>
      <w:r>
        <w:rPr>
          <w:rFonts w:hint="eastAsia" w:ascii="宋体" w:hAnsi="宋体" w:eastAsia="宋体" w:cs="宋体"/>
          <w:color w:val="auto"/>
          <w:sz w:val="21"/>
          <w:szCs w:val="21"/>
          <w:highlight w:val="none"/>
        </w:rPr>
        <w:t>日内向发包人提交监理规划和监理实施细则，即可支付第一期监理酬金，金额为酬金总额的30%。</w:t>
      </w:r>
    </w:p>
    <w:p w14:paraId="03A01AA4">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第二期酬金支付金额为酬金总额的50%（以工程为单位），支付时间为工程项目初验收后7日内。</w:t>
      </w:r>
    </w:p>
    <w:p w14:paraId="5831AAFF">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第三期酬金支付金额为酬金总额的20%（以工程为单位），支付时间为提交工程监理归档材料后。</w:t>
      </w:r>
    </w:p>
    <w:p w14:paraId="5A047FFC">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监理人应当在发包人付款前5个工作日内向发包人提交合法足额的发票，监理人未提交发票或者提交的发票不符合甲方要求的，发包人有权顺延付款时间，不构成发包人违约。</w:t>
      </w:r>
    </w:p>
    <w:p w14:paraId="7B86ED8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color w:val="auto"/>
          <w:sz w:val="21"/>
          <w:szCs w:val="21"/>
          <w:highlight w:val="none"/>
        </w:rPr>
        <w:t>合同变更</w:t>
      </w:r>
    </w:p>
    <w:p w14:paraId="149E0B4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9.1</w:t>
      </w:r>
      <w:r>
        <w:rPr>
          <w:rFonts w:hint="eastAsia" w:ascii="宋体" w:hAnsi="宋体" w:eastAsia="宋体" w:cs="宋体"/>
          <w:color w:val="auto"/>
          <w:sz w:val="21"/>
          <w:szCs w:val="21"/>
          <w:highlight w:val="none"/>
        </w:rPr>
        <w:t>在委托监理合同签订后，实际情况发生变化，如工程计划调整、较大的工程设计变更、不良地质条件等非监理人原因致使本合同约定的服务范围、内容和服务形式发生较大变化，使得监理人不能全部或部分执行监理业务时，监理人应当立即通知发包人，并协商、处理有关事宜。</w:t>
      </w:r>
    </w:p>
    <w:p w14:paraId="5C3463FE">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9.2</w:t>
      </w:r>
      <w:r>
        <w:rPr>
          <w:rFonts w:hint="eastAsia" w:ascii="宋体" w:hAnsi="宋体" w:eastAsia="宋体" w:cs="宋体"/>
          <w:color w:val="auto"/>
          <w:sz w:val="21"/>
          <w:szCs w:val="21"/>
          <w:highlight w:val="none"/>
        </w:rPr>
        <w:t>在监理服务期内，由于国家政策致使工程建设计划重大调整，或不可抗力致使合同不能履行时，双方协商解决因合同解除所产生的遗留问题。</w:t>
      </w:r>
    </w:p>
    <w:p w14:paraId="12A4A37E">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9.3</w:t>
      </w:r>
      <w:r>
        <w:rPr>
          <w:rFonts w:hint="eastAsia" w:ascii="宋体" w:hAnsi="宋体" w:eastAsia="宋体" w:cs="宋体"/>
          <w:color w:val="auto"/>
          <w:sz w:val="21"/>
          <w:szCs w:val="21"/>
          <w:highlight w:val="none"/>
        </w:rPr>
        <w:t>合同协议的解除并不影响各方应有的权利和应当承担的责任。</w:t>
      </w:r>
    </w:p>
    <w:p w14:paraId="7BBC57B0">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w:t>
      </w:r>
      <w:r>
        <w:rPr>
          <w:rFonts w:hint="eastAsia" w:ascii="宋体" w:hAnsi="宋体" w:eastAsia="宋体" w:cs="宋体"/>
          <w:color w:val="auto"/>
          <w:sz w:val="21"/>
          <w:szCs w:val="21"/>
          <w:highlight w:val="none"/>
        </w:rPr>
        <w:t>发包人责任</w:t>
      </w:r>
    </w:p>
    <w:p w14:paraId="73F0CE7C">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10.1</w:t>
      </w:r>
      <w:r>
        <w:rPr>
          <w:rFonts w:hint="eastAsia" w:ascii="宋体" w:hAnsi="宋体" w:eastAsia="宋体" w:cs="宋体"/>
          <w:color w:val="auto"/>
          <w:sz w:val="21"/>
          <w:szCs w:val="21"/>
          <w:highlight w:val="none"/>
        </w:rPr>
        <w:t>发包人应当履行委托监理合同约定的义务，如有违反则应当承担违约责任，赔偿给监理人造成的经济损失。</w:t>
      </w:r>
    </w:p>
    <w:p w14:paraId="2A59DCB4">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10.2</w:t>
      </w:r>
      <w:r>
        <w:rPr>
          <w:rFonts w:hint="eastAsia" w:ascii="宋体" w:hAnsi="宋体" w:eastAsia="宋体" w:cs="宋体"/>
          <w:color w:val="auto"/>
          <w:sz w:val="21"/>
          <w:szCs w:val="21"/>
          <w:highlight w:val="none"/>
        </w:rPr>
        <w:t>监理人处理委托业务时，因非监理人原因的事由受到损失的，可以向发包人要求补偿损失。</w:t>
      </w:r>
    </w:p>
    <w:p w14:paraId="4F59B69A">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10.3</w:t>
      </w:r>
      <w:r>
        <w:rPr>
          <w:rFonts w:hint="eastAsia" w:ascii="宋体" w:hAnsi="宋体" w:eastAsia="宋体" w:cs="宋体"/>
          <w:color w:val="auto"/>
          <w:sz w:val="21"/>
          <w:szCs w:val="21"/>
          <w:highlight w:val="none"/>
        </w:rPr>
        <w:t>发包人如果向监理人提出赔偿的要求不能成立，则应当补偿由该索赔所引起的监理人的各种费用支出。</w:t>
      </w:r>
    </w:p>
    <w:p w14:paraId="4D242E29">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监理人责任</w:t>
      </w:r>
    </w:p>
    <w:p w14:paraId="6D7198B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11.1 </w:t>
      </w:r>
      <w:r>
        <w:rPr>
          <w:rFonts w:hint="eastAsia" w:ascii="宋体" w:hAnsi="宋体" w:eastAsia="宋体" w:cs="宋体"/>
          <w:color w:val="auto"/>
          <w:sz w:val="21"/>
          <w:szCs w:val="21"/>
          <w:highlight w:val="none"/>
        </w:rPr>
        <w:t>监理人的责任期即委托监理合同有效期。在监理过程中，如果因工程进度的推迟或延误而超过书面约定的日期，双方应进一步约定相应延长的合同期。</w:t>
      </w:r>
    </w:p>
    <w:p w14:paraId="757A1BF6">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11.2</w:t>
      </w:r>
      <w:r>
        <w:rPr>
          <w:rFonts w:hint="eastAsia" w:ascii="宋体" w:hAnsi="宋体" w:eastAsia="宋体" w:cs="宋体"/>
          <w:color w:val="auto"/>
          <w:sz w:val="21"/>
          <w:szCs w:val="21"/>
          <w:highlight w:val="none"/>
        </w:rPr>
        <w:t>监理人在责任期内，应当履行约定的义务。如果因监理人过失而造成了发包人的经济损失，应当向发包人赔偿。累计赔偿总额（除本合同第4.1.7项规定以外）不应超过监理报酬总额（除去税金）。</w:t>
      </w:r>
    </w:p>
    <w:p w14:paraId="61DD6729">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11.3</w:t>
      </w:r>
      <w:r>
        <w:rPr>
          <w:rFonts w:hint="eastAsia" w:ascii="宋体" w:hAnsi="宋体" w:eastAsia="宋体" w:cs="宋体"/>
          <w:color w:val="auto"/>
          <w:sz w:val="21"/>
          <w:szCs w:val="21"/>
          <w:highlight w:val="none"/>
        </w:rPr>
        <w:t>监理人向发包人提出赔偿要求不能成立时，监理人应当补偿由于该索赔所导致发包人的各种费用支出。</w:t>
      </w:r>
    </w:p>
    <w:p w14:paraId="03C2CC0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 xml:space="preserve"> 争议的解决 </w:t>
      </w:r>
    </w:p>
    <w:p w14:paraId="7FA5FDDA">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12.1</w:t>
      </w:r>
      <w:r>
        <w:rPr>
          <w:rFonts w:hint="eastAsia" w:ascii="宋体" w:hAnsi="宋体" w:eastAsia="宋体" w:cs="宋体"/>
          <w:color w:val="auto"/>
          <w:sz w:val="21"/>
          <w:szCs w:val="21"/>
          <w:highlight w:val="none"/>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4015FEAC">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12.2 </w:t>
      </w:r>
      <w:r>
        <w:rPr>
          <w:rFonts w:hint="eastAsia" w:ascii="宋体" w:hAnsi="宋体" w:eastAsia="宋体" w:cs="宋体"/>
          <w:color w:val="auto"/>
          <w:sz w:val="21"/>
          <w:szCs w:val="21"/>
          <w:highlight w:val="none"/>
        </w:rPr>
        <w:t xml:space="preserve">在争议协商、调解、仲裁或起诉过程中，双方仍应继续履行本合同约定的责任和义务。 </w:t>
      </w:r>
    </w:p>
    <w:p w14:paraId="755725C3">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13 </w:t>
      </w:r>
      <w:r>
        <w:rPr>
          <w:rFonts w:hint="eastAsia" w:ascii="宋体" w:hAnsi="宋体" w:eastAsia="宋体" w:cs="宋体"/>
          <w:color w:val="auto"/>
          <w:sz w:val="21"/>
          <w:szCs w:val="21"/>
          <w:highlight w:val="none"/>
        </w:rPr>
        <w:t xml:space="preserve">其他 </w:t>
      </w:r>
    </w:p>
    <w:p w14:paraId="7FCEB0D0">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13.1</w:t>
      </w:r>
      <w:r>
        <w:rPr>
          <w:rFonts w:hint="eastAsia" w:ascii="宋体" w:hAnsi="宋体" w:eastAsia="宋体" w:cs="宋体"/>
          <w:color w:val="auto"/>
          <w:sz w:val="21"/>
          <w:szCs w:val="21"/>
          <w:highlight w:val="none"/>
        </w:rPr>
        <w:t xml:space="preserve"> 在监理业务范围内，如需聘用专家咨询或协助，由监理人聘用或发包人代监理人聘用的，费用由监理人承担；由发包人聘用的，费用由发包人承担。</w:t>
      </w:r>
    </w:p>
    <w:p w14:paraId="61D3D05B">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13.2</w:t>
      </w:r>
      <w:r>
        <w:rPr>
          <w:rFonts w:hint="eastAsia" w:ascii="宋体" w:hAnsi="宋体" w:eastAsia="宋体" w:cs="宋体"/>
          <w:color w:val="auto"/>
          <w:sz w:val="21"/>
          <w:szCs w:val="21"/>
          <w:highlight w:val="none"/>
        </w:rPr>
        <w:t xml:space="preserve"> 监理人驻地监理机构及其职员不得接受监理工程项目施工承包人的任何报酬或者经济利益。 </w:t>
      </w:r>
    </w:p>
    <w:p w14:paraId="101D7762">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13.3</w:t>
      </w:r>
      <w:r>
        <w:rPr>
          <w:rFonts w:hint="eastAsia" w:ascii="宋体" w:hAnsi="宋体" w:eastAsia="宋体" w:cs="宋体"/>
          <w:color w:val="auto"/>
          <w:sz w:val="21"/>
          <w:szCs w:val="21"/>
          <w:highlight w:val="none"/>
        </w:rPr>
        <w:t xml:space="preserve"> 监理人不得参与合同涉及范围的可能与发包人利益相冲突的任何活动。监理人在监理过程中，不得泄露发包人申明的秘密，亦不得泄露设计人、承包人等提供并申明的秘密。</w:t>
      </w:r>
    </w:p>
    <w:p w14:paraId="3A44C371">
      <w:pPr>
        <w:pageBreakBefore w:val="0"/>
        <w:kinsoku/>
        <w:wordWrap/>
        <w:overflowPunct/>
        <w:topLinePunct w:val="0"/>
        <w:bidi w:val="0"/>
        <w:spacing w:line="360" w:lineRule="auto"/>
        <w:ind w:left="0" w:lef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13.4</w:t>
      </w:r>
      <w:r>
        <w:rPr>
          <w:rFonts w:hint="eastAsia" w:ascii="宋体" w:hAnsi="宋体" w:eastAsia="宋体" w:cs="宋体"/>
          <w:color w:val="auto"/>
          <w:sz w:val="21"/>
          <w:szCs w:val="21"/>
          <w:highlight w:val="none"/>
        </w:rPr>
        <w:t xml:space="preserve"> 监理人对于由其编制的所有文件拥有版权，发包人仅有权为本工程使用或复制此类文件。</w:t>
      </w:r>
    </w:p>
    <w:p w14:paraId="26237829">
      <w:pPr>
        <w:pageBreakBefore w:val="0"/>
        <w:kinsoku/>
        <w:wordWrap/>
        <w:overflowPunct/>
        <w:topLinePunct w:val="0"/>
        <w:bidi w:val="0"/>
        <w:spacing w:line="360" w:lineRule="auto"/>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第三部分</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专用合同条款</w:t>
      </w:r>
    </w:p>
    <w:p w14:paraId="7E6C6EAC">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本工程按甲方核定监理正常服务酬金，监理费用为包干费用。</w:t>
      </w:r>
    </w:p>
    <w:p w14:paraId="0946220D">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本合同适用的法律及监理依据:</w:t>
      </w:r>
    </w:p>
    <w:p w14:paraId="553BF349">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法律、行政法规以及自然资源部、柳州市自然资源和规划部门颁发的与本工程有关的正式文件、规章等；发包人与承包人签订的正式合同、协议，正式的工程施工图纸、说明文件及有关的工程洽商、变更；国家及自然资源部现行的有关施工验收规范及质量评定标准。</w:t>
      </w:r>
    </w:p>
    <w:p w14:paraId="0F68B4EE">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3.1</w:t>
      </w:r>
      <w:r>
        <w:rPr>
          <w:rFonts w:hint="eastAsia" w:ascii="宋体" w:hAnsi="宋体" w:eastAsia="宋体" w:cs="宋体"/>
          <w:color w:val="auto"/>
          <w:sz w:val="21"/>
          <w:szCs w:val="21"/>
          <w:highlight w:val="none"/>
        </w:rPr>
        <w:t xml:space="preserve"> 发包人代表</w:t>
      </w:r>
    </w:p>
    <w:p w14:paraId="4926DEB7">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DC891B">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发包人代表的授权范围为:</w:t>
      </w:r>
      <w:r>
        <w:rPr>
          <w:rFonts w:hint="eastAsia" w:ascii="宋体" w:hAnsi="宋体" w:eastAsia="宋体" w:cs="宋体"/>
          <w:color w:val="auto"/>
          <w:sz w:val="21"/>
          <w:szCs w:val="21"/>
          <w:highlight w:val="none"/>
          <w:u w:val="single"/>
        </w:rPr>
        <w:t xml:space="preserve">1、授予监理人权限的权利，在委托人授权范围内监理人可对所监理的合同自主地采取各种措施进行监督、管理和协调，如果超越权限时，应首先征得委托人同意后方可发布有关指令。2、对监理人履行合同的监督控制权。 </w:t>
      </w:r>
    </w:p>
    <w:p w14:paraId="2EFB9DFE">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4.1.2 </w:t>
      </w:r>
      <w:r>
        <w:rPr>
          <w:rFonts w:hint="eastAsia" w:ascii="宋体" w:hAnsi="宋体" w:eastAsia="宋体" w:cs="宋体"/>
          <w:color w:val="auto"/>
          <w:sz w:val="21"/>
          <w:szCs w:val="21"/>
          <w:highlight w:val="none"/>
        </w:rPr>
        <w:t xml:space="preserve">发包人对工程规模、设计标准和设计使用功能要求的认定以及设计变更的审批权限按照市（区）有关部门规定执行。 </w:t>
      </w:r>
    </w:p>
    <w:p w14:paraId="079DFF79">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5.1.11</w:t>
      </w:r>
      <w:r>
        <w:rPr>
          <w:rFonts w:hint="eastAsia" w:ascii="宋体" w:hAnsi="宋体" w:eastAsia="宋体" w:cs="宋体"/>
          <w:color w:val="auto"/>
          <w:sz w:val="21"/>
          <w:szCs w:val="21"/>
          <w:highlight w:val="none"/>
        </w:rPr>
        <w:t xml:space="preserve"> 本工程投资控制的依据为国家有关部门正式批准的投资概算及施工合同（或由发包人认定的投资概算）。监理人按程序可以对设计变更、现场变更签证，但在投资概算经原审批部门正式调整批复之前，所有超出投资概算总金额或其中任何子项投资金额的付款不予批准支付。</w:t>
      </w:r>
    </w:p>
    <w:p w14:paraId="4926B00D">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6.2</w:t>
      </w:r>
      <w:r>
        <w:rPr>
          <w:rFonts w:hint="eastAsia" w:ascii="宋体" w:hAnsi="宋体" w:eastAsia="宋体" w:cs="宋体"/>
          <w:color w:val="auto"/>
          <w:sz w:val="21"/>
          <w:szCs w:val="21"/>
          <w:highlight w:val="none"/>
        </w:rPr>
        <w:t xml:space="preserve"> 外部条件包括:本地区自然资源主管部门、质量检验和试验机构、工程场地周边居民及村镇、场地内涉及到影响工程正常开展的构筑物、建筑物的所属单位等。 </w:t>
      </w:r>
    </w:p>
    <w:p w14:paraId="7EBF9390">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6.3.3</w:t>
      </w:r>
      <w:r>
        <w:rPr>
          <w:rFonts w:hint="eastAsia" w:ascii="宋体" w:hAnsi="宋体" w:eastAsia="宋体" w:cs="宋体"/>
          <w:color w:val="auto"/>
          <w:sz w:val="21"/>
          <w:szCs w:val="21"/>
          <w:highlight w:val="none"/>
        </w:rPr>
        <w:t xml:space="preserve"> 发包人应提供的工程资料及提供时间:根据工程进度要求和设计单位与发包人商定的提交图纸时间，提供壹套工程施工图纸，其他监理必需资料根据需要逐步提供。</w:t>
      </w:r>
    </w:p>
    <w:p w14:paraId="57E03486">
      <w:pPr>
        <w:pageBreakBefore w:val="0"/>
        <w:kinsoku/>
        <w:wordWrap/>
        <w:overflowPunct/>
        <w:topLinePunct w:val="0"/>
        <w:bidi w:val="0"/>
        <w:spacing w:line="360" w:lineRule="auto"/>
        <w:ind w:left="0" w:leftChars="0" w:firstLine="422"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rPr>
        <w:t xml:space="preserve">7 </w:t>
      </w:r>
      <w:r>
        <w:rPr>
          <w:rFonts w:hint="eastAsia" w:ascii="宋体" w:hAnsi="宋体" w:eastAsia="宋体" w:cs="宋体"/>
          <w:b w:val="0"/>
          <w:bCs/>
          <w:color w:val="auto"/>
          <w:sz w:val="21"/>
          <w:szCs w:val="21"/>
          <w:highlight w:val="none"/>
        </w:rPr>
        <w:t>监理范围、监理工作内容和监理人员</w:t>
      </w:r>
      <w:r>
        <w:rPr>
          <w:rFonts w:hint="eastAsia" w:ascii="宋体" w:hAnsi="宋体" w:eastAsia="宋体" w:cs="宋体"/>
          <w:b w:val="0"/>
          <w:bCs/>
          <w:color w:val="auto"/>
          <w:sz w:val="21"/>
          <w:szCs w:val="21"/>
          <w:highlight w:val="none"/>
          <w:lang w:val="en-US" w:eastAsia="zh-CN"/>
        </w:rPr>
        <w:t>及其职责、违约条款</w:t>
      </w:r>
    </w:p>
    <w:p w14:paraId="25D69813">
      <w:pPr>
        <w:pageBreakBefore w:val="0"/>
        <w:kinsoku/>
        <w:wordWrap/>
        <w:overflowPunct/>
        <w:topLinePunct w:val="0"/>
        <w:bidi w:val="0"/>
        <w:spacing w:line="360" w:lineRule="auto"/>
        <w:ind w:left="0" w:leftChars="0"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rPr>
        <w:t>7.1</w:t>
      </w:r>
      <w:r>
        <w:rPr>
          <w:rFonts w:hint="eastAsia" w:ascii="宋体" w:hAnsi="宋体" w:eastAsia="宋体" w:cs="宋体"/>
          <w:b w:val="0"/>
          <w:bCs/>
          <w:color w:val="auto"/>
          <w:sz w:val="21"/>
          <w:szCs w:val="21"/>
          <w:highlight w:val="none"/>
        </w:rPr>
        <w:t>本监理业务为施工阶段监理。</w:t>
      </w:r>
    </w:p>
    <w:p w14:paraId="09538E4E">
      <w:pPr>
        <w:pageBreakBefore w:val="0"/>
        <w:kinsoku/>
        <w:wordWrap/>
        <w:overflowPunct/>
        <w:topLinePunct w:val="0"/>
        <w:bidi w:val="0"/>
        <w:spacing w:line="360" w:lineRule="auto"/>
        <w:ind w:left="0" w:leftChars="0"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 xml:space="preserve">7.1.2 </w:t>
      </w:r>
      <w:r>
        <w:rPr>
          <w:rFonts w:hint="eastAsia" w:ascii="宋体" w:hAnsi="宋体" w:eastAsia="宋体" w:cs="宋体"/>
          <w:b w:val="0"/>
          <w:bCs/>
          <w:color w:val="auto"/>
          <w:sz w:val="21"/>
          <w:szCs w:val="21"/>
          <w:highlight w:val="none"/>
          <w:lang w:val="en-US" w:eastAsia="zh-CN"/>
        </w:rPr>
        <w:t xml:space="preserve">对监理人的授权范围: </w:t>
      </w:r>
      <w:r>
        <w:rPr>
          <w:rFonts w:hint="eastAsia" w:ascii="宋体" w:hAnsi="宋体" w:eastAsia="宋体" w:cs="宋体"/>
          <w:b w:val="0"/>
          <w:bCs/>
          <w:color w:val="auto"/>
          <w:sz w:val="21"/>
          <w:szCs w:val="21"/>
          <w:highlight w:val="none"/>
          <w:u w:val="single"/>
          <w:lang w:val="en-US" w:eastAsia="zh-CN"/>
        </w:rPr>
        <w:t xml:space="preserve">经审查批准的施工图（含通过了发包人审查的设计变更）中所包含的本工程全部内容   </w:t>
      </w:r>
      <w:r>
        <w:rPr>
          <w:rFonts w:hint="eastAsia" w:ascii="宋体" w:hAnsi="宋体" w:eastAsia="宋体" w:cs="宋体"/>
          <w:b w:val="0"/>
          <w:bCs/>
          <w:color w:val="auto"/>
          <w:sz w:val="21"/>
          <w:szCs w:val="21"/>
          <w:highlight w:val="none"/>
          <w:lang w:val="en-US" w:eastAsia="zh-CN"/>
        </w:rPr>
        <w:t>。</w:t>
      </w:r>
    </w:p>
    <w:p w14:paraId="17A7ED31">
      <w:pPr>
        <w:pageBreakBefore w:val="0"/>
        <w:kinsoku/>
        <w:wordWrap/>
        <w:overflowPunct/>
        <w:topLinePunct w:val="0"/>
        <w:bidi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rPr>
        <w:t>7.2</w:t>
      </w:r>
      <w:r>
        <w:rPr>
          <w:rFonts w:hint="eastAsia" w:ascii="宋体" w:hAnsi="宋体" w:eastAsia="宋体" w:cs="宋体"/>
          <w:b w:val="0"/>
          <w:bCs/>
          <w:color w:val="auto"/>
          <w:sz w:val="21"/>
          <w:szCs w:val="21"/>
          <w:highlight w:val="none"/>
        </w:rPr>
        <w:t>监理人负责工程项目的</w:t>
      </w:r>
      <w:r>
        <w:rPr>
          <w:rFonts w:hint="eastAsia" w:ascii="宋体" w:hAnsi="宋体" w:eastAsia="宋体" w:cs="宋体"/>
          <w:color w:val="auto"/>
          <w:sz w:val="21"/>
          <w:szCs w:val="21"/>
          <w:highlight w:val="none"/>
          <w:u w:val="single"/>
        </w:rPr>
        <w:t>施工阶段：质量控制、进度控制、造价控制、安全生产监督管理、合同管理、信息管理；保修阶段：保修管理；其他工作：协调各方关系</w:t>
      </w:r>
      <w:r>
        <w:rPr>
          <w:rFonts w:hint="eastAsia" w:ascii="宋体" w:hAnsi="宋体" w:eastAsia="宋体" w:cs="宋体"/>
          <w:color w:val="auto"/>
          <w:sz w:val="21"/>
          <w:szCs w:val="21"/>
          <w:highlight w:val="none"/>
        </w:rPr>
        <w:t>。</w:t>
      </w:r>
    </w:p>
    <w:p w14:paraId="48859410">
      <w:pPr>
        <w:pageBreakBefore w:val="0"/>
        <w:kinsoku/>
        <w:wordWrap/>
        <w:overflowPunct/>
        <w:topLinePunct w:val="0"/>
        <w:bidi w:val="0"/>
        <w:spacing w:line="360" w:lineRule="auto"/>
        <w:ind w:left="0" w:leftChars="0" w:firstLine="413" w:firstLineChars="196"/>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7.3</w:t>
      </w:r>
      <w:r>
        <w:rPr>
          <w:rFonts w:hint="eastAsia" w:ascii="宋体" w:hAnsi="宋体" w:eastAsia="宋体" w:cs="宋体"/>
          <w:color w:val="auto"/>
          <w:sz w:val="21"/>
          <w:szCs w:val="21"/>
          <w:highlight w:val="none"/>
        </w:rPr>
        <w:t>监理人根据工程特点，指派满足本工程需要的相关专业人员，按照有关法规和要求完成监理工作。</w:t>
      </w:r>
    </w:p>
    <w:p w14:paraId="04C1D28F">
      <w:pPr>
        <w:pStyle w:val="2"/>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监理人员</w:t>
      </w:r>
      <w:r>
        <w:rPr>
          <w:rFonts w:hint="eastAsia" w:ascii="宋体" w:hAnsi="宋体" w:eastAsia="宋体" w:cs="宋体"/>
          <w:color w:val="auto"/>
          <w:sz w:val="21"/>
          <w:szCs w:val="21"/>
          <w:highlight w:val="none"/>
          <w:lang w:val="en-US" w:eastAsia="zh-CN"/>
        </w:rPr>
        <w:t>及其职责、违约条款</w:t>
      </w:r>
      <w:r>
        <w:rPr>
          <w:rFonts w:hint="eastAsia" w:ascii="宋体" w:hAnsi="宋体" w:eastAsia="宋体" w:cs="宋体"/>
          <w:color w:val="auto"/>
          <w:sz w:val="21"/>
          <w:szCs w:val="21"/>
          <w:highlight w:val="none"/>
        </w:rPr>
        <w:t>：</w:t>
      </w:r>
    </w:p>
    <w:p w14:paraId="70B9B7C9">
      <w:pPr>
        <w:pStyle w:val="2"/>
        <w:pageBreakBefore w:val="0"/>
        <w:kinsoku/>
        <w:wordWrap/>
        <w:overflowPunct/>
        <w:topLinePunct w:val="0"/>
        <w:bidi w:val="0"/>
        <w:spacing w:line="360" w:lineRule="auto"/>
        <w:ind w:left="0" w:leftChars="0"/>
        <w:rPr>
          <w:rFonts w:hint="eastAsia" w:ascii="宋体" w:hAnsi="宋体" w:eastAsia="宋体" w:cs="宋体"/>
          <w:color w:val="auto"/>
          <w:kern w:val="0"/>
          <w:sz w:val="21"/>
          <w:szCs w:val="21"/>
          <w:highlight w:val="none"/>
          <w:u w:val="single"/>
          <w:lang w:val="en-US"/>
        </w:rPr>
      </w:pPr>
      <w:r>
        <w:rPr>
          <w:rFonts w:hint="eastAsia" w:ascii="宋体" w:hAnsi="宋体" w:eastAsia="宋体" w:cs="宋体"/>
          <w:b/>
          <w:bCs/>
          <w:color w:val="auto"/>
          <w:sz w:val="21"/>
          <w:szCs w:val="21"/>
          <w:highlight w:val="none"/>
          <w:lang w:val="en-US"/>
        </w:rPr>
        <w:t>7.3.1</w:t>
      </w:r>
      <w:r>
        <w:rPr>
          <w:rFonts w:hint="eastAsia" w:ascii="宋体" w:hAnsi="宋体" w:eastAsia="宋体" w:cs="宋体"/>
          <w:color w:val="auto"/>
          <w:sz w:val="21"/>
          <w:szCs w:val="21"/>
          <w:highlight w:val="none"/>
        </w:rPr>
        <w:t xml:space="preserve">总监理工程师：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 xml:space="preserve">    职称：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kern w:val="0"/>
          <w:sz w:val="21"/>
          <w:szCs w:val="21"/>
          <w:highlight w:val="none"/>
          <w:u w:val="single"/>
          <w:lang w:val="en-US"/>
        </w:rPr>
        <w:t xml:space="preserve">          </w:t>
      </w:r>
    </w:p>
    <w:p w14:paraId="06EFCC7B">
      <w:pPr>
        <w:pStyle w:val="2"/>
        <w:pageBreakBefore w:val="0"/>
        <w:kinsoku/>
        <w:wordWrap/>
        <w:overflowPunct/>
        <w:topLinePunct w:val="0"/>
        <w:bidi w:val="0"/>
        <w:spacing w:line="360" w:lineRule="auto"/>
        <w:ind w:left="0" w:leftChars="0" w:firstLine="420" w:firstLineChars="200"/>
        <w:rPr>
          <w:rFonts w:hint="eastAsia" w:ascii="宋体" w:hAnsi="宋体" w:eastAsia="宋体" w:cs="宋体"/>
          <w:color w:val="auto"/>
          <w:kern w:val="0"/>
          <w:sz w:val="21"/>
          <w:szCs w:val="21"/>
          <w:highlight w:val="none"/>
          <w:u w:val="single"/>
          <w:lang w:val="en-US"/>
        </w:rPr>
      </w:pPr>
      <w:r>
        <w:rPr>
          <w:rFonts w:hint="eastAsia" w:ascii="宋体" w:hAnsi="宋体" w:eastAsia="宋体" w:cs="宋体"/>
          <w:color w:val="auto"/>
          <w:kern w:val="0"/>
          <w:sz w:val="21"/>
          <w:szCs w:val="21"/>
          <w:highlight w:val="none"/>
          <w:u w:val="none"/>
          <w:lang w:val="en-US"/>
        </w:rPr>
        <w:t>承包人对</w:t>
      </w:r>
      <w:r>
        <w:rPr>
          <w:rFonts w:hint="eastAsia" w:ascii="宋体" w:hAnsi="宋体" w:eastAsia="宋体" w:cs="宋体"/>
          <w:color w:val="auto"/>
          <w:kern w:val="0"/>
          <w:sz w:val="21"/>
          <w:szCs w:val="21"/>
          <w:highlight w:val="none"/>
          <w:u w:val="none"/>
          <w:lang w:val="en-US" w:eastAsia="zh-CN"/>
        </w:rPr>
        <w:t>总监理工程师</w:t>
      </w:r>
      <w:r>
        <w:rPr>
          <w:rFonts w:hint="eastAsia" w:ascii="宋体" w:hAnsi="宋体" w:eastAsia="宋体" w:cs="宋体"/>
          <w:color w:val="auto"/>
          <w:kern w:val="0"/>
          <w:sz w:val="21"/>
          <w:szCs w:val="21"/>
          <w:highlight w:val="none"/>
          <w:u w:val="none"/>
          <w:lang w:val="en-US"/>
        </w:rPr>
        <w:t>的授权范围如下:</w:t>
      </w:r>
      <w:r>
        <w:rPr>
          <w:rFonts w:hint="eastAsia" w:ascii="宋体" w:hAnsi="宋体" w:eastAsia="宋体" w:cs="宋体"/>
          <w:color w:val="auto"/>
          <w:kern w:val="0"/>
          <w:sz w:val="21"/>
          <w:szCs w:val="21"/>
          <w:highlight w:val="none"/>
          <w:u w:val="single"/>
          <w:lang w:val="en-US"/>
        </w:rPr>
        <w:t xml:space="preserve"> 合同约定范围的权利、义务，</w:t>
      </w:r>
      <w:r>
        <w:rPr>
          <w:rFonts w:hint="eastAsia" w:ascii="宋体" w:hAnsi="宋体" w:eastAsia="宋体" w:cs="宋体"/>
          <w:color w:val="auto"/>
          <w:kern w:val="0"/>
          <w:sz w:val="21"/>
          <w:szCs w:val="21"/>
          <w:highlight w:val="none"/>
          <w:u w:val="single"/>
          <w:lang w:val="en-US" w:eastAsia="zh-CN"/>
        </w:rPr>
        <w:t>是监理机构的全面负责人，按工程合同规定，行使发包人授予的监理权力并承担监理最终责任</w:t>
      </w:r>
      <w:r>
        <w:rPr>
          <w:rFonts w:hint="eastAsia" w:ascii="宋体" w:hAnsi="宋体" w:eastAsia="宋体" w:cs="宋体"/>
          <w:color w:val="auto"/>
          <w:kern w:val="0"/>
          <w:sz w:val="21"/>
          <w:szCs w:val="21"/>
          <w:highlight w:val="none"/>
          <w:u w:val="single"/>
          <w:lang w:val="en-US"/>
        </w:rPr>
        <w:t>。</w:t>
      </w:r>
    </w:p>
    <w:p w14:paraId="1224AB80">
      <w:pPr>
        <w:pStyle w:val="2"/>
        <w:pageBreakBefore w:val="0"/>
        <w:kinsoku/>
        <w:wordWrap/>
        <w:overflowPunct/>
        <w:topLinePunct w:val="0"/>
        <w:bidi w:val="0"/>
        <w:spacing w:line="360" w:lineRule="auto"/>
        <w:ind w:left="0" w:leftChars="0"/>
        <w:rPr>
          <w:rFonts w:hint="eastAsia" w:ascii="宋体" w:hAnsi="宋体" w:eastAsia="宋体" w:cs="宋体"/>
          <w:color w:val="auto"/>
          <w:kern w:val="0"/>
          <w:sz w:val="21"/>
          <w:szCs w:val="21"/>
          <w:highlight w:val="none"/>
          <w:u w:val="single"/>
          <w:lang w:val="en-US"/>
        </w:rPr>
      </w:pPr>
      <w:r>
        <w:rPr>
          <w:rFonts w:hint="eastAsia" w:ascii="宋体" w:hAnsi="宋体" w:eastAsia="宋体" w:cs="宋体"/>
          <w:b/>
          <w:bCs/>
          <w:color w:val="auto"/>
          <w:sz w:val="21"/>
          <w:szCs w:val="21"/>
          <w:highlight w:val="none"/>
          <w:lang w:val="en-US"/>
        </w:rPr>
        <w:t>7.3.2</w:t>
      </w:r>
      <w:r>
        <w:rPr>
          <w:rFonts w:hint="eastAsia" w:ascii="宋体" w:hAnsi="宋体" w:eastAsia="宋体" w:cs="宋体"/>
          <w:color w:val="auto"/>
          <w:sz w:val="21"/>
          <w:szCs w:val="21"/>
          <w:highlight w:val="none"/>
        </w:rPr>
        <w:t xml:space="preserve">监理工程师：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 xml:space="preserve">    职称：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kern w:val="0"/>
          <w:sz w:val="21"/>
          <w:szCs w:val="21"/>
          <w:highlight w:val="none"/>
          <w:u w:val="single"/>
          <w:lang w:val="en-US"/>
        </w:rPr>
        <w:t xml:space="preserve">          </w:t>
      </w:r>
    </w:p>
    <w:p w14:paraId="1BF83D3D">
      <w:pPr>
        <w:pStyle w:val="2"/>
        <w:pageBreakBefore w:val="0"/>
        <w:kinsoku/>
        <w:wordWrap/>
        <w:overflowPunct/>
        <w:topLinePunct w:val="0"/>
        <w:bidi w:val="0"/>
        <w:spacing w:line="360" w:lineRule="auto"/>
        <w:ind w:left="0" w:leftChars="0" w:firstLine="420" w:firstLineChars="200"/>
        <w:rPr>
          <w:rFonts w:hint="eastAsia" w:ascii="宋体" w:hAnsi="宋体" w:eastAsia="宋体" w:cs="宋体"/>
          <w:color w:val="auto"/>
          <w:kern w:val="0"/>
          <w:sz w:val="21"/>
          <w:szCs w:val="21"/>
          <w:highlight w:val="none"/>
          <w:u w:val="single"/>
          <w:lang w:val="en-US"/>
        </w:rPr>
      </w:pPr>
      <w:r>
        <w:rPr>
          <w:rFonts w:hint="eastAsia" w:ascii="宋体" w:hAnsi="宋体" w:eastAsia="宋体" w:cs="宋体"/>
          <w:color w:val="auto"/>
          <w:kern w:val="0"/>
          <w:sz w:val="21"/>
          <w:szCs w:val="21"/>
          <w:highlight w:val="none"/>
          <w:u w:val="none"/>
          <w:lang w:val="en-US"/>
        </w:rPr>
        <w:t>承包人对</w:t>
      </w:r>
      <w:r>
        <w:rPr>
          <w:rFonts w:hint="eastAsia" w:ascii="宋体" w:hAnsi="宋体" w:eastAsia="宋体" w:cs="宋体"/>
          <w:color w:val="auto"/>
          <w:kern w:val="0"/>
          <w:sz w:val="21"/>
          <w:szCs w:val="21"/>
          <w:highlight w:val="none"/>
          <w:u w:val="none"/>
          <w:lang w:val="en-US" w:eastAsia="zh-CN"/>
        </w:rPr>
        <w:t>监理工程师</w:t>
      </w:r>
      <w:r>
        <w:rPr>
          <w:rFonts w:hint="eastAsia" w:ascii="宋体" w:hAnsi="宋体" w:eastAsia="宋体" w:cs="宋体"/>
          <w:color w:val="auto"/>
          <w:kern w:val="0"/>
          <w:sz w:val="21"/>
          <w:szCs w:val="21"/>
          <w:highlight w:val="none"/>
          <w:u w:val="none"/>
          <w:lang w:val="en-US"/>
        </w:rPr>
        <w:t>的授权范围如下:</w:t>
      </w:r>
      <w:r>
        <w:rPr>
          <w:rFonts w:hint="eastAsia" w:ascii="宋体" w:hAnsi="宋体" w:eastAsia="宋体" w:cs="宋体"/>
          <w:color w:val="auto"/>
          <w:kern w:val="0"/>
          <w:sz w:val="21"/>
          <w:szCs w:val="21"/>
          <w:highlight w:val="none"/>
          <w:u w:val="single"/>
          <w:lang w:val="en-US"/>
        </w:rPr>
        <w:t xml:space="preserve"> 合同约定范围的权利、义务，</w:t>
      </w:r>
      <w:r>
        <w:rPr>
          <w:rFonts w:hint="eastAsia" w:ascii="宋体" w:hAnsi="宋体" w:eastAsia="宋体" w:cs="宋体"/>
          <w:color w:val="auto"/>
          <w:kern w:val="0"/>
          <w:sz w:val="21"/>
          <w:szCs w:val="21"/>
          <w:highlight w:val="none"/>
          <w:u w:val="single"/>
          <w:lang w:val="en-US" w:eastAsia="zh-CN"/>
        </w:rPr>
        <w:t>经总监理工程师授权，主持单项或分项工程的监理工程师</w:t>
      </w:r>
      <w:r>
        <w:rPr>
          <w:rFonts w:hint="eastAsia" w:ascii="宋体" w:hAnsi="宋体" w:eastAsia="宋体" w:cs="宋体"/>
          <w:color w:val="auto"/>
          <w:kern w:val="0"/>
          <w:sz w:val="21"/>
          <w:szCs w:val="21"/>
          <w:highlight w:val="none"/>
          <w:u w:val="single"/>
          <w:lang w:val="en-US"/>
        </w:rPr>
        <w:t>。</w:t>
      </w:r>
    </w:p>
    <w:p w14:paraId="1A0CD496">
      <w:pPr>
        <w:pStyle w:val="2"/>
        <w:pageBreakBefore w:val="0"/>
        <w:kinsoku/>
        <w:wordWrap/>
        <w:overflowPunct/>
        <w:topLinePunct w:val="0"/>
        <w:bidi w:val="0"/>
        <w:spacing w:line="360" w:lineRule="auto"/>
        <w:ind w:left="0" w:leftChars="0"/>
        <w:rPr>
          <w:rFonts w:hint="eastAsia" w:ascii="宋体" w:hAnsi="宋体" w:eastAsia="宋体" w:cs="宋体"/>
          <w:color w:val="auto"/>
          <w:sz w:val="21"/>
          <w:szCs w:val="21"/>
          <w:highlight w:val="none"/>
          <w:u w:val="single"/>
          <w:lang w:val="en-US"/>
        </w:rPr>
      </w:pPr>
      <w:r>
        <w:rPr>
          <w:rFonts w:hint="eastAsia" w:ascii="宋体" w:hAnsi="宋体" w:eastAsia="宋体" w:cs="宋体"/>
          <w:b/>
          <w:bCs/>
          <w:color w:val="auto"/>
          <w:sz w:val="21"/>
          <w:szCs w:val="21"/>
          <w:highlight w:val="none"/>
          <w:lang w:val="en-US"/>
        </w:rPr>
        <w:t>7.3.3</w:t>
      </w:r>
      <w:r>
        <w:rPr>
          <w:rFonts w:hint="eastAsia" w:ascii="宋体" w:hAnsi="宋体" w:eastAsia="宋体" w:cs="宋体"/>
          <w:color w:val="auto"/>
          <w:sz w:val="21"/>
          <w:szCs w:val="21"/>
          <w:highlight w:val="none"/>
        </w:rPr>
        <w:t xml:space="preserve">现场监理员：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rPr>
        <w:t xml:space="preserve">    职称：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kern w:val="0"/>
          <w:sz w:val="21"/>
          <w:szCs w:val="21"/>
          <w:highlight w:val="none"/>
          <w:u w:val="single"/>
          <w:lang w:val="en-US"/>
        </w:rPr>
        <w:t xml:space="preserve">            </w:t>
      </w:r>
    </w:p>
    <w:p w14:paraId="5B46C8D4">
      <w:pPr>
        <w:pageBreakBefore w:val="0"/>
        <w:kinsoku/>
        <w:wordWrap/>
        <w:overflowPunct/>
        <w:topLinePunct w:val="0"/>
        <w:bidi w:val="0"/>
        <w:spacing w:line="360" w:lineRule="auto"/>
        <w:ind w:left="0" w:leftChars="0" w:firstLine="420" w:firstLineChars="200"/>
        <w:rPr>
          <w:rFonts w:hint="eastAsia" w:ascii="宋体" w:hAnsi="宋体" w:eastAsia="宋体" w:cs="宋体"/>
          <w:b w:val="0"/>
          <w:bCs/>
          <w:color w:val="auto"/>
          <w:sz w:val="21"/>
          <w:szCs w:val="21"/>
          <w:highlight w:val="none"/>
          <w:u w:val="single"/>
          <w:lang w:val="en-US"/>
        </w:rPr>
      </w:pPr>
      <w:r>
        <w:rPr>
          <w:rFonts w:hint="eastAsia" w:ascii="宋体" w:hAnsi="宋体" w:eastAsia="宋体" w:cs="宋体"/>
          <w:b w:val="0"/>
          <w:bCs/>
          <w:color w:val="auto"/>
          <w:sz w:val="21"/>
          <w:szCs w:val="21"/>
          <w:highlight w:val="none"/>
          <w:u w:val="single"/>
          <w:lang w:val="en-US"/>
        </w:rPr>
        <w:t>承包人对</w:t>
      </w:r>
      <w:r>
        <w:rPr>
          <w:rFonts w:hint="eastAsia" w:ascii="宋体" w:hAnsi="宋体" w:eastAsia="宋体" w:cs="宋体"/>
          <w:b w:val="0"/>
          <w:bCs/>
          <w:color w:val="auto"/>
          <w:sz w:val="21"/>
          <w:szCs w:val="21"/>
          <w:highlight w:val="none"/>
          <w:u w:val="single"/>
          <w:lang w:val="en-US" w:eastAsia="zh-CN"/>
        </w:rPr>
        <w:t>现场监理员</w:t>
      </w:r>
      <w:r>
        <w:rPr>
          <w:rFonts w:hint="eastAsia" w:ascii="宋体" w:hAnsi="宋体" w:eastAsia="宋体" w:cs="宋体"/>
          <w:b w:val="0"/>
          <w:bCs/>
          <w:color w:val="auto"/>
          <w:sz w:val="21"/>
          <w:szCs w:val="21"/>
          <w:highlight w:val="none"/>
          <w:u w:val="single"/>
          <w:lang w:val="en-US"/>
        </w:rPr>
        <w:t>的授权范围如下: 合同约定范围的权利、义务，</w:t>
      </w:r>
      <w:r>
        <w:rPr>
          <w:rFonts w:hint="eastAsia" w:ascii="宋体" w:hAnsi="宋体" w:eastAsia="宋体" w:cs="宋体"/>
          <w:b w:val="0"/>
          <w:bCs/>
          <w:color w:val="auto"/>
          <w:sz w:val="21"/>
          <w:szCs w:val="21"/>
          <w:highlight w:val="none"/>
          <w:u w:val="single"/>
          <w:lang w:val="en-US" w:eastAsia="zh-CN"/>
        </w:rPr>
        <w:t>在就爱能力组织中承担辅助、服务和现场一般性工作的人员</w:t>
      </w:r>
      <w:r>
        <w:rPr>
          <w:rFonts w:hint="eastAsia" w:ascii="宋体" w:hAnsi="宋体" w:eastAsia="宋体" w:cs="宋体"/>
          <w:b w:val="0"/>
          <w:bCs/>
          <w:color w:val="auto"/>
          <w:sz w:val="21"/>
          <w:szCs w:val="21"/>
          <w:highlight w:val="none"/>
          <w:u w:val="single"/>
          <w:lang w:val="en-US"/>
        </w:rPr>
        <w:t>。</w:t>
      </w:r>
    </w:p>
    <w:p w14:paraId="57C617ED">
      <w:pPr>
        <w:pageBreakBefore w:val="0"/>
        <w:kinsoku/>
        <w:wordWrap/>
        <w:overflowPunct/>
        <w:topLinePunct w:val="0"/>
        <w:bidi w:val="0"/>
        <w:spacing w:line="360" w:lineRule="auto"/>
        <w:ind w:left="0" w:leftChars="0"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关于监理人员每月在施工现场的时间要求: 项目开工期间必须有至少1名监理人员（总监理工程师、监理工程师、监理员）在场，且关键部位施工必须在场以及部分分项验收、隐蔽工程验收必须在场 。</w:t>
      </w:r>
    </w:p>
    <w:p w14:paraId="16DA2B11">
      <w:pPr>
        <w:pageBreakBefore w:val="0"/>
        <w:kinsoku/>
        <w:wordWrap/>
        <w:overflowPunct/>
        <w:topLinePunct w:val="0"/>
        <w:bidi w:val="0"/>
        <w:spacing w:line="360" w:lineRule="auto"/>
        <w:ind w:left="0" w:leftChars="0" w:firstLine="420" w:firstLineChars="2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u w:val="single"/>
        </w:rPr>
        <w:t>监理人员未经批准，擅自离开施工现场的违约责任: 项目开工期间监理人员不得擅自离岗。除非有正当理由和经发包人同意，项目开工期间，监理人员不在岗履职的，第一次发现发包人有权处违约金2000元（人民币），第二次发现发包人有权处违约金10000元，第三次发现发包人有权取消合同，并要求监理人支付相应赔偿。违约金从发包人向监理人支付的工程款中扣除。</w:t>
      </w:r>
    </w:p>
    <w:p w14:paraId="246EB727">
      <w:pPr>
        <w:pageBreakBefore w:val="0"/>
        <w:kinsoku/>
        <w:wordWrap/>
        <w:overflowPunct/>
        <w:topLinePunct w:val="0"/>
        <w:bidi w:val="0"/>
        <w:spacing w:line="360" w:lineRule="auto"/>
        <w:ind w:left="0" w:leftChars="0" w:firstLine="420" w:firstLineChars="200"/>
        <w:rPr>
          <w:rFonts w:hint="eastAsia" w:ascii="宋体" w:hAnsi="宋体" w:eastAsia="宋体" w:cs="宋体"/>
          <w:b w:val="0"/>
          <w:bCs/>
          <w:color w:val="auto"/>
          <w:sz w:val="21"/>
          <w:szCs w:val="21"/>
          <w:highlight w:val="none"/>
          <w:u w:val="single"/>
          <w:lang w:val="en-US"/>
        </w:rPr>
      </w:pPr>
      <w:r>
        <w:rPr>
          <w:rFonts w:hint="eastAsia" w:ascii="宋体" w:hAnsi="宋体" w:eastAsia="宋体" w:cs="宋体"/>
          <w:b w:val="0"/>
          <w:bCs/>
          <w:color w:val="auto"/>
          <w:sz w:val="21"/>
          <w:szCs w:val="21"/>
          <w:highlight w:val="none"/>
          <w:u w:val="single"/>
          <w:lang w:val="en-US" w:eastAsia="zh-CN"/>
        </w:rPr>
        <w:t>监理</w:t>
      </w:r>
      <w:r>
        <w:rPr>
          <w:rFonts w:hint="eastAsia" w:ascii="宋体" w:hAnsi="宋体" w:eastAsia="宋体" w:cs="宋体"/>
          <w:b w:val="0"/>
          <w:bCs/>
          <w:color w:val="auto"/>
          <w:sz w:val="21"/>
          <w:szCs w:val="21"/>
          <w:highlight w:val="none"/>
          <w:u w:val="single"/>
          <w:lang w:val="en-US"/>
        </w:rPr>
        <w:t>人未提交劳动合同，以及没有为</w:t>
      </w:r>
      <w:r>
        <w:rPr>
          <w:rFonts w:hint="eastAsia" w:ascii="宋体" w:hAnsi="宋体" w:eastAsia="宋体" w:cs="宋体"/>
          <w:b w:val="0"/>
          <w:bCs/>
          <w:color w:val="auto"/>
          <w:sz w:val="21"/>
          <w:szCs w:val="21"/>
          <w:highlight w:val="none"/>
          <w:u w:val="single"/>
          <w:lang w:val="en-US" w:eastAsia="zh-CN"/>
        </w:rPr>
        <w:t>监理人员（总监理工程师、监理工程师、监理员）</w:t>
      </w:r>
      <w:r>
        <w:rPr>
          <w:rFonts w:hint="eastAsia" w:ascii="宋体" w:hAnsi="宋体" w:eastAsia="宋体" w:cs="宋体"/>
          <w:b w:val="0"/>
          <w:bCs/>
          <w:color w:val="auto"/>
          <w:sz w:val="21"/>
          <w:szCs w:val="21"/>
          <w:highlight w:val="none"/>
          <w:u w:val="single"/>
          <w:lang w:val="en-US"/>
        </w:rPr>
        <w:t>缴纳社会保险证明的违约责任: 责令</w:t>
      </w:r>
      <w:r>
        <w:rPr>
          <w:rFonts w:hint="eastAsia" w:ascii="宋体" w:hAnsi="宋体" w:eastAsia="宋体" w:cs="宋体"/>
          <w:b w:val="0"/>
          <w:bCs/>
          <w:color w:val="auto"/>
          <w:sz w:val="21"/>
          <w:szCs w:val="21"/>
          <w:highlight w:val="none"/>
          <w:u w:val="single"/>
          <w:lang w:val="en-US" w:eastAsia="zh-CN"/>
        </w:rPr>
        <w:t>监理人</w:t>
      </w:r>
      <w:r>
        <w:rPr>
          <w:rFonts w:hint="eastAsia" w:ascii="宋体" w:hAnsi="宋体" w:eastAsia="宋体" w:cs="宋体"/>
          <w:b w:val="0"/>
          <w:bCs/>
          <w:color w:val="auto"/>
          <w:sz w:val="21"/>
          <w:szCs w:val="21"/>
          <w:highlight w:val="none"/>
          <w:u w:val="single"/>
          <w:lang w:val="en-US"/>
        </w:rPr>
        <w:t>暂停</w:t>
      </w:r>
      <w:r>
        <w:rPr>
          <w:rFonts w:hint="eastAsia" w:ascii="宋体" w:hAnsi="宋体" w:eastAsia="宋体" w:cs="宋体"/>
          <w:b w:val="0"/>
          <w:bCs/>
          <w:color w:val="auto"/>
          <w:sz w:val="21"/>
          <w:szCs w:val="21"/>
          <w:highlight w:val="none"/>
          <w:u w:val="single"/>
          <w:lang w:val="en-US" w:eastAsia="zh-CN"/>
        </w:rPr>
        <w:t>监理工作</w:t>
      </w:r>
      <w:r>
        <w:rPr>
          <w:rFonts w:hint="eastAsia" w:ascii="宋体" w:hAnsi="宋体" w:eastAsia="宋体" w:cs="宋体"/>
          <w:b w:val="0"/>
          <w:bCs/>
          <w:color w:val="auto"/>
          <w:sz w:val="21"/>
          <w:szCs w:val="21"/>
          <w:highlight w:val="none"/>
          <w:u w:val="single"/>
          <w:lang w:val="en-US"/>
        </w:rPr>
        <w:t>，违约金处10000元（人民币）。违约金从发包人向</w:t>
      </w:r>
      <w:r>
        <w:rPr>
          <w:rFonts w:hint="eastAsia" w:ascii="宋体" w:hAnsi="宋体" w:eastAsia="宋体" w:cs="宋体"/>
          <w:b w:val="0"/>
          <w:bCs/>
          <w:color w:val="auto"/>
          <w:sz w:val="21"/>
          <w:szCs w:val="21"/>
          <w:highlight w:val="none"/>
          <w:u w:val="single"/>
          <w:lang w:val="en-US" w:eastAsia="zh-CN"/>
        </w:rPr>
        <w:t>监理</w:t>
      </w:r>
      <w:r>
        <w:rPr>
          <w:rFonts w:hint="eastAsia" w:ascii="宋体" w:hAnsi="宋体" w:eastAsia="宋体" w:cs="宋体"/>
          <w:b w:val="0"/>
          <w:bCs/>
          <w:color w:val="auto"/>
          <w:sz w:val="21"/>
          <w:szCs w:val="21"/>
          <w:highlight w:val="none"/>
          <w:u w:val="single"/>
          <w:lang w:val="en-US"/>
        </w:rPr>
        <w:t>人支付的工程款中扣除。</w:t>
      </w:r>
    </w:p>
    <w:p w14:paraId="60A1A0CC">
      <w:pPr>
        <w:pageBreakBefore w:val="0"/>
        <w:kinsoku/>
        <w:wordWrap/>
        <w:overflowPunct/>
        <w:topLinePunct w:val="0"/>
        <w:bidi w:val="0"/>
        <w:spacing w:line="360" w:lineRule="auto"/>
        <w:ind w:left="0" w:leftChars="0" w:firstLine="420" w:firstLineChars="200"/>
        <w:rPr>
          <w:rFonts w:hint="eastAsia" w:ascii="宋体" w:hAnsi="宋体" w:eastAsia="宋体" w:cs="宋体"/>
          <w:b w:val="0"/>
          <w:bCs/>
          <w:color w:val="auto"/>
          <w:sz w:val="21"/>
          <w:szCs w:val="21"/>
          <w:highlight w:val="none"/>
          <w:u w:val="single"/>
          <w:lang w:val="en-US"/>
        </w:rPr>
      </w:pPr>
      <w:r>
        <w:rPr>
          <w:rFonts w:hint="eastAsia" w:ascii="宋体" w:hAnsi="宋体" w:eastAsia="宋体" w:cs="宋体"/>
          <w:b w:val="0"/>
          <w:bCs/>
          <w:color w:val="auto"/>
          <w:sz w:val="21"/>
          <w:szCs w:val="21"/>
          <w:highlight w:val="none"/>
          <w:u w:val="single"/>
          <w:lang w:val="en-US" w:eastAsia="zh-CN"/>
        </w:rPr>
        <w:t>监理</w:t>
      </w:r>
      <w:r>
        <w:rPr>
          <w:rFonts w:hint="eastAsia" w:ascii="宋体" w:hAnsi="宋体" w:eastAsia="宋体" w:cs="宋体"/>
          <w:b w:val="0"/>
          <w:bCs/>
          <w:color w:val="auto"/>
          <w:sz w:val="21"/>
          <w:szCs w:val="21"/>
          <w:highlight w:val="none"/>
          <w:u w:val="single"/>
          <w:lang w:val="en-US"/>
        </w:rPr>
        <w:t>人擅自更换</w:t>
      </w:r>
      <w:r>
        <w:rPr>
          <w:rFonts w:hint="eastAsia" w:ascii="宋体" w:hAnsi="宋体" w:eastAsia="宋体" w:cs="宋体"/>
          <w:b w:val="0"/>
          <w:bCs/>
          <w:color w:val="auto"/>
          <w:sz w:val="21"/>
          <w:szCs w:val="21"/>
          <w:highlight w:val="none"/>
          <w:u w:val="single"/>
          <w:lang w:val="en-US" w:eastAsia="zh-CN"/>
        </w:rPr>
        <w:t>监理人员（总监理工程师、监理工程师、监理员）</w:t>
      </w:r>
      <w:r>
        <w:rPr>
          <w:rFonts w:hint="eastAsia" w:ascii="宋体" w:hAnsi="宋体" w:eastAsia="宋体" w:cs="宋体"/>
          <w:b w:val="0"/>
          <w:bCs/>
          <w:color w:val="auto"/>
          <w:sz w:val="21"/>
          <w:szCs w:val="21"/>
          <w:highlight w:val="none"/>
          <w:u w:val="single"/>
          <w:lang w:val="en-US"/>
        </w:rPr>
        <w:t>的违约责任：</w:t>
      </w:r>
      <w:r>
        <w:rPr>
          <w:rFonts w:hint="eastAsia" w:ascii="宋体" w:hAnsi="宋体" w:eastAsia="宋体" w:cs="宋体"/>
          <w:b w:val="0"/>
          <w:bCs/>
          <w:color w:val="auto"/>
          <w:sz w:val="21"/>
          <w:szCs w:val="21"/>
          <w:highlight w:val="none"/>
          <w:u w:val="single"/>
          <w:lang w:val="en-US" w:eastAsia="zh-CN"/>
        </w:rPr>
        <w:t>监理人员</w:t>
      </w:r>
      <w:r>
        <w:rPr>
          <w:rFonts w:hint="eastAsia" w:ascii="宋体" w:hAnsi="宋体" w:eastAsia="宋体" w:cs="宋体"/>
          <w:b w:val="0"/>
          <w:bCs/>
          <w:color w:val="auto"/>
          <w:sz w:val="21"/>
          <w:szCs w:val="21"/>
          <w:highlight w:val="none"/>
          <w:u w:val="single"/>
          <w:lang w:val="en-US"/>
        </w:rPr>
        <w:t>必须与</w:t>
      </w:r>
      <w:r>
        <w:rPr>
          <w:rFonts w:hint="eastAsia" w:ascii="宋体" w:hAnsi="宋体" w:eastAsia="宋体" w:cs="宋体"/>
          <w:b w:val="0"/>
          <w:bCs/>
          <w:color w:val="auto"/>
          <w:sz w:val="21"/>
          <w:szCs w:val="21"/>
          <w:highlight w:val="none"/>
          <w:u w:val="single"/>
          <w:lang w:val="en-US" w:eastAsia="zh-CN"/>
        </w:rPr>
        <w:t>监理</w:t>
      </w:r>
      <w:r>
        <w:rPr>
          <w:rFonts w:hint="eastAsia" w:ascii="宋体" w:hAnsi="宋体" w:eastAsia="宋体" w:cs="宋体"/>
          <w:b w:val="0"/>
          <w:bCs/>
          <w:color w:val="auto"/>
          <w:sz w:val="21"/>
          <w:szCs w:val="21"/>
          <w:highlight w:val="none"/>
          <w:u w:val="single"/>
          <w:lang w:val="en-US"/>
        </w:rPr>
        <w:t>人投标时所承诺的人员一致，并在（开工日期）前到任。未经发包人书面同意，承包人擅自更换</w:t>
      </w:r>
      <w:r>
        <w:rPr>
          <w:rFonts w:hint="eastAsia" w:ascii="宋体" w:hAnsi="宋体" w:eastAsia="宋体" w:cs="宋体"/>
          <w:b w:val="0"/>
          <w:bCs/>
          <w:color w:val="auto"/>
          <w:sz w:val="21"/>
          <w:szCs w:val="21"/>
          <w:highlight w:val="none"/>
          <w:u w:val="single"/>
          <w:lang w:val="en-US" w:eastAsia="zh-CN"/>
        </w:rPr>
        <w:t>监理人员</w:t>
      </w:r>
      <w:r>
        <w:rPr>
          <w:rFonts w:hint="eastAsia" w:ascii="宋体" w:hAnsi="宋体" w:eastAsia="宋体" w:cs="宋体"/>
          <w:b w:val="0"/>
          <w:bCs/>
          <w:color w:val="auto"/>
          <w:sz w:val="21"/>
          <w:szCs w:val="21"/>
          <w:highlight w:val="none"/>
          <w:u w:val="single"/>
          <w:lang w:val="en-US"/>
        </w:rPr>
        <w:t>的视为违约，违约金处10000元/人•次（人民币）。违约金从发包人向</w:t>
      </w:r>
      <w:r>
        <w:rPr>
          <w:rFonts w:hint="eastAsia" w:ascii="宋体" w:hAnsi="宋体" w:eastAsia="宋体" w:cs="宋体"/>
          <w:b w:val="0"/>
          <w:bCs/>
          <w:color w:val="auto"/>
          <w:sz w:val="21"/>
          <w:szCs w:val="21"/>
          <w:highlight w:val="none"/>
          <w:u w:val="single"/>
          <w:lang w:val="en-US" w:eastAsia="zh-CN"/>
        </w:rPr>
        <w:t>监理</w:t>
      </w:r>
      <w:r>
        <w:rPr>
          <w:rFonts w:hint="eastAsia" w:ascii="宋体" w:hAnsi="宋体" w:eastAsia="宋体" w:cs="宋体"/>
          <w:b w:val="0"/>
          <w:bCs/>
          <w:color w:val="auto"/>
          <w:sz w:val="21"/>
          <w:szCs w:val="21"/>
          <w:highlight w:val="none"/>
          <w:u w:val="single"/>
          <w:lang w:val="en-US"/>
        </w:rPr>
        <w:t>人支付的工程款中扣除。</w:t>
      </w:r>
    </w:p>
    <w:p w14:paraId="4C1ED97E">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u w:val="single"/>
          <w:lang w:val="en-US"/>
        </w:rPr>
        <w:t>承包人无正当理由拒绝更换</w:t>
      </w:r>
      <w:r>
        <w:rPr>
          <w:rFonts w:hint="eastAsia" w:ascii="宋体" w:hAnsi="宋体" w:eastAsia="宋体" w:cs="宋体"/>
          <w:b w:val="0"/>
          <w:bCs/>
          <w:color w:val="auto"/>
          <w:sz w:val="21"/>
          <w:szCs w:val="21"/>
          <w:highlight w:val="none"/>
          <w:u w:val="single"/>
          <w:lang w:val="en-US" w:eastAsia="zh-CN"/>
        </w:rPr>
        <w:t>监理人员（总监理工程师、监理工程师、监理员）</w:t>
      </w:r>
      <w:r>
        <w:rPr>
          <w:rFonts w:hint="eastAsia" w:ascii="宋体" w:hAnsi="宋体" w:eastAsia="宋体" w:cs="宋体"/>
          <w:b w:val="0"/>
          <w:bCs/>
          <w:color w:val="auto"/>
          <w:sz w:val="21"/>
          <w:szCs w:val="21"/>
          <w:highlight w:val="none"/>
          <w:u w:val="single"/>
          <w:lang w:val="en-US"/>
        </w:rPr>
        <w:t>的违约责任: 因承包人</w:t>
      </w:r>
      <w:r>
        <w:rPr>
          <w:rFonts w:hint="eastAsia" w:ascii="宋体" w:hAnsi="宋体" w:eastAsia="宋体" w:cs="宋体"/>
          <w:b w:val="0"/>
          <w:bCs/>
          <w:color w:val="auto"/>
          <w:sz w:val="21"/>
          <w:szCs w:val="21"/>
          <w:highlight w:val="none"/>
          <w:u w:val="single"/>
          <w:lang w:val="en-US" w:eastAsia="zh-CN"/>
        </w:rPr>
        <w:t>监理人员</w:t>
      </w:r>
      <w:r>
        <w:rPr>
          <w:rFonts w:hint="eastAsia" w:ascii="宋体" w:hAnsi="宋体" w:eastAsia="宋体" w:cs="宋体"/>
          <w:b w:val="0"/>
          <w:bCs/>
          <w:color w:val="auto"/>
          <w:sz w:val="21"/>
          <w:szCs w:val="21"/>
          <w:highlight w:val="none"/>
          <w:u w:val="single"/>
          <w:lang w:val="en-US"/>
        </w:rPr>
        <w:t>不称职，发包人要求调换而未及时调换的，视为承包人违约，必须向发包人交纳违约金5000元/人•次（人民币）。违约金从发包人向</w:t>
      </w:r>
      <w:r>
        <w:rPr>
          <w:rFonts w:hint="eastAsia" w:ascii="宋体" w:hAnsi="宋体" w:eastAsia="宋体" w:cs="宋体"/>
          <w:b w:val="0"/>
          <w:bCs/>
          <w:color w:val="auto"/>
          <w:sz w:val="21"/>
          <w:szCs w:val="21"/>
          <w:highlight w:val="none"/>
          <w:u w:val="single"/>
          <w:lang w:val="en-US" w:eastAsia="zh-CN"/>
        </w:rPr>
        <w:t>监理</w:t>
      </w:r>
      <w:r>
        <w:rPr>
          <w:rFonts w:hint="eastAsia" w:ascii="宋体" w:hAnsi="宋体" w:eastAsia="宋体" w:cs="宋体"/>
          <w:b w:val="0"/>
          <w:bCs/>
          <w:color w:val="auto"/>
          <w:sz w:val="21"/>
          <w:szCs w:val="21"/>
          <w:highlight w:val="none"/>
          <w:u w:val="single"/>
          <w:lang w:val="en-US"/>
        </w:rPr>
        <w:t>人支付的工程款中扣除。</w:t>
      </w:r>
    </w:p>
    <w:p w14:paraId="4E6E4E69">
      <w:pPr>
        <w:pageBreakBefore w:val="0"/>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rPr>
        <w:t>4</w:t>
      </w:r>
      <w:r>
        <w:rPr>
          <w:rFonts w:hint="eastAsia" w:ascii="宋体" w:hAnsi="宋体" w:eastAsia="宋体" w:cs="宋体"/>
          <w:color w:val="auto"/>
          <w:sz w:val="21"/>
          <w:szCs w:val="21"/>
          <w:highlight w:val="none"/>
          <w:u w:val="single"/>
        </w:rPr>
        <w:t>监理人应在签订合同后7内编制并提交监理规划、监理实施细则，工程开工后每周向发包人提交监理周报、监理日志。在召开监理例会7日内出具会议纪要并盖章。在承包人提交施工组织设计、工程联系单、工程量完成确认单、签证单、进度款支付证书等与工程相关的材料后，监理人应在7日内审核完毕，并向发包人和承包人反馈。监理人不按照本项约定时间内提交、审核相关材料的，</w:t>
      </w:r>
      <w:r>
        <w:rPr>
          <w:rFonts w:hint="eastAsia" w:ascii="宋体" w:hAnsi="宋体" w:eastAsia="宋体" w:cs="宋体"/>
          <w:b/>
          <w:bCs/>
          <w:color w:val="auto"/>
          <w:sz w:val="21"/>
          <w:szCs w:val="21"/>
          <w:highlight w:val="none"/>
          <w:u w:val="single"/>
        </w:rPr>
        <w:t>每逾期一天，按监理服务酬金的 1% 处罚，罚款直接从监理服务酬金中扣除。</w:t>
      </w:r>
    </w:p>
    <w:p w14:paraId="5ACC7CAA">
      <w:pPr>
        <w:pageBreakBefore w:val="0"/>
        <w:kinsoku/>
        <w:wordWrap/>
        <w:overflowPunct/>
        <w:topLinePunct w:val="0"/>
        <w:bidi w:val="0"/>
        <w:spacing w:line="360" w:lineRule="auto"/>
        <w:ind w:left="0" w:leftChars="0"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rPr>
        <w:t>5</w:t>
      </w:r>
      <w:r>
        <w:rPr>
          <w:rFonts w:hint="eastAsia" w:ascii="宋体" w:hAnsi="宋体" w:eastAsia="宋体" w:cs="宋体"/>
          <w:color w:val="auto"/>
          <w:sz w:val="21"/>
          <w:szCs w:val="21"/>
          <w:highlight w:val="none"/>
          <w:u w:val="single"/>
        </w:rPr>
        <w:t>在主体工程完工后，监理人应组织承包人、设计人等参建单位对工程进行自检。按有关规定参加工程验收，做好相关配合工作。在工程初步验收合格后  28日  内提交监理专题报告和监理工作总结报告，并将监理中标通知书及其资质复印件、监理合同（含中标报价）、监理规划、监理实施细则、监理周报、监理日志、监理会议纪要、监理专题报告和监理工作总结报告等监理材料按发包人要求装订成册，并提交所有材料电子版归档。监理人不按照本项约定时间内提交、审核相关材料的，</w:t>
      </w:r>
      <w:r>
        <w:rPr>
          <w:rFonts w:hint="eastAsia" w:ascii="宋体" w:hAnsi="宋体" w:eastAsia="宋体" w:cs="宋体"/>
          <w:b/>
          <w:bCs/>
          <w:color w:val="auto"/>
          <w:sz w:val="21"/>
          <w:szCs w:val="21"/>
          <w:highlight w:val="none"/>
          <w:u w:val="single"/>
        </w:rPr>
        <w:t>每逾期一天，按监理服务酬金的 1% 处罚，罚款直接从监理服务酬金中扣除。</w:t>
      </w:r>
    </w:p>
    <w:p w14:paraId="6362B8D9">
      <w:pPr>
        <w:pageBreakBefore w:val="0"/>
        <w:kinsoku/>
        <w:wordWrap/>
        <w:overflowPunct/>
        <w:topLinePunct w:val="0"/>
        <w:bidi w:val="0"/>
        <w:spacing w:line="360" w:lineRule="auto"/>
        <w:ind w:left="0" w:leftChars="0"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color w:val="auto"/>
          <w:sz w:val="21"/>
          <w:szCs w:val="21"/>
          <w:highlight w:val="none"/>
        </w:rPr>
        <w:t>发包人同意按以下的计算方法、支付时间与金额，支付监理人的酬金为:</w:t>
      </w:r>
    </w:p>
    <w:p w14:paraId="1249BAE4">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本合同签订并生效后</w:t>
      </w:r>
      <w:r>
        <w:rPr>
          <w:rFonts w:hint="eastAsia" w:ascii="宋体" w:hAnsi="宋体" w:eastAsia="宋体" w:cs="宋体"/>
          <w:color w:val="auto"/>
          <w:kern w:val="0"/>
          <w:sz w:val="21"/>
          <w:szCs w:val="21"/>
          <w:highlight w:val="none"/>
          <w:u w:val="single"/>
        </w:rPr>
        <w:t xml:space="preserve"> 7 </w:t>
      </w:r>
      <w:r>
        <w:rPr>
          <w:rFonts w:hint="eastAsia" w:ascii="宋体" w:hAnsi="宋体" w:eastAsia="宋体" w:cs="宋体"/>
          <w:color w:val="auto"/>
          <w:sz w:val="21"/>
          <w:szCs w:val="21"/>
          <w:highlight w:val="none"/>
        </w:rPr>
        <w:t>日内向发包人提交监理规划和监理实施细则，即可支付第一期监理酬金，金额为酬金总额的30%。</w:t>
      </w:r>
    </w:p>
    <w:p w14:paraId="3687EDF7">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第二期酬金支付金额为酬金总额的50%（以工程为单位），支付时间为工程项目初验收后7日内。</w:t>
      </w:r>
    </w:p>
    <w:p w14:paraId="3D947626">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第三期酬金支付金额为酬金总额的20%（以工程为单位），支付时间为提交工程监理归档材料后。</w:t>
      </w:r>
    </w:p>
    <w:p w14:paraId="1E434F10">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监理人应当在发包人付款前5个工作日内向发包人提交合法足额的发票，监理人未提交发票或者提交的发票不符合甲方要求的，发包人有权顺延付款时间，不构成发包人违约。</w:t>
      </w:r>
    </w:p>
    <w:p w14:paraId="788FFB50">
      <w:pPr>
        <w:pageBreakBefore w:val="0"/>
        <w:kinsoku/>
        <w:wordWrap/>
        <w:overflowPunct/>
        <w:topLinePunct w:val="0"/>
        <w:bidi w:val="0"/>
        <w:spacing w:line="360" w:lineRule="auto"/>
        <w:ind w:left="0" w:leftChars="0"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rPr>
        <w:t>9</w:t>
      </w:r>
      <w:r>
        <w:rPr>
          <w:rFonts w:hint="eastAsia" w:ascii="宋体" w:hAnsi="宋体" w:eastAsia="宋体" w:cs="宋体"/>
          <w:color w:val="auto"/>
          <w:sz w:val="21"/>
          <w:szCs w:val="21"/>
          <w:highlight w:val="none"/>
        </w:rPr>
        <w:t>监理人在责任期内如果失职，同意按以下办法承担责任，赔偿损失累计赔偿额不超过具体监理项目监理酬金总数（扣税）:</w:t>
      </w:r>
    </w:p>
    <w:p w14:paraId="26677B7B">
      <w:pPr>
        <w:pageBreakBefore w:val="0"/>
        <w:kinsoku/>
        <w:wordWrap/>
        <w:overflowPunct/>
        <w:topLinePunct w:val="0"/>
        <w:bidi w:val="0"/>
        <w:spacing w:line="360" w:lineRule="auto"/>
        <w:ind w:left="0" w:lef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赔偿金=直接经济损失 ×酬金比率（扣除税金）</w:t>
      </w:r>
    </w:p>
    <w:p w14:paraId="3DF60CC8">
      <w:pPr>
        <w:spacing w:line="440" w:lineRule="exact"/>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rPr>
        <w:t>10</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本合同在履行过程中发生争议时，当事人双方应及时协商解决。协商不成时，双方同意由  柳州市  仲裁委员会仲裁（当事人双方不在本合同中约定仲裁机构，事后又未达成书面仲裁协议的，可向人民法院起诉）。</w:t>
      </w:r>
    </w:p>
    <w:p w14:paraId="08584ECC">
      <w:pPr>
        <w:tabs>
          <w:tab w:val="left" w:pos="3261"/>
        </w:tabs>
        <w:spacing w:line="360" w:lineRule="auto"/>
        <w:contextualSpacing/>
        <w:jc w:val="center"/>
        <w:rPr>
          <w:rFonts w:hint="eastAsia" w:ascii="宋体" w:hAnsi="宋体" w:eastAsia="宋体" w:cs="宋体"/>
          <w:b/>
          <w:color w:val="auto"/>
          <w:sz w:val="44"/>
          <w:szCs w:val="44"/>
          <w:highlight w:val="none"/>
        </w:rPr>
      </w:pPr>
    </w:p>
    <w:p w14:paraId="1090653E">
      <w:pPr>
        <w:spacing w:line="360" w:lineRule="auto"/>
        <w:jc w:val="center"/>
        <w:rPr>
          <w:rFonts w:hint="eastAsia" w:ascii="宋体" w:hAnsi="宋体" w:eastAsia="宋体" w:cs="宋体"/>
          <w:b/>
          <w:bCs/>
          <w:color w:val="auto"/>
          <w:sz w:val="44"/>
          <w:szCs w:val="44"/>
          <w:highlight w:val="none"/>
        </w:rPr>
        <w:sectPr>
          <w:headerReference r:id="rId9" w:type="default"/>
          <w:footerReference r:id="rId10" w:type="default"/>
          <w:pgSz w:w="11910" w:h="16840"/>
          <w:pgMar w:top="1134" w:right="1134" w:bottom="1134" w:left="1134" w:header="720" w:footer="720" w:gutter="0"/>
          <w:pgNumType w:fmt="decimal"/>
          <w:cols w:space="720" w:num="1"/>
          <w:rtlGutter w:val="0"/>
        </w:sectPr>
      </w:pPr>
    </w:p>
    <w:p w14:paraId="19A21CE7">
      <w:pPr>
        <w:tabs>
          <w:tab w:val="left" w:pos="3261"/>
        </w:tabs>
        <w:spacing w:line="360" w:lineRule="auto"/>
        <w:contextualSpacing/>
        <w:jc w:val="center"/>
        <w:rPr>
          <w:rFonts w:hint="eastAsia" w:ascii="宋体" w:hAnsi="宋体" w:eastAsia="宋体" w:cs="宋体"/>
          <w:b/>
          <w:color w:val="auto"/>
          <w:sz w:val="44"/>
          <w:szCs w:val="44"/>
          <w:highlight w:val="none"/>
        </w:rPr>
      </w:pPr>
    </w:p>
    <w:p w14:paraId="6393767D">
      <w:pPr>
        <w:tabs>
          <w:tab w:val="left" w:pos="3261"/>
        </w:tabs>
        <w:spacing w:line="360" w:lineRule="auto"/>
        <w:contextualSpacing/>
        <w:jc w:val="center"/>
        <w:rPr>
          <w:rFonts w:hint="eastAsia" w:ascii="宋体" w:hAnsi="宋体" w:eastAsia="宋体" w:cs="宋体"/>
          <w:b/>
          <w:color w:val="auto"/>
          <w:sz w:val="44"/>
          <w:szCs w:val="44"/>
          <w:highlight w:val="none"/>
        </w:rPr>
      </w:pPr>
    </w:p>
    <w:p w14:paraId="60D6B914">
      <w:pPr>
        <w:tabs>
          <w:tab w:val="left" w:pos="3261"/>
        </w:tabs>
        <w:spacing w:line="360" w:lineRule="auto"/>
        <w:contextualSpacing/>
        <w:jc w:val="center"/>
        <w:rPr>
          <w:rFonts w:hint="eastAsia" w:ascii="宋体" w:hAnsi="宋体" w:eastAsia="宋体" w:cs="宋体"/>
          <w:b/>
          <w:color w:val="auto"/>
          <w:sz w:val="44"/>
          <w:szCs w:val="44"/>
          <w:highlight w:val="none"/>
        </w:rPr>
      </w:pPr>
    </w:p>
    <w:p w14:paraId="612F3A30">
      <w:pPr>
        <w:tabs>
          <w:tab w:val="left" w:pos="3261"/>
        </w:tabs>
        <w:spacing w:line="360" w:lineRule="auto"/>
        <w:contextualSpacing/>
        <w:jc w:val="center"/>
        <w:rPr>
          <w:rFonts w:hint="eastAsia" w:ascii="宋体" w:hAnsi="宋体" w:eastAsia="宋体" w:cs="宋体"/>
          <w:b/>
          <w:color w:val="auto"/>
          <w:sz w:val="44"/>
          <w:szCs w:val="44"/>
          <w:highlight w:val="none"/>
        </w:rPr>
      </w:pPr>
    </w:p>
    <w:p w14:paraId="3AE34823">
      <w:pPr>
        <w:tabs>
          <w:tab w:val="left" w:pos="3261"/>
        </w:tabs>
        <w:spacing w:line="360" w:lineRule="auto"/>
        <w:contextualSpacing/>
        <w:jc w:val="center"/>
        <w:rPr>
          <w:rFonts w:hint="eastAsia" w:ascii="宋体" w:hAnsi="宋体" w:eastAsia="宋体" w:cs="宋体"/>
          <w:b/>
          <w:color w:val="auto"/>
          <w:sz w:val="44"/>
          <w:szCs w:val="44"/>
          <w:highlight w:val="none"/>
        </w:rPr>
      </w:pPr>
    </w:p>
    <w:p w14:paraId="7A113F48">
      <w:pPr>
        <w:keepNext/>
        <w:keepLines/>
        <w:spacing w:before="340" w:after="330" w:line="578" w:lineRule="auto"/>
        <w:jc w:val="center"/>
        <w:outlineLvl w:val="0"/>
        <w:rPr>
          <w:rFonts w:hint="eastAsia" w:ascii="宋体" w:hAnsi="宋体" w:eastAsia="宋体" w:cs="宋体"/>
          <w:b/>
          <w:bCs w:val="0"/>
          <w:color w:val="auto"/>
          <w:kern w:val="44"/>
          <w:sz w:val="40"/>
          <w:szCs w:val="40"/>
          <w:highlight w:val="none"/>
        </w:rPr>
        <w:sectPr>
          <w:pgSz w:w="11910" w:h="16840"/>
          <w:pgMar w:top="1134" w:right="1134" w:bottom="1134" w:left="1134" w:header="720" w:footer="720" w:gutter="0"/>
          <w:pgNumType w:fmt="decimal"/>
          <w:cols w:space="720" w:num="1"/>
          <w:rtlGutter w:val="0"/>
        </w:sectPr>
      </w:pPr>
      <w:bookmarkStart w:id="96" w:name="_Toc3113"/>
      <w:r>
        <w:rPr>
          <w:rFonts w:hint="eastAsia" w:ascii="宋体" w:hAnsi="宋体" w:eastAsia="宋体" w:cs="宋体"/>
          <w:b/>
          <w:bCs w:val="0"/>
          <w:color w:val="auto"/>
          <w:kern w:val="44"/>
          <w:sz w:val="40"/>
          <w:szCs w:val="40"/>
          <w:highlight w:val="none"/>
        </w:rPr>
        <w:t>第七章 质疑、投诉材料格式</w:t>
      </w:r>
      <w:bookmarkEnd w:id="96"/>
    </w:p>
    <w:p w14:paraId="64B70B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EF848FC">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7932E83">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CB2007B">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02AA6F3">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D3449E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3F5C32A7">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B55A50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9A476BE">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560816C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53E251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93D2318">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0C6DEE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46672C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4463D0FE">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49347CC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4772121">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66684B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2E41BAE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4B25F28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887ACE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4B30A54F">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5178ED2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D0C46E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7B5DA0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409F653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7DAE9F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11ADBB5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5210DAB6">
      <w:pPr>
        <w:spacing w:line="360" w:lineRule="auto"/>
        <w:contextualSpacing/>
        <w:rPr>
          <w:rFonts w:hint="eastAsia" w:ascii="宋体" w:hAnsi="宋体" w:eastAsia="宋体" w:cs="宋体"/>
          <w:b/>
          <w:color w:val="auto"/>
          <w:kern w:val="0"/>
          <w:sz w:val="24"/>
          <w:highlight w:val="none"/>
        </w:rPr>
      </w:pPr>
    </w:p>
    <w:p w14:paraId="22227CF8">
      <w:pPr>
        <w:spacing w:line="360" w:lineRule="auto"/>
        <w:contextualSpacing/>
        <w:rPr>
          <w:rFonts w:hint="eastAsia" w:ascii="宋体" w:hAnsi="宋体" w:eastAsia="宋体" w:cs="宋体"/>
          <w:b/>
          <w:color w:val="auto"/>
          <w:kern w:val="0"/>
          <w:sz w:val="24"/>
          <w:highlight w:val="none"/>
        </w:rPr>
      </w:pPr>
    </w:p>
    <w:p w14:paraId="29A86F2A">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BF29E0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应提交质疑函和必要的证明材料</w:t>
      </w:r>
      <w:r>
        <w:rPr>
          <w:rFonts w:hint="eastAsia" w:ascii="宋体" w:hAnsi="宋体" w:eastAsia="宋体" w:cs="宋体"/>
          <w:b/>
          <w:bCs/>
          <w:color w:val="auto"/>
          <w:kern w:val="0"/>
          <w:sz w:val="24"/>
          <w:highlight w:val="none"/>
        </w:rPr>
        <w:t>。</w:t>
      </w:r>
    </w:p>
    <w:p w14:paraId="4BBFD7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质疑函应按要求列明“授权代表”的有关内容</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并在附件中提交由质疑供应商签署的授权委托书。授权委托书应载明代理人的姓名或者名称、代理事项、具体权限、期限和相关事项。</w:t>
      </w:r>
    </w:p>
    <w:p w14:paraId="1FAED257">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并有必要的事实依据和法律依据。</w:t>
      </w:r>
    </w:p>
    <w:p w14:paraId="1E1B3B3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3C2AEB08">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质疑函应由法定代表人、主要负责人</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或者其授权代表签字或者盖章</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并加盖公章。</w:t>
      </w:r>
    </w:p>
    <w:p w14:paraId="487C5A30">
      <w:pPr>
        <w:snapToGrid w:val="0"/>
        <w:rPr>
          <w:rFonts w:hint="eastAsia" w:ascii="宋体" w:hAnsi="宋体" w:eastAsia="宋体" w:cs="宋体"/>
          <w:b/>
          <w:color w:val="auto"/>
          <w:kern w:val="0"/>
          <w:sz w:val="24"/>
          <w:highlight w:val="none"/>
        </w:rPr>
      </w:pPr>
    </w:p>
    <w:p w14:paraId="78B1CCC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678CF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AD4FBC5">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4A9BEF2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p>
    <w:p w14:paraId="7F307C8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77AD0C9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CAE9E7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555C1C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5203F7C">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732D23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D30AC8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20F16C58">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4575BD54">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0A40509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093323F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0BA2A1E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04FD0B4D">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4F70A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3E19C53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8F5515B">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F92F503">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50EBFFD4">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27F70957">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2380E8B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384685DA">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9E50678">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52E397B3">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3C5F28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质疑事项为：</w:t>
      </w:r>
    </w:p>
    <w:p w14:paraId="5A914185">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D2AF33">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1DFE55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eastAsia="zh-CN"/>
        </w:rPr>
        <w:t>，</w:t>
      </w:r>
      <w:r>
        <w:rPr>
          <w:rFonts w:hint="eastAsia" w:ascii="宋体" w:hAnsi="宋体" w:eastAsia="宋体" w:cs="宋体"/>
          <w:bCs/>
          <w:color w:val="auto"/>
          <w:kern w:val="0"/>
          <w:sz w:val="24"/>
          <w:highlight w:val="none"/>
        </w:rPr>
        <w:t xml:space="preserve">就质疑事项作出了答复/没有在法定期限内作出答复。                                                                        </w:t>
      </w:r>
    </w:p>
    <w:p w14:paraId="2C71B008">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533C183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49889001">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3A91EF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7B679F1B">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3C97EE3B">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50E574FE">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60B06D5C">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064F5C6">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2130D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2AACAE6F">
      <w:pPr>
        <w:spacing w:line="360" w:lineRule="auto"/>
        <w:ind w:left="25" w:leftChars="12" w:firstLine="352" w:firstLineChars="147"/>
        <w:rPr>
          <w:rFonts w:hint="eastAsia" w:ascii="宋体" w:hAnsi="宋体" w:eastAsia="宋体" w:cs="宋体"/>
          <w:color w:val="auto"/>
          <w:kern w:val="0"/>
          <w:sz w:val="24"/>
          <w:highlight w:val="none"/>
        </w:rPr>
      </w:pPr>
    </w:p>
    <w:p w14:paraId="3DB713EC">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276DFF38">
      <w:pPr>
        <w:spacing w:line="360" w:lineRule="auto"/>
        <w:ind w:left="25" w:leftChars="12" w:firstLine="352" w:firstLineChars="147"/>
        <w:rPr>
          <w:rFonts w:hint="eastAsia" w:ascii="宋体" w:hAnsi="宋体" w:eastAsia="宋体" w:cs="宋体"/>
          <w:color w:val="auto"/>
          <w:kern w:val="0"/>
          <w:sz w:val="24"/>
          <w:highlight w:val="none"/>
        </w:rPr>
      </w:pPr>
    </w:p>
    <w:p w14:paraId="78CFE07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60B051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61639436">
      <w:pPr>
        <w:snapToGrid w:val="0"/>
        <w:spacing w:line="360" w:lineRule="auto"/>
        <w:rPr>
          <w:rFonts w:hint="eastAsia" w:ascii="宋体" w:hAnsi="宋体" w:eastAsia="宋体" w:cs="宋体"/>
          <w:b/>
          <w:color w:val="auto"/>
          <w:kern w:val="0"/>
          <w:sz w:val="24"/>
          <w:highlight w:val="none"/>
        </w:rPr>
      </w:pPr>
    </w:p>
    <w:p w14:paraId="56B128DA">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8065A4F">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应当提交投诉书和必要的证明材料</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并按照被投诉人和与投诉事项有关的供应商数量提供投诉书副本</w:t>
      </w:r>
      <w:r>
        <w:rPr>
          <w:rFonts w:hint="eastAsia" w:ascii="宋体" w:hAnsi="宋体" w:eastAsia="宋体" w:cs="宋体"/>
          <w:b/>
          <w:bCs/>
          <w:color w:val="auto"/>
          <w:kern w:val="0"/>
          <w:sz w:val="24"/>
          <w:highlight w:val="none"/>
        </w:rPr>
        <w:t>。</w:t>
      </w:r>
    </w:p>
    <w:p w14:paraId="1A63D13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投诉书应按要求列明“授权代表”的有关内容</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并在附件中提交由投诉人签署的授权委托书。授权委托书应当载明代理人的姓名或者名称、代理事项、具体权限、期限和相关事项。</w:t>
      </w:r>
    </w:p>
    <w:p w14:paraId="2731828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质疑函、质疑答复等作为附件材料提供。</w:t>
      </w:r>
    </w:p>
    <w:p w14:paraId="11598B1B">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并有必要的事实依据和法律依据。</w:t>
      </w:r>
    </w:p>
    <w:p w14:paraId="48EB818C">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33AC2471">
      <w:pPr>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6.投诉人为法人或者其他组织的</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投诉书应由法定代表人、主要负责人</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或者其授权代表签字或者盖章</w:t>
      </w:r>
      <w:r>
        <w:rPr>
          <w:rFonts w:hint="eastAsia" w:ascii="宋体" w:hAnsi="宋体" w:cs="宋体"/>
          <w:b/>
          <w:color w:val="auto"/>
          <w:kern w:val="0"/>
          <w:sz w:val="24"/>
          <w:highlight w:val="none"/>
          <w:lang w:eastAsia="zh-CN"/>
        </w:rPr>
        <w:t>，</w:t>
      </w:r>
      <w:r>
        <w:rPr>
          <w:rFonts w:hint="eastAsia" w:ascii="宋体" w:hAnsi="宋体" w:eastAsia="宋体" w:cs="宋体"/>
          <w:b/>
          <w:color w:val="auto"/>
          <w:kern w:val="0"/>
          <w:sz w:val="24"/>
          <w:highlight w:val="none"/>
        </w:rPr>
        <w:t>并加盖公章。</w:t>
      </w:r>
    </w:p>
    <w:p w14:paraId="3EB7BD6E">
      <w:pPr>
        <w:bidi w:val="0"/>
        <w:jc w:val="center"/>
        <w:outlineLvl w:val="0"/>
        <w:rPr>
          <w:rFonts w:hint="eastAsia" w:ascii="宋体" w:hAnsi="宋体" w:eastAsia="宋体" w:cs="宋体"/>
          <w:b/>
          <w:bCs/>
          <w:color w:val="auto"/>
          <w:kern w:val="44"/>
          <w:sz w:val="44"/>
          <w:szCs w:val="44"/>
          <w:highlight w:val="none"/>
          <w:lang w:val="en-US" w:eastAsia="zh-CN" w:bidi="ar-SA"/>
        </w:rPr>
      </w:pPr>
      <w:bookmarkStart w:id="97" w:name="_Toc32167"/>
      <w:bookmarkStart w:id="98" w:name="_Toc8819"/>
      <w:bookmarkStart w:id="99" w:name="_Toc12838"/>
    </w:p>
    <w:p w14:paraId="3BCB3934">
      <w:pPr>
        <w:bidi w:val="0"/>
        <w:jc w:val="center"/>
        <w:outlineLvl w:val="0"/>
        <w:rPr>
          <w:rFonts w:hint="eastAsia" w:ascii="宋体" w:hAnsi="宋体" w:eastAsia="宋体" w:cs="宋体"/>
          <w:b/>
          <w:bCs/>
          <w:color w:val="auto"/>
          <w:kern w:val="44"/>
          <w:sz w:val="44"/>
          <w:szCs w:val="44"/>
          <w:highlight w:val="none"/>
          <w:lang w:val="en-US" w:eastAsia="zh-CN" w:bidi="ar-SA"/>
        </w:rPr>
      </w:pPr>
    </w:p>
    <w:p w14:paraId="1364E4A5">
      <w:pPr>
        <w:bidi w:val="0"/>
        <w:jc w:val="center"/>
        <w:outlineLvl w:val="0"/>
        <w:rPr>
          <w:rFonts w:hint="eastAsia" w:ascii="宋体" w:hAnsi="宋体" w:eastAsia="宋体" w:cs="宋体"/>
          <w:b/>
          <w:bCs/>
          <w:color w:val="auto"/>
          <w:kern w:val="44"/>
          <w:sz w:val="44"/>
          <w:szCs w:val="44"/>
          <w:highlight w:val="none"/>
          <w:lang w:val="en-US" w:eastAsia="zh-CN" w:bidi="ar-SA"/>
        </w:rPr>
      </w:pPr>
    </w:p>
    <w:p w14:paraId="56DC3596">
      <w:pPr>
        <w:bidi w:val="0"/>
        <w:jc w:val="center"/>
        <w:outlineLvl w:val="0"/>
        <w:rPr>
          <w:rFonts w:hint="eastAsia" w:ascii="宋体" w:hAnsi="宋体" w:eastAsia="宋体" w:cs="宋体"/>
          <w:b/>
          <w:bCs/>
          <w:color w:val="auto"/>
          <w:kern w:val="44"/>
          <w:sz w:val="44"/>
          <w:szCs w:val="44"/>
          <w:highlight w:val="none"/>
          <w:lang w:val="en-US" w:eastAsia="zh-CN" w:bidi="ar-SA"/>
        </w:rPr>
      </w:pPr>
    </w:p>
    <w:p w14:paraId="4B2F9F04">
      <w:pPr>
        <w:bidi w:val="0"/>
        <w:jc w:val="center"/>
        <w:outlineLvl w:val="0"/>
        <w:rPr>
          <w:rFonts w:hint="eastAsia" w:ascii="宋体" w:hAnsi="宋体" w:eastAsia="宋体" w:cs="宋体"/>
          <w:b/>
          <w:bCs/>
          <w:color w:val="auto"/>
          <w:kern w:val="44"/>
          <w:sz w:val="44"/>
          <w:szCs w:val="44"/>
          <w:highlight w:val="none"/>
          <w:lang w:val="en-US" w:eastAsia="zh-CN" w:bidi="ar-SA"/>
        </w:rPr>
      </w:pPr>
    </w:p>
    <w:p w14:paraId="3A0A259A">
      <w:pPr>
        <w:bidi w:val="0"/>
        <w:jc w:val="center"/>
        <w:outlineLvl w:val="0"/>
        <w:rPr>
          <w:rFonts w:hint="eastAsia" w:ascii="宋体" w:hAnsi="宋体" w:eastAsia="宋体" w:cs="宋体"/>
          <w:b/>
          <w:bCs/>
          <w:color w:val="auto"/>
          <w:kern w:val="44"/>
          <w:sz w:val="44"/>
          <w:szCs w:val="44"/>
          <w:highlight w:val="none"/>
          <w:lang w:val="en-US" w:eastAsia="zh-CN" w:bidi="ar-SA"/>
        </w:rPr>
      </w:pPr>
    </w:p>
    <w:p w14:paraId="209FA302">
      <w:pPr>
        <w:bidi w:val="0"/>
        <w:jc w:val="center"/>
        <w:outlineLvl w:val="0"/>
        <w:rPr>
          <w:rFonts w:hint="eastAsia" w:ascii="宋体" w:hAnsi="宋体" w:eastAsia="宋体" w:cs="宋体"/>
          <w:b/>
          <w:bCs/>
          <w:color w:val="auto"/>
          <w:kern w:val="44"/>
          <w:sz w:val="44"/>
          <w:szCs w:val="44"/>
          <w:highlight w:val="none"/>
          <w:lang w:val="en-US" w:eastAsia="zh-CN" w:bidi="ar-SA"/>
        </w:rPr>
      </w:pPr>
    </w:p>
    <w:p w14:paraId="1FA8316A">
      <w:pPr>
        <w:bidi w:val="0"/>
        <w:jc w:val="center"/>
        <w:outlineLvl w:val="0"/>
        <w:rPr>
          <w:rFonts w:hint="eastAsia" w:ascii="宋体" w:hAnsi="宋体" w:eastAsia="宋体" w:cs="宋体"/>
          <w:b/>
          <w:bCs/>
          <w:color w:val="auto"/>
          <w:kern w:val="44"/>
          <w:sz w:val="44"/>
          <w:szCs w:val="44"/>
          <w:highlight w:val="none"/>
          <w:lang w:val="en-US" w:eastAsia="zh-CN" w:bidi="ar-SA"/>
        </w:rPr>
      </w:pPr>
    </w:p>
    <w:p w14:paraId="533DF91B">
      <w:pPr>
        <w:bidi w:val="0"/>
        <w:jc w:val="center"/>
        <w:outlineLvl w:val="0"/>
        <w:rPr>
          <w:rFonts w:hint="eastAsia" w:ascii="宋体" w:hAnsi="宋体" w:eastAsia="宋体" w:cs="宋体"/>
          <w:b/>
          <w:bCs/>
          <w:color w:val="auto"/>
          <w:kern w:val="44"/>
          <w:sz w:val="44"/>
          <w:szCs w:val="44"/>
          <w:highlight w:val="none"/>
          <w:lang w:val="en-US" w:eastAsia="zh-CN" w:bidi="ar-SA"/>
        </w:rPr>
      </w:pPr>
    </w:p>
    <w:p w14:paraId="59A4B77E">
      <w:pPr>
        <w:bidi w:val="0"/>
        <w:jc w:val="center"/>
        <w:outlineLvl w:val="0"/>
        <w:rPr>
          <w:rFonts w:hint="eastAsia" w:ascii="宋体" w:hAnsi="宋体" w:eastAsia="宋体" w:cs="宋体"/>
          <w:b/>
          <w:bCs/>
          <w:color w:val="auto"/>
          <w:kern w:val="44"/>
          <w:sz w:val="44"/>
          <w:szCs w:val="44"/>
          <w:highlight w:val="none"/>
          <w:lang w:val="en-US" w:eastAsia="zh-CN" w:bidi="ar-SA"/>
        </w:rPr>
      </w:pPr>
    </w:p>
    <w:p w14:paraId="74C0BBDD">
      <w:pPr>
        <w:bidi w:val="0"/>
        <w:jc w:val="center"/>
        <w:outlineLvl w:val="0"/>
        <w:rPr>
          <w:rFonts w:hint="eastAsia" w:ascii="宋体" w:hAnsi="宋体" w:eastAsia="宋体" w:cs="宋体"/>
          <w:b/>
          <w:bCs/>
          <w:color w:val="auto"/>
          <w:kern w:val="44"/>
          <w:sz w:val="44"/>
          <w:szCs w:val="44"/>
          <w:highlight w:val="none"/>
          <w:lang w:val="en-US" w:eastAsia="zh-CN" w:bidi="ar-SA"/>
        </w:rPr>
      </w:pPr>
    </w:p>
    <w:p w14:paraId="69A69F74">
      <w:pPr>
        <w:bidi w:val="0"/>
        <w:jc w:val="center"/>
        <w:outlineLvl w:val="0"/>
        <w:rPr>
          <w:rFonts w:hint="eastAsia" w:ascii="宋体" w:hAnsi="宋体" w:eastAsia="宋体" w:cs="宋体"/>
          <w:b/>
          <w:bCs/>
          <w:color w:val="auto"/>
          <w:kern w:val="44"/>
          <w:sz w:val="44"/>
          <w:szCs w:val="44"/>
          <w:highlight w:val="none"/>
          <w:lang w:val="en-US" w:eastAsia="zh-CN" w:bidi="ar-SA"/>
        </w:rPr>
      </w:pPr>
      <w:bookmarkStart w:id="100" w:name="_Toc15064"/>
      <w:r>
        <w:rPr>
          <w:rFonts w:hint="eastAsia" w:ascii="宋体" w:hAnsi="宋体" w:eastAsia="宋体" w:cs="宋体"/>
          <w:b/>
          <w:bCs/>
          <w:color w:val="auto"/>
          <w:kern w:val="44"/>
          <w:sz w:val="44"/>
          <w:szCs w:val="44"/>
          <w:highlight w:val="none"/>
          <w:lang w:val="en-US" w:eastAsia="zh-CN" w:bidi="ar-SA"/>
        </w:rPr>
        <w:t>第八章 政府采购合同验收书范本</w:t>
      </w:r>
      <w:bookmarkEnd w:id="97"/>
      <w:bookmarkEnd w:id="98"/>
      <w:bookmarkEnd w:id="99"/>
      <w:bookmarkEnd w:id="100"/>
    </w:p>
    <w:p w14:paraId="67696E89">
      <w:pPr>
        <w:tabs>
          <w:tab w:val="left" w:pos="576"/>
        </w:tabs>
        <w:jc w:val="center"/>
        <w:outlineLvl w:val="9"/>
        <w:rPr>
          <w:rFonts w:hint="eastAsia" w:ascii="宋体" w:hAnsi="宋体" w:eastAsia="宋体" w:cs="宋体"/>
          <w:color w:val="auto"/>
          <w:kern w:val="0"/>
          <w:sz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kern w:val="2"/>
          <w:sz w:val="32"/>
          <w:szCs w:val="32"/>
          <w:highlight w:val="none"/>
          <w:lang w:val="en-US" w:eastAsia="zh-CN" w:bidi="ar-SA"/>
        </w:rPr>
        <w:t>广西壮族自治区政府采购项目合同验收书（格式）</w:t>
      </w:r>
    </w:p>
    <w:p w14:paraId="5B22ED86">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政府采购项目中标（或成交）供应商（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提供的货物（或工程、服务）进行了验收</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验收情况如下：</w:t>
      </w:r>
    </w:p>
    <w:tbl>
      <w:tblPr>
        <w:tblStyle w:val="3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6B716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6A2CC0B2">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14:paraId="44ABA30F">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□自行验收         □委托验收</w:t>
            </w:r>
          </w:p>
        </w:tc>
      </w:tr>
      <w:tr w14:paraId="1D1C3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5092D26">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63BD53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5F5F257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82FE8FB">
            <w:pPr>
              <w:widowControl/>
              <w:snapToGrid w:val="0"/>
              <w:spacing w:before="100" w:beforeAutospacing="1" w:after="100" w:afterAutospacing="1"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EB9BBA">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  额</w:t>
            </w:r>
          </w:p>
        </w:tc>
      </w:tr>
      <w:tr w14:paraId="51159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2245E3D4">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1BEDE2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4441D9B2">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7304EFF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578459B4">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5C7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BAB54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30A7033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0829D18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6A9EFE3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6B9B038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0A4D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4089E0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14:paraId="2AAD4B9C">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14:paraId="618A089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4CA06A7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172B6067">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2D70D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616FB04F">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14:paraId="02299820">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14:paraId="761038E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2269C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17F1A663">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合计大写金额：   仟    佰    拾    万    仟    佰    拾    元</w:t>
            </w:r>
          </w:p>
        </w:tc>
      </w:tr>
      <w:tr w14:paraId="7F577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2C9759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4612D4F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5C3BFA0">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163CFD47">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62D6FA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429DA0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2384927A">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14:paraId="695150EB">
            <w:pPr>
              <w:snapToGrid w:val="0"/>
              <w:spacing w:before="100" w:beforeAutospacing="1" w:after="100" w:afterAutospacing="1" w:line="320" w:lineRule="exact"/>
              <w:ind w:left="590" w:firstLine="480" w:firstLineChars="200"/>
              <w:jc w:val="left"/>
              <w:rPr>
                <w:rFonts w:hint="eastAsia" w:ascii="宋体" w:hAnsi="宋体" w:eastAsia="宋体" w:cs="宋体"/>
                <w:color w:val="auto"/>
                <w:kern w:val="0"/>
                <w:sz w:val="24"/>
                <w:highlight w:val="none"/>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14:paraId="3CCE4DFF">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highlight w:val="none"/>
              </w:rPr>
            </w:pPr>
          </w:p>
        </w:tc>
      </w:tr>
      <w:tr w14:paraId="04F70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839ACA">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DC2">
            <w:pPr>
              <w:widowControl/>
              <w:snapToGrid w:val="0"/>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（应</w:t>
            </w:r>
            <w:r>
              <w:rPr>
                <w:rFonts w:hint="eastAsia" w:ascii="宋体" w:hAnsi="宋体" w:eastAsia="宋体" w:cs="宋体"/>
                <w:color w:val="auto"/>
                <w:kern w:val="0"/>
                <w:sz w:val="24"/>
                <w:highlight w:val="none"/>
              </w:rPr>
              <w:t>按采购合同、采购文件、投标响应文件及验收方案等进行验收；并核对</w:t>
            </w:r>
            <w:r>
              <w:rPr>
                <w:rFonts w:hint="eastAsia" w:ascii="宋体" w:hAnsi="宋体" w:eastAsia="宋体" w:cs="宋体"/>
                <w:color w:val="auto"/>
                <w:sz w:val="24"/>
                <w:highlight w:val="none"/>
              </w:rPr>
              <w:t>中标或者成交供应商在安装调试等方面是否违反合同约定或服务规范要求、提供的质量保证证明材料是否齐全、应有的配件及附件是否达到合同约定等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highlight w:val="none"/>
              </w:rPr>
              <w:t>。可附件)</w:t>
            </w:r>
          </w:p>
        </w:tc>
      </w:tr>
      <w:tr w14:paraId="12B43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30881">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48253B02">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验收结论性意见：</w:t>
            </w:r>
          </w:p>
          <w:p w14:paraId="4E071871">
            <w:pPr>
              <w:widowControl/>
              <w:spacing w:before="100" w:beforeAutospacing="1" w:after="100" w:afterAutospacing="1" w:line="320" w:lineRule="exact"/>
              <w:jc w:val="left"/>
              <w:rPr>
                <w:rFonts w:hint="eastAsia" w:ascii="宋体" w:hAnsi="宋体" w:eastAsia="宋体" w:cs="宋体"/>
                <w:color w:val="auto"/>
                <w:kern w:val="0"/>
                <w:sz w:val="24"/>
                <w:highlight w:val="none"/>
              </w:rPr>
            </w:pPr>
          </w:p>
        </w:tc>
      </w:tr>
      <w:tr w14:paraId="5592C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037D27B">
            <w:pPr>
              <w:widowControl/>
              <w:spacing w:line="320" w:lineRule="exact"/>
              <w:jc w:val="left"/>
              <w:rPr>
                <w:rFonts w:hint="eastAsia" w:ascii="宋体" w:hAnsi="宋体" w:eastAsia="宋体" w:cs="宋体"/>
                <w:color w:val="auto"/>
                <w:kern w:val="0"/>
                <w:sz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5431785C">
            <w:pPr>
              <w:spacing w:before="100" w:beforeAutospacing="1" w:after="100" w:afterAutospacing="1" w:line="320" w:lineRule="exact"/>
              <w:ind w:firstLine="96" w:firstLineChars="4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有异议的意见和说明理由：</w:t>
            </w:r>
          </w:p>
          <w:p w14:paraId="7F98140F">
            <w:pPr>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签字：</w:t>
            </w:r>
          </w:p>
        </w:tc>
      </w:tr>
      <w:tr w14:paraId="716B4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5D9BDD">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验收小组成员签字：</w:t>
            </w:r>
          </w:p>
        </w:tc>
      </w:tr>
      <w:tr w14:paraId="3FB77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BF39C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监督人员或其他相关人员签字：</w:t>
            </w:r>
          </w:p>
          <w:p w14:paraId="207571A4">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或受邀机构的意见（盖章）：</w:t>
            </w:r>
          </w:p>
        </w:tc>
      </w:tr>
      <w:tr w14:paraId="591C9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C5BCECE">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中标或者成交供应商负责人签字或盖章：</w:t>
            </w:r>
          </w:p>
          <w:p w14:paraId="00C4AF93">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4286D4F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采购人或受托机构的意见（盖章）：</w:t>
            </w:r>
          </w:p>
          <w:p w14:paraId="7907A208">
            <w:pPr>
              <w:widowControl/>
              <w:spacing w:before="100" w:beforeAutospacing="1" w:after="100" w:afterAutospacing="1" w:line="3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                 年   月   日</w:t>
            </w:r>
          </w:p>
        </w:tc>
      </w:tr>
    </w:tbl>
    <w:p w14:paraId="3A1601F1">
      <w:pPr>
        <w:snapToGrid w:val="0"/>
        <w:spacing w:before="50" w:after="165" w:afterLines="50" w:line="360" w:lineRule="auto"/>
        <w:ind w:firstLine="480" w:firstLineChars="200"/>
        <w:jc w:val="left"/>
        <w:rPr>
          <w:rFonts w:hint="eastAsia" w:ascii="宋体" w:hAnsi="宋体" w:eastAsia="宋体" w:cs="宋体"/>
          <w:color w:val="auto"/>
          <w:sz w:val="24"/>
          <w:highlight w:val="none"/>
        </w:rPr>
      </w:pPr>
    </w:p>
    <w:p w14:paraId="3554A52B">
      <w:pPr>
        <w:rPr>
          <w:rFonts w:hint="eastAsia" w:ascii="宋体" w:hAnsi="宋体" w:eastAsia="宋体" w:cs="宋体"/>
          <w:color w:val="auto"/>
          <w:highlight w:val="none"/>
        </w:rPr>
      </w:pPr>
    </w:p>
    <w:p w14:paraId="3462C71B">
      <w:pPr>
        <w:rPr>
          <w:rFonts w:hint="eastAsia" w:ascii="宋体" w:hAnsi="宋体" w:eastAsia="宋体" w:cs="宋体"/>
          <w:color w:val="auto"/>
          <w:highlight w:val="none"/>
        </w:rPr>
      </w:pPr>
    </w:p>
    <w:sectPr>
      <w:footerReference r:id="rId12" w:type="first"/>
      <w:footerReference r:id="rId11" w:type="default"/>
      <w:pgSz w:w="11910" w:h="16840"/>
      <w:pgMar w:top="1134" w:right="1134" w:bottom="1134" w:left="1134" w:header="850" w:footer="720" w:gutter="0"/>
      <w:pgNumType w:fmt="decimal"/>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68790B-D694-434E-BBCE-955D7B611BDD}"/>
  </w:font>
  <w:font w:name="黑体">
    <w:panose1 w:val="02010609060101010101"/>
    <w:charset w:val="86"/>
    <w:family w:val="auto"/>
    <w:pitch w:val="default"/>
    <w:sig w:usb0="800002BF" w:usb1="38CF7CFA" w:usb2="00000016" w:usb3="00000000" w:csb0="00040001" w:csb1="00000000"/>
    <w:embedRegular r:id="rId2" w:fontKey="{A1B24D1C-7C3B-41B2-8991-1DD297A724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F34DD29-9589-4D69-8244-F1E977DE577E}"/>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embedRegular r:id="rId4" w:fontKey="{450F9040-3305-406E-A28C-5D396EBA746F}"/>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11A5">
    <w:pPr>
      <w:pStyle w:val="2"/>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2757">
    <w:pPr>
      <w:pStyle w:val="2"/>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512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06E7B2E"/>
                      </w:txbxContent>
                    </wps:txbx>
                    <wps:bodyPr rot="0" vert="horz" wrap="none" lIns="0" tIns="0" rIns="0" bIns="0" anchor="t" anchorCtr="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CNLFIQAgAAEwQAAA4AAABkcnMvZTJvRG9jLnhtbK1TzY7TMBC+I/EO&#10;lu80SbtFEDVdLVsVIS0/0sIDuI7TWCQea+w2KQ8Ab8BpL9x5rj4HY6fpLstlD1yiyXjmm/k+f15c&#10;9m3D9gqdBlPwbJJypoyEUpttwb98Xr94xZnzwpSiAaMKflCOXy6fP1t0NldTqKEpFTICMS7vbMFr&#10;722eJE7WqhVuAlYZOqwAW+HpF7dJiaIj9LZJpmn6MukAS4sglXOUXQ2H/ISITwGEqtJSrUDuWmX8&#10;gIqqEZ4ouVpbx5dx26pS0n+sKqc8awpOTH380hCKN+GbLBci36KwtZanFcRTVnjEqRXa0NAz1Ep4&#10;wXao/4FqtURwUPmJhDYZiERFiEWWPtLmthZWRS4ktbNn0d3/g5Uf9p+Q6bLgM86MaOnCjz9/HO9+&#10;H399Z/NsehEU6qzLqfDWUqnv30BPvolsnb0B+dUxA9e1MFt1hQhdrURJG2ahM3nQOuC4ALLp3kNJ&#10;o8TOQwTqK2yDfCQII3S6ncP5dlTvmQwjs4vXszlnko6y+SylOEwQ+dhs0fm3CloWgoIjXX4EF/sb&#10;54fSsSTMMrDWTUN5kTfmrwRhDhkVHXTqDlTC9gMP32966g3JDZQHIoUwuIveFgU14DfOOnJWwQ09&#10;JM6ad4ZkCSYcAxyDzRgII6mx4J6zIbz2g1l3FvW2JtxR+CuSbq0jrfsdToKTV6IwJ18HMz78j1X3&#10;b3n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FT5rQAAAAAwEAAA8AAAAAAAAAAQAgAAAAIgAA&#10;AGRycy9kb3ducmV2LnhtbFBLAQIUABQAAAAIAIdO4kDgjSxSEAIAABMEAAAOAAAAAAAAAAEAIAAA&#10;AB8BAABkcnMvZTJvRG9jLnhtbFBLBQYAAAAABgAGAFkBAAChBQAAAAA=&#10;">
              <v:fill on="f" focussize="0,0"/>
              <v:stroke on="f"/>
              <v:imagedata o:title=""/>
              <o:lock v:ext="edit" aspectratio="f"/>
              <v:textbox inset="0mm,0mm,0mm,0mm" style="mso-fit-shape-to-text:t;">
                <w:txbxContent>
                  <w:p w14:paraId="206E7B2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CA54">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60B1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2MXssBAACc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jF7LAQAAnAMAAA4AAAAAAAAAAQAgAAAAHgEAAGRycy9lMm9E&#10;b2MueG1sUEsFBgAAAAAGAAYAWQEAAFsFAAAAAA==&#10;">
              <v:fill on="f" focussize="0,0"/>
              <v:stroke on="f"/>
              <v:imagedata o:title=""/>
              <o:lock v:ext="edit" aspectratio="f"/>
              <v:textbox inset="0mm,0mm,0mm,0mm" style="mso-fit-shape-to-text:t;">
                <w:txbxContent>
                  <w:p w14:paraId="2C460B1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4463">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B67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afROEBAADBAwAADgAAAGRycy9lMm9Eb2MueG1srVPBjtMwEL0j8Q+W&#10;79ukXWlVVU1XsNUiJARICx/gOk5jyfZY9rRJ+QD4A05cuPNd/Q7GTtKF5bIHLsl4Zvxm3pvx+ra3&#10;hh1ViBpcxeezkjPlJNTa7Sv++dP91ZKziMLVwoBTFT+pyG83L1+sO79SC2jB1CowAnFx1fmKt4h+&#10;VRRRtsqKOAOvHAUbCFYgHcO+qIPoCN2aYlGWN0UHofYBpIqRvNshyEfE8BxAaBot1RbkwSqHA2pQ&#10;RiBRiq32kW9yt02jJH5omqiQmYoTU8xfKkL2Ln2LzVqs9kH4VsuxBfGcFp5wskI7KnqB2goU7BD0&#10;P1BWywARGpxJsMVAJCtCLOblE20eWuFV5kJSR38RPf4/WPn++DEwXVf8hjMnLA38/P3b+cev88+v&#10;bF5eXyeFOh9XlPjgKRX719DT3kz+SM5EvG+CTX+ixChO+p4u+qoemUyXlovlsqSQpNh0IPzi8boP&#10;Ed8osCwZFQ80wKyrOL6LOKROKamag3ttTB6icX85CDN5itT70GOysN/1I6Ed1CfiQy+B6rQQvnDW&#10;0R5U3NHac2beOpI5rcxkhMnYTYZwki5WHDkbzDscVuvgg963edlSU9G/OiB1mgmkNobaY3c02SzB&#10;uIVpdf4856zHl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ZFp9E4QEAAMEDAAAOAAAA&#10;AAAAAAEAIAAAAB4BAABkcnMvZTJvRG9jLnhtbFBLBQYAAAAABgAGAFkBAABxBQAAAAA=&#10;">
              <v:fill on="f" focussize="0,0"/>
              <v:stroke on="f"/>
              <v:imagedata o:title=""/>
              <o:lock v:ext="edit" aspectratio="f"/>
              <v:textbox inset="0mm,0mm,0mm,0mm" style="mso-fit-shape-to-text:t;">
                <w:txbxContent>
                  <w:p w14:paraId="5D8B67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A066">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28F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2PtuEBAADBAwAADgAAAGRycy9lMm9Eb2MueG1srVPNjtMwEL4j8Q6W&#10;7zRpQVBFTVdAtQgJAdLCA7iO01jyn8bTJuUB4A04ceHOc/U5GDtNl9297IFLMp4ZfzPfN+PV1WAN&#10;OyiI2ruaz2clZ8pJ32i3q/nXL9fPlpxFFK4RxjtV86OK/Gr99MmqD5Va+M6bRgEjEBerPtS8QwxV&#10;UUTZKSvizAflKNh6sALpCLuiAdETujXFoixfFr2HJoCXKkbybsYgPyPCYwB922qpNl7urXI4ooIy&#10;AolS7HSIfJ27bVsl8VPbRoXM1JyYYv5SEbK36VusV6LagQidlucWxGNauMfJCu2o6AVqI1CwPegH&#10;UFZL8NG3OJPeFiORrAixmJf3tLnpRFCZC0kdw0X0+P9g5cfDZ2C6qfkrzpywNPDTzx+nX39Ov7+z&#10;efn8RVKoD7GixJtAqTi88QPtzeSP5EzEhxZs+hMlRnHS93jRVw3IZLq0XCyXJYUkxaYD4Re31wNE&#10;fKe8ZcmoOdAAs67i8CHimDqlpGrOX2tj8hCNu+MgzOQpUu9jj8nCYTucCW19cyQ+9BKoTufhG2c9&#10;7UHNHa09Z+a9I5nTykwGTMZ2MoSTdLHmyNlovsVxtfYB9K7Ly5aaiuH1HqnTTCC1MdY+d0eTzRKc&#10;tzCtzr/nnHX78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9vY+24QEAAMEDAAAOAAAA&#10;AAAAAAEAIAAAAB4BAABkcnMvZTJvRG9jLnhtbFBLBQYAAAAABgAGAFkBAABxBQAAAAA=&#10;">
              <v:fill on="f" focussize="0,0"/>
              <v:stroke on="f"/>
              <v:imagedata o:title=""/>
              <o:lock v:ext="edit" aspectratio="f"/>
              <v:textbox inset="0mm,0mm,0mm,0mm" style="mso-fit-shape-to-text:t;">
                <w:txbxContent>
                  <w:p w14:paraId="71A28F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p w14:paraId="45C47E2D">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38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5E843">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dSp8sBAACcAwAADgAAAGRycy9lMm9Eb2MueG1srVNLjtswDN0X6B0E&#10;7SdygkE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ReUWG5w4Offv85//p3//iTL&#10;+fUyKdR5KDHx3mNq7D+4Hvdm8gM6E/G+CSZ9kRLBOOp7uugr+0hEerRarFYFhgTGpgvis4fnPkD8&#10;KJ0hyahowAFmXfnxM8QhdUpJ1ay7U1rnIWr7xIGYycNS70OPyYr9rh8J7Vx9Qj4dzr6iFledEv3J&#10;orRpTSYjTMZuMg4+qH2b9yjVA397iNhE7i1VGGDHwji0zG5csLQVj+856+Gn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xnUqfLAQAAnAMAAA4AAAAAAAAAAQAgAAAAHgEAAGRycy9lMm9E&#10;b2MueG1sUEsFBgAAAAAGAAYAWQEAAFsFAAAAAA==&#10;">
              <v:fill on="f" focussize="0,0"/>
              <v:stroke on="f"/>
              <v:imagedata o:title=""/>
              <o:lock v:ext="edit" aspectratio="f"/>
              <v:textbox inset="0mm,0mm,0mm,0mm" style="mso-fit-shape-to-text:t;">
                <w:txbxContent>
                  <w:p w14:paraId="4FF5E843">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7F51">
    <w:pPr>
      <w:pStyle w:val="22"/>
      <w:tabs>
        <w:tab w:val="center" w:pos="0"/>
        <w:tab w:val="clear" w:pos="4153"/>
      </w:tabs>
    </w:pPr>
    <w:r>
      <w:rPr>
        <w:rFonts w:hint="eastAsia"/>
        <w:lang w:eastAsia="zh-CN"/>
      </w:rPr>
      <w:t>柳州市城中区五指山危岩地质灾害治理工程施工监理项目</w:t>
    </w:r>
    <w:r>
      <w:rPr>
        <w:rFonts w:hint="eastAsia"/>
      </w:rPr>
      <w:t>（</w:t>
    </w:r>
    <w:r>
      <w:rPr>
        <w:rFonts w:hint="eastAsia"/>
        <w:lang w:eastAsia="zh-CN"/>
      </w:rPr>
      <w:t>项目编号：LZZC2025-C3-020025-GXJD</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68ED">
    <w:pPr>
      <w:pStyle w:val="22"/>
      <w:pBdr>
        <w:bottom w:val="none" w:color="auto" w:sz="0" w:space="1"/>
      </w:pBdr>
      <w:tabs>
        <w:tab w:val="center" w:pos="0"/>
        <w:tab w:val="clear" w:pos="4153"/>
      </w:tabs>
      <w:jc w:val="cente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58C2">
    <w:pPr>
      <w:pStyle w:val="22"/>
      <w:tabs>
        <w:tab w:val="center" w:pos="0"/>
        <w:tab w:val="clear" w:pos="4153"/>
      </w:tabs>
    </w:pPr>
    <w:r>
      <w:rPr>
        <w:rFonts w:hint="eastAsia" w:ascii="宋体" w:hAnsi="宋体"/>
        <w:lang w:eastAsia="zh-CN"/>
      </w:rPr>
      <w:t>柳州市城中区五指山危岩地质灾害治理工程施工监理项目</w:t>
    </w:r>
    <w:r>
      <w:rPr>
        <w:rFonts w:hint="eastAsia" w:ascii="宋体" w:hAnsi="宋体"/>
      </w:rPr>
      <w:t>（项目编号：</w:t>
    </w:r>
    <w:r>
      <w:rPr>
        <w:rFonts w:hint="eastAsia" w:ascii="宋体" w:hAnsi="宋体"/>
        <w:lang w:eastAsia="zh-CN"/>
      </w:rPr>
      <w:t>LZZC2025-C3-020025-GXJD</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908E">
    <w:pPr>
      <w:pStyle w:val="22"/>
      <w:tabs>
        <w:tab w:val="center" w:pos="0"/>
        <w:tab w:val="clear" w:pos="4153"/>
      </w:tabs>
    </w:pPr>
    <w:r>
      <w:rPr>
        <w:rFonts w:hint="eastAsia" w:ascii="宋体" w:hAnsi="宋体"/>
        <w:lang w:eastAsia="zh-CN"/>
      </w:rPr>
      <w:t>柳州市城中区五指山危岩地质灾害治理工程施工监理项目</w:t>
    </w:r>
    <w:r>
      <w:rPr>
        <w:rFonts w:hint="eastAsia" w:ascii="宋体" w:hAnsi="宋体"/>
      </w:rPr>
      <w:t>（</w:t>
    </w:r>
    <w:r>
      <w:rPr>
        <w:rFonts w:hint="eastAsia" w:ascii="宋体" w:hAnsi="宋体"/>
        <w:lang w:eastAsia="zh-CN"/>
      </w:rPr>
      <w:t>项目编号：LZZC2025-C3-020025-GXJD</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72B42"/>
    <w:multiLevelType w:val="singleLevel"/>
    <w:tmpl w:val="E4B72B42"/>
    <w:lvl w:ilvl="0" w:tentative="0">
      <w:start w:val="5"/>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mq5+OrIzqR+56Im1ICYzYKzGhNk=" w:salt="nXe84ZpS7wj+Xw9OhGT4Gw=="/>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GZkYWE3YzIzZWUyNDFiZWViZTAzNDE4MWIxNDM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53EE"/>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1F52"/>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ADB"/>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25D"/>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E7EB6"/>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EA5"/>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0FD"/>
    <w:rsid w:val="00EB559F"/>
    <w:rsid w:val="00EB566C"/>
    <w:rsid w:val="00EB5F3D"/>
    <w:rsid w:val="00EC0C38"/>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30DD"/>
    <w:rsid w:val="01425E7E"/>
    <w:rsid w:val="01AF3D99"/>
    <w:rsid w:val="01CA0799"/>
    <w:rsid w:val="01EC3E90"/>
    <w:rsid w:val="020B6A0C"/>
    <w:rsid w:val="020E02AA"/>
    <w:rsid w:val="02511F9D"/>
    <w:rsid w:val="02624152"/>
    <w:rsid w:val="02D9681D"/>
    <w:rsid w:val="02FE031F"/>
    <w:rsid w:val="03123DE2"/>
    <w:rsid w:val="0350044F"/>
    <w:rsid w:val="03A314B8"/>
    <w:rsid w:val="03D82B98"/>
    <w:rsid w:val="03E60EE9"/>
    <w:rsid w:val="03EA43FF"/>
    <w:rsid w:val="03F83E8B"/>
    <w:rsid w:val="03FA6D38"/>
    <w:rsid w:val="041E2451"/>
    <w:rsid w:val="044B1342"/>
    <w:rsid w:val="04651CD8"/>
    <w:rsid w:val="04980A96"/>
    <w:rsid w:val="04B72D09"/>
    <w:rsid w:val="04BB09C2"/>
    <w:rsid w:val="04EE4BE6"/>
    <w:rsid w:val="052878D5"/>
    <w:rsid w:val="054A55F5"/>
    <w:rsid w:val="054B5371"/>
    <w:rsid w:val="05C56868"/>
    <w:rsid w:val="064642DC"/>
    <w:rsid w:val="06640499"/>
    <w:rsid w:val="06866335"/>
    <w:rsid w:val="069A3EBB"/>
    <w:rsid w:val="077E0292"/>
    <w:rsid w:val="07B72767"/>
    <w:rsid w:val="08077E72"/>
    <w:rsid w:val="084762C4"/>
    <w:rsid w:val="08882DD0"/>
    <w:rsid w:val="08B17109"/>
    <w:rsid w:val="08B60D54"/>
    <w:rsid w:val="0983157E"/>
    <w:rsid w:val="098D649E"/>
    <w:rsid w:val="09AA6BA2"/>
    <w:rsid w:val="09BA6059"/>
    <w:rsid w:val="09CC2AAC"/>
    <w:rsid w:val="09D26E76"/>
    <w:rsid w:val="09F00295"/>
    <w:rsid w:val="0A0F4BBF"/>
    <w:rsid w:val="0A121ED8"/>
    <w:rsid w:val="0A652D3E"/>
    <w:rsid w:val="0A6B75FC"/>
    <w:rsid w:val="0B326F2A"/>
    <w:rsid w:val="0B496B71"/>
    <w:rsid w:val="0B785C4C"/>
    <w:rsid w:val="0BA80E28"/>
    <w:rsid w:val="0BC1013B"/>
    <w:rsid w:val="0BC96FF0"/>
    <w:rsid w:val="0BF10997"/>
    <w:rsid w:val="0C1C1DE3"/>
    <w:rsid w:val="0C1E2888"/>
    <w:rsid w:val="0C6F5DE9"/>
    <w:rsid w:val="0C92213C"/>
    <w:rsid w:val="0D84032B"/>
    <w:rsid w:val="0D913B3D"/>
    <w:rsid w:val="0DBF1056"/>
    <w:rsid w:val="0DDC74AE"/>
    <w:rsid w:val="0E641ACC"/>
    <w:rsid w:val="0E6D53D9"/>
    <w:rsid w:val="0EE02FCE"/>
    <w:rsid w:val="0EE71996"/>
    <w:rsid w:val="0F0071CD"/>
    <w:rsid w:val="0F192123"/>
    <w:rsid w:val="0F2A74C4"/>
    <w:rsid w:val="0F872008"/>
    <w:rsid w:val="0F8B3AAF"/>
    <w:rsid w:val="0FCD5301"/>
    <w:rsid w:val="0FEE0360"/>
    <w:rsid w:val="10090303"/>
    <w:rsid w:val="1015407B"/>
    <w:rsid w:val="10973B61"/>
    <w:rsid w:val="10A27F31"/>
    <w:rsid w:val="112747B9"/>
    <w:rsid w:val="11480062"/>
    <w:rsid w:val="117B0D8C"/>
    <w:rsid w:val="11927058"/>
    <w:rsid w:val="11993A94"/>
    <w:rsid w:val="119A6D6D"/>
    <w:rsid w:val="11AC7198"/>
    <w:rsid w:val="122907E8"/>
    <w:rsid w:val="12443874"/>
    <w:rsid w:val="127A0F0E"/>
    <w:rsid w:val="12854BA0"/>
    <w:rsid w:val="12AB56A1"/>
    <w:rsid w:val="12E7492B"/>
    <w:rsid w:val="12F4157F"/>
    <w:rsid w:val="12F72695"/>
    <w:rsid w:val="1319085D"/>
    <w:rsid w:val="131F61E1"/>
    <w:rsid w:val="138944F2"/>
    <w:rsid w:val="13AF4F03"/>
    <w:rsid w:val="141B2535"/>
    <w:rsid w:val="14736E66"/>
    <w:rsid w:val="147541B9"/>
    <w:rsid w:val="147F0D6F"/>
    <w:rsid w:val="147F458F"/>
    <w:rsid w:val="14BD6D92"/>
    <w:rsid w:val="14D958EC"/>
    <w:rsid w:val="151C4634"/>
    <w:rsid w:val="1534169A"/>
    <w:rsid w:val="153A4457"/>
    <w:rsid w:val="153B65BF"/>
    <w:rsid w:val="156C2EC6"/>
    <w:rsid w:val="15842905"/>
    <w:rsid w:val="15C03E03"/>
    <w:rsid w:val="15DD5B72"/>
    <w:rsid w:val="15E5351D"/>
    <w:rsid w:val="160873D2"/>
    <w:rsid w:val="162A25EB"/>
    <w:rsid w:val="164E4CC1"/>
    <w:rsid w:val="16987071"/>
    <w:rsid w:val="16FD2A55"/>
    <w:rsid w:val="17067C1A"/>
    <w:rsid w:val="17366761"/>
    <w:rsid w:val="177C01F0"/>
    <w:rsid w:val="17CE6630"/>
    <w:rsid w:val="17D62037"/>
    <w:rsid w:val="1844012A"/>
    <w:rsid w:val="186D2112"/>
    <w:rsid w:val="19403F0C"/>
    <w:rsid w:val="19A17E04"/>
    <w:rsid w:val="19A5109C"/>
    <w:rsid w:val="19B32412"/>
    <w:rsid w:val="1AB23A71"/>
    <w:rsid w:val="1AF23E6D"/>
    <w:rsid w:val="1AFF0AFE"/>
    <w:rsid w:val="1B351FAC"/>
    <w:rsid w:val="1B4F19F8"/>
    <w:rsid w:val="1B675ED9"/>
    <w:rsid w:val="1BA57132"/>
    <w:rsid w:val="1BFD52C8"/>
    <w:rsid w:val="1C18194D"/>
    <w:rsid w:val="1C192C9B"/>
    <w:rsid w:val="1C1E6EE4"/>
    <w:rsid w:val="1C226F03"/>
    <w:rsid w:val="1D2D677E"/>
    <w:rsid w:val="1D5C7CC4"/>
    <w:rsid w:val="1D6B43AB"/>
    <w:rsid w:val="1D9C075B"/>
    <w:rsid w:val="1DAF24EA"/>
    <w:rsid w:val="1DFF767F"/>
    <w:rsid w:val="1E0A7720"/>
    <w:rsid w:val="1E6A6411"/>
    <w:rsid w:val="1E85324A"/>
    <w:rsid w:val="1E8F5E77"/>
    <w:rsid w:val="1EBD3A16"/>
    <w:rsid w:val="1ECC44FA"/>
    <w:rsid w:val="1F063325"/>
    <w:rsid w:val="1F203EA9"/>
    <w:rsid w:val="1F457880"/>
    <w:rsid w:val="1F7237CF"/>
    <w:rsid w:val="1F75092B"/>
    <w:rsid w:val="1F9C084C"/>
    <w:rsid w:val="1FBC5DF5"/>
    <w:rsid w:val="1FD60202"/>
    <w:rsid w:val="1FF90588"/>
    <w:rsid w:val="20003F5E"/>
    <w:rsid w:val="20140D2A"/>
    <w:rsid w:val="20492BE1"/>
    <w:rsid w:val="208A1342"/>
    <w:rsid w:val="209E3A28"/>
    <w:rsid w:val="20A57BD4"/>
    <w:rsid w:val="20B6593D"/>
    <w:rsid w:val="20C3623F"/>
    <w:rsid w:val="21423675"/>
    <w:rsid w:val="21781212"/>
    <w:rsid w:val="21962E15"/>
    <w:rsid w:val="21B83F86"/>
    <w:rsid w:val="21C75C1C"/>
    <w:rsid w:val="221178A8"/>
    <w:rsid w:val="221213CF"/>
    <w:rsid w:val="221C5C74"/>
    <w:rsid w:val="22327A92"/>
    <w:rsid w:val="227D77A3"/>
    <w:rsid w:val="2294314B"/>
    <w:rsid w:val="230C5B9D"/>
    <w:rsid w:val="231D53A2"/>
    <w:rsid w:val="232B2612"/>
    <w:rsid w:val="23403BE4"/>
    <w:rsid w:val="236D5383"/>
    <w:rsid w:val="239B4219"/>
    <w:rsid w:val="23B7504C"/>
    <w:rsid w:val="2454390A"/>
    <w:rsid w:val="2455546D"/>
    <w:rsid w:val="24564E1D"/>
    <w:rsid w:val="245711E5"/>
    <w:rsid w:val="24571307"/>
    <w:rsid w:val="245A58F0"/>
    <w:rsid w:val="246A0F18"/>
    <w:rsid w:val="24B77ED6"/>
    <w:rsid w:val="25110A2A"/>
    <w:rsid w:val="25150ABC"/>
    <w:rsid w:val="25156BB8"/>
    <w:rsid w:val="25182B95"/>
    <w:rsid w:val="256707B0"/>
    <w:rsid w:val="256C0944"/>
    <w:rsid w:val="25B108FE"/>
    <w:rsid w:val="25DB68A1"/>
    <w:rsid w:val="26061115"/>
    <w:rsid w:val="26446DE3"/>
    <w:rsid w:val="264509AD"/>
    <w:rsid w:val="267B618C"/>
    <w:rsid w:val="26812549"/>
    <w:rsid w:val="269669E7"/>
    <w:rsid w:val="26D7699F"/>
    <w:rsid w:val="26E0017C"/>
    <w:rsid w:val="27334D21"/>
    <w:rsid w:val="27407542"/>
    <w:rsid w:val="274243CE"/>
    <w:rsid w:val="278C564A"/>
    <w:rsid w:val="27DC037F"/>
    <w:rsid w:val="289A78F2"/>
    <w:rsid w:val="28B02089"/>
    <w:rsid w:val="28BE70AE"/>
    <w:rsid w:val="28C6049C"/>
    <w:rsid w:val="28F12EC9"/>
    <w:rsid w:val="29AB6A4E"/>
    <w:rsid w:val="29DA269C"/>
    <w:rsid w:val="2A032BFD"/>
    <w:rsid w:val="2B2F4C6A"/>
    <w:rsid w:val="2B404781"/>
    <w:rsid w:val="2B647D96"/>
    <w:rsid w:val="2B774624"/>
    <w:rsid w:val="2C6A7D6E"/>
    <w:rsid w:val="2C703495"/>
    <w:rsid w:val="2C7A72BE"/>
    <w:rsid w:val="2C82282E"/>
    <w:rsid w:val="2C9A7D75"/>
    <w:rsid w:val="2CB216AE"/>
    <w:rsid w:val="2CC17412"/>
    <w:rsid w:val="2CC81AE1"/>
    <w:rsid w:val="2D0E010F"/>
    <w:rsid w:val="2DCD7B19"/>
    <w:rsid w:val="2DF67CC1"/>
    <w:rsid w:val="2E2B72CC"/>
    <w:rsid w:val="2E6C7CF6"/>
    <w:rsid w:val="2E9976CE"/>
    <w:rsid w:val="2EA8245C"/>
    <w:rsid w:val="2F340AA1"/>
    <w:rsid w:val="2F401D3C"/>
    <w:rsid w:val="2F4B45C9"/>
    <w:rsid w:val="2F5B24E1"/>
    <w:rsid w:val="2F722492"/>
    <w:rsid w:val="2FA21EAE"/>
    <w:rsid w:val="2FA95C88"/>
    <w:rsid w:val="2FB475A5"/>
    <w:rsid w:val="2FE07B7F"/>
    <w:rsid w:val="3009298E"/>
    <w:rsid w:val="3041370F"/>
    <w:rsid w:val="306F4706"/>
    <w:rsid w:val="3070356C"/>
    <w:rsid w:val="308C2216"/>
    <w:rsid w:val="3102275C"/>
    <w:rsid w:val="312B50A3"/>
    <w:rsid w:val="313E5C07"/>
    <w:rsid w:val="318C4BC4"/>
    <w:rsid w:val="31E51F90"/>
    <w:rsid w:val="31F2079F"/>
    <w:rsid w:val="3207424B"/>
    <w:rsid w:val="323D7737"/>
    <w:rsid w:val="32453A27"/>
    <w:rsid w:val="3263064A"/>
    <w:rsid w:val="32A43132"/>
    <w:rsid w:val="32AC0C06"/>
    <w:rsid w:val="32B119E2"/>
    <w:rsid w:val="32D372B0"/>
    <w:rsid w:val="32D9144E"/>
    <w:rsid w:val="32FB3B27"/>
    <w:rsid w:val="33096899"/>
    <w:rsid w:val="33344EF5"/>
    <w:rsid w:val="337A0A4C"/>
    <w:rsid w:val="33A04957"/>
    <w:rsid w:val="34241494"/>
    <w:rsid w:val="34452E08"/>
    <w:rsid w:val="34AA5B2B"/>
    <w:rsid w:val="34AA710F"/>
    <w:rsid w:val="34B36265"/>
    <w:rsid w:val="34B87A7E"/>
    <w:rsid w:val="34CF1A69"/>
    <w:rsid w:val="3537750C"/>
    <w:rsid w:val="3537798C"/>
    <w:rsid w:val="35AD335B"/>
    <w:rsid w:val="35BD118C"/>
    <w:rsid w:val="35C13FC9"/>
    <w:rsid w:val="35E0728C"/>
    <w:rsid w:val="364257B6"/>
    <w:rsid w:val="36631C6B"/>
    <w:rsid w:val="366E2AEA"/>
    <w:rsid w:val="36A52284"/>
    <w:rsid w:val="37A70123"/>
    <w:rsid w:val="37EA5922"/>
    <w:rsid w:val="37F50EF6"/>
    <w:rsid w:val="38276B93"/>
    <w:rsid w:val="388F6D48"/>
    <w:rsid w:val="38AC3431"/>
    <w:rsid w:val="38AE3672"/>
    <w:rsid w:val="38E5105E"/>
    <w:rsid w:val="3905700A"/>
    <w:rsid w:val="392F2E16"/>
    <w:rsid w:val="397C5741"/>
    <w:rsid w:val="398D2353"/>
    <w:rsid w:val="39BD0402"/>
    <w:rsid w:val="39E00529"/>
    <w:rsid w:val="3A0B64A7"/>
    <w:rsid w:val="3A39340F"/>
    <w:rsid w:val="3A574DDA"/>
    <w:rsid w:val="3A617697"/>
    <w:rsid w:val="3A80103E"/>
    <w:rsid w:val="3AA73588"/>
    <w:rsid w:val="3AC84793"/>
    <w:rsid w:val="3AD3075A"/>
    <w:rsid w:val="3ADE5EC6"/>
    <w:rsid w:val="3AF74C02"/>
    <w:rsid w:val="3B262614"/>
    <w:rsid w:val="3B710987"/>
    <w:rsid w:val="3C0059A5"/>
    <w:rsid w:val="3C134E78"/>
    <w:rsid w:val="3C5D0E77"/>
    <w:rsid w:val="3CB6184C"/>
    <w:rsid w:val="3CCC6628"/>
    <w:rsid w:val="3D0C4E0B"/>
    <w:rsid w:val="3D94624D"/>
    <w:rsid w:val="3D976036"/>
    <w:rsid w:val="3DAE7C70"/>
    <w:rsid w:val="3DBA03C3"/>
    <w:rsid w:val="3DBD494D"/>
    <w:rsid w:val="3DEC7285"/>
    <w:rsid w:val="3DF15DAF"/>
    <w:rsid w:val="3DF6345D"/>
    <w:rsid w:val="3DF77EB6"/>
    <w:rsid w:val="3E2B5515"/>
    <w:rsid w:val="3E4D4F28"/>
    <w:rsid w:val="3E500D27"/>
    <w:rsid w:val="3E7A51E9"/>
    <w:rsid w:val="3E8D1F7B"/>
    <w:rsid w:val="3E9571B9"/>
    <w:rsid w:val="3EE13701"/>
    <w:rsid w:val="3EEF0540"/>
    <w:rsid w:val="3F0A7128"/>
    <w:rsid w:val="3F1A4BB3"/>
    <w:rsid w:val="3F580527"/>
    <w:rsid w:val="3FB86B84"/>
    <w:rsid w:val="40192BA6"/>
    <w:rsid w:val="40321273"/>
    <w:rsid w:val="403C5199"/>
    <w:rsid w:val="40727F0B"/>
    <w:rsid w:val="411F38FE"/>
    <w:rsid w:val="412B15D8"/>
    <w:rsid w:val="415A4C65"/>
    <w:rsid w:val="41635215"/>
    <w:rsid w:val="41766EA9"/>
    <w:rsid w:val="41EE06C6"/>
    <w:rsid w:val="42550A18"/>
    <w:rsid w:val="429D496A"/>
    <w:rsid w:val="42A963D4"/>
    <w:rsid w:val="42F473A1"/>
    <w:rsid w:val="43AC182F"/>
    <w:rsid w:val="43B9736F"/>
    <w:rsid w:val="43CF0940"/>
    <w:rsid w:val="43D47D05"/>
    <w:rsid w:val="43E17D70"/>
    <w:rsid w:val="43FD7920"/>
    <w:rsid w:val="441E62C0"/>
    <w:rsid w:val="444620F1"/>
    <w:rsid w:val="44556671"/>
    <w:rsid w:val="44627A06"/>
    <w:rsid w:val="44705C7F"/>
    <w:rsid w:val="44CE29A6"/>
    <w:rsid w:val="45325D14"/>
    <w:rsid w:val="4574179F"/>
    <w:rsid w:val="45811C7C"/>
    <w:rsid w:val="458F7C24"/>
    <w:rsid w:val="45906116"/>
    <w:rsid w:val="46004DE1"/>
    <w:rsid w:val="468B3EFB"/>
    <w:rsid w:val="470A6193"/>
    <w:rsid w:val="47385210"/>
    <w:rsid w:val="47613CD5"/>
    <w:rsid w:val="4783216D"/>
    <w:rsid w:val="47890416"/>
    <w:rsid w:val="47967477"/>
    <w:rsid w:val="47DC4F5C"/>
    <w:rsid w:val="48B40671"/>
    <w:rsid w:val="48E21116"/>
    <w:rsid w:val="49180694"/>
    <w:rsid w:val="492928A1"/>
    <w:rsid w:val="493A685C"/>
    <w:rsid w:val="493E581B"/>
    <w:rsid w:val="49506EA2"/>
    <w:rsid w:val="499A379E"/>
    <w:rsid w:val="499B5738"/>
    <w:rsid w:val="499F244D"/>
    <w:rsid w:val="49F3372F"/>
    <w:rsid w:val="4A221E38"/>
    <w:rsid w:val="4A3F31F8"/>
    <w:rsid w:val="4A40184C"/>
    <w:rsid w:val="4A585020"/>
    <w:rsid w:val="4A930494"/>
    <w:rsid w:val="4A956924"/>
    <w:rsid w:val="4A973F3F"/>
    <w:rsid w:val="4ABD7744"/>
    <w:rsid w:val="4ACF1226"/>
    <w:rsid w:val="4AF96BC7"/>
    <w:rsid w:val="4B5A416B"/>
    <w:rsid w:val="4B862A85"/>
    <w:rsid w:val="4BC82F36"/>
    <w:rsid w:val="4C325706"/>
    <w:rsid w:val="4C40066C"/>
    <w:rsid w:val="4CA02CF2"/>
    <w:rsid w:val="4CEF36E2"/>
    <w:rsid w:val="4CEF4DC5"/>
    <w:rsid w:val="4D55429F"/>
    <w:rsid w:val="4D8C1650"/>
    <w:rsid w:val="4DEC26D8"/>
    <w:rsid w:val="4E0D2791"/>
    <w:rsid w:val="4E257655"/>
    <w:rsid w:val="4E8E7871"/>
    <w:rsid w:val="4EAC1FAA"/>
    <w:rsid w:val="4EAF077C"/>
    <w:rsid w:val="4EC64474"/>
    <w:rsid w:val="4F3629AB"/>
    <w:rsid w:val="4F372380"/>
    <w:rsid w:val="4F372FFB"/>
    <w:rsid w:val="4F4421E2"/>
    <w:rsid w:val="4F5320EB"/>
    <w:rsid w:val="4F6C798B"/>
    <w:rsid w:val="500030A6"/>
    <w:rsid w:val="5025116D"/>
    <w:rsid w:val="508D4F4B"/>
    <w:rsid w:val="51511837"/>
    <w:rsid w:val="51D11D27"/>
    <w:rsid w:val="51FF77F8"/>
    <w:rsid w:val="52173BDE"/>
    <w:rsid w:val="52395ECD"/>
    <w:rsid w:val="52431936"/>
    <w:rsid w:val="52C10D75"/>
    <w:rsid w:val="52E23374"/>
    <w:rsid w:val="53081779"/>
    <w:rsid w:val="531D7AE8"/>
    <w:rsid w:val="532C7BB6"/>
    <w:rsid w:val="533F163E"/>
    <w:rsid w:val="53A3360A"/>
    <w:rsid w:val="53B316E5"/>
    <w:rsid w:val="53C27FF8"/>
    <w:rsid w:val="53EC32AF"/>
    <w:rsid w:val="543071D9"/>
    <w:rsid w:val="543665CF"/>
    <w:rsid w:val="543E7ADC"/>
    <w:rsid w:val="549E1A80"/>
    <w:rsid w:val="54BF6FE2"/>
    <w:rsid w:val="54C658F4"/>
    <w:rsid w:val="55005C33"/>
    <w:rsid w:val="550C4BD7"/>
    <w:rsid w:val="55172147"/>
    <w:rsid w:val="55422AE6"/>
    <w:rsid w:val="554C1D56"/>
    <w:rsid w:val="55572986"/>
    <w:rsid w:val="555E1333"/>
    <w:rsid w:val="55A979FD"/>
    <w:rsid w:val="55C062DD"/>
    <w:rsid w:val="563B6A02"/>
    <w:rsid w:val="565340FA"/>
    <w:rsid w:val="568B48DA"/>
    <w:rsid w:val="5723343E"/>
    <w:rsid w:val="573D7EAB"/>
    <w:rsid w:val="576C0528"/>
    <w:rsid w:val="5876212B"/>
    <w:rsid w:val="58E029EC"/>
    <w:rsid w:val="59E24AD2"/>
    <w:rsid w:val="5A2348F9"/>
    <w:rsid w:val="5A2F2CC8"/>
    <w:rsid w:val="5A9B3696"/>
    <w:rsid w:val="5AB346C0"/>
    <w:rsid w:val="5B0B44FC"/>
    <w:rsid w:val="5B556AB8"/>
    <w:rsid w:val="5B7D043B"/>
    <w:rsid w:val="5B9C33A6"/>
    <w:rsid w:val="5BA26962"/>
    <w:rsid w:val="5C10702D"/>
    <w:rsid w:val="5C152601"/>
    <w:rsid w:val="5C205D85"/>
    <w:rsid w:val="5C591F03"/>
    <w:rsid w:val="5C7E284D"/>
    <w:rsid w:val="5C8A1B2F"/>
    <w:rsid w:val="5C901728"/>
    <w:rsid w:val="5CCB5CF1"/>
    <w:rsid w:val="5D183972"/>
    <w:rsid w:val="5D40714A"/>
    <w:rsid w:val="5D8B722E"/>
    <w:rsid w:val="5D914004"/>
    <w:rsid w:val="5DED613B"/>
    <w:rsid w:val="5DEF5B8D"/>
    <w:rsid w:val="5DF55B8C"/>
    <w:rsid w:val="5DFE5C52"/>
    <w:rsid w:val="5E3F195D"/>
    <w:rsid w:val="5E613B0E"/>
    <w:rsid w:val="5E802B0B"/>
    <w:rsid w:val="5EB42026"/>
    <w:rsid w:val="5EB87D13"/>
    <w:rsid w:val="5EEE216B"/>
    <w:rsid w:val="5F561B72"/>
    <w:rsid w:val="5F6B37BB"/>
    <w:rsid w:val="5F8605F5"/>
    <w:rsid w:val="5FF7119A"/>
    <w:rsid w:val="600B26C3"/>
    <w:rsid w:val="606007BB"/>
    <w:rsid w:val="607246D5"/>
    <w:rsid w:val="60AC7F66"/>
    <w:rsid w:val="61113EEE"/>
    <w:rsid w:val="616B7AA3"/>
    <w:rsid w:val="61BF10D9"/>
    <w:rsid w:val="61DA3D4C"/>
    <w:rsid w:val="61F0599D"/>
    <w:rsid w:val="62160916"/>
    <w:rsid w:val="622413A9"/>
    <w:rsid w:val="622F0AD0"/>
    <w:rsid w:val="62361E5F"/>
    <w:rsid w:val="62774F17"/>
    <w:rsid w:val="62AC22DC"/>
    <w:rsid w:val="62F12229"/>
    <w:rsid w:val="637833E8"/>
    <w:rsid w:val="639037F0"/>
    <w:rsid w:val="63D4115E"/>
    <w:rsid w:val="64CD7548"/>
    <w:rsid w:val="64E45EF7"/>
    <w:rsid w:val="64F102BF"/>
    <w:rsid w:val="64FF464D"/>
    <w:rsid w:val="651644C7"/>
    <w:rsid w:val="651E6BDA"/>
    <w:rsid w:val="65426D6C"/>
    <w:rsid w:val="656B62C3"/>
    <w:rsid w:val="65E12667"/>
    <w:rsid w:val="662912B4"/>
    <w:rsid w:val="663F32AC"/>
    <w:rsid w:val="664F7993"/>
    <w:rsid w:val="6691014E"/>
    <w:rsid w:val="669762C2"/>
    <w:rsid w:val="66C87CCE"/>
    <w:rsid w:val="66ED2D08"/>
    <w:rsid w:val="6714680B"/>
    <w:rsid w:val="672317E1"/>
    <w:rsid w:val="673D77EB"/>
    <w:rsid w:val="67584625"/>
    <w:rsid w:val="6760172C"/>
    <w:rsid w:val="677435B2"/>
    <w:rsid w:val="677456CA"/>
    <w:rsid w:val="679114C1"/>
    <w:rsid w:val="67EF75F1"/>
    <w:rsid w:val="67F24A7A"/>
    <w:rsid w:val="68134D5F"/>
    <w:rsid w:val="68365042"/>
    <w:rsid w:val="687234C5"/>
    <w:rsid w:val="687C54A8"/>
    <w:rsid w:val="69124F16"/>
    <w:rsid w:val="691A347C"/>
    <w:rsid w:val="69427A59"/>
    <w:rsid w:val="694A5205"/>
    <w:rsid w:val="69815A80"/>
    <w:rsid w:val="698F449D"/>
    <w:rsid w:val="69C42446"/>
    <w:rsid w:val="69CD5C14"/>
    <w:rsid w:val="69CF0D33"/>
    <w:rsid w:val="69F34AD9"/>
    <w:rsid w:val="6A1C5DDE"/>
    <w:rsid w:val="6A283FCE"/>
    <w:rsid w:val="6A384778"/>
    <w:rsid w:val="6A4E3ABD"/>
    <w:rsid w:val="6A8B4A13"/>
    <w:rsid w:val="6AD2649C"/>
    <w:rsid w:val="6B11594B"/>
    <w:rsid w:val="6B376C47"/>
    <w:rsid w:val="6B600F02"/>
    <w:rsid w:val="6B731183"/>
    <w:rsid w:val="6B9946B3"/>
    <w:rsid w:val="6BD9335E"/>
    <w:rsid w:val="6C07661A"/>
    <w:rsid w:val="6C335D5C"/>
    <w:rsid w:val="6C3A7223"/>
    <w:rsid w:val="6C662189"/>
    <w:rsid w:val="6C7007C7"/>
    <w:rsid w:val="6C9107E3"/>
    <w:rsid w:val="6CAD0F6F"/>
    <w:rsid w:val="6CDE7428"/>
    <w:rsid w:val="6CEB12F7"/>
    <w:rsid w:val="6D483E21"/>
    <w:rsid w:val="6D7B106D"/>
    <w:rsid w:val="6D8560A4"/>
    <w:rsid w:val="6DAE2350"/>
    <w:rsid w:val="6DD75141"/>
    <w:rsid w:val="6DE76850"/>
    <w:rsid w:val="6E034799"/>
    <w:rsid w:val="6E1640F9"/>
    <w:rsid w:val="6E296D1B"/>
    <w:rsid w:val="6E34121C"/>
    <w:rsid w:val="6E423939"/>
    <w:rsid w:val="6E8B52E0"/>
    <w:rsid w:val="6EBC7B8F"/>
    <w:rsid w:val="6F2862D1"/>
    <w:rsid w:val="6F6759C1"/>
    <w:rsid w:val="6F925F92"/>
    <w:rsid w:val="6FB20BD4"/>
    <w:rsid w:val="6FB45D17"/>
    <w:rsid w:val="6FB650F7"/>
    <w:rsid w:val="6FBA59BE"/>
    <w:rsid w:val="70296B3E"/>
    <w:rsid w:val="704C0E05"/>
    <w:rsid w:val="70611204"/>
    <w:rsid w:val="70C1323B"/>
    <w:rsid w:val="70C25205"/>
    <w:rsid w:val="70E91FE8"/>
    <w:rsid w:val="71015309"/>
    <w:rsid w:val="71241A1C"/>
    <w:rsid w:val="71324139"/>
    <w:rsid w:val="714E1C11"/>
    <w:rsid w:val="719A3A8C"/>
    <w:rsid w:val="71B132B0"/>
    <w:rsid w:val="71CD79BE"/>
    <w:rsid w:val="71F15DA2"/>
    <w:rsid w:val="7251239D"/>
    <w:rsid w:val="725A21C1"/>
    <w:rsid w:val="72623BBD"/>
    <w:rsid w:val="733D0B73"/>
    <w:rsid w:val="73445350"/>
    <w:rsid w:val="735465E8"/>
    <w:rsid w:val="738329DB"/>
    <w:rsid w:val="73D51657"/>
    <w:rsid w:val="74240B0A"/>
    <w:rsid w:val="74D50BC0"/>
    <w:rsid w:val="74EB6AD9"/>
    <w:rsid w:val="74FA2C30"/>
    <w:rsid w:val="754D5C4B"/>
    <w:rsid w:val="755E374E"/>
    <w:rsid w:val="765608C9"/>
    <w:rsid w:val="76593F16"/>
    <w:rsid w:val="76C240A7"/>
    <w:rsid w:val="76F04B13"/>
    <w:rsid w:val="76FD0D45"/>
    <w:rsid w:val="770C71DA"/>
    <w:rsid w:val="775246B7"/>
    <w:rsid w:val="77AA5BFA"/>
    <w:rsid w:val="78061696"/>
    <w:rsid w:val="781E69D1"/>
    <w:rsid w:val="78281DF2"/>
    <w:rsid w:val="78A23952"/>
    <w:rsid w:val="78A730F6"/>
    <w:rsid w:val="78B7340B"/>
    <w:rsid w:val="78B867DD"/>
    <w:rsid w:val="79706276"/>
    <w:rsid w:val="797E44D4"/>
    <w:rsid w:val="79F73571"/>
    <w:rsid w:val="7A0F55DA"/>
    <w:rsid w:val="7A263B6B"/>
    <w:rsid w:val="7A6517C0"/>
    <w:rsid w:val="7A7C4677"/>
    <w:rsid w:val="7AA41B4F"/>
    <w:rsid w:val="7ACA3634"/>
    <w:rsid w:val="7AE75F94"/>
    <w:rsid w:val="7AF46346"/>
    <w:rsid w:val="7AF83CFD"/>
    <w:rsid w:val="7B0F54EB"/>
    <w:rsid w:val="7B0F5EBF"/>
    <w:rsid w:val="7B130FB9"/>
    <w:rsid w:val="7B697FFC"/>
    <w:rsid w:val="7B75534E"/>
    <w:rsid w:val="7BB06386"/>
    <w:rsid w:val="7BCB6C3C"/>
    <w:rsid w:val="7BD1454E"/>
    <w:rsid w:val="7BDA78A7"/>
    <w:rsid w:val="7BEB5610"/>
    <w:rsid w:val="7BEE3352"/>
    <w:rsid w:val="7BF64EDE"/>
    <w:rsid w:val="7C377D3A"/>
    <w:rsid w:val="7C3C5E6C"/>
    <w:rsid w:val="7C400C1E"/>
    <w:rsid w:val="7C635251"/>
    <w:rsid w:val="7C8C559B"/>
    <w:rsid w:val="7C947A56"/>
    <w:rsid w:val="7C9A2D33"/>
    <w:rsid w:val="7CB5616E"/>
    <w:rsid w:val="7CF361D0"/>
    <w:rsid w:val="7D744A71"/>
    <w:rsid w:val="7DB67EA0"/>
    <w:rsid w:val="7DBB1012"/>
    <w:rsid w:val="7DD11708"/>
    <w:rsid w:val="7E21356B"/>
    <w:rsid w:val="7E4255B9"/>
    <w:rsid w:val="7E427099"/>
    <w:rsid w:val="7E722019"/>
    <w:rsid w:val="7E991353"/>
    <w:rsid w:val="7EBD579E"/>
    <w:rsid w:val="7EC167BD"/>
    <w:rsid w:val="7EED5B43"/>
    <w:rsid w:val="7F272D9E"/>
    <w:rsid w:val="7F5B485B"/>
    <w:rsid w:val="7F7E1E38"/>
    <w:rsid w:val="7F935F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6"/>
    <w:qFormat/>
    <w:uiPriority w:val="9"/>
    <w:pPr>
      <w:keepNext/>
      <w:keepLines/>
      <w:spacing w:before="280" w:after="290" w:line="376" w:lineRule="auto"/>
      <w:outlineLvl w:val="4"/>
    </w:pPr>
    <w:rPr>
      <w:b/>
      <w:bCs/>
      <w:sz w:val="28"/>
      <w:szCs w:val="28"/>
    </w:rPr>
  </w:style>
  <w:style w:type="paragraph" w:styleId="9">
    <w:name w:val="heading 8"/>
    <w:basedOn w:val="1"/>
    <w:next w:val="1"/>
    <w:link w:val="47"/>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footer"/>
    <w:basedOn w:val="1"/>
    <w:link w:val="54"/>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8"/>
    <w:qFormat/>
    <w:uiPriority w:val="0"/>
    <w:pPr>
      <w:jc w:val="left"/>
    </w:pPr>
  </w:style>
  <w:style w:type="paragraph" w:styleId="12">
    <w:name w:val="Body Text 3"/>
    <w:basedOn w:val="1"/>
    <w:link w:val="49"/>
    <w:unhideWhenUsed/>
    <w:qFormat/>
    <w:uiPriority w:val="99"/>
    <w:pPr>
      <w:spacing w:after="120"/>
    </w:pPr>
    <w:rPr>
      <w:sz w:val="16"/>
      <w:szCs w:val="16"/>
    </w:rPr>
  </w:style>
  <w:style w:type="paragraph" w:styleId="13">
    <w:name w:val="Body Text"/>
    <w:basedOn w:val="1"/>
    <w:next w:val="14"/>
    <w:link w:val="50"/>
    <w:unhideWhenUsed/>
    <w:qFormat/>
    <w:uiPriority w:val="0"/>
    <w:pPr>
      <w:spacing w:after="120"/>
    </w:pPr>
  </w:style>
  <w:style w:type="paragraph" w:customStyle="1" w:styleId="14">
    <w:name w:val="Body Text First Indent1"/>
    <w:basedOn w:val="13"/>
    <w:next w:val="1"/>
    <w:qFormat/>
    <w:uiPriority w:val="0"/>
    <w:pPr>
      <w:spacing w:after="120" w:afterLines="0"/>
      <w:ind w:firstLine="420" w:firstLineChars="100"/>
    </w:pPr>
    <w:rPr>
      <w:sz w:val="21"/>
    </w:rPr>
  </w:style>
  <w:style w:type="paragraph" w:styleId="15">
    <w:name w:val="Body Text Indent"/>
    <w:basedOn w:val="1"/>
    <w:next w:val="16"/>
    <w:link w:val="43"/>
    <w:qFormat/>
    <w:uiPriority w:val="0"/>
    <w:pPr>
      <w:ind w:firstLine="830" w:firstLineChars="352"/>
    </w:pPr>
    <w:rPr>
      <w:rFonts w:ascii="仿宋_GB2312" w:eastAsia="仿宋_GB2312"/>
      <w:kern w:val="0"/>
      <w:sz w:val="32"/>
      <w:szCs w:val="20"/>
    </w:rPr>
  </w:style>
  <w:style w:type="paragraph" w:styleId="16">
    <w:name w:val="Plain Text"/>
    <w:basedOn w:val="1"/>
    <w:next w:val="6"/>
    <w:link w:val="51"/>
    <w:qFormat/>
    <w:uiPriority w:val="0"/>
    <w:rPr>
      <w:rFonts w:ascii="宋体" w:hAnsi="Courier New"/>
      <w:kern w:val="0"/>
      <w:sz w:val="20"/>
      <w:szCs w:val="21"/>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ind w:left="840" w:leftChars="400"/>
    </w:pPr>
  </w:style>
  <w:style w:type="paragraph" w:styleId="19">
    <w:name w:val="Date"/>
    <w:basedOn w:val="1"/>
    <w:next w:val="1"/>
    <w:link w:val="52"/>
    <w:unhideWhenUsed/>
    <w:qFormat/>
    <w:uiPriority w:val="99"/>
    <w:pPr>
      <w:ind w:left="100" w:leftChars="2500"/>
    </w:pPr>
  </w:style>
  <w:style w:type="paragraph" w:styleId="20">
    <w:name w:val="Body Text Indent 2"/>
    <w:basedOn w:val="1"/>
    <w:qFormat/>
    <w:uiPriority w:val="0"/>
    <w:pPr>
      <w:spacing w:after="120" w:afterLines="0" w:line="480" w:lineRule="auto"/>
      <w:ind w:left="420" w:leftChars="200"/>
    </w:pPr>
  </w:style>
  <w:style w:type="paragraph" w:styleId="21">
    <w:name w:val="Balloon Text"/>
    <w:basedOn w:val="1"/>
    <w:link w:val="53"/>
    <w:semiHidden/>
    <w:qFormat/>
    <w:uiPriority w:val="0"/>
    <w:rPr>
      <w:sz w:val="18"/>
      <w:szCs w:val="18"/>
    </w:rPr>
  </w:style>
  <w:style w:type="paragraph" w:styleId="22">
    <w:name w:val="header"/>
    <w:basedOn w:val="1"/>
    <w:link w:val="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8">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9">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30">
    <w:name w:val="annotation subject"/>
    <w:basedOn w:val="11"/>
    <w:next w:val="11"/>
    <w:link w:val="56"/>
    <w:qFormat/>
    <w:uiPriority w:val="99"/>
    <w:rPr>
      <w:b/>
      <w:bCs/>
    </w:rPr>
  </w:style>
  <w:style w:type="paragraph" w:styleId="31">
    <w:name w:val="Body Text First Indent 2"/>
    <w:basedOn w:val="15"/>
    <w:next w:val="1"/>
    <w:qFormat/>
    <w:uiPriority w:val="0"/>
    <w:pPr>
      <w:ind w:firstLine="420" w:firstLineChars="200"/>
    </w:pPr>
    <w:rPr>
      <w:rFonts w:eastAsia="仿宋"/>
      <w:sz w:val="28"/>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qFormat/>
    <w:uiPriority w:val="0"/>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标题 3 Char"/>
    <w:link w:val="5"/>
    <w:qFormat/>
    <w:uiPriority w:val="9"/>
    <w:rPr>
      <w:b/>
      <w:bCs/>
      <w:kern w:val="2"/>
      <w:sz w:val="32"/>
      <w:szCs w:val="32"/>
    </w:rPr>
  </w:style>
  <w:style w:type="character" w:customStyle="1" w:styleId="43">
    <w:name w:val="正文文本缩进 Char"/>
    <w:link w:val="15"/>
    <w:qFormat/>
    <w:uiPriority w:val="0"/>
    <w:rPr>
      <w:rFonts w:ascii="仿宋_GB2312" w:hAnsi="Times New Roman" w:eastAsia="仿宋_GB2312" w:cs="Times New Roman"/>
      <w:sz w:val="32"/>
      <w:szCs w:val="20"/>
    </w:rPr>
  </w:style>
  <w:style w:type="character" w:customStyle="1" w:styleId="44">
    <w:name w:val="标题 1 Char"/>
    <w:link w:val="3"/>
    <w:qFormat/>
    <w:uiPriority w:val="9"/>
    <w:rPr>
      <w:b/>
      <w:bCs/>
      <w:kern w:val="44"/>
      <w:sz w:val="44"/>
      <w:szCs w:val="44"/>
    </w:rPr>
  </w:style>
  <w:style w:type="character" w:customStyle="1" w:styleId="45">
    <w:name w:val="标题 2 Char1"/>
    <w:link w:val="4"/>
    <w:qFormat/>
    <w:uiPriority w:val="9"/>
    <w:rPr>
      <w:rFonts w:ascii="Cambria" w:hAnsi="Cambria" w:eastAsia="宋体" w:cs="Times New Roman"/>
      <w:b/>
      <w:bCs/>
      <w:kern w:val="2"/>
      <w:sz w:val="32"/>
      <w:szCs w:val="32"/>
    </w:rPr>
  </w:style>
  <w:style w:type="character" w:customStyle="1" w:styleId="46">
    <w:name w:val="标题 5 Char"/>
    <w:link w:val="7"/>
    <w:qFormat/>
    <w:uiPriority w:val="9"/>
    <w:rPr>
      <w:rFonts w:ascii="Times New Roman" w:hAnsi="Times New Roman"/>
      <w:b/>
      <w:bCs/>
      <w:kern w:val="2"/>
      <w:sz w:val="28"/>
      <w:szCs w:val="28"/>
    </w:rPr>
  </w:style>
  <w:style w:type="character" w:customStyle="1" w:styleId="47">
    <w:name w:val="标题 8 Char1"/>
    <w:link w:val="9"/>
    <w:qFormat/>
    <w:uiPriority w:val="9"/>
    <w:rPr>
      <w:rFonts w:ascii="等线 Light" w:hAnsi="等线 Light" w:eastAsia="等线 Light" w:cs="Times New Roman"/>
      <w:kern w:val="2"/>
      <w:sz w:val="24"/>
      <w:szCs w:val="24"/>
    </w:rPr>
  </w:style>
  <w:style w:type="character" w:customStyle="1" w:styleId="48">
    <w:name w:val="批注文字 Char1"/>
    <w:link w:val="11"/>
    <w:qFormat/>
    <w:uiPriority w:val="0"/>
    <w:rPr>
      <w:rFonts w:ascii="Times New Roman" w:hAnsi="Times New Roman"/>
      <w:kern w:val="2"/>
      <w:sz w:val="21"/>
      <w:szCs w:val="24"/>
    </w:rPr>
  </w:style>
  <w:style w:type="character" w:customStyle="1" w:styleId="49">
    <w:name w:val="正文文本 3 Char"/>
    <w:link w:val="12"/>
    <w:qFormat/>
    <w:uiPriority w:val="99"/>
    <w:rPr>
      <w:kern w:val="2"/>
      <w:sz w:val="16"/>
      <w:szCs w:val="16"/>
    </w:rPr>
  </w:style>
  <w:style w:type="character" w:customStyle="1" w:styleId="50">
    <w:name w:val="正文文本 Char1"/>
    <w:link w:val="13"/>
    <w:qFormat/>
    <w:uiPriority w:val="0"/>
    <w:rPr>
      <w:rFonts w:ascii="Times New Roman" w:hAnsi="Times New Roman"/>
      <w:kern w:val="2"/>
      <w:sz w:val="21"/>
      <w:szCs w:val="24"/>
    </w:rPr>
  </w:style>
  <w:style w:type="character" w:customStyle="1" w:styleId="51">
    <w:name w:val="纯文本 Char1"/>
    <w:link w:val="16"/>
    <w:qFormat/>
    <w:uiPriority w:val="0"/>
    <w:rPr>
      <w:rFonts w:ascii="宋体" w:hAnsi="Courier New" w:eastAsia="宋体" w:cs="Courier New"/>
      <w:szCs w:val="21"/>
    </w:rPr>
  </w:style>
  <w:style w:type="character" w:customStyle="1" w:styleId="52">
    <w:name w:val="日期 Char"/>
    <w:link w:val="19"/>
    <w:qFormat/>
    <w:uiPriority w:val="99"/>
    <w:rPr>
      <w:rFonts w:ascii="Times New Roman" w:hAnsi="Times New Roman"/>
      <w:kern w:val="2"/>
      <w:sz w:val="21"/>
      <w:szCs w:val="24"/>
    </w:rPr>
  </w:style>
  <w:style w:type="character" w:customStyle="1" w:styleId="53">
    <w:name w:val="批注框文本 Char"/>
    <w:link w:val="21"/>
    <w:semiHidden/>
    <w:qFormat/>
    <w:uiPriority w:val="0"/>
    <w:rPr>
      <w:kern w:val="2"/>
      <w:sz w:val="18"/>
      <w:szCs w:val="18"/>
    </w:rPr>
  </w:style>
  <w:style w:type="character" w:customStyle="1" w:styleId="54">
    <w:name w:val="页脚 Char"/>
    <w:link w:val="2"/>
    <w:qFormat/>
    <w:uiPriority w:val="99"/>
    <w:rPr>
      <w:sz w:val="18"/>
      <w:szCs w:val="18"/>
    </w:rPr>
  </w:style>
  <w:style w:type="character" w:customStyle="1" w:styleId="55">
    <w:name w:val="页眉 Char"/>
    <w:link w:val="22"/>
    <w:qFormat/>
    <w:uiPriority w:val="99"/>
    <w:rPr>
      <w:sz w:val="18"/>
      <w:szCs w:val="18"/>
    </w:rPr>
  </w:style>
  <w:style w:type="character" w:customStyle="1" w:styleId="56">
    <w:name w:val="批注主题 Char"/>
    <w:link w:val="30"/>
    <w:qFormat/>
    <w:uiPriority w:val="99"/>
    <w:rPr>
      <w:rFonts w:ascii="Times New Roman" w:hAnsi="Times New Roman"/>
      <w:b/>
      <w:bCs/>
      <w:kern w:val="2"/>
      <w:sz w:val="21"/>
      <w:szCs w:val="24"/>
    </w:rPr>
  </w:style>
  <w:style w:type="paragraph" w:customStyle="1" w:styleId="57">
    <w:name w:val="表格文字"/>
    <w:basedOn w:val="15"/>
    <w:next w:val="13"/>
    <w:qFormat/>
    <w:uiPriority w:val="0"/>
    <w:pPr>
      <w:adjustRightInd w:val="0"/>
      <w:spacing w:line="420" w:lineRule="atLeast"/>
      <w:jc w:val="left"/>
      <w:textAlignment w:val="baseline"/>
    </w:pPr>
    <w:rPr>
      <w:kern w:val="0"/>
    </w:rPr>
  </w:style>
  <w:style w:type="character" w:customStyle="1" w:styleId="58">
    <w:name w:val="批注文字 Char"/>
    <w:qFormat/>
    <w:uiPriority w:val="0"/>
    <w:rPr>
      <w:rFonts w:ascii="Times New Roman" w:hAnsi="Times New Roman"/>
      <w:kern w:val="2"/>
      <w:sz w:val="21"/>
      <w:szCs w:val="24"/>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未处理的提及"/>
    <w:unhideWhenUsed/>
    <w:qFormat/>
    <w:uiPriority w:val="99"/>
    <w:rPr>
      <w:color w:val="605E5C"/>
      <w:shd w:val="clear" w:color="auto" w:fill="E1DFDD"/>
    </w:rPr>
  </w:style>
  <w:style w:type="character" w:customStyle="1" w:styleId="61">
    <w:name w:val="标题 8 Char"/>
    <w:qFormat/>
    <w:uiPriority w:val="0"/>
    <w:rPr>
      <w:rFonts w:ascii="Arial" w:hAnsi="Arial" w:eastAsia="黑体"/>
      <w:kern w:val="2"/>
      <w:sz w:val="24"/>
      <w:szCs w:val="24"/>
    </w:rPr>
  </w:style>
  <w:style w:type="character" w:customStyle="1" w:styleId="62">
    <w:name w:val="apple-style-span"/>
    <w:qFormat/>
    <w:uiPriority w:val="0"/>
  </w:style>
  <w:style w:type="character" w:customStyle="1" w:styleId="63">
    <w:name w:val="textcontents"/>
    <w:qFormat/>
    <w:uiPriority w:val="0"/>
  </w:style>
  <w:style w:type="character" w:customStyle="1" w:styleId="64">
    <w:name w:val="批注文字 字符"/>
    <w:qFormat/>
    <w:uiPriority w:val="0"/>
    <w:rPr>
      <w:rFonts w:ascii="Times New Roman" w:hAnsi="Times New Roman"/>
      <w:kern w:val="2"/>
      <w:sz w:val="21"/>
      <w:szCs w:val="24"/>
    </w:rPr>
  </w:style>
  <w:style w:type="character" w:customStyle="1" w:styleId="65">
    <w:name w:val="纯文本 字符1"/>
    <w:qFormat/>
    <w:uiPriority w:val="0"/>
    <w:rPr>
      <w:rFonts w:ascii="宋体" w:hAnsi="Courier New"/>
    </w:rPr>
  </w:style>
  <w:style w:type="character" w:customStyle="1" w:styleId="66">
    <w:name w:val="正文文本 字符"/>
    <w:qFormat/>
    <w:uiPriority w:val="0"/>
    <w:rPr>
      <w:rFonts w:ascii="Times New Roman" w:hAnsi="Times New Roman"/>
      <w:kern w:val="2"/>
      <w:sz w:val="21"/>
      <w:szCs w:val="24"/>
    </w:rPr>
  </w:style>
  <w:style w:type="character" w:customStyle="1" w:styleId="67">
    <w:name w:val="标题 1 字符1"/>
    <w:qFormat/>
    <w:uiPriority w:val="0"/>
    <w:rPr>
      <w:b/>
      <w:bCs/>
      <w:kern w:val="44"/>
      <w:sz w:val="44"/>
      <w:szCs w:val="44"/>
    </w:rPr>
  </w:style>
  <w:style w:type="character" w:customStyle="1" w:styleId="68">
    <w:name w:val="正文2 Char Char"/>
    <w:link w:val="69"/>
    <w:qFormat/>
    <w:uiPriority w:val="0"/>
    <w:rPr>
      <w:sz w:val="24"/>
    </w:rPr>
  </w:style>
  <w:style w:type="paragraph" w:customStyle="1" w:styleId="69">
    <w:name w:val="正文2"/>
    <w:basedOn w:val="1"/>
    <w:link w:val="68"/>
    <w:qFormat/>
    <w:uiPriority w:val="0"/>
    <w:pPr>
      <w:adjustRightInd w:val="0"/>
      <w:spacing w:before="156" w:line="360" w:lineRule="auto"/>
      <w:ind w:firstLine="510" w:firstLineChars="200"/>
    </w:pPr>
    <w:rPr>
      <w:kern w:val="0"/>
      <w:sz w:val="24"/>
      <w:szCs w:val="20"/>
    </w:rPr>
  </w:style>
  <w:style w:type="character" w:customStyle="1" w:styleId="70">
    <w:name w:val="纯文本 Char"/>
    <w:qFormat/>
    <w:uiPriority w:val="99"/>
    <w:rPr>
      <w:rFonts w:ascii="宋体" w:hAnsi="Courier New" w:eastAsia="宋体" w:cs="Courier New"/>
      <w:szCs w:val="21"/>
    </w:rPr>
  </w:style>
  <w:style w:type="character" w:customStyle="1" w:styleId="71">
    <w:name w:val="纯文本 字符2"/>
    <w:qFormat/>
    <w:uiPriority w:val="0"/>
    <w:rPr>
      <w:rFonts w:ascii="宋体" w:hAnsi="Courier New" w:eastAsia="宋体" w:cs="Courier New"/>
      <w:szCs w:val="21"/>
    </w:rPr>
  </w:style>
  <w:style w:type="character" w:customStyle="1" w:styleId="72">
    <w:name w:val="纯文本 字符"/>
    <w:qFormat/>
    <w:uiPriority w:val="0"/>
    <w:rPr>
      <w:rFonts w:ascii="宋体" w:hAnsi="Courier New" w:eastAsia="宋体" w:cs="Courier New"/>
      <w:szCs w:val="21"/>
    </w:rPr>
  </w:style>
  <w:style w:type="character" w:customStyle="1" w:styleId="73">
    <w:name w:val="正文文本 Char"/>
    <w:qFormat/>
    <w:uiPriority w:val="0"/>
    <w:rPr>
      <w:rFonts w:ascii="Times New Roman" w:hAnsi="Times New Roman"/>
      <w:kern w:val="2"/>
      <w:sz w:val="21"/>
      <w:szCs w:val="24"/>
    </w:rPr>
  </w:style>
  <w:style w:type="character" w:customStyle="1" w:styleId="74">
    <w:name w:val="批注文字 字符1"/>
    <w:qFormat/>
    <w:uiPriority w:val="0"/>
    <w:rPr>
      <w:rFonts w:ascii="Times New Roman" w:hAnsi="Times New Roman"/>
      <w:kern w:val="2"/>
      <w:sz w:val="21"/>
      <w:szCs w:val="24"/>
    </w:rPr>
  </w:style>
  <w:style w:type="paragraph" w:customStyle="1" w:styleId="7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6">
    <w:name w:val="Char Char Char Char"/>
    <w:basedOn w:val="1"/>
    <w:qFormat/>
    <w:uiPriority w:val="0"/>
    <w:pPr>
      <w:widowControl/>
      <w:spacing w:after="160" w:line="240" w:lineRule="exact"/>
      <w:jc w:val="left"/>
    </w:pPr>
  </w:style>
  <w:style w:type="paragraph" w:customStyle="1" w:styleId="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Table Paragraph"/>
    <w:basedOn w:val="1"/>
    <w:qFormat/>
    <w:uiPriority w:val="1"/>
    <w:pPr>
      <w:jc w:val="left"/>
    </w:pPr>
    <w:rPr>
      <w:rFonts w:ascii="Calibri" w:hAnsi="Calibri"/>
      <w:kern w:val="0"/>
      <w:sz w:val="22"/>
      <w:szCs w:val="22"/>
      <w:lang w:eastAsia="en-US"/>
    </w:rPr>
  </w:style>
  <w:style w:type="paragraph" w:customStyle="1" w:styleId="80">
    <w:name w:val="正文1"/>
    <w:basedOn w:val="1"/>
    <w:qFormat/>
    <w:uiPriority w:val="0"/>
    <w:pPr>
      <w:adjustRightInd w:val="0"/>
      <w:spacing w:line="318" w:lineRule="atLeast"/>
      <w:ind w:left="369" w:firstLine="369"/>
      <w:textAlignment w:val="baseline"/>
    </w:pPr>
    <w:rPr>
      <w:szCs w:val="20"/>
    </w:rPr>
  </w:style>
  <w:style w:type="paragraph" w:styleId="81">
    <w:name w:val="List Paragraph"/>
    <w:basedOn w:val="1"/>
    <w:qFormat/>
    <w:uiPriority w:val="34"/>
    <w:pPr>
      <w:ind w:firstLine="420" w:firstLineChars="200"/>
    </w:pPr>
  </w:style>
  <w:style w:type="paragraph" w:customStyle="1" w:styleId="82">
    <w:name w:val="_Style 80"/>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3">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4">
    <w:name w:val="NormalCharacter"/>
    <w:qFormat/>
    <w:uiPriority w:val="0"/>
  </w:style>
  <w:style w:type="character" w:customStyle="1" w:styleId="85">
    <w:name w:val="普通文字 Char Char1"/>
    <w:qFormat/>
    <w:uiPriority w:val="0"/>
    <w:rPr>
      <w:rFonts w:ascii="宋体" w:hAnsi="Courier New" w:eastAsia="宋体"/>
      <w:kern w:val="2"/>
      <w:sz w:val="21"/>
      <w:lang w:val="en-US" w:eastAsia="zh-CN" w:bidi="ar-SA"/>
    </w:rPr>
  </w:style>
  <w:style w:type="paragraph" w:styleId="8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Table Text"/>
    <w:basedOn w:val="1"/>
    <w:semiHidden/>
    <w:qFormat/>
    <w:uiPriority w:val="0"/>
    <w:rPr>
      <w:rFonts w:ascii="宋体" w:hAnsi="宋体" w:eastAsia="宋体" w:cs="宋体"/>
      <w:sz w:val="19"/>
      <w:szCs w:val="19"/>
      <w:lang w:val="en-US" w:eastAsia="en-US" w:bidi="ar-SA"/>
    </w:rPr>
  </w:style>
  <w:style w:type="paragraph" w:customStyle="1" w:styleId="88">
    <w:name w:val="Default"/>
    <w:basedOn w:val="2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List Paragraph2"/>
    <w:basedOn w:val="1"/>
    <w:qFormat/>
    <w:uiPriority w:val="99"/>
    <w:pPr>
      <w:ind w:firstLine="420" w:firstLineChars="200"/>
    </w:pPr>
    <w:rPr>
      <w:rFonts w:ascii="Times New Roman" w:hAnsi="Times New Roman"/>
      <w:szCs w:val="20"/>
    </w:rPr>
  </w:style>
  <w:style w:type="paragraph" w:customStyle="1" w:styleId="90">
    <w:name w:val="table of figures"/>
    <w:basedOn w:val="1"/>
    <w:next w:val="1"/>
    <w:qFormat/>
    <w:uiPriority w:val="0"/>
    <w:pPr>
      <w:ind w:left="200" w:leftChars="200" w:hanging="200" w:hangingChars="200"/>
    </w:pPr>
  </w:style>
  <w:style w:type="paragraph" w:customStyle="1" w:styleId="91">
    <w:name w:val="p15"/>
    <w:basedOn w:val="1"/>
    <w:qFormat/>
    <w:uiPriority w:val="0"/>
    <w:pPr>
      <w:widowControl/>
    </w:pPr>
    <w:rPr>
      <w:rFonts w:ascii="宋体" w:hAnsi="宋体" w:cs="宋体"/>
      <w:kern w:val="0"/>
      <w:szCs w:val="21"/>
    </w:rPr>
  </w:style>
  <w:style w:type="paragraph" w:customStyle="1" w:styleId="92">
    <w:name w:val="p0"/>
    <w:basedOn w:val="1"/>
    <w:qFormat/>
    <w:uiPriority w:val="0"/>
    <w:pPr>
      <w:widowControl/>
    </w:pPr>
    <w:rPr>
      <w:rFonts w:cs="Calibri"/>
      <w:kern w:val="0"/>
      <w:szCs w:val="21"/>
    </w:rPr>
  </w:style>
  <w:style w:type="paragraph" w:customStyle="1" w:styleId="93">
    <w:name w:val="Plain Text"/>
    <w:basedOn w:val="1"/>
    <w:next w:val="6"/>
    <w:qFormat/>
    <w:uiPriority w:val="0"/>
    <w:rPr>
      <w:rFonts w:hint="eastAsia" w:ascii="宋体" w:hAnsi="Courier New" w:eastAsia="宋体" w:cs="Times New Roman"/>
      <w:kern w:val="0"/>
      <w:sz w:val="20"/>
      <w:szCs w:val="21"/>
    </w:rPr>
  </w:style>
  <w:style w:type="paragraph" w:customStyle="1" w:styleId="94">
    <w:name w:val="列出段落1"/>
    <w:basedOn w:val="1"/>
    <w:qFormat/>
    <w:uiPriority w:val="34"/>
    <w:pPr>
      <w:ind w:firstLine="420" w:firstLineChars="200"/>
    </w:pPr>
  </w:style>
  <w:style w:type="table" w:customStyle="1" w:styleId="9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68</Pages>
  <Words>5445</Words>
  <Characters>5965</Characters>
  <Lines>2300</Lines>
  <Paragraphs>2168</Paragraphs>
  <TotalTime>13</TotalTime>
  <ScaleCrop>false</ScaleCrop>
  <LinksUpToDate>false</LinksUpToDate>
  <CharactersWithSpaces>6080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2021-08-17T04:20:00Z</dcterms:created>
  <dc:creator>唐冰</dc:creator>
  <cp:lastModifiedBy>代理机构</cp:lastModifiedBy>
  <cp:lastPrinted>2024-06-05T08:30:00Z</cp:lastPrinted>
  <dcterms:modified xsi:type="dcterms:W3CDTF">2025-07-28T02:59:23Z</dcterms:modified>
  <dc:title>竞争性谈判文件规范</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59327E408E7A41C885B9CEF29E8D81FE_13</vt:lpwstr>
  </property>
  <property fmtid="{D5CDD505-2E9C-101B-9397-08002B2CF9AE}" pid="4" name="KSOTemplateDocerSaveRecord">
    <vt:lpwstr>eyJoZGlkIjoiNjdhOGZkYWE3YzIzZWUyNDFiZWViZTAzNDE4MWIxNDMiLCJ1c2VySWQiOiIxNzExMjU2NTg1In0=</vt:lpwstr>
  </property>
</Properties>
</file>