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insoku w:val="0"/>
        <w:overflowPunct w:val="0"/>
        <w:spacing w:line="360" w:lineRule="auto"/>
        <w:rPr>
          <w:rFonts w:ascii="Arial" w:hAnsi="Arial" w:cs="Arial"/>
          <w:highlight w:val="none"/>
        </w:rPr>
      </w:pPr>
      <w:bookmarkStart w:id="0" w:name="_Toc183682338"/>
      <w:bookmarkStart w:id="1" w:name="_Toc217446030"/>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p>
      <w:pPr>
        <w:tabs>
          <w:tab w:val="left" w:pos="1710"/>
        </w:tabs>
        <w:spacing w:line="360" w:lineRule="auto"/>
        <w:rPr>
          <w:rFonts w:ascii="Arial" w:hAnsi="Arial" w:cs="Arial"/>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7" w:type="dxa"/>
            <w:gridSpan w:val="2"/>
            <w:tcBorders>
              <w:top w:val="nil"/>
              <w:left w:val="nil"/>
              <w:right w:val="nil"/>
            </w:tcBorders>
          </w:tcPr>
          <w:p>
            <w:pPr>
              <w:snapToGrid w:val="0"/>
              <w:spacing w:line="360" w:lineRule="auto"/>
              <w:jc w:val="center"/>
              <w:rPr>
                <w:rFonts w:ascii="Arial" w:hAnsi="Arial" w:cs="Arial"/>
                <w:b/>
                <w:sz w:val="60"/>
                <w:szCs w:val="60"/>
                <w:highlight w:val="none"/>
              </w:rPr>
            </w:pPr>
            <w:r>
              <w:rPr>
                <w:rFonts w:ascii="Arial" w:hAnsi="Arial" w:cs="Arial"/>
                <w:b/>
                <w:sz w:val="60"/>
                <w:szCs w:val="60"/>
                <w:highlight w:val="none"/>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1769" w:type="dxa"/>
            <w:vAlign w:val="center"/>
          </w:tcPr>
          <w:p>
            <w:pPr>
              <w:spacing w:line="360" w:lineRule="auto"/>
              <w:rPr>
                <w:rFonts w:ascii="Arial" w:hAnsi="Arial" w:cs="Arial"/>
                <w:b/>
                <w:sz w:val="32"/>
                <w:szCs w:val="32"/>
                <w:highlight w:val="none"/>
              </w:rPr>
            </w:pPr>
            <w:r>
              <w:rPr>
                <w:rFonts w:ascii="Arial" w:hAnsi="Arial" w:cs="Arial"/>
                <w:b/>
                <w:sz w:val="32"/>
                <w:szCs w:val="32"/>
                <w:highlight w:val="none"/>
              </w:rPr>
              <w:t>项目名称：</w:t>
            </w:r>
          </w:p>
        </w:tc>
        <w:tc>
          <w:tcPr>
            <w:tcW w:w="4768" w:type="dxa"/>
            <w:vAlign w:val="center"/>
          </w:tcPr>
          <w:p>
            <w:pPr>
              <w:spacing w:line="360" w:lineRule="auto"/>
              <w:rPr>
                <w:rFonts w:ascii="Arial" w:hAnsi="Arial" w:cs="Arial"/>
                <w:b/>
                <w:sz w:val="32"/>
                <w:szCs w:val="32"/>
                <w:highlight w:val="none"/>
              </w:rPr>
            </w:pPr>
            <w:bookmarkStart w:id="2" w:name="OLE_LINK2"/>
            <w:r>
              <w:rPr>
                <w:rFonts w:hint="eastAsia" w:ascii="Arial" w:hAnsi="Arial" w:cs="Arial"/>
                <w:b/>
                <w:sz w:val="32"/>
                <w:szCs w:val="32"/>
                <w:highlight w:val="none"/>
              </w:rPr>
              <w:t>兴安县人民医院智慧医院信息化建设项目（软件部分）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spacing w:line="360" w:lineRule="auto"/>
              <w:rPr>
                <w:rFonts w:ascii="Arial" w:hAnsi="Arial" w:cs="Arial"/>
                <w:b/>
                <w:sz w:val="32"/>
                <w:szCs w:val="32"/>
                <w:highlight w:val="none"/>
              </w:rPr>
            </w:pPr>
            <w:r>
              <w:rPr>
                <w:rFonts w:ascii="Arial" w:hAnsi="Arial" w:cs="Arial"/>
                <w:b/>
                <w:sz w:val="32"/>
                <w:szCs w:val="32"/>
                <w:highlight w:val="none"/>
              </w:rPr>
              <w:t>项目编号：</w:t>
            </w:r>
          </w:p>
        </w:tc>
        <w:tc>
          <w:tcPr>
            <w:tcW w:w="4768" w:type="dxa"/>
            <w:vAlign w:val="center"/>
          </w:tcPr>
          <w:p>
            <w:pPr>
              <w:spacing w:line="360" w:lineRule="auto"/>
              <w:rPr>
                <w:rFonts w:hint="eastAsia" w:ascii="Arial" w:hAnsi="Arial" w:eastAsia="宋体" w:cs="Arial"/>
                <w:b/>
                <w:sz w:val="32"/>
                <w:szCs w:val="32"/>
                <w:highlight w:val="none"/>
                <w:lang w:eastAsia="zh-CN"/>
              </w:rPr>
            </w:pPr>
            <w:r>
              <w:rPr>
                <w:rFonts w:hint="eastAsia" w:ascii="Arial" w:hAnsi="Arial" w:cs="Arial"/>
                <w:b/>
                <w:sz w:val="32"/>
                <w:szCs w:val="32"/>
                <w:highlight w:val="none"/>
                <w:lang w:eastAsia="zh-CN"/>
              </w:rPr>
              <w:t>GLZC2025-G3-250081-JDZB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spacing w:line="360" w:lineRule="auto"/>
              <w:rPr>
                <w:rFonts w:ascii="Arial" w:hAnsi="Arial" w:cs="Arial"/>
                <w:b/>
                <w:sz w:val="32"/>
                <w:szCs w:val="32"/>
                <w:highlight w:val="none"/>
              </w:rPr>
            </w:pPr>
            <w:r>
              <w:rPr>
                <w:rFonts w:ascii="Arial" w:hAnsi="Arial" w:cs="Arial"/>
                <w:b/>
                <w:sz w:val="32"/>
                <w:szCs w:val="32"/>
                <w:highlight w:val="none"/>
              </w:rPr>
              <w:t>联系电话：</w:t>
            </w:r>
          </w:p>
        </w:tc>
        <w:tc>
          <w:tcPr>
            <w:tcW w:w="4768" w:type="dxa"/>
            <w:vAlign w:val="center"/>
          </w:tcPr>
          <w:p>
            <w:pPr>
              <w:spacing w:line="360" w:lineRule="auto"/>
              <w:rPr>
                <w:rFonts w:ascii="Arial" w:hAnsi="Arial" w:cs="Arial"/>
                <w:b/>
                <w:sz w:val="32"/>
                <w:szCs w:val="32"/>
                <w:highlight w:val="none"/>
              </w:rPr>
            </w:pPr>
            <w:r>
              <w:rPr>
                <w:rFonts w:hint="eastAsia" w:ascii="Arial" w:hAnsi="Arial" w:cs="Arial"/>
                <w:b/>
                <w:sz w:val="32"/>
                <w:szCs w:val="32"/>
                <w:highlight w:val="none"/>
              </w:rPr>
              <w:t>0773-3696789转2</w:t>
            </w:r>
          </w:p>
        </w:tc>
      </w:tr>
    </w:tbl>
    <w:p>
      <w:pPr>
        <w:tabs>
          <w:tab w:val="left" w:pos="1710"/>
        </w:tabs>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p>
      <w:pPr>
        <w:spacing w:line="360" w:lineRule="auto"/>
        <w:rPr>
          <w:rFonts w:ascii="Arial" w:hAnsi="Arial" w:cs="Arial"/>
          <w:highlight w:val="none"/>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spacing w:line="360" w:lineRule="auto"/>
              <w:jc w:val="right"/>
              <w:rPr>
                <w:rFonts w:ascii="Arial" w:hAnsi="Arial" w:cs="Arial"/>
                <w:b/>
                <w:sz w:val="32"/>
                <w:szCs w:val="32"/>
                <w:highlight w:val="none"/>
              </w:rPr>
            </w:pPr>
            <w:r>
              <w:rPr>
                <w:rFonts w:ascii="Arial" w:hAnsi="Arial" w:cs="Arial"/>
                <w:b/>
                <w:sz w:val="32"/>
                <w:szCs w:val="32"/>
                <w:highlight w:val="none"/>
              </w:rPr>
              <w:t xml:space="preserve">  采购人：</w:t>
            </w:r>
          </w:p>
        </w:tc>
        <w:tc>
          <w:tcPr>
            <w:tcW w:w="5577" w:type="dxa"/>
            <w:gridSpan w:val="2"/>
            <w:vAlign w:val="center"/>
          </w:tcPr>
          <w:p>
            <w:pPr>
              <w:autoSpaceDE w:val="0"/>
              <w:autoSpaceDN w:val="0"/>
              <w:adjustRightInd w:val="0"/>
              <w:spacing w:line="360" w:lineRule="auto"/>
              <w:jc w:val="left"/>
              <w:rPr>
                <w:rFonts w:ascii="Arial" w:hAnsi="Arial" w:cs="Arial"/>
                <w:b/>
                <w:sz w:val="32"/>
                <w:szCs w:val="32"/>
                <w:highlight w:val="none"/>
              </w:rPr>
            </w:pPr>
            <w:r>
              <w:rPr>
                <w:rFonts w:hint="eastAsia" w:ascii="Arial" w:hAnsi="Arial" w:cs="Arial"/>
                <w:b/>
                <w:sz w:val="32"/>
                <w:szCs w:val="32"/>
                <w:highlight w:val="none"/>
              </w:rPr>
              <w:t>兴安县人民医院</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spacing w:line="360" w:lineRule="auto"/>
              <w:jc w:val="right"/>
              <w:rPr>
                <w:rFonts w:ascii="Arial" w:hAnsi="Arial" w:cs="Arial"/>
                <w:b/>
                <w:sz w:val="32"/>
                <w:szCs w:val="32"/>
                <w:highlight w:val="none"/>
              </w:rPr>
            </w:pPr>
            <w:r>
              <w:rPr>
                <w:rFonts w:ascii="Arial" w:hAnsi="Arial" w:cs="Arial"/>
                <w:b/>
                <w:sz w:val="32"/>
                <w:szCs w:val="32"/>
                <w:highlight w:val="none"/>
              </w:rPr>
              <w:t>采购代理机构：</w:t>
            </w:r>
          </w:p>
        </w:tc>
        <w:tc>
          <w:tcPr>
            <w:tcW w:w="5571" w:type="dxa"/>
          </w:tcPr>
          <w:p>
            <w:pPr>
              <w:autoSpaceDE w:val="0"/>
              <w:autoSpaceDN w:val="0"/>
              <w:adjustRightInd w:val="0"/>
              <w:spacing w:line="360" w:lineRule="auto"/>
              <w:rPr>
                <w:rFonts w:ascii="Arial" w:hAnsi="Arial" w:cs="Arial"/>
                <w:b/>
                <w:sz w:val="32"/>
                <w:szCs w:val="32"/>
                <w:highlight w:val="none"/>
                <w:u w:val="single"/>
              </w:rPr>
            </w:pPr>
            <w:r>
              <w:rPr>
                <w:rFonts w:ascii="Arial" w:hAnsi="Arial" w:cs="Arial"/>
                <w:b/>
                <w:sz w:val="32"/>
                <w:szCs w:val="32"/>
                <w:highlight w:val="none"/>
              </w:rPr>
              <w:t>广西机电设备招标有限公司</w:t>
            </w:r>
          </w:p>
        </w:tc>
      </w:tr>
    </w:tbl>
    <w:p>
      <w:pPr>
        <w:spacing w:line="360" w:lineRule="auto"/>
        <w:rPr>
          <w:rFonts w:ascii="Arial" w:hAnsi="Arial" w:cs="Arial"/>
          <w:highlight w:val="none"/>
        </w:rPr>
      </w:pPr>
    </w:p>
    <w:p>
      <w:pPr>
        <w:spacing w:line="360" w:lineRule="auto"/>
        <w:ind w:firstLine="321" w:firstLineChars="100"/>
        <w:jc w:val="center"/>
        <w:rPr>
          <w:rFonts w:ascii="Arial" w:hAnsi="Arial" w:cs="Arial"/>
          <w:b/>
          <w:sz w:val="32"/>
          <w:szCs w:val="32"/>
          <w:highlight w:val="none"/>
        </w:rPr>
        <w:sectPr>
          <w:headerReference r:id="rId4" w:type="first"/>
          <w:footerReference r:id="rId6" w:type="first"/>
          <w:headerReference r:id="rId3" w:type="even"/>
          <w:footerReference r:id="rId5"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sz w:val="32"/>
          <w:szCs w:val="32"/>
          <w:highlight w:val="none"/>
        </w:rPr>
        <w:t>202</w:t>
      </w:r>
      <w:r>
        <w:rPr>
          <w:rFonts w:hint="eastAsia" w:ascii="Arial" w:hAnsi="Arial" w:cs="Arial"/>
          <w:b/>
          <w:sz w:val="32"/>
          <w:szCs w:val="32"/>
          <w:highlight w:val="none"/>
        </w:rPr>
        <w:t>5</w:t>
      </w:r>
      <w:r>
        <w:rPr>
          <w:rFonts w:ascii="Arial" w:hAnsi="Arial" w:cs="Arial"/>
          <w:b/>
          <w:sz w:val="32"/>
          <w:szCs w:val="32"/>
          <w:highlight w:val="none"/>
        </w:rPr>
        <w:t>年</w:t>
      </w:r>
      <w:r>
        <w:rPr>
          <w:rFonts w:hint="eastAsia" w:ascii="Arial" w:hAnsi="Arial" w:cs="Arial"/>
          <w:b/>
          <w:sz w:val="32"/>
          <w:szCs w:val="32"/>
          <w:highlight w:val="none"/>
          <w:lang w:val="en-US" w:eastAsia="zh-CN"/>
        </w:rPr>
        <w:t>9</w:t>
      </w:r>
      <w:r>
        <w:rPr>
          <w:rFonts w:ascii="Arial" w:hAnsi="Arial" w:cs="Arial"/>
          <w:b/>
          <w:sz w:val="32"/>
          <w:szCs w:val="32"/>
          <w:highlight w:val="none"/>
        </w:rPr>
        <w:t>月</w:t>
      </w:r>
    </w:p>
    <w:p>
      <w:pPr>
        <w:spacing w:line="360" w:lineRule="auto"/>
        <w:rPr>
          <w:rFonts w:ascii="Arial" w:hAnsi="Arial" w:cs="Arial"/>
          <w:b/>
          <w:sz w:val="24"/>
          <w:highlight w:val="none"/>
        </w:rPr>
      </w:pPr>
    </w:p>
    <w:p>
      <w:pPr>
        <w:pStyle w:val="28"/>
        <w:snapToGrid w:val="0"/>
        <w:spacing w:before="120" w:after="120" w:line="360" w:lineRule="auto"/>
        <w:jc w:val="center"/>
        <w:outlineLvl w:val="0"/>
        <w:rPr>
          <w:rFonts w:ascii="Arial" w:hAnsi="Arial" w:cs="Arial"/>
          <w:sz w:val="32"/>
          <w:szCs w:val="32"/>
          <w:highlight w:val="none"/>
        </w:rPr>
      </w:pPr>
      <w:bookmarkStart w:id="3" w:name="_Toc24214"/>
      <w:bookmarkStart w:id="4" w:name="_Toc15845"/>
      <w:bookmarkStart w:id="5" w:name="_Toc6931"/>
      <w:bookmarkStart w:id="6" w:name="_Toc8320"/>
      <w:bookmarkStart w:id="7" w:name="_Toc5130"/>
      <w:r>
        <w:rPr>
          <w:rFonts w:ascii="Arial" w:hAnsi="Arial" w:cs="Arial"/>
          <w:sz w:val="32"/>
          <w:szCs w:val="32"/>
          <w:highlight w:val="none"/>
        </w:rPr>
        <w:t>目    录</w:t>
      </w:r>
      <w:bookmarkEnd w:id="3"/>
      <w:bookmarkEnd w:id="4"/>
      <w:bookmarkEnd w:id="5"/>
      <w:bookmarkEnd w:id="6"/>
      <w:bookmarkEnd w:id="7"/>
    </w:p>
    <w:p>
      <w:pPr>
        <w:pStyle w:val="35"/>
        <w:tabs>
          <w:tab w:val="right" w:leader="dot" w:pos="9354"/>
          <w:tab w:val="clear" w:pos="8398"/>
        </w:tabs>
        <w:rPr>
          <w:highlight w:val="none"/>
        </w:rPr>
      </w:pPr>
      <w:r>
        <w:rPr>
          <w:rFonts w:ascii="Arial" w:hAnsi="Arial" w:cs="Arial"/>
          <w:highlight w:val="none"/>
        </w:rPr>
        <w:fldChar w:fldCharType="begin"/>
      </w:r>
      <w:r>
        <w:rPr>
          <w:rStyle w:val="62"/>
          <w:rFonts w:ascii="Arial" w:hAnsi="Arial" w:cs="Arial"/>
          <w:color w:val="auto"/>
          <w:highlight w:val="none"/>
        </w:rPr>
        <w:instrText xml:space="preserve"> TOC \o "1-1" \h \z \u </w:instrText>
      </w:r>
      <w:r>
        <w:rPr>
          <w:rFonts w:ascii="Arial" w:hAnsi="Arial" w:cs="Arial"/>
          <w:highlight w:val="none"/>
        </w:rPr>
        <w:fldChar w:fldCharType="separate"/>
      </w:r>
      <w:r>
        <w:rPr>
          <w:rFonts w:ascii="Arial" w:hAnsi="Arial" w:cs="Arial"/>
          <w:highlight w:val="none"/>
        </w:rPr>
        <w:fldChar w:fldCharType="begin"/>
      </w:r>
      <w:r>
        <w:rPr>
          <w:rFonts w:ascii="Arial" w:hAnsi="Arial" w:cs="Arial"/>
          <w:highlight w:val="none"/>
        </w:rPr>
        <w:instrText xml:space="preserve"> HYPERLINK \l _Toc14547 </w:instrText>
      </w:r>
      <w:r>
        <w:rPr>
          <w:rFonts w:ascii="Arial" w:hAnsi="Arial" w:cs="Arial"/>
          <w:highlight w:val="none"/>
        </w:rPr>
        <w:fldChar w:fldCharType="separate"/>
      </w:r>
      <w:r>
        <w:rPr>
          <w:rFonts w:ascii="Arial" w:hAnsi="Arial" w:cs="Arial"/>
          <w:szCs w:val="32"/>
          <w:highlight w:val="none"/>
        </w:rPr>
        <w:t>第一章  招标公告</w:t>
      </w:r>
      <w:r>
        <w:rPr>
          <w:highlight w:val="none"/>
        </w:rPr>
        <w:tab/>
      </w:r>
      <w:r>
        <w:rPr>
          <w:highlight w:val="none"/>
        </w:rPr>
        <w:fldChar w:fldCharType="begin"/>
      </w:r>
      <w:r>
        <w:rPr>
          <w:highlight w:val="none"/>
        </w:rPr>
        <w:instrText xml:space="preserve"> PAGEREF _Toc14547 \h </w:instrText>
      </w:r>
      <w:r>
        <w:rPr>
          <w:highlight w:val="none"/>
        </w:rPr>
        <w:fldChar w:fldCharType="separate"/>
      </w:r>
      <w:r>
        <w:rPr>
          <w:highlight w:val="none"/>
        </w:rPr>
        <w:t>1</w:t>
      </w:r>
      <w:r>
        <w:rPr>
          <w:highlight w:val="none"/>
        </w:rPr>
        <w:fldChar w:fldCharType="end"/>
      </w:r>
      <w:r>
        <w:rPr>
          <w:rFonts w:ascii="Arial" w:hAnsi="Arial" w:cs="Arial"/>
          <w:highlight w:val="none"/>
        </w:rPr>
        <w:fldChar w:fldCharType="end"/>
      </w:r>
    </w:p>
    <w:p>
      <w:pPr>
        <w:pStyle w:val="35"/>
        <w:tabs>
          <w:tab w:val="right" w:leader="dot" w:pos="9354"/>
          <w:tab w:val="clear" w:pos="8398"/>
        </w:tabs>
        <w:rPr>
          <w:highlight w:val="none"/>
        </w:rPr>
      </w:pPr>
      <w:r>
        <w:rPr>
          <w:rFonts w:ascii="Arial" w:hAnsi="Arial" w:cs="Arial"/>
          <w:highlight w:val="none"/>
        </w:rPr>
        <w:fldChar w:fldCharType="begin"/>
      </w:r>
      <w:r>
        <w:rPr>
          <w:rFonts w:ascii="Arial" w:hAnsi="Arial" w:cs="Arial"/>
          <w:highlight w:val="none"/>
        </w:rPr>
        <w:instrText xml:space="preserve"> HYPERLINK \l _Toc3252 </w:instrText>
      </w:r>
      <w:r>
        <w:rPr>
          <w:rFonts w:ascii="Arial" w:hAnsi="Arial" w:cs="Arial"/>
          <w:highlight w:val="none"/>
        </w:rPr>
        <w:fldChar w:fldCharType="separate"/>
      </w:r>
      <w:r>
        <w:rPr>
          <w:rFonts w:hint="eastAsia" w:ascii="Arial" w:hAnsi="Arial" w:cs="Arial"/>
          <w:szCs w:val="32"/>
          <w:highlight w:val="none"/>
        </w:rPr>
        <w:t xml:space="preserve">第二章 </w:t>
      </w:r>
      <w:r>
        <w:rPr>
          <w:rFonts w:ascii="Arial" w:hAnsi="Arial" w:cs="Arial"/>
          <w:szCs w:val="32"/>
          <w:highlight w:val="none"/>
        </w:rPr>
        <w:t>项目采购需求</w:t>
      </w:r>
      <w:r>
        <w:rPr>
          <w:highlight w:val="none"/>
        </w:rPr>
        <w:tab/>
      </w:r>
      <w:r>
        <w:rPr>
          <w:highlight w:val="none"/>
        </w:rPr>
        <w:fldChar w:fldCharType="begin"/>
      </w:r>
      <w:r>
        <w:rPr>
          <w:highlight w:val="none"/>
        </w:rPr>
        <w:instrText xml:space="preserve"> PAGEREF _Toc3252 \h </w:instrText>
      </w:r>
      <w:r>
        <w:rPr>
          <w:highlight w:val="none"/>
        </w:rPr>
        <w:fldChar w:fldCharType="separate"/>
      </w:r>
      <w:r>
        <w:rPr>
          <w:highlight w:val="none"/>
        </w:rPr>
        <w:t>4</w:t>
      </w:r>
      <w:r>
        <w:rPr>
          <w:highlight w:val="none"/>
        </w:rPr>
        <w:fldChar w:fldCharType="end"/>
      </w:r>
      <w:r>
        <w:rPr>
          <w:rFonts w:ascii="Arial" w:hAnsi="Arial" w:cs="Arial"/>
          <w:highlight w:val="none"/>
        </w:rPr>
        <w:fldChar w:fldCharType="end"/>
      </w:r>
    </w:p>
    <w:p>
      <w:pPr>
        <w:pStyle w:val="35"/>
        <w:tabs>
          <w:tab w:val="right" w:leader="dot" w:pos="9354"/>
          <w:tab w:val="clear" w:pos="8398"/>
        </w:tabs>
        <w:rPr>
          <w:highlight w:val="none"/>
        </w:rPr>
      </w:pPr>
      <w:r>
        <w:rPr>
          <w:rFonts w:ascii="Arial" w:hAnsi="Arial" w:cs="Arial"/>
          <w:highlight w:val="none"/>
        </w:rPr>
        <w:fldChar w:fldCharType="begin"/>
      </w:r>
      <w:r>
        <w:rPr>
          <w:rFonts w:ascii="Arial" w:hAnsi="Arial" w:cs="Arial"/>
          <w:highlight w:val="none"/>
        </w:rPr>
        <w:instrText xml:space="preserve"> HYPERLINK \l _Toc9052 </w:instrText>
      </w:r>
      <w:r>
        <w:rPr>
          <w:rFonts w:ascii="Arial" w:hAnsi="Arial" w:cs="Arial"/>
          <w:highlight w:val="none"/>
        </w:rPr>
        <w:fldChar w:fldCharType="separate"/>
      </w:r>
      <w:r>
        <w:rPr>
          <w:rFonts w:ascii="Arial" w:hAnsi="Arial" w:cs="Arial"/>
          <w:szCs w:val="32"/>
          <w:highlight w:val="none"/>
        </w:rPr>
        <w:t>第三章  供应商须知</w:t>
      </w:r>
      <w:r>
        <w:rPr>
          <w:highlight w:val="none"/>
        </w:rPr>
        <w:tab/>
      </w:r>
      <w:r>
        <w:rPr>
          <w:highlight w:val="none"/>
        </w:rPr>
        <w:fldChar w:fldCharType="begin"/>
      </w:r>
      <w:r>
        <w:rPr>
          <w:highlight w:val="none"/>
        </w:rPr>
        <w:instrText xml:space="preserve"> PAGEREF _Toc9052 \h </w:instrText>
      </w:r>
      <w:r>
        <w:rPr>
          <w:highlight w:val="none"/>
        </w:rPr>
        <w:fldChar w:fldCharType="separate"/>
      </w:r>
      <w:r>
        <w:rPr>
          <w:highlight w:val="none"/>
        </w:rPr>
        <w:t>145</w:t>
      </w:r>
      <w:r>
        <w:rPr>
          <w:highlight w:val="none"/>
        </w:rPr>
        <w:fldChar w:fldCharType="end"/>
      </w:r>
      <w:r>
        <w:rPr>
          <w:rFonts w:ascii="Arial" w:hAnsi="Arial" w:cs="Arial"/>
          <w:highlight w:val="none"/>
        </w:rPr>
        <w:fldChar w:fldCharType="end"/>
      </w:r>
    </w:p>
    <w:p>
      <w:pPr>
        <w:pStyle w:val="35"/>
        <w:tabs>
          <w:tab w:val="right" w:leader="dot" w:pos="9354"/>
          <w:tab w:val="clear" w:pos="8398"/>
        </w:tabs>
        <w:rPr>
          <w:highlight w:val="none"/>
        </w:rPr>
      </w:pPr>
      <w:r>
        <w:rPr>
          <w:rFonts w:ascii="Arial" w:hAnsi="Arial" w:cs="Arial"/>
          <w:highlight w:val="none"/>
        </w:rPr>
        <w:fldChar w:fldCharType="begin"/>
      </w:r>
      <w:r>
        <w:rPr>
          <w:rFonts w:ascii="Arial" w:hAnsi="Arial" w:cs="Arial"/>
          <w:highlight w:val="none"/>
        </w:rPr>
        <w:instrText xml:space="preserve"> HYPERLINK \l _Toc7619 </w:instrText>
      </w:r>
      <w:r>
        <w:rPr>
          <w:rFonts w:ascii="Arial" w:hAnsi="Arial" w:cs="Arial"/>
          <w:highlight w:val="none"/>
        </w:rPr>
        <w:fldChar w:fldCharType="separate"/>
      </w:r>
      <w:r>
        <w:rPr>
          <w:rFonts w:ascii="Arial" w:hAnsi="Arial" w:cs="Arial"/>
          <w:szCs w:val="32"/>
          <w:highlight w:val="none"/>
        </w:rPr>
        <w:t>第四章  评标方法及评标标准</w:t>
      </w:r>
      <w:r>
        <w:rPr>
          <w:highlight w:val="none"/>
        </w:rPr>
        <w:tab/>
      </w:r>
      <w:r>
        <w:rPr>
          <w:highlight w:val="none"/>
        </w:rPr>
        <w:fldChar w:fldCharType="begin"/>
      </w:r>
      <w:r>
        <w:rPr>
          <w:highlight w:val="none"/>
        </w:rPr>
        <w:instrText xml:space="preserve"> PAGEREF _Toc7619 \h </w:instrText>
      </w:r>
      <w:r>
        <w:rPr>
          <w:highlight w:val="none"/>
        </w:rPr>
        <w:fldChar w:fldCharType="separate"/>
      </w:r>
      <w:r>
        <w:rPr>
          <w:highlight w:val="none"/>
        </w:rPr>
        <w:t>160</w:t>
      </w:r>
      <w:r>
        <w:rPr>
          <w:highlight w:val="none"/>
        </w:rPr>
        <w:fldChar w:fldCharType="end"/>
      </w:r>
      <w:r>
        <w:rPr>
          <w:rFonts w:ascii="Arial" w:hAnsi="Arial" w:cs="Arial"/>
          <w:highlight w:val="none"/>
        </w:rPr>
        <w:fldChar w:fldCharType="end"/>
      </w:r>
    </w:p>
    <w:p>
      <w:pPr>
        <w:pStyle w:val="35"/>
        <w:tabs>
          <w:tab w:val="right" w:leader="dot" w:pos="9354"/>
          <w:tab w:val="clear" w:pos="8398"/>
        </w:tabs>
        <w:rPr>
          <w:highlight w:val="none"/>
        </w:rPr>
      </w:pPr>
      <w:r>
        <w:rPr>
          <w:rFonts w:ascii="Arial" w:hAnsi="Arial" w:cs="Arial"/>
          <w:highlight w:val="none"/>
        </w:rPr>
        <w:fldChar w:fldCharType="begin"/>
      </w:r>
      <w:r>
        <w:rPr>
          <w:rFonts w:ascii="Arial" w:hAnsi="Arial" w:cs="Arial"/>
          <w:highlight w:val="none"/>
        </w:rPr>
        <w:instrText xml:space="preserve"> HYPERLINK \l _Toc17562 </w:instrText>
      </w:r>
      <w:r>
        <w:rPr>
          <w:rFonts w:ascii="Arial" w:hAnsi="Arial" w:cs="Arial"/>
          <w:highlight w:val="none"/>
        </w:rPr>
        <w:fldChar w:fldCharType="separate"/>
      </w:r>
      <w:r>
        <w:rPr>
          <w:rFonts w:ascii="Arial" w:hAnsi="Arial" w:cs="Arial"/>
          <w:szCs w:val="32"/>
          <w:highlight w:val="none"/>
        </w:rPr>
        <w:t>第五章  合同主要条款格式</w:t>
      </w:r>
      <w:r>
        <w:rPr>
          <w:highlight w:val="none"/>
        </w:rPr>
        <w:tab/>
      </w:r>
      <w:r>
        <w:rPr>
          <w:highlight w:val="none"/>
        </w:rPr>
        <w:fldChar w:fldCharType="begin"/>
      </w:r>
      <w:r>
        <w:rPr>
          <w:highlight w:val="none"/>
        </w:rPr>
        <w:instrText xml:space="preserve"> PAGEREF _Toc17562 \h </w:instrText>
      </w:r>
      <w:r>
        <w:rPr>
          <w:highlight w:val="none"/>
        </w:rPr>
        <w:fldChar w:fldCharType="separate"/>
      </w:r>
      <w:r>
        <w:rPr>
          <w:highlight w:val="none"/>
        </w:rPr>
        <w:t>178</w:t>
      </w:r>
      <w:r>
        <w:rPr>
          <w:highlight w:val="none"/>
        </w:rPr>
        <w:fldChar w:fldCharType="end"/>
      </w:r>
      <w:r>
        <w:rPr>
          <w:rFonts w:ascii="Arial" w:hAnsi="Arial" w:cs="Arial"/>
          <w:highlight w:val="none"/>
        </w:rPr>
        <w:fldChar w:fldCharType="end"/>
      </w:r>
    </w:p>
    <w:p>
      <w:pPr>
        <w:pStyle w:val="35"/>
        <w:tabs>
          <w:tab w:val="right" w:leader="dot" w:pos="9354"/>
          <w:tab w:val="clear" w:pos="8398"/>
        </w:tabs>
        <w:rPr>
          <w:highlight w:val="none"/>
        </w:rPr>
      </w:pPr>
      <w:r>
        <w:rPr>
          <w:rFonts w:ascii="Arial" w:hAnsi="Arial" w:cs="Arial"/>
          <w:highlight w:val="none"/>
        </w:rPr>
        <w:fldChar w:fldCharType="begin"/>
      </w:r>
      <w:r>
        <w:rPr>
          <w:rFonts w:ascii="Arial" w:hAnsi="Arial" w:cs="Arial"/>
          <w:highlight w:val="none"/>
        </w:rPr>
        <w:instrText xml:space="preserve"> HYPERLINK \l _Toc7841 </w:instrText>
      </w:r>
      <w:r>
        <w:rPr>
          <w:rFonts w:ascii="Arial" w:hAnsi="Arial" w:cs="Arial"/>
          <w:highlight w:val="none"/>
        </w:rPr>
        <w:fldChar w:fldCharType="separate"/>
      </w:r>
      <w:r>
        <w:rPr>
          <w:rFonts w:ascii="Arial" w:hAnsi="Arial" w:cs="Arial"/>
          <w:szCs w:val="32"/>
          <w:highlight w:val="none"/>
        </w:rPr>
        <w:t>第六章  投标文件格式</w:t>
      </w:r>
      <w:r>
        <w:rPr>
          <w:highlight w:val="none"/>
        </w:rPr>
        <w:tab/>
      </w:r>
      <w:r>
        <w:rPr>
          <w:highlight w:val="none"/>
        </w:rPr>
        <w:fldChar w:fldCharType="begin"/>
      </w:r>
      <w:r>
        <w:rPr>
          <w:highlight w:val="none"/>
        </w:rPr>
        <w:instrText xml:space="preserve"> PAGEREF _Toc7841 \h </w:instrText>
      </w:r>
      <w:r>
        <w:rPr>
          <w:highlight w:val="none"/>
        </w:rPr>
        <w:fldChar w:fldCharType="separate"/>
      </w:r>
      <w:r>
        <w:rPr>
          <w:highlight w:val="none"/>
        </w:rPr>
        <w:t>187</w:t>
      </w:r>
      <w:r>
        <w:rPr>
          <w:highlight w:val="none"/>
        </w:rPr>
        <w:fldChar w:fldCharType="end"/>
      </w:r>
      <w:r>
        <w:rPr>
          <w:rFonts w:ascii="Arial" w:hAnsi="Arial" w:cs="Arial"/>
          <w:highlight w:val="none"/>
        </w:rPr>
        <w:fldChar w:fldCharType="end"/>
      </w:r>
    </w:p>
    <w:p>
      <w:pPr>
        <w:pStyle w:val="35"/>
        <w:spacing w:line="360" w:lineRule="auto"/>
        <w:ind w:firstLine="241"/>
        <w:rPr>
          <w:rFonts w:ascii="Arial" w:hAnsi="Arial" w:cs="Arial"/>
          <w:highlight w:val="none"/>
        </w:rPr>
      </w:pPr>
      <w:r>
        <w:rPr>
          <w:rFonts w:ascii="Arial" w:hAnsi="Arial" w:cs="Arial"/>
          <w:highlight w:val="none"/>
        </w:rPr>
        <w:fldChar w:fldCharType="end"/>
      </w:r>
    </w:p>
    <w:p>
      <w:pPr>
        <w:spacing w:before="120" w:beforeLines="50" w:line="360" w:lineRule="auto"/>
        <w:rPr>
          <w:rFonts w:ascii="Arial" w:hAnsi="Arial" w:cs="Arial"/>
          <w:sz w:val="28"/>
          <w:szCs w:val="28"/>
          <w:highlight w:val="none"/>
        </w:rPr>
      </w:pPr>
    </w:p>
    <w:p>
      <w:pPr>
        <w:spacing w:before="120" w:beforeLines="50" w:line="360" w:lineRule="auto"/>
        <w:rPr>
          <w:rFonts w:ascii="Arial" w:hAnsi="Arial" w:cs="Arial"/>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pPr>
        <w:pStyle w:val="28"/>
        <w:snapToGrid w:val="0"/>
        <w:spacing w:before="120" w:after="120" w:line="360" w:lineRule="auto"/>
        <w:jc w:val="center"/>
        <w:outlineLvl w:val="0"/>
        <w:rPr>
          <w:rFonts w:ascii="Arial" w:hAnsi="Arial" w:cs="Arial"/>
          <w:sz w:val="32"/>
          <w:szCs w:val="32"/>
          <w:highlight w:val="none"/>
        </w:rPr>
      </w:pPr>
      <w:bookmarkStart w:id="8" w:name="_Toc254970489"/>
      <w:bookmarkStart w:id="9" w:name="_Toc254970630"/>
      <w:r>
        <w:rPr>
          <w:rFonts w:ascii="Arial" w:hAnsi="Arial" w:cs="Arial"/>
          <w:sz w:val="32"/>
          <w:szCs w:val="32"/>
          <w:highlight w:val="none"/>
        </w:rPr>
        <w:tab/>
      </w:r>
      <w:bookmarkStart w:id="10" w:name="_Toc14547"/>
      <w:r>
        <w:rPr>
          <w:rFonts w:ascii="Arial" w:hAnsi="Arial" w:cs="Arial"/>
          <w:sz w:val="32"/>
          <w:szCs w:val="32"/>
          <w:highlight w:val="none"/>
        </w:rPr>
        <w:t>第一章  招标公告</w:t>
      </w:r>
      <w:bookmarkEnd w:id="10"/>
    </w:p>
    <w:p>
      <w:pPr>
        <w:spacing w:line="360" w:lineRule="auto"/>
        <w:jc w:val="center"/>
        <w:rPr>
          <w:rFonts w:ascii="Arial" w:hAnsi="Arial" w:cs="Arial"/>
          <w:kern w:val="0"/>
          <w:sz w:val="24"/>
          <w:highlight w:val="none"/>
        </w:rPr>
      </w:pPr>
      <w:r>
        <w:rPr>
          <w:rFonts w:ascii="Arial" w:hAnsi="Arial" w:cs="Arial"/>
          <w:kern w:val="0"/>
          <w:sz w:val="24"/>
          <w:highlight w:val="none"/>
        </w:rPr>
        <w:t>广西机电设备招标有限公司关于</w:t>
      </w:r>
      <w:r>
        <w:rPr>
          <w:rFonts w:hint="eastAsia" w:ascii="Arial" w:hAnsi="Arial" w:cs="Arial"/>
          <w:kern w:val="0"/>
          <w:sz w:val="24"/>
          <w:highlight w:val="none"/>
        </w:rPr>
        <w:t>兴安县人民医院智慧医院信息化建设项目（软件部分）</w:t>
      </w:r>
    </w:p>
    <w:p>
      <w:pPr>
        <w:spacing w:line="360" w:lineRule="auto"/>
        <w:jc w:val="center"/>
        <w:rPr>
          <w:rFonts w:ascii="Arial" w:hAnsi="Arial" w:cs="Arial"/>
          <w:kern w:val="0"/>
          <w:szCs w:val="21"/>
          <w:highlight w:val="none"/>
        </w:rPr>
      </w:pPr>
      <w:r>
        <w:rPr>
          <w:rFonts w:ascii="Arial" w:hAnsi="Arial" w:cs="Arial"/>
          <w:sz w:val="24"/>
          <w:highlight w:val="none"/>
        </w:rPr>
        <w:t>(</w:t>
      </w:r>
      <w:r>
        <w:rPr>
          <w:rFonts w:hint="eastAsia" w:ascii="Arial" w:hAnsi="Arial" w:cs="Arial"/>
          <w:sz w:val="24"/>
          <w:highlight w:val="none"/>
          <w:lang w:eastAsia="zh-CN"/>
        </w:rPr>
        <w:t>GLZC2025-G3-250081-JDZB</w:t>
      </w:r>
      <w:r>
        <w:rPr>
          <w:rFonts w:ascii="Arial" w:hAnsi="Arial" w:cs="Arial"/>
          <w:sz w:val="24"/>
          <w:highlight w:val="none"/>
        </w:rPr>
        <w:t>)</w:t>
      </w:r>
      <w:r>
        <w:rPr>
          <w:rFonts w:ascii="Arial" w:hAnsi="Arial" w:cs="Arial"/>
          <w:kern w:val="0"/>
          <w:sz w:val="24"/>
          <w:highlight w:val="none"/>
        </w:rPr>
        <w:t>公开招标公告</w:t>
      </w:r>
    </w:p>
    <w:tbl>
      <w:tblPr>
        <w:tblStyle w:val="54"/>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631" w:type="dxa"/>
          </w:tcPr>
          <w:p>
            <w:pPr>
              <w:spacing w:line="312" w:lineRule="auto"/>
              <w:ind w:firstLine="420" w:firstLineChars="200"/>
              <w:jc w:val="left"/>
              <w:rPr>
                <w:rFonts w:ascii="Arial" w:hAnsi="Arial" w:cs="Arial"/>
                <w:szCs w:val="21"/>
                <w:highlight w:val="none"/>
              </w:rPr>
            </w:pPr>
            <w:r>
              <w:rPr>
                <w:rFonts w:ascii="Arial" w:hAnsi="Arial" w:cs="Arial"/>
                <w:szCs w:val="21"/>
                <w:highlight w:val="none"/>
              </w:rPr>
              <w:t>项目概况</w:t>
            </w:r>
          </w:p>
          <w:p>
            <w:pPr>
              <w:spacing w:line="312" w:lineRule="auto"/>
              <w:ind w:firstLine="420" w:firstLineChars="200"/>
              <w:jc w:val="left"/>
              <w:rPr>
                <w:rFonts w:ascii="Arial" w:hAnsi="Arial" w:cs="Arial"/>
                <w:b/>
                <w:bCs/>
                <w:kern w:val="0"/>
                <w:sz w:val="22"/>
                <w:szCs w:val="22"/>
                <w:highlight w:val="none"/>
              </w:rPr>
            </w:pPr>
            <w:r>
              <w:rPr>
                <w:rFonts w:hint="eastAsia" w:ascii="Arial" w:hAnsi="Arial" w:cs="Arial"/>
                <w:szCs w:val="21"/>
                <w:highlight w:val="none"/>
              </w:rPr>
              <w:t>兴安县人民医院信息化建设软件项目（软件部分）</w:t>
            </w:r>
            <w:r>
              <w:rPr>
                <w:rFonts w:ascii="Arial" w:hAnsi="Arial" w:cs="Arial"/>
                <w:szCs w:val="21"/>
                <w:highlight w:val="none"/>
              </w:rPr>
              <w:t>招标项目的潜在供应商应登录广西政府采购云平台（https://www.gcy.zfcg.gxzf.gov.cn/）在线申请获取招标文件，并于</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17</w:t>
            </w:r>
            <w:r>
              <w:rPr>
                <w:rFonts w:hint="eastAsia" w:ascii="Arial" w:hAnsi="Arial" w:cs="Arial"/>
                <w:szCs w:val="21"/>
                <w:highlight w:val="none"/>
              </w:rPr>
              <w:t>日</w:t>
            </w:r>
            <w:r>
              <w:rPr>
                <w:rFonts w:ascii="Arial" w:hAnsi="Arial" w:cs="Arial"/>
                <w:szCs w:val="21"/>
                <w:highlight w:val="none"/>
              </w:rPr>
              <w:t>9点30分（北京时间）前递交投标文件。。</w:t>
            </w:r>
          </w:p>
        </w:tc>
      </w:tr>
    </w:tbl>
    <w:p>
      <w:pPr>
        <w:spacing w:line="360" w:lineRule="auto"/>
        <w:jc w:val="left"/>
        <w:rPr>
          <w:rFonts w:ascii="Arial" w:hAnsi="Arial" w:cs="Arial"/>
          <w:b/>
          <w:bCs/>
          <w:kern w:val="0"/>
          <w:sz w:val="22"/>
          <w:szCs w:val="22"/>
          <w:highlight w:val="none"/>
        </w:rPr>
      </w:pP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一、项目基本情况</w:t>
      </w:r>
    </w:p>
    <w:p>
      <w:pPr>
        <w:spacing w:line="360" w:lineRule="auto"/>
        <w:ind w:firstLine="420" w:firstLineChars="200"/>
        <w:jc w:val="left"/>
        <w:rPr>
          <w:rFonts w:hint="eastAsia" w:ascii="Arial" w:hAnsi="Arial" w:eastAsia="宋体" w:cs="Arial"/>
          <w:kern w:val="0"/>
          <w:szCs w:val="21"/>
          <w:highlight w:val="none"/>
          <w:lang w:eastAsia="zh-CN"/>
        </w:rPr>
      </w:pPr>
      <w:r>
        <w:rPr>
          <w:rFonts w:ascii="Arial" w:hAnsi="Arial" w:cs="Arial"/>
          <w:kern w:val="0"/>
          <w:szCs w:val="21"/>
          <w:highlight w:val="none"/>
        </w:rPr>
        <w:t>项目编号：</w:t>
      </w:r>
      <w:r>
        <w:rPr>
          <w:rFonts w:hint="eastAsia" w:ascii="Arial" w:hAnsi="Arial" w:cs="Arial"/>
          <w:szCs w:val="21"/>
          <w:highlight w:val="none"/>
          <w:lang w:eastAsia="zh-CN"/>
        </w:rPr>
        <w:t>GLZC2025-G3-250081-JDZB</w:t>
      </w:r>
    </w:p>
    <w:p>
      <w:pPr>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项目名称：</w:t>
      </w:r>
      <w:r>
        <w:rPr>
          <w:rFonts w:hint="eastAsia" w:ascii="Arial" w:hAnsi="Arial" w:cs="Arial"/>
          <w:kern w:val="0"/>
          <w:szCs w:val="21"/>
          <w:highlight w:val="none"/>
        </w:rPr>
        <w:t>兴安县人民医院信息化建设软件项目（软件部分）</w:t>
      </w:r>
    </w:p>
    <w:p>
      <w:pPr>
        <w:spacing w:line="360"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预算总金额（元）</w:t>
      </w:r>
      <w:r>
        <w:rPr>
          <w:rFonts w:ascii="Arial" w:hAnsi="Arial" w:cs="Arial"/>
          <w:kern w:val="0"/>
          <w:szCs w:val="21"/>
          <w:highlight w:val="none"/>
        </w:rPr>
        <w:t>：</w:t>
      </w:r>
      <w:bookmarkStart w:id="11" w:name="OLE_LINK1"/>
      <w:r>
        <w:rPr>
          <w:rFonts w:hint="eastAsia" w:ascii="Arial" w:hAnsi="Arial" w:cs="Arial"/>
          <w:kern w:val="0"/>
          <w:szCs w:val="21"/>
          <w:highlight w:val="none"/>
        </w:rPr>
        <w:t>8000000</w:t>
      </w:r>
    </w:p>
    <w:bookmarkEnd w:id="11"/>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采购需求</w:t>
      </w:r>
      <w:r>
        <w:rPr>
          <w:rFonts w:ascii="Arial" w:hAnsi="Arial" w:cs="Arial"/>
          <w:kern w:val="0"/>
          <w:szCs w:val="21"/>
          <w:highlight w:val="none"/>
        </w:rPr>
        <w:t>：</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标项名称：兴安县人民医院信息化建设软件项目（软件部分）</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数量：1</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预算金额（元）：8000000</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简要规格描述或项目基本概况介绍、用途：围绕国家“三位一体”智慧医院发展要求，以电子病历四级标准为核心，通过升级、改造、扩建等方式建设软件系统。软件功能盖医院信息基础平台、智慧医疗管理、系统接口服务、电子病历四级测评服务、系统运维等。</w:t>
      </w:r>
      <w:r>
        <w:rPr>
          <w:rFonts w:ascii="Arial" w:hAnsi="Arial" w:cs="Arial"/>
          <w:kern w:val="0"/>
          <w:szCs w:val="21"/>
          <w:highlight w:val="none"/>
        </w:rPr>
        <w:t>如需进一步了解详细内容，详见招标文件。</w:t>
      </w:r>
    </w:p>
    <w:p>
      <w:pPr>
        <w:tabs>
          <w:tab w:val="left" w:pos="3150"/>
        </w:tabs>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最高限价（如有）：8000000</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合同履行期限：</w:t>
      </w:r>
      <w:r>
        <w:rPr>
          <w:rFonts w:hint="eastAsia"/>
          <w:highlight w:val="none"/>
        </w:rPr>
        <w:t>合同签订后，中标供应商应按照项目进度入场实施，具备实施条件后，6个月内完成项目实施与交付上线</w:t>
      </w:r>
      <w:r>
        <w:rPr>
          <w:rFonts w:hint="eastAsia" w:ascii="Arial" w:hAnsi="Arial" w:cs="Arial"/>
          <w:highlight w:val="none"/>
        </w:rPr>
        <w:t>。</w:t>
      </w:r>
    </w:p>
    <w:p>
      <w:pPr>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本标项（否）接受联合体投标</w:t>
      </w:r>
    </w:p>
    <w:p>
      <w:pPr>
        <w:spacing w:line="312"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备注：</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二、申请人的资格要求</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 xml:space="preserve">1.满足《中华人民共和国政府采购法》第二十二条规定； </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2.落实政府采购政策需满足的资格要求：本项目非专门面向中小微企业采购。</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3.本项目的特定资格要求：</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（1）资质要求：</w:t>
      </w:r>
      <w:r>
        <w:rPr>
          <w:rFonts w:hint="eastAsia" w:ascii="Arial" w:hAnsi="Arial" w:cs="Arial"/>
          <w:kern w:val="0"/>
          <w:szCs w:val="21"/>
          <w:highlight w:val="none"/>
        </w:rPr>
        <w:t>无。</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（2）业绩要求：无。</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（3）其他要求：无。</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（5）未被列入失信被执行人、重大税收违法失信主体、政府采购严重违法失信行为记录名单。</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w:t>
      </w:r>
      <w:r>
        <w:rPr>
          <w:rFonts w:hint="eastAsia" w:ascii="Arial" w:hAnsi="Arial" w:cs="Arial"/>
          <w:kern w:val="0"/>
          <w:szCs w:val="21"/>
          <w:highlight w:val="none"/>
        </w:rPr>
        <w:t>6</w:t>
      </w:r>
      <w:r>
        <w:rPr>
          <w:rFonts w:ascii="Arial" w:hAnsi="Arial" w:cs="Arial"/>
          <w:kern w:val="0"/>
          <w:szCs w:val="21"/>
          <w:highlight w:val="none"/>
        </w:rPr>
        <w:t>）本项目不接受联合体投标。</w:t>
      </w:r>
    </w:p>
    <w:p>
      <w:pPr>
        <w:adjustRightInd w:val="0"/>
        <w:snapToGrid w:val="0"/>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w:t>
      </w:r>
      <w:r>
        <w:rPr>
          <w:rFonts w:hint="eastAsia" w:ascii="Arial" w:hAnsi="Arial" w:cs="Arial"/>
          <w:kern w:val="0"/>
          <w:szCs w:val="21"/>
          <w:highlight w:val="none"/>
        </w:rPr>
        <w:t>7</w:t>
      </w:r>
      <w:r>
        <w:rPr>
          <w:rFonts w:ascii="Arial" w:hAnsi="Arial" w:cs="Arial"/>
          <w:kern w:val="0"/>
          <w:szCs w:val="21"/>
          <w:highlight w:val="none"/>
        </w:rPr>
        <w:t>）按照招标公告规定获得招标文件。</w:t>
      </w:r>
    </w:p>
    <w:p>
      <w:pPr>
        <w:spacing w:line="312" w:lineRule="auto"/>
        <w:ind w:firstLine="420" w:firstLineChars="200"/>
        <w:jc w:val="left"/>
        <w:rPr>
          <w:rFonts w:ascii="Arial" w:hAnsi="Arial" w:cs="Arial"/>
          <w:kern w:val="0"/>
          <w:szCs w:val="21"/>
          <w:highlight w:val="none"/>
        </w:rPr>
      </w:pP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三、获取招标文件</w:t>
      </w:r>
    </w:p>
    <w:p>
      <w:pPr>
        <w:spacing w:line="312" w:lineRule="auto"/>
        <w:ind w:firstLine="420" w:firstLineChars="200"/>
        <w:jc w:val="left"/>
        <w:rPr>
          <w:rFonts w:ascii="Arial" w:hAnsi="Arial" w:cs="Arial"/>
          <w:szCs w:val="21"/>
          <w:highlight w:val="none"/>
        </w:rPr>
      </w:pPr>
      <w:r>
        <w:rPr>
          <w:rFonts w:ascii="Arial" w:hAnsi="Arial" w:cs="Arial"/>
          <w:szCs w:val="21"/>
          <w:highlight w:val="none"/>
        </w:rPr>
        <w:t>时间：202</w:t>
      </w:r>
      <w:r>
        <w:rPr>
          <w:rFonts w:hint="eastAsia" w:ascii="Arial" w:hAnsi="Arial" w:cs="Arial"/>
          <w:szCs w:val="21"/>
          <w:highlight w:val="none"/>
        </w:rPr>
        <w:t>5</w:t>
      </w:r>
      <w:r>
        <w:rPr>
          <w:rFonts w:ascii="Arial" w:hAnsi="Arial" w:cs="Arial"/>
          <w:szCs w:val="21"/>
          <w:highlight w:val="none"/>
        </w:rPr>
        <w:t>年</w:t>
      </w:r>
      <w:r>
        <w:rPr>
          <w:rFonts w:hint="eastAsia" w:ascii="Arial" w:hAnsi="Arial" w:cs="Arial"/>
          <w:szCs w:val="21"/>
          <w:highlight w:val="none"/>
          <w:lang w:val="en-US" w:eastAsia="zh-CN"/>
        </w:rPr>
        <w:t>9</w:t>
      </w:r>
      <w:r>
        <w:rPr>
          <w:rFonts w:ascii="Arial" w:hAnsi="Arial" w:cs="Arial"/>
          <w:szCs w:val="21"/>
          <w:highlight w:val="none"/>
        </w:rPr>
        <w:t>月</w:t>
      </w:r>
      <w:r>
        <w:rPr>
          <w:rFonts w:hint="eastAsia" w:ascii="Arial" w:hAnsi="Arial" w:cs="Arial"/>
          <w:szCs w:val="21"/>
          <w:highlight w:val="none"/>
          <w:lang w:val="en-US" w:eastAsia="zh-CN"/>
        </w:rPr>
        <w:t>26</w:t>
      </w:r>
      <w:r>
        <w:rPr>
          <w:rFonts w:ascii="Arial" w:hAnsi="Arial" w:cs="Arial"/>
          <w:szCs w:val="21"/>
          <w:highlight w:val="none"/>
        </w:rPr>
        <w:t>日至</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17</w:t>
      </w:r>
      <w:r>
        <w:rPr>
          <w:rFonts w:hint="eastAsia" w:ascii="Arial" w:hAnsi="Arial" w:cs="Arial"/>
          <w:szCs w:val="21"/>
          <w:highlight w:val="none"/>
        </w:rPr>
        <w:t>日</w:t>
      </w:r>
      <w:r>
        <w:rPr>
          <w:rFonts w:ascii="Arial" w:hAnsi="Arial" w:cs="Arial"/>
          <w:szCs w:val="21"/>
          <w:highlight w:val="none"/>
        </w:rPr>
        <w:t xml:space="preserve"> ，每天上午00:00至12:00，下午12:00至23:59（北京时间，法定节假日除外）</w:t>
      </w:r>
    </w:p>
    <w:p>
      <w:pPr>
        <w:spacing w:line="312" w:lineRule="auto"/>
        <w:ind w:firstLine="420" w:firstLineChars="200"/>
        <w:jc w:val="left"/>
        <w:rPr>
          <w:rFonts w:ascii="Arial" w:hAnsi="Arial" w:cs="Arial"/>
          <w:szCs w:val="21"/>
          <w:highlight w:val="none"/>
        </w:rPr>
      </w:pPr>
      <w:r>
        <w:rPr>
          <w:rFonts w:ascii="Arial" w:hAnsi="Arial" w:cs="Arial"/>
          <w:szCs w:val="21"/>
          <w:highlight w:val="none"/>
        </w:rPr>
        <w:t xml:space="preserve">地点（网址）：广西政府采购云平台 （https://www.gcy.zfcg.gxzf.gov.cn/） </w:t>
      </w:r>
    </w:p>
    <w:p>
      <w:pPr>
        <w:spacing w:line="312" w:lineRule="auto"/>
        <w:ind w:firstLine="420" w:firstLineChars="200"/>
        <w:jc w:val="left"/>
        <w:rPr>
          <w:rFonts w:ascii="Arial" w:hAnsi="Arial" w:cs="Arial"/>
          <w:szCs w:val="21"/>
          <w:highlight w:val="none"/>
        </w:rPr>
      </w:pPr>
      <w:r>
        <w:rPr>
          <w:rFonts w:ascii="Arial" w:hAnsi="Arial" w:cs="Arial"/>
          <w:szCs w:val="21"/>
          <w:highlight w:val="none"/>
        </w:rPr>
        <w:t>方式：供应商登录广西政府采购云平台https://www.gcy.zfcg.gxzf.gov.cn/在线申请获取采购文件（进入“项目采购”应用，在获取采购文件菜单中选择项目，申请获取采购文件）</w:t>
      </w:r>
    </w:p>
    <w:p>
      <w:pPr>
        <w:spacing w:line="312" w:lineRule="auto"/>
        <w:ind w:firstLine="420" w:firstLineChars="200"/>
        <w:jc w:val="left"/>
        <w:rPr>
          <w:rFonts w:ascii="Arial" w:hAnsi="Arial" w:cs="Arial"/>
          <w:szCs w:val="21"/>
          <w:highlight w:val="none"/>
        </w:rPr>
      </w:pPr>
      <w:r>
        <w:rPr>
          <w:rFonts w:ascii="Arial" w:hAnsi="Arial" w:cs="Arial"/>
          <w:szCs w:val="21"/>
          <w:highlight w:val="none"/>
        </w:rPr>
        <w:t xml:space="preserve">售价（元）：0  </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四、提交投标文件截止时间、开标时间和地点</w:t>
      </w:r>
    </w:p>
    <w:p>
      <w:pPr>
        <w:spacing w:line="312" w:lineRule="auto"/>
        <w:ind w:firstLine="420" w:firstLineChars="200"/>
        <w:jc w:val="left"/>
        <w:rPr>
          <w:rFonts w:ascii="Arial" w:hAnsi="Arial" w:cs="Arial"/>
          <w:szCs w:val="21"/>
          <w:highlight w:val="none"/>
        </w:rPr>
      </w:pPr>
      <w:r>
        <w:rPr>
          <w:rFonts w:ascii="Arial" w:hAnsi="Arial" w:cs="Arial"/>
          <w:szCs w:val="21"/>
          <w:highlight w:val="none"/>
        </w:rPr>
        <w:t>提交投标文件截止时间：</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17</w:t>
      </w:r>
      <w:r>
        <w:rPr>
          <w:rFonts w:hint="eastAsia" w:ascii="Arial" w:hAnsi="Arial" w:cs="Arial"/>
          <w:szCs w:val="21"/>
          <w:highlight w:val="none"/>
        </w:rPr>
        <w:t>日</w:t>
      </w:r>
      <w:r>
        <w:rPr>
          <w:rFonts w:ascii="Arial" w:hAnsi="Arial" w:cs="Arial"/>
          <w:szCs w:val="21"/>
          <w:highlight w:val="none"/>
        </w:rPr>
        <w:t>09:30（北京时间）</w:t>
      </w:r>
    </w:p>
    <w:p>
      <w:pPr>
        <w:spacing w:line="312" w:lineRule="auto"/>
        <w:ind w:firstLine="420" w:firstLineChars="200"/>
        <w:jc w:val="left"/>
        <w:rPr>
          <w:rFonts w:ascii="Arial" w:hAnsi="Arial" w:cs="Arial"/>
          <w:szCs w:val="21"/>
          <w:highlight w:val="none"/>
        </w:rPr>
      </w:pPr>
      <w:r>
        <w:rPr>
          <w:rFonts w:ascii="Arial" w:hAnsi="Arial" w:cs="Arial"/>
          <w:szCs w:val="21"/>
          <w:highlight w:val="none"/>
        </w:rPr>
        <w:t>地点（网址）：通过广西政府采购云平台实行在线投标。</w:t>
      </w:r>
    </w:p>
    <w:p>
      <w:pPr>
        <w:spacing w:line="312" w:lineRule="auto"/>
        <w:ind w:firstLine="420" w:firstLineChars="200"/>
        <w:jc w:val="left"/>
        <w:rPr>
          <w:rFonts w:ascii="Arial" w:hAnsi="Arial" w:cs="Arial"/>
          <w:szCs w:val="21"/>
          <w:highlight w:val="none"/>
        </w:rPr>
      </w:pPr>
      <w:r>
        <w:rPr>
          <w:rFonts w:ascii="Arial" w:hAnsi="Arial" w:cs="Arial"/>
          <w:szCs w:val="21"/>
          <w:highlight w:val="none"/>
        </w:rPr>
        <w:t>开标时间：</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17</w:t>
      </w:r>
      <w:r>
        <w:rPr>
          <w:rFonts w:hint="eastAsia" w:ascii="Arial" w:hAnsi="Arial" w:cs="Arial"/>
          <w:szCs w:val="21"/>
          <w:highlight w:val="none"/>
        </w:rPr>
        <w:t>日</w:t>
      </w:r>
      <w:r>
        <w:rPr>
          <w:rFonts w:ascii="Arial" w:hAnsi="Arial" w:cs="Arial"/>
          <w:szCs w:val="21"/>
          <w:highlight w:val="none"/>
        </w:rPr>
        <w:t xml:space="preserve">09:30 </w:t>
      </w:r>
    </w:p>
    <w:p>
      <w:pPr>
        <w:spacing w:line="312" w:lineRule="auto"/>
        <w:ind w:firstLine="420" w:firstLineChars="200"/>
        <w:jc w:val="left"/>
        <w:rPr>
          <w:rFonts w:ascii="Arial" w:hAnsi="Arial" w:cs="Arial"/>
          <w:szCs w:val="21"/>
          <w:highlight w:val="none"/>
        </w:rPr>
      </w:pPr>
      <w:r>
        <w:rPr>
          <w:rFonts w:ascii="Arial" w:hAnsi="Arial" w:cs="Arial"/>
          <w:szCs w:val="21"/>
          <w:highlight w:val="none"/>
        </w:rPr>
        <w:t>开标地点：通过广西政府采购云平台实行在线解密开启。</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五、公告期限</w:t>
      </w:r>
    </w:p>
    <w:p>
      <w:pPr>
        <w:spacing w:line="360" w:lineRule="auto"/>
        <w:ind w:firstLine="420" w:firstLineChars="200"/>
        <w:jc w:val="left"/>
        <w:rPr>
          <w:rFonts w:ascii="Arial" w:hAnsi="Arial" w:cs="Arial"/>
          <w:kern w:val="0"/>
          <w:szCs w:val="21"/>
          <w:highlight w:val="none"/>
        </w:rPr>
      </w:pPr>
      <w:r>
        <w:rPr>
          <w:rFonts w:ascii="Arial" w:hAnsi="Arial" w:cs="Arial"/>
          <w:kern w:val="0"/>
          <w:szCs w:val="21"/>
          <w:highlight w:val="none"/>
        </w:rPr>
        <w:t>自本公告发布之日起5个工作日。</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六、其他补充事宜</w:t>
      </w:r>
    </w:p>
    <w:p>
      <w:pPr>
        <w:snapToGrid w:val="0"/>
        <w:spacing w:line="300" w:lineRule="auto"/>
        <w:ind w:firstLine="420" w:firstLineChars="200"/>
        <w:jc w:val="left"/>
        <w:rPr>
          <w:rFonts w:ascii="Arial" w:hAnsi="Arial" w:cs="Arial"/>
          <w:szCs w:val="21"/>
          <w:highlight w:val="none"/>
        </w:rPr>
      </w:pPr>
      <w:r>
        <w:rPr>
          <w:rFonts w:ascii="Arial" w:hAnsi="Arial" w:cs="Arial"/>
          <w:szCs w:val="21"/>
          <w:highlight w:val="none"/>
        </w:rPr>
        <w:t xml:space="preserve">1.公告发布媒体：广西政府采购网、中国政府采购网 </w:t>
      </w:r>
    </w:p>
    <w:p>
      <w:pPr>
        <w:snapToGrid w:val="0"/>
        <w:spacing w:line="300" w:lineRule="auto"/>
        <w:ind w:firstLine="420" w:firstLineChars="200"/>
        <w:jc w:val="left"/>
        <w:rPr>
          <w:rFonts w:ascii="Arial" w:hAnsi="Arial" w:cs="Arial"/>
          <w:szCs w:val="21"/>
          <w:highlight w:val="none"/>
        </w:rPr>
      </w:pPr>
      <w:r>
        <w:rPr>
          <w:rFonts w:ascii="Arial" w:hAnsi="Arial" w:cs="Arial"/>
          <w:szCs w:val="21"/>
          <w:highlight w:val="none"/>
        </w:rPr>
        <w:t>2.需落实的政府采购政策：本项目适用政府采购促进中小企业、监狱企业发展、促进残疾人就业、</w:t>
      </w:r>
      <w:r>
        <w:rPr>
          <w:rFonts w:ascii="Arial" w:hAnsi="Arial" w:cs="Arial"/>
          <w:highlight w:val="none"/>
        </w:rPr>
        <w:t>节能环保、</w:t>
      </w:r>
      <w:r>
        <w:rPr>
          <w:rFonts w:ascii="Arial" w:hAnsi="Arial" w:cs="Arial"/>
          <w:szCs w:val="21"/>
          <w:highlight w:val="none"/>
        </w:rPr>
        <w:t>信息安全产品等有关政策，具体详见招标文件。</w:t>
      </w:r>
    </w:p>
    <w:p>
      <w:pPr>
        <w:snapToGrid w:val="0"/>
        <w:spacing w:line="300" w:lineRule="auto"/>
        <w:ind w:firstLine="420" w:firstLineChars="200"/>
        <w:jc w:val="left"/>
        <w:rPr>
          <w:rFonts w:ascii="Arial" w:hAnsi="Arial" w:cs="Arial"/>
          <w:szCs w:val="21"/>
          <w:highlight w:val="none"/>
        </w:rPr>
      </w:pPr>
      <w:bookmarkStart w:id="12" w:name="_Hlk88997182"/>
      <w:r>
        <w:rPr>
          <w:rFonts w:ascii="Arial" w:hAnsi="Arial" w:cs="Arial"/>
          <w:szCs w:val="21"/>
          <w:highlight w:val="none"/>
        </w:rPr>
        <w:t>3.投标文件解密时间：截标时间后30分钟内（</w:t>
      </w:r>
      <w:r>
        <w:rPr>
          <w:rFonts w:hint="eastAsia" w:ascii="Arial" w:hAnsi="Arial" w:cs="Arial"/>
          <w:szCs w:val="21"/>
          <w:highlight w:val="none"/>
        </w:rPr>
        <w:t>2025年</w:t>
      </w:r>
      <w:r>
        <w:rPr>
          <w:rFonts w:hint="eastAsia" w:ascii="Arial" w:hAnsi="Arial" w:cs="Arial"/>
          <w:szCs w:val="21"/>
          <w:highlight w:val="none"/>
          <w:lang w:val="en-US" w:eastAsia="zh-CN"/>
        </w:rPr>
        <w:t>10</w:t>
      </w:r>
      <w:r>
        <w:rPr>
          <w:rFonts w:hint="eastAsia" w:ascii="Arial" w:hAnsi="Arial" w:cs="Arial"/>
          <w:szCs w:val="21"/>
          <w:highlight w:val="none"/>
        </w:rPr>
        <w:t>月</w:t>
      </w:r>
      <w:r>
        <w:rPr>
          <w:rFonts w:hint="eastAsia" w:ascii="Arial" w:hAnsi="Arial" w:cs="Arial"/>
          <w:szCs w:val="21"/>
          <w:highlight w:val="none"/>
          <w:lang w:val="en-US" w:eastAsia="zh-CN"/>
        </w:rPr>
        <w:t>17</w:t>
      </w:r>
      <w:r>
        <w:rPr>
          <w:rFonts w:hint="eastAsia" w:ascii="Arial" w:hAnsi="Arial" w:cs="Arial"/>
          <w:szCs w:val="21"/>
          <w:highlight w:val="none"/>
        </w:rPr>
        <w:t>日</w:t>
      </w:r>
      <w:r>
        <w:rPr>
          <w:rFonts w:ascii="Arial" w:hAnsi="Arial" w:cs="Arial"/>
          <w:szCs w:val="21"/>
          <w:highlight w:val="none"/>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szCs w:val="21"/>
          <w:highlight w:val="none"/>
        </w:rPr>
        <w:t xml:space="preserve"> </w:t>
      </w:r>
      <w:r>
        <w:rPr>
          <w:rFonts w:hint="eastAsia" w:ascii="Arial" w:hAnsi="Arial" w:cs="Arial"/>
          <w:szCs w:val="21"/>
          <w:highlight w:val="none"/>
          <w:lang w:val="en-US" w:eastAsia="zh-CN"/>
        </w:rPr>
        <w:t>4</w:t>
      </w:r>
      <w:r>
        <w:rPr>
          <w:rFonts w:ascii="Arial" w:hAnsi="Arial" w:cs="Arial"/>
          <w:szCs w:val="21"/>
          <w:highlight w:val="none"/>
        </w:rPr>
        <w:t>号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2"/>
    <w:p>
      <w:pPr>
        <w:snapToGrid w:val="0"/>
        <w:spacing w:line="300" w:lineRule="auto"/>
        <w:ind w:firstLine="420" w:firstLineChars="200"/>
        <w:rPr>
          <w:rFonts w:ascii="Arial" w:hAnsi="Arial" w:cs="Arial"/>
          <w:szCs w:val="21"/>
          <w:highlight w:val="none"/>
        </w:rPr>
      </w:pPr>
      <w:r>
        <w:rPr>
          <w:rFonts w:ascii="Arial" w:hAnsi="Arial" w:cs="Arial"/>
          <w:szCs w:val="21"/>
          <w:highlight w:val="none"/>
        </w:rPr>
        <w:t>4.“广西政府采购云平台”平台电子投标相关事宜：</w:t>
      </w:r>
    </w:p>
    <w:p>
      <w:pPr>
        <w:snapToGrid w:val="0"/>
        <w:spacing w:line="300" w:lineRule="auto"/>
        <w:ind w:firstLine="420" w:firstLineChars="200"/>
        <w:rPr>
          <w:rFonts w:ascii="Arial" w:hAnsi="Arial" w:cs="Arial"/>
          <w:szCs w:val="21"/>
          <w:highlight w:val="none"/>
        </w:rPr>
      </w:pPr>
      <w:r>
        <w:rPr>
          <w:rFonts w:ascii="Arial" w:hAnsi="Arial" w:cs="Arial"/>
          <w:kern w:val="0"/>
          <w:szCs w:val="21"/>
          <w:highlight w:val="none"/>
        </w:rPr>
        <w:t>（1）</w:t>
      </w:r>
      <w:r>
        <w:rPr>
          <w:rFonts w:ascii="Arial" w:hAnsi="Arial" w:cs="Arial"/>
          <w:szCs w:val="21"/>
          <w:highlight w:val="none"/>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pPr>
        <w:snapToGrid w:val="0"/>
        <w:spacing w:line="300" w:lineRule="auto"/>
        <w:ind w:firstLine="420" w:firstLineChars="200"/>
        <w:rPr>
          <w:rFonts w:ascii="Arial" w:hAnsi="Arial" w:cs="Arial"/>
          <w:kern w:val="0"/>
          <w:szCs w:val="21"/>
          <w:highlight w:val="none"/>
        </w:rPr>
      </w:pPr>
      <w:r>
        <w:rPr>
          <w:rFonts w:ascii="Arial" w:hAnsi="Arial" w:cs="Arial"/>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300" w:lineRule="auto"/>
        <w:ind w:firstLine="420" w:firstLineChars="200"/>
        <w:rPr>
          <w:rFonts w:ascii="Arial" w:hAnsi="Arial" w:cs="Arial"/>
          <w:kern w:val="0"/>
          <w:szCs w:val="21"/>
          <w:highlight w:val="none"/>
        </w:rPr>
      </w:pPr>
      <w:r>
        <w:rPr>
          <w:rFonts w:ascii="Arial" w:hAnsi="Arial" w:cs="Arial"/>
          <w:kern w:val="0"/>
          <w:szCs w:val="21"/>
          <w:highlight w:val="none"/>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p>
    <w:p>
      <w:pPr>
        <w:spacing w:line="360"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七、对本次招标提出询问，请按以下方式联系</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1、采购人信息</w:t>
      </w:r>
    </w:p>
    <w:p>
      <w:pPr>
        <w:spacing w:line="360"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名称：</w:t>
      </w:r>
      <w:r>
        <w:rPr>
          <w:rFonts w:hint="eastAsia" w:ascii="Arial" w:hAnsi="Arial" w:cs="Arial"/>
          <w:kern w:val="0"/>
          <w:szCs w:val="21"/>
          <w:highlight w:val="none"/>
          <w:u w:val="single"/>
        </w:rPr>
        <w:t>兴安县人民医院</w:t>
      </w:r>
    </w:p>
    <w:p>
      <w:pPr>
        <w:spacing w:line="360"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地址：</w:t>
      </w:r>
      <w:r>
        <w:rPr>
          <w:rFonts w:hint="eastAsia" w:ascii="Arial" w:hAnsi="Arial" w:cs="Arial"/>
          <w:kern w:val="0"/>
          <w:szCs w:val="21"/>
          <w:highlight w:val="none"/>
          <w:u w:val="single"/>
        </w:rPr>
        <w:t>广西壮族自治区桂林市兴安县桂善街78号</w:t>
      </w:r>
    </w:p>
    <w:p>
      <w:pPr>
        <w:spacing w:line="312" w:lineRule="auto"/>
        <w:ind w:firstLine="420" w:firstLineChars="200"/>
        <w:jc w:val="left"/>
        <w:rPr>
          <w:rFonts w:ascii="Arial" w:hAnsi="Arial" w:cs="Arial"/>
          <w:kern w:val="0"/>
          <w:szCs w:val="21"/>
          <w:highlight w:val="none"/>
          <w:u w:val="single"/>
        </w:rPr>
      </w:pPr>
      <w:r>
        <w:rPr>
          <w:rFonts w:hint="eastAsia" w:ascii="Arial" w:hAnsi="Arial" w:cs="Arial"/>
          <w:kern w:val="0"/>
          <w:szCs w:val="21"/>
          <w:highlight w:val="none"/>
        </w:rPr>
        <w:t>项目联系方式：</w:t>
      </w:r>
      <w:r>
        <w:rPr>
          <w:rFonts w:hint="eastAsia" w:ascii="Arial" w:hAnsi="Arial" w:cs="Arial"/>
          <w:kern w:val="0"/>
          <w:szCs w:val="21"/>
          <w:highlight w:val="none"/>
          <w:u w:val="single"/>
        </w:rPr>
        <w:t>0773-6226895</w:t>
      </w:r>
    </w:p>
    <w:p>
      <w:pPr>
        <w:spacing w:line="312" w:lineRule="auto"/>
        <w:ind w:firstLine="420" w:firstLineChars="200"/>
        <w:jc w:val="left"/>
        <w:rPr>
          <w:rFonts w:ascii="Arial" w:hAnsi="Arial" w:cs="Arial"/>
          <w:kern w:val="0"/>
          <w:szCs w:val="21"/>
          <w:highlight w:val="none"/>
        </w:rPr>
      </w:pPr>
      <w:r>
        <w:rPr>
          <w:rFonts w:ascii="Arial" w:hAnsi="Arial" w:cs="Arial"/>
          <w:kern w:val="0"/>
          <w:szCs w:val="21"/>
          <w:highlight w:val="none"/>
        </w:rPr>
        <w:t>2、采购代理机构信息</w:t>
      </w:r>
    </w:p>
    <w:p>
      <w:pPr>
        <w:spacing w:line="312"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名称：</w:t>
      </w:r>
      <w:r>
        <w:rPr>
          <w:rFonts w:ascii="Arial" w:hAnsi="Arial" w:cs="Arial"/>
          <w:kern w:val="0"/>
          <w:szCs w:val="21"/>
          <w:highlight w:val="none"/>
          <w:u w:val="single"/>
        </w:rPr>
        <w:t>广西机电设备招标有限公司</w:t>
      </w:r>
    </w:p>
    <w:p>
      <w:pPr>
        <w:spacing w:line="312" w:lineRule="auto"/>
        <w:ind w:firstLine="420" w:firstLineChars="200"/>
        <w:jc w:val="left"/>
        <w:rPr>
          <w:rFonts w:ascii="Arial" w:hAnsi="Arial" w:cs="Arial"/>
          <w:kern w:val="0"/>
          <w:szCs w:val="21"/>
          <w:highlight w:val="none"/>
          <w:u w:val="single"/>
        </w:rPr>
      </w:pPr>
      <w:r>
        <w:rPr>
          <w:rFonts w:ascii="Arial" w:hAnsi="Arial" w:cs="Arial"/>
          <w:kern w:val="0"/>
          <w:szCs w:val="21"/>
          <w:highlight w:val="none"/>
        </w:rPr>
        <w:t>地址：</w:t>
      </w:r>
      <w:r>
        <w:rPr>
          <w:rFonts w:ascii="Arial" w:hAnsi="Arial" w:cs="Arial"/>
          <w:kern w:val="0"/>
          <w:szCs w:val="21"/>
          <w:highlight w:val="none"/>
          <w:u w:val="single"/>
        </w:rPr>
        <w:t>桂林市骖鸾路31号湘商大厦6楼603（桂林分公司）</w:t>
      </w:r>
    </w:p>
    <w:p>
      <w:pPr>
        <w:spacing w:line="312" w:lineRule="auto"/>
        <w:ind w:firstLine="420" w:firstLineChars="200"/>
        <w:jc w:val="left"/>
        <w:rPr>
          <w:rFonts w:ascii="Arial" w:hAnsi="Arial" w:cs="Arial"/>
          <w:kern w:val="0"/>
          <w:szCs w:val="21"/>
          <w:highlight w:val="none"/>
          <w:u w:val="single"/>
        </w:rPr>
      </w:pPr>
      <w:r>
        <w:rPr>
          <w:rFonts w:hint="eastAsia" w:ascii="Arial" w:hAnsi="Arial" w:cs="Arial"/>
          <w:kern w:val="0"/>
          <w:szCs w:val="21"/>
          <w:highlight w:val="none"/>
        </w:rPr>
        <w:t>传真：</w:t>
      </w:r>
      <w:r>
        <w:rPr>
          <w:rFonts w:hint="eastAsia" w:ascii="Arial" w:hAnsi="Arial" w:cs="Arial"/>
          <w:kern w:val="0"/>
          <w:szCs w:val="21"/>
          <w:highlight w:val="none"/>
          <w:u w:val="single"/>
        </w:rPr>
        <w:t>0773-3602333</w:t>
      </w:r>
    </w:p>
    <w:p>
      <w:pPr>
        <w:spacing w:line="312" w:lineRule="auto"/>
        <w:ind w:firstLine="420" w:firstLineChars="200"/>
        <w:jc w:val="left"/>
        <w:rPr>
          <w:rFonts w:ascii="Arial" w:hAnsi="Arial" w:cs="Arial"/>
          <w:kern w:val="0"/>
          <w:szCs w:val="21"/>
          <w:highlight w:val="none"/>
          <w:u w:val="single"/>
        </w:rPr>
      </w:pPr>
      <w:r>
        <w:rPr>
          <w:rFonts w:hint="eastAsia" w:ascii="Arial" w:hAnsi="Arial" w:cs="Arial"/>
          <w:kern w:val="0"/>
          <w:szCs w:val="21"/>
          <w:highlight w:val="none"/>
        </w:rPr>
        <w:t>项目联系人：</w:t>
      </w:r>
      <w:r>
        <w:rPr>
          <w:rFonts w:hint="eastAsia" w:ascii="Arial" w:hAnsi="Arial" w:cs="Arial"/>
          <w:kern w:val="0"/>
          <w:szCs w:val="21"/>
          <w:highlight w:val="none"/>
          <w:u w:val="single"/>
        </w:rPr>
        <w:t>曾昭卉、栗晓奇</w:t>
      </w:r>
    </w:p>
    <w:p>
      <w:pPr>
        <w:spacing w:line="360" w:lineRule="auto"/>
        <w:ind w:firstLine="420" w:firstLineChars="200"/>
        <w:jc w:val="left"/>
        <w:rPr>
          <w:rFonts w:ascii="Arial" w:hAnsi="Arial" w:cs="Arial"/>
          <w:kern w:val="0"/>
          <w:sz w:val="18"/>
          <w:szCs w:val="18"/>
          <w:highlight w:val="none"/>
        </w:rPr>
      </w:pPr>
      <w:r>
        <w:rPr>
          <w:rFonts w:ascii="Arial" w:hAnsi="Arial" w:cs="Arial"/>
          <w:kern w:val="0"/>
          <w:szCs w:val="21"/>
          <w:highlight w:val="none"/>
        </w:rPr>
        <w:t>联系方式：</w:t>
      </w:r>
      <w:r>
        <w:rPr>
          <w:rFonts w:ascii="Arial" w:hAnsi="Arial" w:cs="Arial"/>
          <w:kern w:val="0"/>
          <w:szCs w:val="21"/>
          <w:highlight w:val="none"/>
          <w:u w:val="single"/>
        </w:rPr>
        <w:t xml:space="preserve"> </w:t>
      </w:r>
      <w:r>
        <w:rPr>
          <w:rFonts w:hint="eastAsia" w:ascii="Arial" w:hAnsi="Arial" w:cs="Arial"/>
          <w:kern w:val="0"/>
          <w:szCs w:val="21"/>
          <w:highlight w:val="none"/>
          <w:u w:val="single"/>
        </w:rPr>
        <w:t>0773-3696789转2</w:t>
      </w:r>
      <w:r>
        <w:rPr>
          <w:rFonts w:ascii="Arial" w:hAnsi="Arial" w:cs="Arial"/>
          <w:kern w:val="0"/>
          <w:szCs w:val="21"/>
          <w:highlight w:val="none"/>
          <w:u w:val="single"/>
        </w:rPr>
        <w:t xml:space="preserve"> </w:t>
      </w:r>
    </w:p>
    <w:bookmarkEnd w:id="8"/>
    <w:bookmarkEnd w:id="9"/>
    <w:p>
      <w:pPr>
        <w:pStyle w:val="28"/>
        <w:numPr>
          <w:ilvl w:val="0"/>
          <w:numId w:val="1"/>
        </w:numPr>
        <w:snapToGrid w:val="0"/>
        <w:spacing w:before="120" w:after="120" w:line="360" w:lineRule="auto"/>
        <w:jc w:val="center"/>
        <w:outlineLvl w:val="0"/>
        <w:rPr>
          <w:rFonts w:ascii="Arial" w:hAnsi="Arial" w:cs="Arial"/>
          <w:sz w:val="32"/>
          <w:szCs w:val="32"/>
          <w:highlight w:val="none"/>
        </w:rPr>
      </w:pPr>
      <w:r>
        <w:rPr>
          <w:rFonts w:hint="eastAsia" w:ascii="Arial" w:hAnsi="Arial" w:cs="Arial"/>
          <w:sz w:val="32"/>
          <w:szCs w:val="32"/>
          <w:highlight w:val="none"/>
        </w:rPr>
        <w:br w:type="page"/>
      </w:r>
      <w:bookmarkStart w:id="13" w:name="_Toc3252"/>
      <w:r>
        <w:rPr>
          <w:rFonts w:ascii="Arial" w:hAnsi="Arial" w:cs="Arial"/>
          <w:sz w:val="32"/>
          <w:szCs w:val="32"/>
          <w:highlight w:val="none"/>
        </w:rPr>
        <w:t>项目采购需求</w:t>
      </w:r>
      <w:bookmarkEnd w:id="13"/>
    </w:p>
    <w:p>
      <w:pPr>
        <w:pStyle w:val="28"/>
        <w:numPr>
          <w:ilvl w:val="0"/>
          <w:numId w:val="0"/>
        </w:numPr>
        <w:snapToGrid w:val="0"/>
        <w:spacing w:before="120" w:after="120" w:line="360" w:lineRule="auto"/>
        <w:outlineLvl w:val="0"/>
        <w:rPr>
          <w:rFonts w:ascii="Arial" w:hAnsi="Arial" w:cs="Arial"/>
          <w:b/>
          <w:bCs/>
          <w:highlight w:val="none"/>
          <w:lang w:val="zh-CN"/>
        </w:rPr>
      </w:pPr>
      <w:bookmarkStart w:id="14" w:name="_Toc2105"/>
      <w:r>
        <w:rPr>
          <w:rFonts w:hint="eastAsia" w:ascii="Arial" w:hAnsi="Arial" w:cs="Arial"/>
          <w:b/>
          <w:bCs/>
          <w:highlight w:val="none"/>
          <w:lang w:val="en-US" w:eastAsia="zh-CN"/>
        </w:rPr>
        <w:t>1、</w:t>
      </w:r>
      <w:r>
        <w:rPr>
          <w:rFonts w:hint="eastAsia" w:ascii="Arial" w:hAnsi="Arial" w:cs="Arial"/>
          <w:b/>
          <w:bCs/>
          <w:highlight w:val="none"/>
        </w:rPr>
        <w:t>本</w:t>
      </w:r>
      <w:r>
        <w:rPr>
          <w:rFonts w:ascii="Arial" w:hAnsi="Arial" w:cs="Arial"/>
          <w:b/>
          <w:bCs/>
          <w:highlight w:val="none"/>
          <w:lang w:val="zh-CN"/>
        </w:rPr>
        <w:t>招标文件中所有</w:t>
      </w:r>
      <w:r>
        <w:rPr>
          <w:rFonts w:ascii="Arial" w:hAnsi="Arial" w:cs="Arial"/>
          <w:b/>
          <w:bCs/>
          <w:highlight w:val="none"/>
        </w:rPr>
        <w:t>标注▲条款为实质性要求</w:t>
      </w:r>
      <w:r>
        <w:rPr>
          <w:rFonts w:hint="eastAsia" w:ascii="Arial" w:hAnsi="Arial" w:cs="Arial"/>
          <w:b/>
          <w:bCs/>
          <w:highlight w:val="none"/>
        </w:rPr>
        <w:t>，如有负偏离将导致投标被否决</w:t>
      </w:r>
      <w:r>
        <w:rPr>
          <w:rFonts w:ascii="Arial" w:hAnsi="Arial" w:cs="Arial"/>
          <w:b/>
          <w:bCs/>
          <w:highlight w:val="none"/>
          <w:lang w:val="zh-CN"/>
        </w:rPr>
        <w:t>。</w:t>
      </w:r>
      <w:bookmarkEnd w:id="14"/>
    </w:p>
    <w:p>
      <w:pPr>
        <w:pStyle w:val="28"/>
        <w:numPr>
          <w:ilvl w:val="0"/>
          <w:numId w:val="0"/>
        </w:numPr>
        <w:snapToGrid w:val="0"/>
        <w:spacing w:before="120" w:after="120" w:line="360" w:lineRule="auto"/>
        <w:outlineLvl w:val="0"/>
        <w:rPr>
          <w:rFonts w:ascii="Arial" w:hAnsi="Arial" w:cs="Arial"/>
          <w:b/>
          <w:bCs/>
          <w:highlight w:val="none"/>
          <w:lang w:val="zh-CN"/>
        </w:rPr>
      </w:pPr>
      <w:bookmarkStart w:id="15" w:name="_Toc1823"/>
      <w:r>
        <w:rPr>
          <w:rFonts w:hint="eastAsia" w:ascii="Arial" w:hAnsi="Arial" w:cs="Arial"/>
          <w:b/>
          <w:bCs/>
          <w:highlight w:val="none"/>
          <w:lang w:val="en-US" w:eastAsia="zh-CN"/>
        </w:rPr>
        <w:t>2、</w:t>
      </w:r>
      <w:r>
        <w:rPr>
          <w:rFonts w:hint="eastAsia" w:ascii="Arial" w:hAnsi="Arial" w:cs="Arial"/>
          <w:b/>
          <w:bCs/>
          <w:highlight w:val="none"/>
        </w:rPr>
        <w:t>本项目所属行业为：软件和信息技术服务业。</w:t>
      </w:r>
      <w:bookmarkEnd w:id="15"/>
    </w:p>
    <w:p>
      <w:pPr>
        <w:pStyle w:val="28"/>
        <w:numPr>
          <w:ilvl w:val="0"/>
          <w:numId w:val="0"/>
        </w:numPr>
        <w:snapToGrid w:val="0"/>
        <w:spacing w:before="120" w:after="120" w:line="360" w:lineRule="auto"/>
        <w:outlineLvl w:val="0"/>
        <w:rPr>
          <w:highlight w:val="none"/>
          <w:lang w:val="zh-CN"/>
        </w:rPr>
      </w:pPr>
      <w:bookmarkStart w:id="16" w:name="_Toc28989"/>
      <w:r>
        <w:rPr>
          <w:rFonts w:hint="eastAsia" w:ascii="Arial" w:hAnsi="Arial" w:cs="Arial"/>
          <w:b/>
          <w:bCs/>
          <w:highlight w:val="none"/>
          <w:lang w:val="en-US" w:eastAsia="zh-CN"/>
        </w:rPr>
        <w:t>3、</w:t>
      </w:r>
      <w:r>
        <w:rPr>
          <w:rFonts w:hint="eastAsia" w:ascii="Arial" w:hAnsi="Arial" w:cs="Arial"/>
          <w:b/>
          <w:bCs/>
          <w:highlight w:val="none"/>
        </w:rPr>
        <w:t>本项目为服务项目，无核心产品。</w:t>
      </w:r>
      <w:bookmarkEnd w:id="16"/>
    </w:p>
    <w:p>
      <w:pPr>
        <w:pStyle w:val="28"/>
        <w:numPr>
          <w:ilvl w:val="0"/>
          <w:numId w:val="0"/>
        </w:numPr>
        <w:snapToGrid w:val="0"/>
        <w:spacing w:before="120" w:after="120" w:line="360" w:lineRule="auto"/>
        <w:outlineLvl w:val="0"/>
        <w:rPr>
          <w:rFonts w:hint="eastAsia" w:ascii="Arial" w:hAnsi="Arial" w:eastAsia="宋体" w:cs="Arial"/>
          <w:b/>
          <w:bCs/>
          <w:highlight w:val="none"/>
          <w:lang w:val="en-US" w:eastAsia="zh-CN"/>
        </w:rPr>
      </w:pPr>
      <w:bookmarkStart w:id="17" w:name="_Toc3297"/>
      <w:r>
        <w:rPr>
          <w:rFonts w:hint="eastAsia" w:ascii="Arial" w:hAnsi="Arial" w:cs="Arial"/>
          <w:b/>
          <w:bCs/>
          <w:highlight w:val="none"/>
          <w:lang w:val="en-US" w:eastAsia="zh-CN"/>
        </w:rPr>
        <w:t>4、中标供应商应保证所提供货物或服务不会侵犯任何第三方的所有权、占有权、使用权、知识产权（含软件著作权）、专利权、商标权、工业设计权或其他权利，不存在被查封以及用于抵押、质押、租赁、出资等权利瑕疵或负担。采购人在中华人民共和国境内使用中标供应商提供的产品及服务时免受第三方提出的侵犯其商标权、专利权或其他知识产权的起诉。如果第三方提出侵权指控，中标供应商应妥善处理纠纷并承担由此而引起的一切法律责任和费用。</w:t>
      </w:r>
    </w:p>
    <w:p>
      <w:pPr>
        <w:pStyle w:val="28"/>
        <w:numPr>
          <w:ilvl w:val="0"/>
          <w:numId w:val="0"/>
        </w:numPr>
        <w:snapToGrid w:val="0"/>
        <w:spacing w:before="120" w:after="120" w:line="360" w:lineRule="auto"/>
        <w:outlineLvl w:val="0"/>
        <w:rPr>
          <w:rFonts w:ascii="Arial" w:hAnsi="Arial" w:cs="Arial"/>
          <w:b/>
          <w:bCs/>
          <w:highlight w:val="none"/>
          <w:lang w:val="zh-CN"/>
        </w:rPr>
      </w:pPr>
      <w:r>
        <w:rPr>
          <w:rFonts w:hint="eastAsia" w:ascii="Arial" w:hAnsi="Arial" w:cs="Arial"/>
          <w:b/>
          <w:bCs/>
          <w:highlight w:val="none"/>
          <w:lang w:val="en-US" w:eastAsia="zh-CN"/>
        </w:rPr>
        <w:t>5、</w:t>
      </w:r>
      <w:r>
        <w:rPr>
          <w:rFonts w:hint="eastAsia" w:ascii="Arial" w:hAnsi="Arial" w:cs="Arial"/>
          <w:b/>
          <w:bCs/>
          <w:highlight w:val="none"/>
        </w:rPr>
        <w:t>服务需求：</w:t>
      </w:r>
      <w:bookmarkEnd w:id="17"/>
    </w:p>
    <w:tbl>
      <w:tblPr>
        <w:tblStyle w:val="54"/>
        <w:tblW w:w="9605"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427"/>
        <w:gridCol w:w="427"/>
        <w:gridCol w:w="8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431" w:type="dxa"/>
            <w:textDirection w:val="tbRlV"/>
            <w:vAlign w:val="center"/>
          </w:tcPr>
          <w:p>
            <w:pPr>
              <w:spacing w:line="288" w:lineRule="auto"/>
              <w:jc w:val="center"/>
              <w:rPr>
                <w:rFonts w:ascii="Arial" w:hAnsi="Arial" w:cs="Arial"/>
                <w:b/>
                <w:bCs/>
                <w:szCs w:val="21"/>
                <w:highlight w:val="none"/>
              </w:rPr>
            </w:pPr>
            <w:r>
              <w:rPr>
                <w:rFonts w:ascii="Arial" w:hAnsi="Arial" w:cs="Arial"/>
                <w:b/>
                <w:bCs/>
                <w:szCs w:val="21"/>
                <w:highlight w:val="none"/>
              </w:rPr>
              <w:t>序号</w:t>
            </w:r>
          </w:p>
        </w:tc>
        <w:tc>
          <w:tcPr>
            <w:tcW w:w="427" w:type="dxa"/>
            <w:textDirection w:val="tbRlV"/>
            <w:vAlign w:val="center"/>
          </w:tcPr>
          <w:p>
            <w:pPr>
              <w:spacing w:line="288" w:lineRule="auto"/>
              <w:jc w:val="center"/>
              <w:rPr>
                <w:rFonts w:ascii="Arial" w:hAnsi="Arial" w:cs="Arial"/>
                <w:b/>
                <w:bCs/>
                <w:szCs w:val="21"/>
                <w:highlight w:val="none"/>
              </w:rPr>
            </w:pPr>
            <w:r>
              <w:rPr>
                <w:rFonts w:ascii="Arial" w:hAnsi="Arial" w:cs="Arial"/>
                <w:b/>
                <w:bCs/>
                <w:szCs w:val="21"/>
                <w:highlight w:val="none"/>
              </w:rPr>
              <w:t>标的名称</w:t>
            </w:r>
          </w:p>
        </w:tc>
        <w:tc>
          <w:tcPr>
            <w:tcW w:w="427" w:type="dxa"/>
            <w:textDirection w:val="tbRlV"/>
            <w:vAlign w:val="center"/>
          </w:tcPr>
          <w:p>
            <w:pPr>
              <w:spacing w:line="288" w:lineRule="auto"/>
              <w:jc w:val="center"/>
              <w:rPr>
                <w:rFonts w:ascii="Arial" w:hAnsi="Arial" w:cs="Arial"/>
                <w:b/>
                <w:bCs/>
                <w:szCs w:val="21"/>
                <w:highlight w:val="none"/>
              </w:rPr>
            </w:pPr>
            <w:r>
              <w:rPr>
                <w:rFonts w:ascii="Arial" w:hAnsi="Arial" w:cs="Arial"/>
                <w:b/>
                <w:bCs/>
                <w:szCs w:val="21"/>
                <w:highlight w:val="none"/>
              </w:rPr>
              <w:t>数量及单位</w:t>
            </w:r>
          </w:p>
        </w:tc>
        <w:tc>
          <w:tcPr>
            <w:tcW w:w="8320" w:type="dxa"/>
            <w:vAlign w:val="center"/>
          </w:tcPr>
          <w:p>
            <w:pPr>
              <w:spacing w:line="288" w:lineRule="auto"/>
              <w:jc w:val="center"/>
              <w:rPr>
                <w:rFonts w:ascii="Arial" w:hAnsi="Arial" w:cs="Arial"/>
                <w:b/>
                <w:bCs/>
                <w:szCs w:val="21"/>
                <w:highlight w:val="none"/>
              </w:rPr>
            </w:pPr>
            <w:r>
              <w:rPr>
                <w:rFonts w:ascii="Arial" w:hAnsi="Arial" w:cs="Arial"/>
                <w:b/>
                <w:bCs/>
                <w:szCs w:val="21"/>
                <w:highlight w:val="none"/>
              </w:rPr>
              <w:t>服务需求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31" w:type="dxa"/>
            <w:vAlign w:val="center"/>
          </w:tcPr>
          <w:p>
            <w:pPr>
              <w:pStyle w:val="133"/>
              <w:spacing w:line="288" w:lineRule="auto"/>
              <w:jc w:val="center"/>
              <w:rPr>
                <w:rFonts w:ascii="Arial" w:hAnsi="Arial" w:cs="Arial"/>
                <w:szCs w:val="21"/>
                <w:highlight w:val="none"/>
              </w:rPr>
            </w:pPr>
            <w:r>
              <w:rPr>
                <w:rFonts w:ascii="Arial" w:hAnsi="Arial" w:cs="Arial"/>
                <w:szCs w:val="21"/>
                <w:highlight w:val="none"/>
              </w:rPr>
              <w:t>X1</w:t>
            </w:r>
          </w:p>
        </w:tc>
        <w:tc>
          <w:tcPr>
            <w:tcW w:w="427" w:type="dxa"/>
            <w:vAlign w:val="center"/>
          </w:tcPr>
          <w:p>
            <w:pPr>
              <w:pStyle w:val="133"/>
              <w:spacing w:line="288" w:lineRule="auto"/>
              <w:jc w:val="center"/>
              <w:rPr>
                <w:rFonts w:ascii="Arial" w:hAnsi="Arial" w:cs="Arial"/>
                <w:szCs w:val="21"/>
                <w:highlight w:val="none"/>
              </w:rPr>
            </w:pPr>
            <w:r>
              <w:rPr>
                <w:rFonts w:ascii="Arial" w:hAnsi="Arial" w:cs="Arial"/>
                <w:szCs w:val="21"/>
                <w:highlight w:val="none"/>
              </w:rPr>
              <w:t>x兴安县人民医院智慧医院信息化建设项目（软件部分）</w:t>
            </w:r>
          </w:p>
        </w:tc>
        <w:tc>
          <w:tcPr>
            <w:tcW w:w="427" w:type="dxa"/>
            <w:vAlign w:val="center"/>
          </w:tcPr>
          <w:p>
            <w:pPr>
              <w:pStyle w:val="133"/>
              <w:spacing w:line="288" w:lineRule="auto"/>
              <w:jc w:val="center"/>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rPr>
              <w:t>1项</w:t>
            </w:r>
          </w:p>
        </w:tc>
        <w:tc>
          <w:tcPr>
            <w:tcW w:w="8320" w:type="dxa"/>
          </w:tcPr>
          <w:p>
            <w:pPr>
              <w:pStyle w:val="2"/>
              <w:spacing w:before="0" w:after="0" w:line="288" w:lineRule="auto"/>
              <w:rPr>
                <w:rFonts w:ascii="Arial" w:hAnsi="Arial" w:cs="Arial"/>
                <w:sz w:val="21"/>
                <w:szCs w:val="21"/>
                <w:highlight w:val="none"/>
              </w:rPr>
            </w:pPr>
            <w:bookmarkStart w:id="18" w:name="_Toc16556"/>
            <w:r>
              <w:rPr>
                <w:rFonts w:ascii="Arial" w:hAnsi="Arial" w:cs="Arial"/>
                <w:sz w:val="21"/>
                <w:szCs w:val="21"/>
                <w:highlight w:val="none"/>
              </w:rPr>
              <w:t>总体技术要求：</w:t>
            </w:r>
            <w:bookmarkEnd w:id="18"/>
          </w:p>
          <w:p>
            <w:pPr>
              <w:pStyle w:val="133"/>
              <w:spacing w:line="288" w:lineRule="auto"/>
              <w:ind w:firstLine="500"/>
              <w:rPr>
                <w:rFonts w:ascii="Arial" w:hAnsi="Arial" w:cs="Arial"/>
                <w:szCs w:val="21"/>
                <w:highlight w:val="none"/>
              </w:rPr>
            </w:pPr>
            <w:r>
              <w:rPr>
                <w:rFonts w:ascii="Arial" w:hAnsi="Arial" w:cs="Arial"/>
                <w:szCs w:val="21"/>
                <w:highlight w:val="none"/>
              </w:rPr>
              <w:t>为保障核心业务系统的先进性、稳定性、可扩展性与安全性，支撑医院信息化的可持续发展及</w:t>
            </w:r>
            <w:r>
              <w:rPr>
                <w:rFonts w:hint="eastAsia" w:ascii="Arial" w:hAnsi="Arial" w:cs="Arial"/>
                <w:szCs w:val="21"/>
                <w:highlight w:val="none"/>
              </w:rPr>
              <w:t>业务</w:t>
            </w:r>
            <w:r>
              <w:rPr>
                <w:rFonts w:ascii="Arial" w:hAnsi="Arial" w:cs="Arial"/>
                <w:szCs w:val="21"/>
                <w:highlight w:val="none"/>
              </w:rPr>
              <w:t>的高效协同，系统建设应遵循云原生理念，采用现代化的技术架构体系，满足高可用、高并发、易维护、强集成的业务需求。总体技术要求如下：</w:t>
            </w:r>
          </w:p>
          <w:p>
            <w:pPr>
              <w:pStyle w:val="3"/>
              <w:numPr>
                <w:ilvl w:val="1"/>
                <w:numId w:val="2"/>
              </w:numPr>
              <w:spacing w:before="0" w:after="0" w:line="288" w:lineRule="auto"/>
              <w:rPr>
                <w:rFonts w:eastAsia="宋体" w:cs="Arial"/>
                <w:sz w:val="21"/>
                <w:szCs w:val="21"/>
                <w:highlight w:val="none"/>
              </w:rPr>
            </w:pPr>
            <w:r>
              <w:rPr>
                <w:rFonts w:eastAsia="宋体" w:cs="Arial"/>
                <w:sz w:val="21"/>
                <w:szCs w:val="21"/>
                <w:highlight w:val="none"/>
              </w:rPr>
              <w:t>系统架构要求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云原生架构</w:t>
            </w:r>
          </w:p>
          <w:p>
            <w:pPr>
              <w:pStyle w:val="133"/>
              <w:spacing w:line="288" w:lineRule="auto"/>
              <w:rPr>
                <w:rFonts w:ascii="Arial" w:hAnsi="Arial" w:cs="Arial"/>
                <w:szCs w:val="21"/>
                <w:highlight w:val="none"/>
              </w:rPr>
            </w:pPr>
            <w:r>
              <w:rPr>
                <w:rFonts w:ascii="Arial" w:hAnsi="Arial" w:cs="Arial"/>
                <w:szCs w:val="21"/>
                <w:highlight w:val="none"/>
              </w:rPr>
              <w:t>核心业务系统应基于云原生技术体系构建，具备良好的弹性伸缩能力、自动化运维能力和跨环境迁移能力。系统各组件之间应实现松耦合设计，通过服务化、模块化方式降低系统复杂度，提升可维护性与可扩展性。</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松耦合设计</w:t>
            </w:r>
          </w:p>
          <w:p>
            <w:pPr>
              <w:pStyle w:val="133"/>
              <w:spacing w:line="288" w:lineRule="auto"/>
              <w:rPr>
                <w:rFonts w:ascii="Arial" w:hAnsi="Arial" w:cs="Arial"/>
                <w:szCs w:val="21"/>
                <w:highlight w:val="none"/>
              </w:rPr>
            </w:pPr>
            <w:r>
              <w:rPr>
                <w:rFonts w:ascii="Arial" w:hAnsi="Arial" w:cs="Arial"/>
                <w:szCs w:val="21"/>
                <w:highlight w:val="none"/>
              </w:rPr>
              <w:t>系统内部各功能模块采用标准接口进行交互，</w:t>
            </w:r>
            <w:r>
              <w:rPr>
                <w:rFonts w:hint="eastAsia" w:ascii="Arial" w:hAnsi="Arial" w:cs="Arial"/>
                <w:szCs w:val="21"/>
                <w:highlight w:val="none"/>
              </w:rPr>
              <w:t>对</w:t>
            </w:r>
            <w:r>
              <w:rPr>
                <w:rFonts w:ascii="Arial" w:hAnsi="Arial" w:cs="Arial"/>
                <w:szCs w:val="21"/>
                <w:highlight w:val="none"/>
              </w:rPr>
              <w:t>外部系统</w:t>
            </w:r>
            <w:r>
              <w:rPr>
                <w:rFonts w:hint="eastAsia" w:ascii="Arial" w:hAnsi="Arial" w:cs="Arial"/>
                <w:szCs w:val="21"/>
                <w:highlight w:val="none"/>
              </w:rPr>
              <w:t>采用行业标准协议，</w:t>
            </w:r>
            <w:r>
              <w:rPr>
                <w:rFonts w:ascii="Arial" w:hAnsi="Arial" w:cs="Arial"/>
                <w:szCs w:val="21"/>
                <w:highlight w:val="none"/>
              </w:rPr>
              <w:t>避免紧耦合依赖。</w:t>
            </w:r>
            <w:r>
              <w:rPr>
                <w:rFonts w:hint="eastAsia" w:ascii="Arial" w:hAnsi="Arial" w:cs="Arial"/>
                <w:szCs w:val="21"/>
                <w:highlight w:val="none"/>
              </w:rPr>
              <w:t>内部采用组件化设计，集成打包部署，可独立</w:t>
            </w:r>
            <w:r>
              <w:rPr>
                <w:rFonts w:ascii="Arial" w:hAnsi="Arial" w:cs="Arial"/>
                <w:szCs w:val="21"/>
                <w:highlight w:val="none"/>
              </w:rPr>
              <w:t>升级与故障隔离，</w:t>
            </w:r>
            <w:r>
              <w:rPr>
                <w:rFonts w:hint="eastAsia" w:ascii="Arial" w:hAnsi="Arial" w:cs="Arial"/>
                <w:szCs w:val="21"/>
                <w:highlight w:val="none"/>
              </w:rPr>
              <w:t>即</w:t>
            </w:r>
            <w:r>
              <w:rPr>
                <w:rFonts w:ascii="Arial" w:hAnsi="Arial" w:cs="Arial"/>
                <w:szCs w:val="21"/>
                <w:highlight w:val="none"/>
              </w:rPr>
              <w:t>保障整体系统的</w:t>
            </w:r>
            <w:r>
              <w:rPr>
                <w:rFonts w:hint="eastAsia" w:ascii="Arial" w:hAnsi="Arial" w:cs="Arial"/>
                <w:szCs w:val="21"/>
                <w:highlight w:val="none"/>
              </w:rPr>
              <w:t>性能，亦能有更好的</w:t>
            </w:r>
            <w:r>
              <w:rPr>
                <w:rFonts w:ascii="Arial" w:hAnsi="Arial" w:cs="Arial"/>
                <w:szCs w:val="21"/>
                <w:highlight w:val="none"/>
              </w:rPr>
              <w:t>灵活性。</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系统集成能力</w:t>
            </w:r>
          </w:p>
          <w:p>
            <w:pPr>
              <w:pStyle w:val="133"/>
              <w:spacing w:line="288" w:lineRule="auto"/>
              <w:rPr>
                <w:rFonts w:ascii="Arial" w:hAnsi="Arial" w:cs="Arial"/>
                <w:szCs w:val="21"/>
                <w:highlight w:val="none"/>
              </w:rPr>
            </w:pPr>
            <w:r>
              <w:rPr>
                <w:rFonts w:ascii="Arial" w:hAnsi="Arial" w:cs="Arial"/>
                <w:szCs w:val="21"/>
                <w:highlight w:val="none"/>
              </w:rPr>
              <w:t>系统应具备一体化集成开发能力核心系统（如HIS、医生站、护士站、LIS检验系统、PACS影像系统、EMR病历文书系统、病案系统、治疗系统等）保持先进的同一架构，实现高效互联互通的能力，</w:t>
            </w:r>
            <w:r>
              <w:rPr>
                <w:rFonts w:hint="eastAsia" w:ascii="Arial" w:hAnsi="Arial" w:cs="Arial"/>
                <w:szCs w:val="21"/>
                <w:highlight w:val="none"/>
              </w:rPr>
              <w:t>核心系统的统一</w:t>
            </w:r>
            <w:r>
              <w:rPr>
                <w:rFonts w:ascii="Arial" w:hAnsi="Arial" w:cs="Arial"/>
                <w:szCs w:val="21"/>
                <w:highlight w:val="none"/>
              </w:rPr>
              <w:t>数据和应用管理。通过接口的统一管理、访问控制、安全认证与调用监控；通过消息队列支持异步通信、事件驱动和数据共享，提升系统响应效率与容错能力。</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多层应用架构</w:t>
            </w:r>
          </w:p>
          <w:p>
            <w:pPr>
              <w:pStyle w:val="133"/>
              <w:spacing w:line="288" w:lineRule="auto"/>
              <w:rPr>
                <w:rFonts w:ascii="Arial" w:hAnsi="Arial" w:cs="Arial"/>
                <w:szCs w:val="21"/>
                <w:highlight w:val="none"/>
              </w:rPr>
            </w:pPr>
            <w:r>
              <w:rPr>
                <w:rFonts w:ascii="Arial" w:hAnsi="Arial" w:cs="Arial"/>
                <w:szCs w:val="21"/>
                <w:highlight w:val="none"/>
              </w:rPr>
              <w:t>系统应采用分层架构设计，明确划分表示层、业务逻辑层和数据访问层，各层职责清晰、边界明确</w:t>
            </w:r>
            <w:r>
              <w:rPr>
                <w:rFonts w:hint="eastAsia" w:ascii="Arial" w:hAnsi="Arial" w:cs="Arial"/>
                <w:szCs w:val="21"/>
                <w:highlight w:val="none"/>
              </w:rPr>
              <w:t>，显示组件支持配置</w:t>
            </w:r>
            <w:r>
              <w:rPr>
                <w:rFonts w:ascii="Arial" w:hAnsi="Arial" w:cs="Arial"/>
                <w:szCs w:val="21"/>
                <w:highlight w:val="none"/>
              </w:rPr>
              <w:t>，降低系统耦合度，便于独立开发、测试、部署和维护。</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前后端分离</w:t>
            </w:r>
          </w:p>
          <w:p>
            <w:pPr>
              <w:pStyle w:val="133"/>
              <w:spacing w:line="288" w:lineRule="auto"/>
              <w:rPr>
                <w:rFonts w:ascii="Arial" w:hAnsi="Arial" w:cs="Arial"/>
                <w:szCs w:val="21"/>
                <w:highlight w:val="none"/>
              </w:rPr>
            </w:pPr>
            <w:r>
              <w:rPr>
                <w:rFonts w:ascii="Arial" w:hAnsi="Arial" w:cs="Arial"/>
                <w:szCs w:val="21"/>
                <w:highlight w:val="none"/>
              </w:rPr>
              <w:t>前端展示层与后端服务层应完全解耦，通过标准化接口进行数据交互。支持PC端、移动端等多种客户端接入。</w:t>
            </w:r>
          </w:p>
          <w:p>
            <w:pPr>
              <w:pStyle w:val="3"/>
              <w:numPr>
                <w:ilvl w:val="1"/>
                <w:numId w:val="2"/>
              </w:numPr>
              <w:spacing w:before="0" w:after="0" w:line="288" w:lineRule="auto"/>
              <w:rPr>
                <w:rFonts w:eastAsia="宋体" w:cs="Arial"/>
                <w:sz w:val="21"/>
                <w:szCs w:val="21"/>
                <w:highlight w:val="none"/>
              </w:rPr>
            </w:pPr>
            <w:r>
              <w:rPr>
                <w:rFonts w:eastAsia="宋体" w:cs="Arial"/>
                <w:sz w:val="21"/>
                <w:szCs w:val="21"/>
                <w:highlight w:val="none"/>
              </w:rPr>
              <w:t>技术架构要求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容器化部署</w:t>
            </w:r>
          </w:p>
          <w:p>
            <w:pPr>
              <w:pStyle w:val="133"/>
              <w:spacing w:line="288" w:lineRule="auto"/>
              <w:rPr>
                <w:rFonts w:ascii="Arial" w:hAnsi="Arial" w:cs="Arial"/>
                <w:szCs w:val="21"/>
                <w:highlight w:val="none"/>
              </w:rPr>
            </w:pPr>
            <w:r>
              <w:rPr>
                <w:rFonts w:ascii="Arial" w:hAnsi="Arial" w:cs="Arial"/>
                <w:szCs w:val="21"/>
                <w:highlight w:val="none"/>
              </w:rPr>
              <w:t>系统应全面支持容器化技术，实现应用的标准化打包、快速部署与动态扩缩容。容器环境应提供资源隔离、安全沙箱与生命周期管理能力，保障医疗数据在采集、存储、处理、归档及销毁全过程中的安全性与合规性。</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微服务框架支持</w:t>
            </w:r>
          </w:p>
          <w:p>
            <w:pPr>
              <w:pStyle w:val="133"/>
              <w:spacing w:line="288" w:lineRule="auto"/>
              <w:rPr>
                <w:rFonts w:ascii="Arial" w:hAnsi="Arial" w:cs="Arial"/>
                <w:szCs w:val="21"/>
                <w:highlight w:val="none"/>
              </w:rPr>
            </w:pPr>
            <w:r>
              <w:rPr>
                <w:rFonts w:ascii="Arial" w:hAnsi="Arial" w:cs="Arial"/>
                <w:szCs w:val="21"/>
                <w:highlight w:val="none"/>
              </w:rPr>
              <w:t>应采用成熟的微服务开发框架，支持服务注册与发现、配置中心、链路追踪、负载均衡等关键能力，提升系统的可观测性、可管理性与开发效率。基于微服务架构进行设计与实现，将核心业务功能拆分为多个独立运行的小型服务单元，每个服务独立部署、独立运行于独立进程中，并通过轻量级通信机制进行交互。微服务架构应支持服务治理、熔断降级、限流控制等功能，提升系统可靠性与可扩展性。</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集成</w:t>
            </w:r>
            <w:r>
              <w:rPr>
                <w:rFonts w:hint="default" w:ascii="Arial" w:hAnsi="Arial" w:cs="Arial"/>
                <w:sz w:val="21"/>
                <w:szCs w:val="21"/>
                <w:highlight w:val="none"/>
              </w:rPr>
              <w:t>标准化</w:t>
            </w:r>
          </w:p>
          <w:p>
            <w:pPr>
              <w:pStyle w:val="133"/>
              <w:spacing w:line="288" w:lineRule="auto"/>
              <w:rPr>
                <w:rFonts w:ascii="Arial" w:hAnsi="Arial" w:cs="Arial"/>
                <w:szCs w:val="21"/>
                <w:highlight w:val="none"/>
              </w:rPr>
            </w:pPr>
            <w:r>
              <w:rPr>
                <w:rFonts w:ascii="Arial" w:hAnsi="Arial" w:cs="Arial"/>
                <w:szCs w:val="21"/>
                <w:highlight w:val="none"/>
              </w:rPr>
              <w:t>系统应支持通过</w:t>
            </w:r>
            <w:r>
              <w:rPr>
                <w:rFonts w:hint="eastAsia" w:ascii="Arial" w:hAnsi="Arial" w:cs="Arial"/>
                <w:szCs w:val="21"/>
                <w:highlight w:val="none"/>
                <w:lang w:val="en-US" w:eastAsia="zh-CN"/>
              </w:rPr>
              <w:t>HL7/</w:t>
            </w:r>
            <w:r>
              <w:rPr>
                <w:rFonts w:ascii="Arial" w:hAnsi="Arial" w:cs="Arial"/>
                <w:szCs w:val="21"/>
                <w:highlight w:val="none"/>
              </w:rPr>
              <w:t>FHIR</w:t>
            </w:r>
            <w:r>
              <w:rPr>
                <w:rFonts w:hint="eastAsia" w:ascii="Arial" w:hAnsi="Arial" w:cs="Arial"/>
                <w:szCs w:val="21"/>
                <w:highlight w:val="none"/>
                <w:lang w:val="en-US" w:eastAsia="zh-CN"/>
              </w:rPr>
              <w:t>等行业标准</w:t>
            </w:r>
            <w:r>
              <w:rPr>
                <w:rFonts w:ascii="Arial" w:hAnsi="Arial" w:cs="Arial"/>
                <w:szCs w:val="21"/>
                <w:highlight w:val="none"/>
              </w:rPr>
              <w:t>协议</w:t>
            </w:r>
            <w:r>
              <w:rPr>
                <w:rFonts w:hint="eastAsia" w:ascii="Arial" w:hAnsi="Arial" w:cs="Arial"/>
                <w:szCs w:val="21"/>
                <w:highlight w:val="none"/>
                <w:lang w:val="en-US" w:eastAsia="zh-CN"/>
              </w:rPr>
              <w:t>进行</w:t>
            </w:r>
            <w:r>
              <w:rPr>
                <w:rFonts w:ascii="Arial" w:hAnsi="Arial" w:cs="Arial"/>
                <w:szCs w:val="21"/>
                <w:highlight w:val="none"/>
              </w:rPr>
              <w:t>数据交换与业务协同，统一对外实现跨系统、跨协议的数据交换与业务协同。支持消息持久化、事务一致性、事件订阅发布等机制，保障异构系统间的数据同步与业务联动。</w:t>
            </w:r>
          </w:p>
          <w:p>
            <w:pPr>
              <w:pStyle w:val="3"/>
              <w:numPr>
                <w:ilvl w:val="1"/>
                <w:numId w:val="2"/>
              </w:numPr>
              <w:spacing w:before="0" w:after="0" w:line="288" w:lineRule="auto"/>
              <w:rPr>
                <w:rFonts w:eastAsia="宋体" w:cs="Arial"/>
                <w:sz w:val="21"/>
                <w:szCs w:val="21"/>
                <w:highlight w:val="none"/>
              </w:rPr>
            </w:pPr>
            <w:r>
              <w:rPr>
                <w:rFonts w:eastAsia="宋体" w:cs="Arial"/>
                <w:sz w:val="21"/>
                <w:szCs w:val="21"/>
                <w:highlight w:val="none"/>
              </w:rPr>
              <w:t>数据架构要求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统一数据标准规范</w:t>
            </w:r>
          </w:p>
          <w:p>
            <w:pPr>
              <w:pStyle w:val="133"/>
              <w:spacing w:line="288" w:lineRule="auto"/>
              <w:rPr>
                <w:rFonts w:ascii="Arial" w:hAnsi="Arial" w:cs="Arial"/>
                <w:szCs w:val="21"/>
                <w:highlight w:val="none"/>
              </w:rPr>
            </w:pPr>
            <w:r>
              <w:rPr>
                <w:rFonts w:ascii="Arial" w:hAnsi="Arial" w:cs="Arial"/>
                <w:szCs w:val="21"/>
                <w:highlight w:val="none"/>
              </w:rPr>
              <w:t>系统应遵循</w:t>
            </w:r>
            <w:r>
              <w:rPr>
                <w:rFonts w:hint="eastAsia" w:ascii="Arial" w:hAnsi="Arial" w:cs="Arial"/>
                <w:szCs w:val="21"/>
                <w:highlight w:val="none"/>
              </w:rPr>
              <w:t>行业</w:t>
            </w:r>
            <w:r>
              <w:rPr>
                <w:rFonts w:ascii="Arial" w:hAnsi="Arial" w:cs="Arial"/>
                <w:szCs w:val="21"/>
                <w:highlight w:val="none"/>
              </w:rPr>
              <w:t>的统一数据标准体系，涵盖术语字典、编码规则、数据元定义、接口协议等，确保不同系统间数据交换的准确性、一致性与可集成性。</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数据一致性与完整性</w:t>
            </w:r>
          </w:p>
          <w:p>
            <w:pPr>
              <w:pStyle w:val="133"/>
              <w:spacing w:line="288" w:lineRule="auto"/>
              <w:ind w:firstLine="420" w:firstLineChars="200"/>
              <w:rPr>
                <w:rFonts w:ascii="Arial" w:hAnsi="Arial" w:cs="Arial"/>
                <w:szCs w:val="21"/>
                <w:highlight w:val="none"/>
              </w:rPr>
            </w:pPr>
            <w:r>
              <w:rPr>
                <w:rFonts w:ascii="Arial" w:hAnsi="Arial" w:cs="Arial"/>
                <w:szCs w:val="21"/>
                <w:highlight w:val="none"/>
              </w:rPr>
              <w:t>系统应通过事务控制、数据校验、字典统一配置管理等手段保障数据的一致性与完整性，防止脏数据、重复数据或逻辑冲突的发生。</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数据可集成性</w:t>
            </w:r>
          </w:p>
          <w:p>
            <w:pPr>
              <w:pStyle w:val="133"/>
              <w:spacing w:line="288" w:lineRule="auto"/>
              <w:rPr>
                <w:rFonts w:ascii="Arial" w:hAnsi="Arial" w:cs="Arial"/>
                <w:szCs w:val="21"/>
                <w:highlight w:val="none"/>
              </w:rPr>
            </w:pPr>
            <w:r>
              <w:rPr>
                <w:rFonts w:ascii="Arial" w:hAnsi="Arial" w:cs="Arial"/>
                <w:szCs w:val="21"/>
                <w:highlight w:val="none"/>
              </w:rPr>
              <w:t>数据结构设计应具备良好的开放性与扩展性，支持通过标准接口（如HL7、FHIR、DICOM、XML/JSON、FTP）与其他系统进行数据集成，满足未来系统扩展需求。</w:t>
            </w:r>
          </w:p>
          <w:p>
            <w:pPr>
              <w:pStyle w:val="3"/>
              <w:numPr>
                <w:ilvl w:val="1"/>
                <w:numId w:val="2"/>
              </w:numPr>
              <w:spacing w:before="0" w:after="0" w:line="288" w:lineRule="auto"/>
              <w:rPr>
                <w:rFonts w:eastAsia="宋体" w:cs="Arial"/>
                <w:sz w:val="21"/>
                <w:szCs w:val="21"/>
                <w:highlight w:val="none"/>
              </w:rPr>
            </w:pPr>
            <w:r>
              <w:rPr>
                <w:rFonts w:eastAsia="宋体" w:cs="Arial"/>
                <w:sz w:val="21"/>
                <w:szCs w:val="21"/>
                <w:highlight w:val="none"/>
              </w:rPr>
              <w:t>部署架构要求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多模式部署支持</w:t>
            </w:r>
          </w:p>
          <w:p>
            <w:pPr>
              <w:pStyle w:val="133"/>
              <w:spacing w:line="288" w:lineRule="auto"/>
              <w:rPr>
                <w:rFonts w:ascii="Arial" w:hAnsi="Arial" w:cs="Arial"/>
                <w:szCs w:val="21"/>
                <w:highlight w:val="none"/>
              </w:rPr>
            </w:pPr>
            <w:r>
              <w:rPr>
                <w:rFonts w:ascii="Arial" w:hAnsi="Arial" w:cs="Arial"/>
                <w:b/>
                <w:bCs/>
                <w:highlight w:val="none"/>
              </w:rPr>
              <w:t>▲</w:t>
            </w:r>
            <w:r>
              <w:rPr>
                <w:rFonts w:ascii="Arial" w:hAnsi="Arial" w:cs="Arial"/>
                <w:szCs w:val="21"/>
                <w:highlight w:val="none"/>
              </w:rPr>
              <w:t>系统应支持多种部署方式，包括物理服务器、虚拟机及容器化部署，适应医院私有云、混合云或本地化部署的不同场景需求。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高可用与容错机制</w:t>
            </w:r>
          </w:p>
          <w:p>
            <w:pPr>
              <w:pStyle w:val="133"/>
              <w:spacing w:line="288" w:lineRule="auto"/>
              <w:rPr>
                <w:rFonts w:ascii="Arial" w:hAnsi="Arial" w:cs="Arial"/>
                <w:szCs w:val="21"/>
                <w:highlight w:val="none"/>
              </w:rPr>
            </w:pPr>
            <w:r>
              <w:rPr>
                <w:rFonts w:ascii="Arial" w:hAnsi="Arial" w:cs="Arial"/>
                <w:szCs w:val="21"/>
                <w:highlight w:val="none"/>
              </w:rPr>
              <w:t>系统部署应采用实时故障监控、负载均衡、集群部署、故障自动切换等技术手段，确保关键服务的高可用性与持续稳定运行。应用层与数据库层均应具备容错与冗余设计，避免单点故障。</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信创环境兼容性要求</w:t>
            </w:r>
          </w:p>
          <w:p>
            <w:pPr>
              <w:pStyle w:val="133"/>
              <w:spacing w:line="288" w:lineRule="auto"/>
              <w:rPr>
                <w:rFonts w:ascii="Arial" w:hAnsi="Arial" w:cs="Arial"/>
                <w:b/>
                <w:bCs/>
                <w:szCs w:val="21"/>
                <w:highlight w:val="none"/>
              </w:rPr>
            </w:pPr>
            <w:bookmarkStart w:id="19" w:name="OLE_LINK4"/>
            <w:r>
              <w:rPr>
                <w:rFonts w:ascii="Arial" w:hAnsi="Arial" w:cs="Arial"/>
                <w:b/>
                <w:bCs/>
                <w:highlight w:val="none"/>
              </w:rPr>
              <w:t>▲</w:t>
            </w:r>
            <w:bookmarkEnd w:id="19"/>
            <w:r>
              <w:rPr>
                <w:rFonts w:ascii="Arial" w:hAnsi="Arial" w:cs="Arial"/>
                <w:b/>
                <w:bCs/>
                <w:szCs w:val="21"/>
                <w:highlight w:val="none"/>
              </w:rPr>
              <w:t>系统应全面支持国家信息技术应用创新技术路线，满足国产化替代和自主可控要求，支持在国产主流CPU架构（如飞腾、鲲鹏、海光等）及国产操作系统（如统信UOS、麒麟软件、中科方德等）环境下稳定运行，支持采用国产主流数据库（如达梦、人大金仓、OceanBase</w:t>
            </w:r>
            <w:r>
              <w:rPr>
                <w:rFonts w:hint="eastAsia" w:ascii="Arial" w:hAnsi="Arial" w:cs="Arial"/>
                <w:b/>
                <w:bCs/>
                <w:szCs w:val="21"/>
                <w:highlight w:val="none"/>
                <w:lang w:eastAsia="zh-CN"/>
              </w:rPr>
              <w:t>、</w:t>
            </w:r>
            <w:r>
              <w:rPr>
                <w:rFonts w:hint="eastAsia" w:ascii="Arial" w:hAnsi="Arial" w:cs="Arial"/>
                <w:b/>
                <w:bCs/>
                <w:szCs w:val="21"/>
                <w:highlight w:val="none"/>
                <w:lang w:val="en-US" w:eastAsia="zh-CN"/>
              </w:rPr>
              <w:t>TDSQL</w:t>
            </w:r>
            <w:r>
              <w:rPr>
                <w:rFonts w:ascii="Arial" w:hAnsi="Arial" w:cs="Arial"/>
                <w:b/>
                <w:bCs/>
                <w:szCs w:val="21"/>
                <w:highlight w:val="none"/>
              </w:rPr>
              <w:t>等）。</w:t>
            </w:r>
          </w:p>
          <w:p>
            <w:pPr>
              <w:pStyle w:val="3"/>
              <w:numPr>
                <w:ilvl w:val="1"/>
                <w:numId w:val="2"/>
              </w:numPr>
              <w:spacing w:before="0" w:after="0" w:line="288" w:lineRule="auto"/>
              <w:rPr>
                <w:rFonts w:eastAsia="宋体" w:cs="Arial"/>
                <w:sz w:val="21"/>
                <w:szCs w:val="21"/>
                <w:highlight w:val="none"/>
              </w:rPr>
            </w:pPr>
            <w:r>
              <w:rPr>
                <w:rFonts w:eastAsia="宋体" w:cs="Arial"/>
                <w:sz w:val="21"/>
                <w:szCs w:val="21"/>
                <w:highlight w:val="none"/>
              </w:rPr>
              <w:t>网络与安全架构要求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高性能网络传输</w:t>
            </w:r>
          </w:p>
          <w:p>
            <w:pPr>
              <w:pStyle w:val="133"/>
              <w:spacing w:line="288" w:lineRule="auto"/>
              <w:rPr>
                <w:rFonts w:ascii="Arial" w:hAnsi="Arial" w:cs="Arial"/>
                <w:szCs w:val="21"/>
                <w:highlight w:val="none"/>
              </w:rPr>
            </w:pPr>
            <w:r>
              <w:rPr>
                <w:rFonts w:ascii="Arial" w:hAnsi="Arial" w:cs="Arial"/>
                <w:szCs w:val="21"/>
                <w:highlight w:val="none"/>
              </w:rPr>
              <w:t>系统应部署在高速、高带宽的网络环境中，保障各子系统之间的实时数据交互与信息共享，满足大规模并发访问下的响应速度要求。</w:t>
            </w:r>
          </w:p>
          <w:p>
            <w:pPr>
              <w:pStyle w:val="4"/>
              <w:numPr>
                <w:ilvl w:val="2"/>
                <w:numId w:val="2"/>
              </w:numPr>
              <w:spacing w:before="0" w:after="0" w:line="288" w:lineRule="auto"/>
              <w:rPr>
                <w:rFonts w:ascii="Arial" w:hAnsi="Arial" w:cs="Arial"/>
                <w:sz w:val="21"/>
                <w:szCs w:val="21"/>
                <w:highlight w:val="none"/>
              </w:rPr>
            </w:pPr>
            <w:r>
              <w:rPr>
                <w:rFonts w:ascii="Arial" w:hAnsi="Arial" w:cs="Arial"/>
                <w:sz w:val="21"/>
                <w:szCs w:val="21"/>
                <w:highlight w:val="none"/>
              </w:rPr>
              <w:t>全面的安全防护机制</w:t>
            </w:r>
          </w:p>
          <w:p>
            <w:pPr>
              <w:pStyle w:val="133"/>
              <w:spacing w:line="288" w:lineRule="auto"/>
              <w:rPr>
                <w:rFonts w:ascii="Arial" w:hAnsi="Arial" w:cs="Arial"/>
                <w:szCs w:val="21"/>
                <w:highlight w:val="none"/>
              </w:rPr>
            </w:pPr>
            <w:r>
              <w:rPr>
                <w:rFonts w:ascii="Arial" w:hAnsi="Arial" w:cs="Arial"/>
                <w:szCs w:val="21"/>
                <w:highlight w:val="none"/>
              </w:rPr>
              <w:t>对用户登录、身份认证、密码管理等关键环节实施强安全策略，支持多因素认证（MFA）；配置文件中的敏感信息（如账号、密码）须加密存储；提供完善的日志审计功能，包括系统运行日志、错误日志、用户操作日志等，支持日志分级管理；可针对重点功能模块配置细粒度的操作日志记录，满足合规审计要求；支持用户电子签章功能，确保关键操作的不可抵赖性；数据传输过程须采用SSL/TLS等加密机制，保障数据传输安全。</w:t>
            </w:r>
          </w:p>
          <w:p>
            <w:pPr>
              <w:pStyle w:val="133"/>
              <w:spacing w:line="288" w:lineRule="auto"/>
              <w:ind w:firstLine="0"/>
              <w:rPr>
                <w:rFonts w:ascii="Arial" w:hAnsi="Arial" w:cs="Arial"/>
                <w:szCs w:val="21"/>
                <w:highlight w:val="none"/>
              </w:rPr>
            </w:pPr>
          </w:p>
          <w:p>
            <w:pPr>
              <w:pStyle w:val="2"/>
              <w:spacing w:before="0" w:after="0" w:line="288" w:lineRule="auto"/>
              <w:rPr>
                <w:rFonts w:ascii="Arial" w:hAnsi="Arial" w:cs="Arial"/>
                <w:sz w:val="21"/>
                <w:szCs w:val="21"/>
                <w:highlight w:val="none"/>
              </w:rPr>
            </w:pPr>
            <w:bookmarkStart w:id="20" w:name="_Toc4885"/>
            <w:r>
              <w:rPr>
                <w:rFonts w:ascii="Arial" w:hAnsi="Arial" w:cs="Arial"/>
                <w:sz w:val="21"/>
                <w:szCs w:val="21"/>
                <w:highlight w:val="none"/>
              </w:rPr>
              <w:t>建设清单：</w:t>
            </w:r>
            <w:bookmarkEnd w:id="20"/>
          </w:p>
          <w:tbl>
            <w:tblPr>
              <w:tblStyle w:val="54"/>
              <w:tblW w:w="6915" w:type="dxa"/>
              <w:tblInd w:w="158" w:type="dxa"/>
              <w:tblLayout w:type="fixed"/>
              <w:tblCellMar>
                <w:top w:w="0" w:type="dxa"/>
                <w:left w:w="108" w:type="dxa"/>
                <w:bottom w:w="0" w:type="dxa"/>
                <w:right w:w="108" w:type="dxa"/>
              </w:tblCellMar>
            </w:tblPr>
            <w:tblGrid>
              <w:gridCol w:w="1080"/>
              <w:gridCol w:w="2880"/>
              <w:gridCol w:w="2955"/>
            </w:tblGrid>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pacing w:line="288" w:lineRule="auto"/>
                    <w:jc w:val="center"/>
                    <w:textAlignment w:val="center"/>
                    <w:rPr>
                      <w:rFonts w:ascii="Arial" w:hAnsi="Arial" w:cs="Arial"/>
                      <w:b/>
                      <w:bCs/>
                      <w:szCs w:val="21"/>
                      <w:highlight w:val="none"/>
                    </w:rPr>
                  </w:pPr>
                  <w:r>
                    <w:rPr>
                      <w:rFonts w:ascii="Arial" w:hAnsi="Arial" w:cs="Arial"/>
                      <w:b/>
                      <w:bCs/>
                      <w:kern w:val="0"/>
                      <w:szCs w:val="21"/>
                      <w:highlight w:val="none"/>
                      <w:lang w:bidi="ar"/>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pacing w:line="288" w:lineRule="auto"/>
                    <w:jc w:val="center"/>
                    <w:textAlignment w:val="center"/>
                    <w:rPr>
                      <w:rFonts w:ascii="Arial" w:hAnsi="Arial" w:cs="Arial"/>
                      <w:b/>
                      <w:bCs/>
                      <w:szCs w:val="21"/>
                      <w:highlight w:val="none"/>
                    </w:rPr>
                  </w:pPr>
                  <w:r>
                    <w:rPr>
                      <w:rFonts w:ascii="Arial" w:hAnsi="Arial" w:cs="Arial"/>
                      <w:b/>
                      <w:bCs/>
                      <w:kern w:val="0"/>
                      <w:szCs w:val="21"/>
                      <w:highlight w:val="none"/>
                      <w:lang w:bidi="ar"/>
                    </w:rPr>
                    <w:t>系统类别</w:t>
                  </w:r>
                </w:p>
              </w:tc>
              <w:tc>
                <w:tcPr>
                  <w:tcW w:w="295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pacing w:line="288" w:lineRule="auto"/>
                    <w:jc w:val="center"/>
                    <w:textAlignment w:val="center"/>
                    <w:rPr>
                      <w:rFonts w:ascii="Arial" w:hAnsi="Arial" w:cs="Arial"/>
                      <w:b/>
                      <w:bCs/>
                      <w:szCs w:val="21"/>
                      <w:highlight w:val="none"/>
                    </w:rPr>
                  </w:pPr>
                  <w:r>
                    <w:rPr>
                      <w:rFonts w:ascii="Arial" w:hAnsi="Arial" w:cs="Arial"/>
                      <w:b/>
                      <w:bCs/>
                      <w:kern w:val="0"/>
                      <w:szCs w:val="21"/>
                      <w:highlight w:val="none"/>
                      <w:lang w:bidi="ar"/>
                    </w:rPr>
                    <w:t>系统名称</w:t>
                  </w:r>
                </w:p>
              </w:tc>
            </w:tr>
            <w:tr>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right w:val="single" w:color="000000" w:sz="4" w:space="0"/>
                  </w:tcBorders>
                  <w:noWrap/>
                  <w:vAlign w:val="center"/>
                </w:tcPr>
                <w:p>
                  <w:pPr>
                    <w:widowControl/>
                    <w:spacing w:line="288" w:lineRule="auto"/>
                    <w:jc w:val="center"/>
                    <w:textAlignment w:val="center"/>
                    <w:rPr>
                      <w:rFonts w:hint="eastAsia" w:ascii="Arial" w:hAnsi="Arial" w:eastAsia="宋体" w:cs="Arial"/>
                      <w:szCs w:val="21"/>
                      <w:highlight w:val="none"/>
                      <w:lang w:val="en-US" w:eastAsia="zh-CN"/>
                    </w:rPr>
                  </w:pPr>
                  <w:r>
                    <w:rPr>
                      <w:rFonts w:hint="eastAsia" w:ascii="Arial" w:hAnsi="Arial" w:cs="Arial"/>
                      <w:szCs w:val="21"/>
                      <w:highlight w:val="none"/>
                      <w:lang w:val="en-US" w:eastAsia="zh-CN"/>
                    </w:rPr>
                    <w:t>1</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基础业务</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HIS基础业务系统</w:t>
                  </w:r>
                </w:p>
              </w:tc>
            </w:tr>
            <w:tr>
              <w:tblPrEx>
                <w:tblCellMar>
                  <w:top w:w="0" w:type="dxa"/>
                  <w:left w:w="108" w:type="dxa"/>
                  <w:bottom w:w="0" w:type="dxa"/>
                  <w:right w:w="108" w:type="dxa"/>
                </w:tblCellMar>
              </w:tblPrEx>
              <w:trPr>
                <w:trHeight w:val="5021" w:hRule="atLeast"/>
              </w:trPr>
              <w:tc>
                <w:tcPr>
                  <w:tcW w:w="1080" w:type="dxa"/>
                  <w:vMerge w:val="continue"/>
                  <w:tcBorders>
                    <w:left w:val="single" w:color="000000" w:sz="4" w:space="0"/>
                    <w:right w:val="single" w:color="000000" w:sz="4" w:space="0"/>
                  </w:tcBorders>
                  <w:noWrap/>
                  <w:vAlign w:val="center"/>
                </w:tcPr>
                <w:p>
                  <w:pPr>
                    <w:widowControl/>
                    <w:spacing w:line="288" w:lineRule="auto"/>
                    <w:jc w:val="center"/>
                    <w:textAlignment w:val="center"/>
                    <w:rPr>
                      <w:rFonts w:ascii="Arial" w:hAnsi="Arial" w:cs="Arial"/>
                      <w:kern w:val="0"/>
                      <w:szCs w:val="21"/>
                      <w:highlight w:val="none"/>
                      <w:lang w:bidi="ar"/>
                    </w:rPr>
                  </w:pPr>
                </w:p>
              </w:tc>
              <w:tc>
                <w:tcPr>
                  <w:tcW w:w="2880" w:type="dxa"/>
                  <w:vMerge w:val="continue"/>
                  <w:tcBorders>
                    <w:left w:val="single" w:color="000000" w:sz="4" w:space="0"/>
                    <w:right w:val="single" w:color="000000" w:sz="4" w:space="0"/>
                  </w:tcBorders>
                  <w:noWrap/>
                  <w:vAlign w:val="center"/>
                </w:tcPr>
                <w:p>
                  <w:pPr>
                    <w:widowControl/>
                    <w:spacing w:line="288" w:lineRule="auto"/>
                    <w:jc w:val="center"/>
                    <w:textAlignment w:val="center"/>
                    <w:rPr>
                      <w:rFonts w:ascii="Arial" w:hAnsi="Arial" w:cs="Arial"/>
                      <w:kern w:val="0"/>
                      <w:szCs w:val="21"/>
                      <w:highlight w:val="none"/>
                      <w:lang w:bidi="ar"/>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hint="eastAsia" w:ascii="Arial" w:hAnsi="Arial" w:cs="Arial"/>
                      <w:kern w:val="0"/>
                      <w:szCs w:val="21"/>
                      <w:highlight w:val="none"/>
                      <w:lang w:eastAsia="zh-CN" w:bidi="ar"/>
                    </w:rPr>
                  </w:pPr>
                  <w:r>
                    <w:rPr>
                      <w:rFonts w:hint="eastAsia" w:ascii="Arial" w:hAnsi="Arial" w:cs="Arial"/>
                      <w:kern w:val="0"/>
                      <w:szCs w:val="21"/>
                      <w:highlight w:val="none"/>
                      <w:lang w:val="en-US" w:eastAsia="zh-CN" w:bidi="ar"/>
                    </w:rPr>
                    <w:t>包含如下功能模块</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cs="Arial"/>
                      <w:kern w:val="0"/>
                      <w:szCs w:val="21"/>
                      <w:highlight w:val="none"/>
                      <w:lang w:val="en-US" w:eastAsia="zh-CN" w:bidi="ar"/>
                    </w:rPr>
                  </w:pPr>
                  <w:r>
                    <w:rPr>
                      <w:rFonts w:ascii="Arial" w:hAnsi="Arial" w:cs="Arial"/>
                      <w:kern w:val="0"/>
                      <w:szCs w:val="21"/>
                      <w:highlight w:val="none"/>
                      <w:lang w:bidi="ar"/>
                    </w:rPr>
                    <w:t>门诊挂号预约管理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门急诊挂号管理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门急诊收费管理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出入院管理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医技收费管理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药库管理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门诊药房管理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住院药房管理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医疗统计报表</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单点登录管理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患者主索引管理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临床信息集成调阅</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配置管理</w:t>
                  </w:r>
                  <w:r>
                    <w:rPr>
                      <w:rFonts w:hint="eastAsia" w:ascii="Arial" w:hAnsi="Arial" w:cs="Arial"/>
                      <w:kern w:val="0"/>
                      <w:szCs w:val="21"/>
                      <w:highlight w:val="none"/>
                      <w:lang w:eastAsia="zh-CN" w:bidi="ar"/>
                    </w:rPr>
                    <w:t>；</w:t>
                  </w:r>
                </w:p>
                <w:p>
                  <w:pPr>
                    <w:widowControl/>
                    <w:spacing w:line="288" w:lineRule="auto"/>
                    <w:jc w:val="left"/>
                    <w:textAlignment w:val="center"/>
                    <w:rPr>
                      <w:rFonts w:hint="eastAsia" w:ascii="Arial" w:hAnsi="Arial" w:eastAsia="宋体" w:cs="Arial"/>
                      <w:szCs w:val="21"/>
                      <w:highlight w:val="none"/>
                      <w:lang w:eastAsia="zh-CN"/>
                    </w:rPr>
                  </w:pPr>
                  <w:r>
                    <w:rPr>
                      <w:rFonts w:ascii="Arial" w:hAnsi="Arial" w:cs="Arial"/>
                      <w:kern w:val="0"/>
                      <w:szCs w:val="21"/>
                      <w:highlight w:val="none"/>
                      <w:lang w:bidi="ar"/>
                    </w:rPr>
                    <w:t>医保结算基础交易接口</w:t>
                  </w:r>
                  <w:r>
                    <w:rPr>
                      <w:rFonts w:hint="eastAsia" w:ascii="Arial" w:hAnsi="Arial" w:cs="Arial"/>
                      <w:kern w:val="0"/>
                      <w:szCs w:val="21"/>
                      <w:highlight w:val="none"/>
                      <w:lang w:eastAsia="zh-CN" w:bidi="ar"/>
                    </w:rPr>
                    <w:t>。</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就医服务</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护士分诊叫号系统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统一支付平台系统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4</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临床诊疗</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门诊医生工作站系统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5</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门诊电子病历信息系统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6</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住院医生工作站系统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7</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住院电子病历信息系统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8</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住院电子病历质控</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9</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住院手术管理</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10</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住院临床路径管理系统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11</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临床知识库系统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12</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临床护理</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门诊护士工作站</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13</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门急诊输液管理系统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14</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住院护士工作站系统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15</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护理病历信息系统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16</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护理计划信息系统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17</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医技管理</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医学影像管理与通讯系统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18</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放射检查信息系统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19</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超声检查信息系统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20</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内镜检查信息系统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21</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病理检查信息系统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22</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实验室信息管理系统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23</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用血申请单管理系统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24</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用血信息管理系统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25</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院内心电检查信息系统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26</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治疗管理</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手术麻醉信息系统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27</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治疗管理信息系统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28</w:t>
                  </w:r>
                </w:p>
              </w:tc>
              <w:tc>
                <w:tcPr>
                  <w:tcW w:w="28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医疗保障</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合理用药检测系统</w:t>
                  </w:r>
                </w:p>
              </w:tc>
            </w:tr>
            <w:tr>
              <w:tblPrEx>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29</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前置审方管理系统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30</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抗菌药物管理系统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31</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物资管理系统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32</w:t>
                  </w:r>
                </w:p>
              </w:tc>
              <w:tc>
                <w:tcPr>
                  <w:tcW w:w="28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医院感染管理系统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33</w:t>
                  </w:r>
                </w:p>
              </w:tc>
              <w:tc>
                <w:tcPr>
                  <w:tcW w:w="2880" w:type="dxa"/>
                  <w:vMerge w:val="restart"/>
                  <w:tcBorders>
                    <w:top w:val="single" w:color="000000" w:sz="4" w:space="0"/>
                    <w:left w:val="single" w:color="000000" w:sz="4" w:space="0"/>
                    <w:bottom w:val="nil"/>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医疗管理</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病案统计管理系统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34</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HQMS数据上报系统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35</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医疗不良事件管理系统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36</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病案示踪管理系统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37</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病案首页质控管理系统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38</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病案无纸化管理系统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39</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电子签名系统（CA）</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40</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DRG医保支付运营监管系统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41</w:t>
                  </w:r>
                </w:p>
              </w:tc>
              <w:tc>
                <w:tcPr>
                  <w:tcW w:w="2880" w:type="dxa"/>
                  <w:vMerge w:val="continue"/>
                  <w:tcBorders>
                    <w:top w:val="single" w:color="000000" w:sz="4" w:space="0"/>
                    <w:left w:val="single" w:color="000000" w:sz="4" w:space="0"/>
                    <w:bottom w:val="nil"/>
                    <w:right w:val="single" w:color="000000" w:sz="4" w:space="0"/>
                  </w:tcBorders>
                  <w:noWrap/>
                  <w:vAlign w:val="center"/>
                </w:tcPr>
                <w:p>
                  <w:pPr>
                    <w:spacing w:line="288" w:lineRule="auto"/>
                    <w:jc w:val="center"/>
                    <w:rPr>
                      <w:rFonts w:ascii="Arial" w:hAnsi="Arial" w:cs="Arial"/>
                      <w:szCs w:val="21"/>
                      <w:highlight w:val="none"/>
                    </w:rPr>
                  </w:pP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单病种管理系统</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eastAsia" w:ascii="Arial" w:hAnsi="Arial" w:cs="Arial"/>
                      <w:szCs w:val="21"/>
                      <w:highlight w:val="none"/>
                      <w:lang w:val="en-US" w:eastAsia="zh-CN"/>
                    </w:rPr>
                  </w:pPr>
                  <w:r>
                    <w:rPr>
                      <w:rFonts w:hint="eastAsia" w:ascii="Arial" w:hAnsi="Arial" w:cs="Arial"/>
                      <w:szCs w:val="21"/>
                      <w:highlight w:val="none"/>
                      <w:lang w:val="en-US" w:eastAsia="zh-CN"/>
                    </w:rPr>
                    <w:t>42</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接口</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接口</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hint="default" w:ascii="Arial" w:hAnsi="Arial" w:cs="Arial"/>
                      <w:szCs w:val="21"/>
                      <w:highlight w:val="none"/>
                      <w:lang w:val="en-US" w:eastAsia="zh-CN"/>
                    </w:rPr>
                  </w:pPr>
                  <w:r>
                    <w:rPr>
                      <w:rFonts w:hint="eastAsia" w:ascii="Arial" w:hAnsi="Arial" w:cs="Arial"/>
                      <w:szCs w:val="21"/>
                      <w:highlight w:val="none"/>
                      <w:lang w:val="en-US" w:eastAsia="zh-CN"/>
                    </w:rPr>
                    <w:t>43</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textAlignment w:val="center"/>
                    <w:rPr>
                      <w:rFonts w:ascii="Arial" w:hAnsi="Arial" w:cs="Arial"/>
                      <w:szCs w:val="21"/>
                      <w:highlight w:val="none"/>
                    </w:rPr>
                  </w:pPr>
                  <w:r>
                    <w:rPr>
                      <w:rFonts w:ascii="Arial" w:hAnsi="Arial" w:cs="Arial"/>
                      <w:kern w:val="0"/>
                      <w:szCs w:val="21"/>
                      <w:highlight w:val="none"/>
                      <w:lang w:bidi="ar"/>
                    </w:rPr>
                    <w:t>评级评审</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left"/>
                    <w:textAlignment w:val="center"/>
                    <w:rPr>
                      <w:rFonts w:ascii="Arial" w:hAnsi="Arial" w:cs="Arial"/>
                      <w:szCs w:val="21"/>
                      <w:highlight w:val="none"/>
                    </w:rPr>
                  </w:pPr>
                  <w:r>
                    <w:rPr>
                      <w:rFonts w:ascii="Arial" w:hAnsi="Arial" w:cs="Arial"/>
                      <w:kern w:val="0"/>
                      <w:szCs w:val="21"/>
                      <w:highlight w:val="none"/>
                      <w:lang w:bidi="ar"/>
                    </w:rPr>
                    <w:t>电子病历评级支持服务</w:t>
                  </w:r>
                </w:p>
              </w:tc>
            </w:tr>
          </w:tbl>
          <w:p>
            <w:pPr>
              <w:pStyle w:val="133"/>
              <w:spacing w:line="288" w:lineRule="auto"/>
              <w:ind w:firstLine="0"/>
              <w:rPr>
                <w:rFonts w:ascii="Arial" w:hAnsi="Arial" w:cs="Arial"/>
                <w:szCs w:val="21"/>
                <w:highlight w:val="none"/>
              </w:rPr>
            </w:pPr>
          </w:p>
          <w:p>
            <w:pPr>
              <w:pStyle w:val="133"/>
              <w:spacing w:line="288" w:lineRule="auto"/>
              <w:ind w:firstLine="0"/>
              <w:rPr>
                <w:rFonts w:ascii="Arial" w:hAnsi="Arial" w:cs="Arial"/>
                <w:szCs w:val="21"/>
                <w:highlight w:val="none"/>
              </w:rPr>
            </w:pPr>
          </w:p>
          <w:p>
            <w:pPr>
              <w:pStyle w:val="2"/>
              <w:spacing w:before="0" w:after="0" w:line="288" w:lineRule="auto"/>
              <w:rPr>
                <w:rFonts w:ascii="Arial" w:hAnsi="Arial" w:cs="Arial"/>
                <w:sz w:val="21"/>
                <w:szCs w:val="21"/>
                <w:highlight w:val="none"/>
              </w:rPr>
            </w:pPr>
            <w:bookmarkStart w:id="21" w:name="_Toc3246"/>
            <w:r>
              <w:rPr>
                <w:rFonts w:ascii="Arial" w:hAnsi="Arial" w:cs="Arial"/>
                <w:sz w:val="21"/>
                <w:szCs w:val="21"/>
                <w:highlight w:val="none"/>
              </w:rPr>
              <w:t>具体功能要求：</w:t>
            </w:r>
            <w:bookmarkEnd w:id="21"/>
          </w:p>
          <w:p>
            <w:pPr>
              <w:pStyle w:val="2"/>
              <w:numPr>
                <w:ilvl w:val="0"/>
                <w:numId w:val="3"/>
              </w:numPr>
              <w:spacing w:before="0" w:after="0" w:line="288" w:lineRule="auto"/>
              <w:rPr>
                <w:rFonts w:ascii="Arial" w:hAnsi="Arial" w:cs="Arial"/>
                <w:sz w:val="21"/>
                <w:szCs w:val="21"/>
                <w:highlight w:val="none"/>
              </w:rPr>
            </w:pPr>
            <w:bookmarkStart w:id="22" w:name="_Toc24275"/>
            <w:bookmarkStart w:id="23" w:name="_Toc4398"/>
            <w:r>
              <w:rPr>
                <w:rFonts w:ascii="Arial" w:hAnsi="Arial" w:cs="Arial"/>
                <w:sz w:val="21"/>
                <w:szCs w:val="21"/>
                <w:highlight w:val="none"/>
              </w:rPr>
              <w:t>HIS基础业务系统</w:t>
            </w:r>
            <w:bookmarkEnd w:id="22"/>
            <w:bookmarkEnd w:id="23"/>
          </w:p>
          <w:p>
            <w:pPr>
              <w:pStyle w:val="3"/>
              <w:numPr>
                <w:ilvl w:val="1"/>
                <w:numId w:val="3"/>
              </w:numPr>
              <w:spacing w:before="0" w:after="0" w:line="288" w:lineRule="auto"/>
              <w:rPr>
                <w:rFonts w:eastAsia="宋体" w:cs="Arial"/>
                <w:sz w:val="21"/>
                <w:szCs w:val="21"/>
                <w:highlight w:val="none"/>
              </w:rPr>
            </w:pPr>
            <w:bookmarkStart w:id="24" w:name="_Toc7181"/>
            <w:r>
              <w:rPr>
                <w:rFonts w:eastAsia="宋体" w:cs="Arial"/>
                <w:sz w:val="21"/>
                <w:szCs w:val="21"/>
                <w:highlight w:val="none"/>
              </w:rPr>
              <w:t>门诊挂号预约管理</w:t>
            </w:r>
            <w:bookmarkEnd w:id="24"/>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预约排班管理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排班管理</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排班总览</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具备排班总览功能，满足临时排班，停诊，预停诊，日排班调整，协同排班业务需求。</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临时排班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具备临时排班功能，并同步放号。</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停诊</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具备单个、批量停诊功能。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具备单个排班停诊、替班、撤销放号功能。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换诊</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具备将医生的当前排班进行停诊并补诊到指定的日期功能。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排班预停诊</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具备根据排班计划快速预停诊功能。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具备停诊已生成号源的排班功能。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具备维护对应的停诊短信内容的功能。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具备作废预停诊的功能。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日排班调整</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具备多条件排班查询功能。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具备卡片样式预览排班数据功能。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具备新建、编辑排班功能。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具备单个、批量限号功能。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具备单个、批量恢复限号功能。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具备单个、批量放号功能。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具备单个、批量删除排班号源功能。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具备编辑单个排班号球分布功能。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具备排班号球层面的限号，删除，启用功能。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具备加号功能。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具备导出排班功能。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具备查看号球使用情况的功能。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具备查看排班对应的预约信息的功能。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具备停诊补诊的功能，并支持短信通知患者补诊信息。</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协同排班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具备医生申请排班功能。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具备排班申请记录查询功能。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具备排班申请记录审批功能。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周固定班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具备按院区排班功能。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具备维护固定班功能，并按规则通过自动任务进行自动排班，放号。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具备针对固定班，新增计划内容时，超过放号周的号源生成预约排班数据。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具备快速生成，一键生成规则内排班功能。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具备隔周排班功能，对于隔周出诊的医生制定排班计划，并按需生成号源。</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基础班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具备维护基础模板，并能根据基础模版快速生成排班功能。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具备列表全局查询计划详情功能。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具备复制快速生成新计划功能。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具备联合门诊排班功能。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具备生成号源的时候，按号池设置的规则自动生成功能。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具备按时间段生成号源分布图功能，根据时段/号池自动分配。</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具备新建、执行、停用排班计划功能。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具备自定义时间段，按需分配排班时间间隔的功能。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节假日班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具备维护节假日排班，并自动生成排班并放号的功能。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具备自定义维护节假日功能。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预约黑名单管理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具备黑名单管理功能，可对违反规则的人员自动加入黑名单。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具备配置患者黑名单规则，限定黑名单对应的限制规则。</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具备将爽约患者加入黑名单，并在相关业务界面做限制，包括医保停保黑名单、退号黑名单管理。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具备将爽约患者自动加入黑名单功能。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具备将爽约患者手动加入黑名单功能。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具备查看爽约详情功能。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具备手动移除黑名单功能。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号源管理</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号源生成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具备根据模板快速生成对应时间的排班的功能。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具备借班完成节假日排班的功能。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停诊</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具备单个、批量停诊功能。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具备单个排班停诊、替班、撤销放号功能。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替诊</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具备同职称及以上职称替诊功能。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号源分配</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具备多种渠道进行预约处理的功能，并对号源进行统一管理，每种预约渠道可做号源限定，对于放号时间可进行设置。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具备按号池配置号源的回收时间功能。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分时段号源规则</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具备手工设置分时段时间功能。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加号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具备在诊间、窗口进行加号的功能。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减号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具备进行号源减号功能。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作废</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具备将已生成的号源进行作废功能。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号序生成规则</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具备根据模板定义快速生成对应时间的排班号序功能。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具备换班完成节假日排班功能。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统计分析</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具备预约就诊率、爽约率统计分析功能。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具备预约渠道、人次、比例统计分析功能。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具备预约情况汇总统计功能，包括科室、日期、专家等。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门诊预约配置管理</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预约渠道</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具备预约渠道自定配置功能，可设置不同渠道的可用号源池、提前预约天数，当日是否可预约，及预约放好时间点。</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科目号别配置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具备单科目多号别排班功能，比如医生同时出诊两个及以上排班。</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号池</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具备新建号池功能，可设置号池名称，是否可以预约，分配权重等信息。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具备设置每个号池回收规则功能，可设置回收到哪个号池，提前回收的天数，每日回收的时间点等。</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号别维护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具备批量针对科目、周计划模版、新建和未挂出的日排班号别进行调整的功能。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具备仅调整某号别的收费服务的功能。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具备批量把某号别调整成另一个号别的功能，并匹配新的收费服务。</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排班权限设置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具备排班规则定义功能，可对排班人员及排班权限的定义，设置不同排班人员可以排班的范围。</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预约登记服务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预约登记服务对患者预约进行统一管理，支持在窗口、护士站、医生站等不同场景进行预约登记。</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窗口预约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具备卡片或列表两种视图模式显示可选预约科目的功能。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具备查询可预约号源的功能。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具备预约到具体号序的功能。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具备预约到时间段的功能。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预约时，具备对患者最近预约记录查询的功能。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具备患者预约登记功能，并可打印预约单。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护士站预约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具备通过病历号，IC卡等方式检索患者信息功能。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具备按时间查询排班信息功能。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具备按时间段、时间点预功能。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具备将预约成功的号序、时间、患者信息、科室/医生、注意事项等打印在凭条功能。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门诊医生站预约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具备通过病历号，IC卡等方式检索患者信息功能。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具备按时间查询排班信息功能。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具备按时间段，时间点预约功能。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具备将预约成功的号序、时间、患者信息、科室/医生、注意事项等打印在凭条功能。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住院医生预约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具备通过病历号、IC卡等方式检索患者信息功能。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具备按时间查询排班信息功能。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具备按时间段、时间点预功能。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具备将预约成功的号序、时间、患者信息、科室/医生、注意事项等打印在凭条功能。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预约取号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具备预约后当天在窗口进行取号的功能。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预约取消</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具备预约取消的功能。</w:t>
            </w:r>
          </w:p>
          <w:p>
            <w:pPr>
              <w:pStyle w:val="3"/>
              <w:numPr>
                <w:ilvl w:val="1"/>
                <w:numId w:val="3"/>
              </w:numPr>
              <w:spacing w:before="0" w:after="0" w:line="288" w:lineRule="auto"/>
              <w:rPr>
                <w:rFonts w:eastAsia="宋体" w:cs="Arial"/>
                <w:sz w:val="21"/>
                <w:szCs w:val="21"/>
                <w:highlight w:val="none"/>
              </w:rPr>
            </w:pPr>
            <w:bookmarkStart w:id="25" w:name="_Toc542"/>
            <w:r>
              <w:rPr>
                <w:rFonts w:eastAsia="宋体" w:cs="Arial"/>
                <w:sz w:val="21"/>
                <w:szCs w:val="21"/>
                <w:highlight w:val="none"/>
              </w:rPr>
              <w:t>门急诊挂号管理</w:t>
            </w:r>
            <w:bookmarkEnd w:id="25"/>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档案管理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围绕患者资源，解决统一患者基本资料管理问题，建立高效安全的索引管理机制，加强对患者重要数据项的统一管理。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患者基本信息登记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具备患者基本信息登记功能，可按照基本必输项要求对患者进行建档，一般用于挂号窗口的患者建档。</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具备非实体卡的建档功能，支持实体卡的读卡建档，如医保卡、身份证读卡、电子健康卡等。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具备三无患者临时建档功能：支持证件认证，人工认证，未认证三种认证状态管理。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支持与患者主索引系统对接，对疑似重复建档的患者，可对信息自动合并。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具备在患者建档时标注绿通病人功能，并可对绿通有效期进行维护。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具备地址反结构化功能，输入详细地址后，可解析成结构化地址信息。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具备配置建档是否必须发卡、建档是否生成虚拟电子就诊卡功能，生成规则可以按照就诊卡生成规则进行配置。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具备根据隐私保护方案写入脱敏后的患者信息以及患者真实信息的记录。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患者基本信息维护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患者档案信息包含个人基本信息、家庭成员、地址信息、工作单位、患者标签、实名认证健康摘要、配送地址等。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具备患者详细信息查询、修改功能。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具备启动和停用患者档案功能。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具备患者档案信息变更记录查询功能，可按时间轴查看患者信息的变更记录。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具备患者医保身份的登记和修改功能。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支持新增费别，费别新增时可进行身份校验，如选择医保身份则可跟医保接口进行查询确认患者是否有此身份，支持设置默认保险类型。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具备设置患者特殊标签，包括VIP、老人，救助站，公医办等类型。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具备编辑特殊患者类型和有效期功能。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具备删除特殊患者功能。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具备查询门诊患者的担保信息功能。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具备新增门诊患者的担保信息功能。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具备作废未生效的患者担保信息功能。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具备按照姓名、手机号、身份证、病历号搜索、支持磁卡、医保卡刷卡检索患者历史卡记录功能。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具备查看患者就诊卡的修改日志功能。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患者基本信息隐私管理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具备隐私规则设置功能，根据隐私数据项可以配置多种隐私保护方案。</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具备隐私操作权限设置功能，可以按照角色和用户配置可编辑、查看真实信息的权限。</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具备判断操作员的隐私项操作权限的功能，有编辑权限的进行真实信息编辑保存，无编辑权限有查看权限的可以查看，不允许编辑修改。</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门急诊挂号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患者挂号时可以选择本次就诊费别、科室、专家、号源、号别，实现自费、医保等多种方式的挂号，支持多种支付方式支付，并支持退号操作。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挂号管理</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挂号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具备对新患者快速建档及挂号登记功能。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具备查询复诊患者近期就诊信息，可根据历史就诊重新挂号的快捷操作。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具备对就诊科目多方式排序功能，如按医生、按科室、按实时门诊量等方式排序。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具备卡片或列表两种视图模式显示可选挂号科目功能。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具备黑名单提醒功能，被列入黑名单的患者，在挂号时提醒业务员。</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具备挂号有效期管理功能，可按急诊、门诊、医保挂号分别设置有效期，过了挂号有效期需要重新挂号。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具备在诊间医生手工加号、窗口不限号自动加号、窗口限号自动加号功能。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具备根据优惠规则减免挂号费功能。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支持与统一支付平台对接，实现多种支付方式付费，包括不限于微信、支付宝、数字人民币等，可设置默认支付类型。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具备门特病人收费员录入特病病种挂号功能。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具备挂号统计信息实时显示功能，可实时展示当前操作员当日挂号统计信息情况。</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具备预约取号支付并打印取号单功能。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具备查看费用和补打单据功能。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具备挂免费号功能。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具备挂号费用联动收取功能。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具备无排班挂号功能。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具备针对患者属性进行号源过滤功能，如性别限定，医保限定，科室限定，年龄限定，挂号次数限定等。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具备近期免费续诊功能：实现门诊患者在检验检查报告出具N日内，再次续诊免收挂号金额的功能，N可配置。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具备同时挂多个号一次支付功能。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具备指定科室默认挂号费别设置功能。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退号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具备退号功能，未就诊号可以进行作废处理。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具备按人检索挂号记录功能，可对挂号记录进行退号、换号。</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发票管理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支持与电子发票系统对接，自动开具电子发票。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具备纸质发票自动打印功能。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具备特殊费别的患者不开发票处理功能。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财务结账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具备操作员结账、全班结账、结账单统计、合并结账单统计功能。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具备零点自动结账功能。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查询统计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具备挂号查询功能，可以查询指定就诊日期内的挂号信息，可退号或补打预约凭条。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具备患者档案查询功能，可以查询患者全档案信息，可停用、启用患者档案，并可查看档案历史修改记录。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具备操作流水查询功能，可以查询操作员的操作流水，包含现金、非现金金额汇总和每笔收费详情。</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挂号规则管理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具备挂号规则管理功能，可从多个维度设置挂号规则，如性别限定，医保限定，科室限定，年龄限定，挂号次数限定等。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提供多种渠道进行预约处理功能，并对号源进行统一管理，每种预约渠道可做号源限定，对于放号时间可进行设置。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具备按号池配置号源的回收时间功能。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医保费别维护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具备患者医保身份的登记和修改功能。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具备添加患者的保险类型功能。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具备修改患者默认的保险类型功能。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支持进行新增费别，费别新增时可进行身份校验，如选择医保身份则可跟医保接口进行查询确认患者是否有此身份 支持设置默认保险类型。</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医生排班大屏数据接口</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支持与医生排班大屏软件对接，将医生排班数据展示到大屏。</w:t>
            </w:r>
          </w:p>
          <w:p>
            <w:pPr>
              <w:pStyle w:val="3"/>
              <w:numPr>
                <w:ilvl w:val="1"/>
                <w:numId w:val="3"/>
              </w:numPr>
              <w:spacing w:before="0" w:after="0" w:line="288" w:lineRule="auto"/>
              <w:rPr>
                <w:rFonts w:eastAsia="宋体" w:cs="Arial"/>
                <w:sz w:val="21"/>
                <w:szCs w:val="21"/>
                <w:highlight w:val="none"/>
              </w:rPr>
            </w:pPr>
            <w:bookmarkStart w:id="26" w:name="_Toc3599"/>
            <w:r>
              <w:rPr>
                <w:rFonts w:eastAsia="宋体" w:cs="Arial"/>
                <w:sz w:val="21"/>
                <w:szCs w:val="21"/>
                <w:highlight w:val="none"/>
              </w:rPr>
              <w:t>门急诊收费管理</w:t>
            </w:r>
            <w:bookmarkEnd w:id="26"/>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门急诊费用管理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门急诊收费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支持刷卡读取门急诊处方功能。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具备患者多种身份识别功能。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药品选取提供代码、拼音、五笔等检索方式，具备别名录入功能。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具备不挂号收费功能。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支持多种支付方式，包括：现金、POS机。支持与统一支付平台对接，实现微信，支付宝支付功能。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具备患者欠费结算功能，实现绿色通道流程。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具备根据联动设置，自动收取联动费用功能。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具备完成收费后根据设置规则自动分配发药、配药窗口功能。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具备将自费支付的收费记录转为医保支付功能。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具备收费后不打印发票，打印收费凭条功能。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门诊收费时，具备分方结算功能，如先收取自费处方再收取医保处方。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具备收费时更换患者费别功能。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具备客户端连接多台“打印机”功能，并且同时打印发票与收费凭条。</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门急诊退费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具备全部退费和部分退费功能。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具备当日和隔日退费功能。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具备退费规则控制功能，由医生发起申请，药房、医技科室审核后才可以退费。</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费用信息查询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具备病人费用查询功能，处方查询功能。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具备病人欠费费用查询功能。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具备欠费患者统计形成催款报表功能。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绿通记账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具备绿通患者先诊疗后付费功能。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具备绿通患者，再次来院进行普通就诊时，提醒结清前次费用功能。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发票管理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支持与电子发票系统对接，实现电子发票开具。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具备纸质发票自动打印功能。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具备特殊费别的患者不开发票处理功能。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财务结账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具备操作员结账、全班结账、结账单统计、合并结账单统计功能。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具备零点自动结账功能。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手工划价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具备不建立患者信息直接进行划价收费功能。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具备添加手工单，可退手工开立药品、检验、检查、处置等项目进行结算功能。</w:t>
            </w:r>
          </w:p>
          <w:p>
            <w:pPr>
              <w:pStyle w:val="3"/>
              <w:numPr>
                <w:ilvl w:val="1"/>
                <w:numId w:val="3"/>
              </w:numPr>
              <w:spacing w:before="0" w:after="0" w:line="288" w:lineRule="auto"/>
              <w:rPr>
                <w:rFonts w:eastAsia="宋体" w:cs="Arial"/>
                <w:sz w:val="21"/>
                <w:szCs w:val="21"/>
                <w:highlight w:val="none"/>
              </w:rPr>
            </w:pPr>
            <w:bookmarkStart w:id="27" w:name="_Toc31039"/>
            <w:r>
              <w:rPr>
                <w:rFonts w:eastAsia="宋体" w:cs="Arial"/>
                <w:sz w:val="21"/>
                <w:szCs w:val="21"/>
                <w:highlight w:val="none"/>
              </w:rPr>
              <w:t>出入院管理</w:t>
            </w:r>
            <w:bookmarkEnd w:id="27"/>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入院管理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入院登记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具备住院登记功能，患者首次住院直接登记，可根据住院预约信息办理入院登记和根据门诊入院通知单办理入院登记。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具备查询复诊患者的历史住院信息功能。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具备新生儿登记患者快速入院功能。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具备预入院患者快速登记功能。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具备入院登记信息缺漏项校验功能。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具备录入住院担保人功能。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具备急观患者入院登记功能。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具备针对未入区的患者，可以取消入院功能。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简易入院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具备简易入院登记功能。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出院结算</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出院结算</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具备出院结算功能，可获取并展示病人在院期间发生的费用，具备中途结算，部分结算，出院结算等众多结算方式。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具备病人在院期间费用查询（费用明细，押金明细）功能，可按病区搜索，可实现多种方式展示费用明细，包括按大项/按明细/按发生日期/按科室等。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具备切换医疗保险实时结算功能，可实现多保险结算。</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支持与商保结算系统对接，实现商保患者直接结算功能。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具备支付功能，可选择性的使用预交金支付，可实现多种支付方式混合支付。</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具备发票打印功能。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支持与电子发票系统对接，实现电子发票开具功能。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具备费用清单打印功能。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具备优惠打折处理功能。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取消结算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具备病人结算查询功能，可获取并展示病人的结算记录。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具备医保实时退费功能，可根据医保类型实时退费。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具备多医保类型同时退费功能。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具备退费时实时退款功能。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具备多种退款模式，包括结转预交金、全部红冲等。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中途结算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具备在院患者进行中途结算功能。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母婴结算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具备新生儿母婴分别结算功能。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欠款结算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具备住院按欠款进行结算，并支持还款功能。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押金管理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具备住院预交金收退、打印、查询功能。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具备住院预交金收退使用现金、移动支付功能。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支持与统一支付平台对接，住院预交金收退使用微信、支付宝进行支付。</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病人担保金</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具备为担保人员添加担保金额功能。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费用管理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具备停药线设置功能。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具备押金报警线设置功能。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具备出入院一日清功能。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具备欠费患者信息、费用查询功能。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具备针对欠费病人打印催款单，系统进行提示等功能。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财务结账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具备操作员结账、全班结账、结账单统计、预交金结账、合并结账单统计功能。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具备零点自动结账功能。</w:t>
            </w:r>
          </w:p>
          <w:p>
            <w:pPr>
              <w:pStyle w:val="3"/>
              <w:numPr>
                <w:ilvl w:val="1"/>
                <w:numId w:val="3"/>
              </w:numPr>
              <w:spacing w:before="0" w:after="0" w:line="288" w:lineRule="auto"/>
              <w:rPr>
                <w:rFonts w:eastAsia="宋体" w:cs="Arial"/>
                <w:sz w:val="21"/>
                <w:szCs w:val="21"/>
                <w:highlight w:val="none"/>
              </w:rPr>
            </w:pPr>
            <w:bookmarkStart w:id="28" w:name="_Toc28240"/>
            <w:r>
              <w:rPr>
                <w:rFonts w:eastAsia="宋体" w:cs="Arial"/>
                <w:sz w:val="21"/>
                <w:szCs w:val="21"/>
                <w:highlight w:val="none"/>
              </w:rPr>
              <w:t>医技收费管理</w:t>
            </w:r>
            <w:bookmarkEnd w:id="28"/>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具备通过刷卡或者输入病历号检索患者功能，并自动加载医技申请项目。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具备门诊、住院医技项目确认功能。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住院医技确认具备按照在院患者列表显示功能。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具备显示申请单和历史诊断信息功能。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具备按照科室自动加载指定科室医技申请项目功能。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具备住院医技退费、门诊医技取消确认功能。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医技退费时具备生成新的医技请求以备再次进行医技确认的功能。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具备对病区或手术室的医技请求补录项目功能，包括药品和材料等其他项目。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具备组套维护和添加功能。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具备通科确费功能。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具备对门诊医技请求补录项目的功能，包含材料等其他医技项目。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具备门诊医技收费多种慢特病处方拆分结算功能。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具备患者入院前检查确费功能。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具备住院补记账和补记账作废功能。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具备住院医技补记账部分退费功能。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具备医技补记账预留补录高值扫码费用功能。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具备医技补记账批量患者补录费用功能。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具备医技收费查询功能。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具备住院发药单补打功能。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具备医技申请单批量打印功能。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具备综合报表统计查询及打印功能。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具备医技工作量查询功能。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具备门诊医技收费查询功能。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具备门诊医技诊间优化流程确费，并打印凭条功能。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具备收费凭条补打功能。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具备门诊医技收费按照患者列表显示，按患者确费功能。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具备门诊医技收费补录临床项目可以选择明细小项目功能。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具备门诊医技优化流程打印机设置功能。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具备门诊、住院费用批量确认功能。</w:t>
            </w:r>
          </w:p>
          <w:p>
            <w:pPr>
              <w:pStyle w:val="3"/>
              <w:numPr>
                <w:ilvl w:val="1"/>
                <w:numId w:val="3"/>
              </w:numPr>
              <w:spacing w:before="0" w:after="0" w:line="288" w:lineRule="auto"/>
              <w:rPr>
                <w:rFonts w:eastAsia="宋体" w:cs="Arial"/>
                <w:sz w:val="21"/>
                <w:szCs w:val="21"/>
                <w:highlight w:val="none"/>
              </w:rPr>
            </w:pPr>
            <w:bookmarkStart w:id="29" w:name="_Toc44"/>
            <w:r>
              <w:rPr>
                <w:rFonts w:eastAsia="宋体" w:cs="Arial"/>
                <w:sz w:val="21"/>
                <w:szCs w:val="21"/>
                <w:highlight w:val="none"/>
              </w:rPr>
              <w:t>药库管理</w:t>
            </w:r>
            <w:bookmarkEnd w:id="29"/>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药品字典</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药品通用名设置和维护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具备对同一通用名设置不同剂量规格功能。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具备通用名层药理所属分类维护功能。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具备对药品临床应用就诊类型设置及维护功能。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具备对药品皮试类型进行设置及维护功能。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具备对药品通用名进行停用或启用功能。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具备对药品通用名别名进行设置和维护功能。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具备对可用剂量单位进行换算关系设置及维护功能。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药品字典属性设置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具备按不同的药品类型进行对应属性输入和维护功能。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具备对药品临床管理应用属性进行维护功能。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具备对药品所属医保属性内容进行设置及维护功能。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具备对新增药品字典数据进行审核功能。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具备对新增已生效但未产生业务单据的药品数据进行删除功能。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具备对已生效状态的药品数据进行部分属性修改功能。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具备对已生效的药品一键克隆快速新增出同药品名不同厂家/产地数据功能。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具备对药品字典进行各类型属性进行过滤功能。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具备药品字典对不同科室不同医生设置黑白名单功能。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具备查看药品字典修改日志功能。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具备对药品字典数据进行停用、停开、停发功能。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库房商品目录管理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具备对指定库房快速批量导入所属本库房的药品数据内容功能。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具备对本库房内指定药品设置上限和下限数值功能。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具备对本库房内指定药品进行本库房内停开、停发、停用功能。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具备对本库房内指定药品进行货位号设置功能。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具备对本库房指定药品设置临床科室开立处方时可使用单位功能。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具备对本库房指定药品设置门诊取药模式和住院取药模式功能。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具备对本库房指定药品设置默认供应商功能。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具备对本库房指定药品设置是否进入包药机、摆药机、无人自助发药机功能。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具备对本库房指定药品批量设置相关属性功能。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价格管理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多种价格方案管理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具备多批次统一零售价和多批次多零售价两种模式配置功能。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具备价格、金额保留小数位设置功能。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调价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具备全院统一按药品调价和按批次调价功能。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具备只调零价和进价零价同时调价功能。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具备实时调价和定时调价两种模式。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具备调价单据查询、按照格式打印功能。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应付账管理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具备按供应商、采购性质和药品类型等条件查询未付款数据的功能。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具备按开票日期或单据生效日期进行未付款数据过滤功能。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具备按供应商打印付款通知单的功能。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具备多个供应商进行付款并打印汇总付款单据的功能。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库存管理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入库</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具备采购计划单据创建和维护功能。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具备按多种规则条件快速生成需采购药品明细和采购数量功能。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具备采购计划单审核功能。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具备根据不同的药品类型来制定采购计划功能。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具备根据药房的请领申请单快速生成采购计划功能。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具备按供应商维度快速自动生成采购订单功能。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具备手工创建和编辑采购订单单据功能。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具备采购订单数据快速批量导出功能。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具备采购订单入库状态及入库数量情况查看跟踪功能。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具备按采购订单快速生成采购入库单功能。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具备手工创建和编辑采购入库单功能。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具备采购入库单进行审核制处理功能。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具备采购入库单直接对销转入指定药房快速出库处理功能。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具备采购入库单药品明细录入发票信息功能。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具备发票管理功能，可手工或批量补录到货发票功能。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具备手工创建外部入库药品明细及数量功能。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具备在外部入库单内添加药品使用新批号数据进行入库处理功能。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具备将多出的库存进行报溢入库功能。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具备入库数据导出功能。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具备入库单据的根据不同格式打印功能。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出库</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药品出库包含采购退货、本库房出库、科室申请等，具体功能如下：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具备按药品或按入库单直接退货处理功能。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具备采购退货单导出处理功能。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具备采购退货单直接录入发票信息功能。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具备手工创建药品按其他方式退货出库功能。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具备对过期，损坏的药品进行报损出库功能。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具备按时间段查看出库单据列表功能。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具备库房出库单据审核后再生效功能。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具备库房出库单据数据导出功能。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具备根据表格格式打印功能。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具备药库与药库之间药品调拨功能。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具备药库对科室领药申请进行科室领药出库功能。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具备药库直接对科室领出药品进行强制退回功能。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具备科室领药单据的打印功能。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盘点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具备药品盘点任务单的创建，分单操作功能。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具备多个人对药品盘点任务单的录入功能。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具备对盘点录入单最终合并复核的功能。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具备在多批次管理模式下支持按总量盘点模式功能。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具备按总量盘点和按生产批号盘点两种模式。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具备盘点录入数量默认方式（空/0/账存数量）功能。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具备盘点数据导出功能。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具备根据医院盘点表格格式打印功能。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账目管理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具备根据指定日期进行台账结算功能。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具备按指定日期设置自动台账结算功能。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具备台账结算撤销功能。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具备台账明细记录的查询功能。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具备台账重整功能。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具备台账报表按格式打印功能。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具备按自定义台账设置的财务类别统计台账功能。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具备根据用户自定义选择的时间条件进行不同业务类型数据查询统计功能。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具备自定义设置台账财务报表科目项及报表内容的功能。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计划报警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具备根据高低储设置进行报警、药品有效期报警的功能。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综合查询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具备根据药品名称、库存状态、药品类型、毒麻精分类查询当前库房药品库存功能。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具备根据统计区间查询呆滞和滞销药品明细功能。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具备库存高低储设置和查询功能。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具备按不同的业务单据和时间区间等多条件进行药品的消耗查询功能。</w:t>
            </w:r>
          </w:p>
          <w:p>
            <w:pPr>
              <w:pStyle w:val="3"/>
              <w:numPr>
                <w:ilvl w:val="1"/>
                <w:numId w:val="3"/>
              </w:numPr>
              <w:spacing w:before="0" w:after="0" w:line="288" w:lineRule="auto"/>
              <w:jc w:val="left"/>
              <w:rPr>
                <w:rFonts w:eastAsia="宋体" w:cs="Arial"/>
                <w:sz w:val="21"/>
                <w:szCs w:val="21"/>
                <w:highlight w:val="none"/>
              </w:rPr>
            </w:pPr>
            <w:bookmarkStart w:id="30" w:name="_Toc30877"/>
            <w:r>
              <w:rPr>
                <w:rFonts w:eastAsia="宋体" w:cs="Arial"/>
                <w:sz w:val="21"/>
                <w:szCs w:val="21"/>
                <w:highlight w:val="none"/>
              </w:rPr>
              <w:t>门诊药房管理</w:t>
            </w:r>
            <w:bookmarkEnd w:id="30"/>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门诊药房库存管理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药房入库</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具备库存初始化，期初上线时的库存导入功能。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具备药房向药库请领药品功能。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具备药房向同级药房间调拨请领功能。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具备接收药库出库单据的功能。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具备接收同级药房调拨入库单据的功能。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药房退库</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具备药房向药库退回药品功能。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具备对过期，损坏的药品进行报损出库功能。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盘点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具备药品盘点任务单的创建，分单操作功能。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具备多个人对药品盘点任务单的录入功能。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具备对盘点录入单最终合并复核的功能。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具备按药品盘点和按药品生产批号盘点两种模式。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具备按药品类型、药品剂型、货位号、人数等方式拆分录入单功能。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具备全部盘点、手动选择盘点、引入模版盘点等盘点方式。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具备过滤盘点数据的功能。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具备盘点录入数量默认方式（空/0/账存数量）功能。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具备盘点数据导出功能。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具备根据医院盘点表格格式打印功能。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账目管理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具备可根据指定日期进行台账结算功能。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具备可按指定日期设置自动台账结算功能。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具备台账结算撤销功能功。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具备台账明细记录的查询功能。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具备台账重整功能。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具备台账报表按格式打印功能。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具备根据自定义台账设置的财务类别统计台账的功能。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具备根据用户自定义选择的时间条件进行不同业务类型数据查询统计功能。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具备自定义设置台账财务报表科目项及报表内容的功能。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冻结管理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具备根据对外借药品、养护药品等进行冻结的功能。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综合查询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具备根据药品名称、库存状态、药品类型、毒麻精分类查询当前库房药品库存功能。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具备根据统计区间查询呆滞和滞销药品明细功能。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具备根库存高低储设置，查询药品库存功能。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具备按不同的业务单据和时间区间等多条件进行药品的消耗查询功能。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门急诊发药、配药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药师审核</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具备毒麻精处方审核功能，审核时可修改患者信息、修改代办人信息。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具备拒绝审核操作功能。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具备审核成功后打印红处方功能。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具备取消审核功能。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门诊配药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具备手工选择处方配药完成、并自动打印配药单功能。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具备收费后，通过后台配置自动配药完成、并自动打印配药单功能。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具备选择处方补打配药单功能。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具备扫码员工号及处方号完成配药功能。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具备配药取消功能。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支持与合理用药系统对接，配药时自动调用合理用药审方，并显示审方结果。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门诊发药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具备待发药处方自动刷新功能，可勾选多处方一键完成发药，可实时记录扣减库存流水。</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具备审查处方的功能。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具备特殊药品，毒麻精药品发药确认功能。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支持LED屏显示和语音取药叫号。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支持与智能配发药设备对接，通过设备进行配发药功能。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具备选择部分处方发药功能。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具备选择处方中部分明细发药功能。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具备查看患者的过敏信息、生理状态、体重、医保等信息。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具备发药时自动打印用药指导单和用药标签功能。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具备补打用药指导单和用药标签功能。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具备按时间段查询出待发药的处方，一键批量发药功能，完成扣库存操作。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具备在同一界面支持配药以及发药操作的功能。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门诊退药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具备一键退药功能，可勾选多处方一键完成退药，可实时记录增减库存流水。</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具备退药取消功能。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具备药房修改退药数量功能。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具备药房拒绝退药功能。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具备无需退药申请药房退药功能。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具备不满足退药条件时，控制不允许退药功能。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线上处方退药审核</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支持与互联网医院对接，接收患者在手机端的退药审核信息。审核通过后在小程序端可发起退费。</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代发处方查询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具备查询药房代发处方明细及汇总信息。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具备按代发处方明细汇总数据生成调拨出库单到代发药房。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具备查询代发调拨单功能。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具备查看应调拨数量功能。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处方查询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具备支持根据多维度条件筛选查询患者处方信息和处方详情信息。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具备按处方笺预览处方功能。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具备按处方状态查询患者处方信息。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具备打印处方笺功能。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具备补打用药指导单和用药标签功能。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上下班管理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具备手动开启药房上班状态和下班状态功能。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具备下班时把药房所有窗口关闭功能。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具备查询窗口工作状态，可以打开和关闭指定配发药窗口，并支持查看窗口开启关闭日志记录。</w:t>
            </w:r>
          </w:p>
          <w:p>
            <w:pPr>
              <w:pStyle w:val="3"/>
              <w:numPr>
                <w:ilvl w:val="1"/>
                <w:numId w:val="3"/>
              </w:numPr>
              <w:spacing w:before="0" w:after="0" w:line="288" w:lineRule="auto"/>
              <w:rPr>
                <w:rFonts w:eastAsia="宋体" w:cs="Arial"/>
                <w:sz w:val="21"/>
                <w:szCs w:val="21"/>
                <w:highlight w:val="none"/>
              </w:rPr>
            </w:pPr>
            <w:bookmarkStart w:id="31" w:name="_Toc16812"/>
            <w:r>
              <w:rPr>
                <w:rFonts w:eastAsia="宋体" w:cs="Arial"/>
                <w:sz w:val="21"/>
                <w:szCs w:val="21"/>
                <w:highlight w:val="none"/>
              </w:rPr>
              <w:t>住院药房管理</w:t>
            </w:r>
            <w:bookmarkEnd w:id="31"/>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住院药房库存管理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药房入库</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具备库存初始化，期初上线时的库存导入功能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具备药房向药库请领药品功能。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具备药房向同级药房间调拨请领功能。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具备接收药库出库单据的功能。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具备接收同级药房调拨入库单据的功能。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具备接收科室申领/科室退药的功能。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具备主动向科室发起出库或者退库功能。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药房退库</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具备药房向药库退回药品功能。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具备对过期，损坏的药品进行报损出库功能。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盘点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具备药品盘点任务单的创建，分单操作功能。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具备多人对药品盘点任务单的录入功能。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具备对盘点录入单最终合并复核的功能。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具备按药品盘点和按药品生产批号盘点两种模式。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具备按药品类型、按药品剂型、按货位号、按人数等方式拆分录入单。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提供全部盘点、手动选择盘点、引入模版盘点三种盘点方式；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具备过滤盘点数据功能。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具备盘点录入数量默认方式（空/0/账存数量）功能。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具备盘点数据导出功能。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具备根据医院盘点表格格式打印功能。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账目管理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具备根据指定日期进行台账结算功能。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具备按指定日期设置自动台账结算功能。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具备台账结算撤销功能。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具备台账明细记录的查询功能。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具备台账重整功能。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具备台账数据导出功能。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具备台账报表按格式打印功能。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具备自定义台账设置财务类别统计台账功能。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具备根据用户自定义选择的时间条件进行不同业务类型数据查询统计功能。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具备自定义设置台账财务报表科目项及报表内容的功能。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冻结管理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具备根据对外借药品、养护药品等进行冻结的功能。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综合查询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具备根据药品名称、库存状态、药品类型、毒麻精分类查询当前库房药品库存功能。具备根据统计区间查询呆滞和滞销药品明细功能。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具备根库存高低储设置查询库存功能。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具备按不同的业务单据和时间区间等多条件进行药品的出入库查询功能。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住院发药、摆药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住院发药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具备根据患者姓名、床位号、住院号、病区等多个条件筛选医嘱功能。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具备按不同发药单打印不同单据的功能。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具备按同一个发药单中的不同发药明细发药的功能。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具备一键发药功能，可自动或手动刷新待发药医嘱，勾选多医嘱完成一键发药，并实时记录扣减库存流水。</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具备欠费患者、药品异常情况校验的发药操作和处理功能。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具备按发药单或按整个病区一键发药的确认处理功能。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具备拒绝发药及填写拒绝原因的功能。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具备对已拒绝发药医嘱或医嘱项数据，重新发药操作功能。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具备字段项自定义显示或隐藏功能，并可手动调整字段项排列位置。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具备住院批量发药功能，支持批量发不同单据类型不同病区所有的领药单。支持一次操作打印不同的摆药单。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具备对精、麻、毒处方发药前进行审核的功能。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具备查询毒麻精药品的使用记录并导出功能。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具备按药品，按患者，按时间，按发药，退药等方式查询病区、患者的发药情况功能。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具备配药人员、核对人员，打包人员在药房系统上记录配药/核对/打包操作时间及操作人功能。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具备重新补打住院发药单功能，支持查看住院发药单打印记录以及打印次数。</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住院退药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具备按患者、床号、住院号、病区、退药申请日期等条件查询待退药列表。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具备医生停止医嘱后对当天已发药医嘱自动生成退药申请功能。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具备退药确认后自主选择打印或者不打印退药清单功能。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具备退药确认后已解冻库存恢复至药房内。</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具备拒绝退药单据操作，当不满足退药条件时，不允许退药。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手术室、医技科室、二级药柜摆药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具备手术室、医技科室基数药管理功能。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具备医技基数药设置管理功能。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具备医技基数药统一申领，统一申请退药功能。</w:t>
            </w:r>
          </w:p>
          <w:p>
            <w:pPr>
              <w:pStyle w:val="3"/>
              <w:numPr>
                <w:ilvl w:val="1"/>
                <w:numId w:val="3"/>
              </w:numPr>
              <w:spacing w:before="0" w:after="0" w:line="288" w:lineRule="auto"/>
              <w:jc w:val="left"/>
              <w:rPr>
                <w:rFonts w:eastAsia="宋体" w:cs="Arial"/>
                <w:sz w:val="21"/>
                <w:szCs w:val="21"/>
                <w:highlight w:val="none"/>
              </w:rPr>
            </w:pPr>
            <w:bookmarkStart w:id="32" w:name="_Toc23048"/>
            <w:r>
              <w:rPr>
                <w:rFonts w:eastAsia="宋体" w:cs="Arial"/>
                <w:sz w:val="21"/>
                <w:szCs w:val="21"/>
                <w:highlight w:val="none"/>
              </w:rPr>
              <w:t>医疗统计报表</w:t>
            </w:r>
            <w:bookmarkEnd w:id="32"/>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报表基础管理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菜单管理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具备报表管理功能，以层级树形结构维护报表体系，可添加模板、添加链接、添加目录。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具备报表新增、编辑、删除、下钻、排序、上传模板功能。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权限管理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具备权限管理功能，管理报表查询权限和数据权限。</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具备按报表、角色、人员设置报表查询权限功能，同时提供报表权限分配结果查询。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具备报表数据权限管理功能，可按角色、人员设置报表统计数据权限，即同一张报表不同角色或不同人员能访问什么颗粒度的数据。数据权限支持机构、院区、科室、病区、个人及其他分类。</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具备按照角色分配报表导出EXCEL、导出PDF、打印PDF功能。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具备批量赋权功能，将某个人员作为模板批量赋权给其他成员。</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具备自定义分组角色，批量设置报表查询权限。</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日志管理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具备报表查询操作日志功能，可查询报表使用记录，包括查询者、查询时间、查询内容、查询条件及网络地址。</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具备报表查询操作日志导出功能，可按照时间、操作人等类型导出日志详情。</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模型助手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具备报表模型查询及模型关联报表查询功能，通过关键字检索定位到关键字使用到的模型（事实表、维度表、指标）。</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具备查看模型结构和内容功能，多个角度展示模型、指标、报表关系。</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报表设计器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具备多指标模型设计、SQL报表设计功能，满足现场不同场景的报表制作。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具备多指标模型设计可视化拖拽设计报表功能。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具备参数信息设置功能，如：联动、权限、数据来源、限定条件、辅助查询、辅助名称等。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具备结果集设置功能，如：维度字段设置、排序、补全数据等。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报表口径描述</w:t>
            </w:r>
          </w:p>
          <w:p>
            <w:pPr>
              <w:pStyle w:val="133"/>
              <w:widowControl/>
              <w:autoSpaceDE w:val="0"/>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具备查看报表指标口径功能，了解报表检索条件、指标口径等信息。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用户安全策略管理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具备用户登陆密码管理功能，限制密码最多输错3次数，3次错误后系统锁定。</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具备用户查询界面水印功能，水印格式：日期+用户名+姓名。</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具备报表查询联合授权功能，提供报表查询多人赋权查询。</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统计报表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需提供财务、药剂、门诊、住院类统计报表。</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财务通用报表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21张财务类通用报表，包括：门诊住院医疗收入统计报表、住院结算医疗收入统计、住院记账医疗收入统计、门急诊欠费患者统计、单项目统计、住院未结算病人费用统计、门急诊住院费用统计、门诊住院费统计（均次）在院患者押金费用一览、预交金支付明细报表、窗口操作员工作量统计报表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药剂通用报表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44张日常药剂类通用报表，包括库存管理类报表、运营分析类报表、药事统计报表。库存管理类报表包括药库和药房药品入库、出库、盘点、报损、调价、调拨等报表。运营分析类报表包括全院药品消耗排行、药品销售排行等报表；药事相关报表包括门诊\住院基本药物和抗菌药物使用情况统计报表。</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门诊通用报表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18张门诊类通用报表，包括：门急诊医生出班统计、门急诊科室预约统计、门急诊挂号人次及挂号费统计、门急诊医生接诊人次统计、门诊收治入院人数统计、全院费用统计（占比）、全院费用统计（均次）、门急诊医生工作量统计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住院通用报表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提供17张住院类通用报表，包括：入出转床位使用率、二次入院统计、出院情况排行按诊断统计、住院药占比、入区患者明细、出院病人明细等。</w:t>
            </w:r>
          </w:p>
          <w:p>
            <w:pPr>
              <w:pStyle w:val="3"/>
              <w:numPr>
                <w:ilvl w:val="1"/>
                <w:numId w:val="3"/>
              </w:numPr>
              <w:spacing w:before="0" w:after="0" w:line="288" w:lineRule="auto"/>
              <w:jc w:val="left"/>
              <w:rPr>
                <w:rFonts w:eastAsia="宋体" w:cs="Arial"/>
                <w:sz w:val="21"/>
                <w:szCs w:val="21"/>
                <w:highlight w:val="none"/>
              </w:rPr>
            </w:pPr>
            <w:bookmarkStart w:id="33" w:name="_Toc22094"/>
            <w:r>
              <w:rPr>
                <w:rFonts w:eastAsia="宋体" w:cs="Arial"/>
                <w:sz w:val="21"/>
                <w:szCs w:val="21"/>
                <w:highlight w:val="none"/>
              </w:rPr>
              <w:t>单点登录管理</w:t>
            </w:r>
            <w:bookmarkEnd w:id="33"/>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单点登录</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具备用户登录一次可访问所有相互信任的应用系统功能。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具备用户账号、密码管理功能。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具备用户系统访问权限管理功能。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支持密码、CA、扫码三种身份认证方式。</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支持BS/CS 信息系统的集成。</w:t>
            </w:r>
          </w:p>
          <w:p>
            <w:pPr>
              <w:pStyle w:val="4"/>
              <w:numPr>
                <w:ilvl w:val="2"/>
                <w:numId w:val="3"/>
              </w:numPr>
              <w:spacing w:before="0" w:after="0" w:line="288" w:lineRule="auto"/>
              <w:ind w:firstLine="40"/>
              <w:jc w:val="left"/>
              <w:rPr>
                <w:rFonts w:ascii="Arial" w:hAnsi="Arial" w:cs="Arial"/>
                <w:sz w:val="21"/>
                <w:szCs w:val="21"/>
                <w:highlight w:val="none"/>
              </w:rPr>
            </w:pPr>
            <w:bookmarkStart w:id="34" w:name="_Toc149294936"/>
            <w:bookmarkStart w:id="35" w:name="_Toc138836747"/>
            <w:r>
              <w:rPr>
                <w:rFonts w:ascii="Arial" w:hAnsi="Arial" w:cs="Arial"/>
                <w:sz w:val="21"/>
                <w:szCs w:val="21"/>
                <w:highlight w:val="none"/>
              </w:rPr>
              <w:t>门户首页</w:t>
            </w:r>
            <w:bookmarkEnd w:id="34"/>
            <w:bookmarkEnd w:id="35"/>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提供多样化的门户运维功能，满足用户在管理日程、账户委托、个人信息及门户个性化管理的需求。</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具备在门户首页查看和新增日程安排功能。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具备在规定时间内将自己的账户委托给其他用户短期使用功能，并可设置对应的委托授权系统范围和具体的委托时间。</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具备首页个性化配置功能，用户在门户首页可进行模块位置和大小调整，生成个性化首页，提供多种颜色的换肤功能。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具备当前用户修改自己的基本信息功能，例如性别、照片、电话、邮箱等。</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日志管理</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具备查看单点登录接口调用日志信息功能。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具备查看系统登录记录的功能，包括：登录人员的用户名、登录ip等。</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具备查看系统数据变更内容与对应操作员信息功能，当操作员修改系统数据时，可对修改内容进行记录。</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通知管理</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具备系统内通知发送功能，在发送通知时可根据用户或用户组批量发送通知消息。</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文档管理</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具备文档上传与审核功能，文档上传通过审核后显示在用户首页。</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门户管理</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支持通过url的方式接入其他系统中的页面，并可以将页面配置到门户首页。</w:t>
            </w:r>
          </w:p>
          <w:p>
            <w:pPr>
              <w:pStyle w:val="3"/>
              <w:numPr>
                <w:ilvl w:val="1"/>
                <w:numId w:val="3"/>
              </w:numPr>
              <w:spacing w:before="0" w:after="0" w:line="288" w:lineRule="auto"/>
              <w:jc w:val="left"/>
              <w:rPr>
                <w:rFonts w:eastAsia="宋体" w:cs="Arial"/>
                <w:sz w:val="21"/>
                <w:szCs w:val="21"/>
                <w:highlight w:val="none"/>
              </w:rPr>
            </w:pPr>
            <w:bookmarkStart w:id="36" w:name="_Toc29085"/>
            <w:r>
              <w:rPr>
                <w:rFonts w:eastAsia="宋体" w:cs="Arial"/>
                <w:sz w:val="21"/>
                <w:szCs w:val="21"/>
                <w:highlight w:val="none"/>
              </w:rPr>
              <w:t>患者主索引管理</w:t>
            </w:r>
            <w:bookmarkEnd w:id="36"/>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患者主索引管理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患者注册</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业务系统互通，在业务系统新增患者或者更新患者信息时，能将患者信息注册到患者主索引系统中。并在患者信息注册时，根据规则进行匹配对患者关键信息字段进行自动校验，包含字段有身份证号、姓名、电话、地址、标识符；根据相同匹配规则与患者主索引中已有的患者信息进行自动匹配后合并；根据相似匹配规则与患者主索引中已有的患者信息进行自动建立相似关系。</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具备在患者信息注册到患者主索引系统时对操作日志进行记录功能。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患者合并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具备将符合相同匹配规则的患者信息进行自动合并功能。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相似患者进行详细信息差异比对功能，比对的信息包含患者标识符、姓名、性别、出生日期、身份证号、地址、电话、联系人、母亲姓名、婚姻状况、民族、出生顺序、就诊信息，当判定是相同患者时，可分别选取各自的真实信息部分进行手动合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具备在患者信息合并时对操作日志进行记录功能。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患者拆分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手动合并后的患者进行详细信息差异比对功能，比对的信息包含患者标识符、姓名、性别、出生日期、身份证号、地址、电话、联系人、母亲姓名、婚姻状况、民族、出生顺序、就诊信息，当判定是不同患者时，可按照合并前的信息进行手动拆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具备在患者信息拆分时对操作日志进行记录功能。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患者查询管理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具备查看患者基本信息功能，可查看的信息包含患者姓名、性别、出生日期、身份证号、家庭地址、家庭电话和卡数。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具备对身份证号、电话号码进行脱敏处理功能。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具备通过患者标识符对患者基本信息列表进行检索查询功能。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具备对患者基本信息列表进行高级检索查询功能，可自由组合的查询条件包含有患者主索引号、姓名、性别、出生日期、卡数、电话、地址、就诊日期。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具备通过详情下钻查看患者详细信息以及门诊、住院、体检就诊信息和相似患者信息功能。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具备手机扫描二维码来获取患者信息功能，包含信息有患者主索引号、姓名、性别和脱敏的身份证号信息。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具备手工将相似患者信息添加到待合并列表中，并可进行详细信息差异比对功能，当判定是相同患者时进行手动合并。</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匹配规则管理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相同规则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 提供默认的相同匹配规则功能，一般是由多个患者信息字段组合的，包含身份证号和姓名全拼、医保卡号和姓名全拼，且是不允许删除的。</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具备增加医疗机构时患者主索引将同步增加配套的相同匹配规则，删除医疗机构时配套的规则也随之删除功能。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具备新增自定义相同匹配规则功能，新增规则时与已有规则进行校验，若已有规则包含新规则，将进行提示说明，且不会新增该条相同匹配规则。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具备对相同匹配规则进行修改功能。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具备模糊检索、查看相同匹配规则功能。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具备相同匹配规则打印功能。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相似规则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提供默认的常用相似匹配规则功能。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具备新增自定义的相似匹配规则功能，新增规则时与已有规则进行校验，若已有规则包含新规则时，将进行提示说明，且不会新增该条相似匹配规则。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具备相似规则修改功能。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具备模糊检索、查看相似匹配规则功能。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具备相似匹配规则打印功能。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查询统计</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实时监控器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具备查看今日和昨日注册到患者主索引系统中的患者总数、新增患者总数、合并患者总数、新增患者占比和患者合并率功能。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具备以曲线图的形式查看今日和昨日注册到患者主索引系统中的患者总数、新增患者总数、合并患者总数功能；具备浮标显示各统计类型的具体总数功能。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具备以曲线图的形式查看今日和昨日调用患者主索引系统服务响应时间的平均耗时情况功能。具备浮标显示各统计类型的平均耗时功能。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具备以饼状图的形式查看今日和昨日注册到患者主索引系统中的患者各年龄段分布功能。具备浮标显示各年龄段总人数和占比。</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历史查看器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具备统计注册到患者主索引系统中的历史患者总数、合并总数、注册服务次数、查询服务次数、通知服务次数和其他服务类型功能。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具备统计选定时间内注册到患者主索引系统中的患者总数和合并患者总数，且以曲线图的形式展示，以浮标显示各统计类型的总数。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具备统计选定时间内调用患者主索引系统服务响应时间的平均耗时情况功能，且以曲线图的形式展现，以浮标显示各统计类型的平均耗时。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具备统计选定时间内注册到患者主索引系统中的患者各年龄段分布功能，以浮标显示各年龄段的总人数和占比。</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匹配规则统计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根据各相同规则进行自动合并的患者总数功能，具备下钻到详细患者信息列表，继续下钻进行患者详细信息差异比对功能，具体比对的信息包含患者标识符、姓名、性别、出生日期、身份证号、地址、电话、联系人、母亲姓名、婚姻状况、民族、出生顺序、就诊信息；并可返回上一层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具备统计根据各相同规则进行手动合并的患者总数功能，具备下钻到详细患者信息列表，继续下钻进行患者详细信息差异比对功能；并可返回上一层级。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具备统计根据相似匹配建立相似关系的患者总数功能，具备下钻到详细的患者信息列表，继续下钻进行患者详细信息差异比对功能；并可返回上一层级。</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消息日志查询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具备查看调用患者主索引系统服务的消息日志功能，默认显示当天消息日志，包括调用方名称、消息接收和返回时间、耗时、方向、参数类型、操作类型、成功失败以及入参和出参的详细信息。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具备根据消息状态和消息类型对消息日志进行检索功能，支持模糊检索。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具备手动将消息重新注册功能。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基础管理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医疗机构管理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具备医疗机构信息的新增、修改、删除和查看功能。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具备设置多院区的上下级对应关系功能。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医疗系统管理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具备新增医疗机构默认添加配套的常规医疗系统信息功能，包括医院信息系统、临床信息系统、实验室信息系统、放射科信息系统、体检系统。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具备删除医疗机构时配套的医疗系统信息随之删除功能。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具备新增医疗系统信息后，该医疗系统获取调用EMPI服务的权限功能。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具备医疗系统信息的修改、删除和查看功能。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标识符管理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具备提供常用的标识符功能，包含身份证号、护照号、军官证号、暂住证号、社保卡号、医保卡号、银行卡号，且是不允许删除的。</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具备添加医疗机构时默认添加配套的常用标识符功能，有全院患者ID、住院患者ID、门诊患者ID、体检患者ID、全院病历号、住院病历号、门诊病历号、体检病历号、住院就诊号、门诊就诊号、体检就诊号。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具备删除医疗机构时配套的标识符随之删除功能。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具备新增、修改、删除和查看标识符功能。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具备标识符模糊检索功能。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订阅管理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具备新增通知消息，须指定通知类型功能，通知类型包含新增、修改、合并、拆分。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具备通知信息的修改、删除和查看功能。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参数设置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具备设置系统参数，并提供默认值功能。</w:t>
            </w:r>
          </w:p>
          <w:p>
            <w:pPr>
              <w:pStyle w:val="133"/>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具备根据医院实际情况修改参数的取值功能，以提高患者主索引程序的灵活度。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具备模糊检索系统参数功能。</w:t>
            </w:r>
          </w:p>
          <w:p>
            <w:pPr>
              <w:pStyle w:val="3"/>
              <w:numPr>
                <w:ilvl w:val="1"/>
                <w:numId w:val="3"/>
              </w:numPr>
              <w:spacing w:before="0" w:after="0" w:line="288" w:lineRule="auto"/>
              <w:jc w:val="left"/>
              <w:rPr>
                <w:rFonts w:eastAsia="宋体" w:cs="Arial"/>
                <w:sz w:val="21"/>
                <w:szCs w:val="21"/>
                <w:highlight w:val="none"/>
              </w:rPr>
            </w:pPr>
            <w:bookmarkStart w:id="37" w:name="_Toc3772"/>
            <w:r>
              <w:rPr>
                <w:rFonts w:eastAsia="宋体" w:cs="Arial"/>
                <w:sz w:val="21"/>
                <w:szCs w:val="21"/>
                <w:highlight w:val="none"/>
              </w:rPr>
              <w:t>临床信息集成调阅</w:t>
            </w:r>
            <w:bookmarkEnd w:id="37"/>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患者临床集成视图通过整合患者在不同医疗场景、不同时间节点的各维度健康数据，形成一套完整、统一的数字化健康档案，让医护人员能通过单一入口获取患者从疾病史、诊疗记录、用药情况、检查结果、手术、病历等全周期数据，实现 “以患者为中心” 的医疗服务模式，帮助医疗从业者全面了解患者状况，优化诊疗决策。</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患者概况</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具备对当前患者的基本信息、就诊信息等进行查看功能。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具备对患者门诊就诊记录进行基本信息、健康状况、就诊信息的查看功能。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具备对患者住院就诊记录进行基本信息、就诊信息的查看功能。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临床诊断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具备临床诊断的集中展示功能，可通过就诊记录切换查看对应的临床诊断。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具备通过诊断体系、诊断类别、诊断名称查询临床诊断功能。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门诊处方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具备门诊处方的集中展示功能，可通过就诊记录切换对应的门诊处方。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具备通过医嘱类型、处置内容检索门诊处方功能。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住院医嘱</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具备住院医嘱的集中展示功能，可通过就诊记录切换查看对应的住院医嘱。</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具备药品、检验、检查、输血、手术、治疗、护理等医嘱类型筛选医嘱功能。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具备通过医嘱名称查询住院医嘱功能。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病历文书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具备患者门急诊、住院病历资料的集中展示功能，包括：入院记录、病程记录、查房、出院小结等。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具备通过病历名称搜索门急诊、住院病历功能。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具备按照就诊记录切换查看对应的病历记录功能。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具备按照病历类型顺序以及按照时间顺序显示病历文书功能。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具备病历详细内容查看功能。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检查报告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具备检查报告的集中展示功能，可通过就诊记录切换查看对应的检查报告。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具备通过报告状态、报告类别、报告名称、报告单号查询检查报告信息功能。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具备检查文字报告查看功能。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具备检查原始报告查看功能。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检验报告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具备检验报告的集中展示功能，可通过就诊记录切换查看对应的检验报告。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具备通过报告状态、报告类别、报告名称、报告单号查询检验报告信息功能。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具备检验文字报告查看功能。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具备检验原始报告查看功能。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手麻记录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具备手术信息、麻醉信息的集中展示功能，可通过就诊记录切换对应的手术、麻醉信息。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具备通过手术名称检索手术信息功能。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具备查看手术对应的相关手术信息、麻醉信息、输血信息、用药信息等功能。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治疗记录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具备治疗记录的集中展示功能，可通过就诊记录切换查看对应的治疗信息。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具备通过治疗项目名称查询治疗记录及预约信息功能。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护理文书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具备护理文书集中展示功能，可通过就诊记录切换查看对应的护理文书。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具备通过护理文书名称进行护理文书检索功能。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具备按照病历类型顺序以及按照时间顺序显示护理文书功能。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具备文书内容展示功能。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过敏记录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具备过敏记录的集中展示功能，可通过就诊记录切换查看对应的过敏记录。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具备通过过敏类型、过敏源查询过敏记录功能。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临床用血</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具备患者历次输血申请、配血记录、输血记录的集中展示功能，可通过就诊记录进行用血信息切换查看。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具备输血申请查看功能。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具备配血记录查看功能。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具备输血记录查看功能。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病理报告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具备病理记录的集中展示功能，可通过就诊记录进行切换。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具备通过报告状态、报告类别、报告名称、报告单号查询病理报告信息功能。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具备病理文字报告查看功能。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具备病理原始报告查看功能。</w:t>
            </w:r>
          </w:p>
          <w:p>
            <w:pPr>
              <w:pStyle w:val="3"/>
              <w:numPr>
                <w:ilvl w:val="1"/>
                <w:numId w:val="3"/>
              </w:numPr>
              <w:spacing w:before="0" w:after="0" w:line="288" w:lineRule="auto"/>
              <w:jc w:val="left"/>
              <w:rPr>
                <w:rFonts w:eastAsia="宋体" w:cs="Arial"/>
                <w:sz w:val="21"/>
                <w:szCs w:val="21"/>
                <w:highlight w:val="none"/>
              </w:rPr>
            </w:pPr>
            <w:bookmarkStart w:id="38" w:name="_Toc19432"/>
            <w:r>
              <w:rPr>
                <w:rFonts w:eastAsia="宋体" w:cs="Arial"/>
                <w:sz w:val="21"/>
                <w:szCs w:val="21"/>
                <w:highlight w:val="none"/>
              </w:rPr>
              <w:t>配置管理</w:t>
            </w:r>
            <w:bookmarkEnd w:id="38"/>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标准基础数据配置</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术语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具备术语数据字典设置功能，预制各种国际、行业标准术语。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具备新增及切换术语编码体系功能。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具备值集新增和启停用功能。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诊断字典</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具备维护院内西医诊断、中医证候、中医治法的临床诊断以及医保诊断功能。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具备新增院内诊断及医保诊断的对应关系功能。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具备维护诊断的应用关系功能。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行政区划字典</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具备预制国家最新发布的行政区划字典的功能。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财务基础数据配置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具备费用基础配置功能，包括支付管理、收费窗口、计费模板设置、优惠规则设置、担保设置等。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具备收费项目配置功能，包括计费大项目、收费大项目、收费项目、收费服务、收费项目调价、收费服务批量导入。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具备门诊收费配置功能，包括有效期管理、结算订单范围设置。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具备住院费用配置功能，实现住院欠费规则的配置。</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医保基础数据配置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具备医保基础配置功能，包括费别、医疗保险大类、医疗参保人员类别、医保目录配置等。</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药品基础数据配置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具备药品通用名、药品字典基础属性、扩展属性、加成率、管理分类维护功能。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具备药品与供应商、招采药品对应关系、多机构药品字典下发、剂型与给药途径对应维护。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具备库房商品目录、领退药单据、药柜、药柜对应药品字典、收货地址、基数药品、分装药品、组方、发药设备维护功能。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具备发配药窗口设置、窗口规则、窗口关系的维护功能。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具备价格、采购、台账、调价、盘点、供药等基础业务配置功能。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具备门诊配药、发药、签到、审核等业务流程配置功能。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具备采购、调拨、科室申请、药品盘点等业务单据设置功能。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具备草药联动设置、打印单据设置功能，可以根据医院情况进行流程或表单的自定义。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具备配送及配送方式设置功能。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具备物资字典的基础维护功能。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具备皮试及过敏配置功能。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科室、员工基础数据配置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具备维护科室字典功能，包括基础属性、科室成员、其他属性等。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具备维护科室关系配置功能。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具备维护院内员工字典功能。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权限配置</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具备配置基础角色字典、角色对应系统/菜单、员工角色分配功能。</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具备配置单个员工的系统/菜单功能。</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具备配置员工对应角色功能。</w:t>
            </w:r>
          </w:p>
          <w:p>
            <w:pPr>
              <w:pStyle w:val="3"/>
              <w:numPr>
                <w:ilvl w:val="1"/>
                <w:numId w:val="3"/>
              </w:numPr>
              <w:spacing w:before="0" w:after="0" w:line="288" w:lineRule="auto"/>
              <w:jc w:val="left"/>
              <w:rPr>
                <w:rFonts w:eastAsia="宋体" w:cs="Arial"/>
                <w:sz w:val="21"/>
                <w:szCs w:val="21"/>
                <w:highlight w:val="none"/>
              </w:rPr>
            </w:pPr>
            <w:bookmarkStart w:id="39" w:name="_Toc29110"/>
            <w:r>
              <w:rPr>
                <w:rFonts w:eastAsia="宋体" w:cs="Arial"/>
                <w:sz w:val="21"/>
                <w:szCs w:val="21"/>
                <w:highlight w:val="none"/>
              </w:rPr>
              <w:t>医保结算基础交易接口</w:t>
            </w:r>
            <w:bookmarkEnd w:id="39"/>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基础信息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人员信息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支持医保人员基本信息获取。</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定点医药机构信息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支持医保定点医药机构信息获取。</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目录下载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支持医保目录下载。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具备医疗目录与医保目录匹配、医药机构目录匹配信息查询功能。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具备医保目录限价信息、自付比例信息查询功能。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具备医保字典表查询功能。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医保服务</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待遇检查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支持医保人员待遇享受检查。</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门急诊结算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具备医保门急诊预算、结算功能。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具备医保门急诊预算、结算撤销功能。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住院结算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具备医保住院费用明细上传及撤销功能。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具备医保住院预算、结算功能。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具备医保住院结算撤销功能。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住院办理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具备医保病人入院办理、出院办理功能。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具备医保入院信息变更功能。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具备医保入院办理撤销、出院办理撤销功能。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人员备案</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具备医保转院备案及撤销功能。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具备医保人员慢特病备案及撤销功能。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具备医保人员定点备案及撤销功能。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具备医保人员意外伤害备案功能。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事务补偿业务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具备医保冲正功能。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医药机构管理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医药机构费用结算业务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具备医药机构费用结算对总账功能。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具备医药机构费用结算对明细账功能。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目录对照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具备目录对照上传功能。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具备目录对照上传撤销功能。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科室管理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具备科室信息上传及变更功能。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具备科室信息上传撤销功能。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信息查询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基础信息查询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具备科室信息查询功能。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具备医执人员信息查询功能。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医保服务查询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具备就诊信息查询功能。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具备诊断信息查询功能。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具备结算信息查询功能。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具备费用明细查询功能。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具备人员累计信息查询功能。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医药机构服务查询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具备人员慢特病备案查询功能。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具备人员定点信息查询功能。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具备在院信息查询功能。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具备转院信息查询功能。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签到签退</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具备医保签到签退功能。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文件上传下载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具备文件上传下载功能。</w:t>
            </w:r>
          </w:p>
          <w:p>
            <w:pPr>
              <w:pStyle w:val="2"/>
              <w:numPr>
                <w:ilvl w:val="0"/>
                <w:numId w:val="3"/>
              </w:numPr>
              <w:spacing w:before="0" w:after="0" w:line="288" w:lineRule="auto"/>
              <w:jc w:val="left"/>
              <w:rPr>
                <w:rFonts w:ascii="Arial" w:hAnsi="Arial" w:cs="Arial"/>
                <w:sz w:val="21"/>
                <w:szCs w:val="21"/>
                <w:highlight w:val="none"/>
              </w:rPr>
            </w:pPr>
            <w:bookmarkStart w:id="40" w:name="_Toc22407"/>
            <w:bookmarkStart w:id="41" w:name="_Toc14151"/>
            <w:r>
              <w:rPr>
                <w:rFonts w:ascii="Arial" w:hAnsi="Arial" w:cs="Arial"/>
                <w:sz w:val="21"/>
                <w:szCs w:val="21"/>
                <w:highlight w:val="none"/>
              </w:rPr>
              <w:t>就医服务</w:t>
            </w:r>
            <w:bookmarkEnd w:id="40"/>
            <w:bookmarkEnd w:id="41"/>
          </w:p>
          <w:p>
            <w:pPr>
              <w:pStyle w:val="3"/>
              <w:numPr>
                <w:ilvl w:val="1"/>
                <w:numId w:val="3"/>
              </w:numPr>
              <w:spacing w:before="0" w:after="0" w:line="288" w:lineRule="auto"/>
              <w:jc w:val="left"/>
              <w:rPr>
                <w:rFonts w:eastAsia="宋体" w:cs="Arial"/>
                <w:sz w:val="21"/>
                <w:szCs w:val="21"/>
                <w:highlight w:val="none"/>
              </w:rPr>
            </w:pPr>
            <w:bookmarkStart w:id="42" w:name="_Toc4821"/>
            <w:r>
              <w:rPr>
                <w:rFonts w:eastAsia="宋体" w:cs="Arial"/>
                <w:sz w:val="21"/>
                <w:szCs w:val="21"/>
                <w:highlight w:val="none"/>
              </w:rPr>
              <w:t>护士分诊叫号</w:t>
            </w:r>
            <w:bookmarkEnd w:id="42"/>
            <w:r>
              <w:rPr>
                <w:rFonts w:eastAsia="宋体" w:cs="Arial"/>
                <w:sz w:val="21"/>
                <w:szCs w:val="21"/>
                <w:highlight w:val="none"/>
              </w:rPr>
              <w:t>系统</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门诊诊区分诊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诊区大屏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诊区大屏显示开诊医生、诊室，就诊/下一位患者信息，医生点击叫号时，语音播报患者就诊,并且对回诊患者/过号患者设置“回/过”标识显示。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诊区大屏支持windows10、Android6.0.0及以上操作系统。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具备显示当前日期时间、科室、医生、诊室、就诊中、下一位患者、候诊数，以及列显示与隐藏功能。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具备选择大屏主题样式风格功能。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具备选择大屏叫号窗位置功能。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具备自定义配置温馨提示内容功能。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具备按照诊区自定义配置大屏主题风格样式与显示规则。</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分诊规则管理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具备报到（首诊报到、回诊报到）规则设置功能，设置后则按配置的规则进行报到。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具备配置按照挂号序号还是按报到序号叫号功能。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具备设置患者可提前多少分钟报到功能，患者提前报到情况，提供三种限制方式供选择：限制报到、提示报到、提示操作员确认。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具备迟到患者规则配置功能，可设置排列队尾叫号或者在首诊队列设置推迟几位患者叫号。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具备设置叫号时候诊人数功能。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具备设置医生平均接诊时长功能。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具备按照诊区、科目配置分诊规则功能。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具备医生开诊多个科目，按照多科目依次轮循叫号功能。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队列管理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具备队列维护功能，包括队列类型、队列名称、队列描述、队列启停用状态、新增修改删除队列等。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具备自定义首诊/回诊/过号患者呼叫时顺序与排队数的功能，如设置为2个首诊/1个回诊/1个过号后，则按设置的规则依次循环叫号。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具备配置队列后，查看所设定叫号队列顺序规则功能。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语音播报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具备设置呼叫患者播报次数、语速、播报间隔功能。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具备配置就诊与候诊播报内容功能。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具备配置播报语言功能，可设置普通话、粤语。</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分诊报到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支持与扫描枪、读卡设备对接，实现刷身份证、扫描病历本号识别定位患者功能，也可手动输入患者姓名/身份证/病历本号识别定位患者。</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具备护士查看患者基本信息、预约信息、医生信息、分诊记录功能。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具备护士在报到成功后查看患者所在队列、叫号状态。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具备护士查看患者预计等待时间以及预计等待人数功能。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具备患者报到功能，包括首诊患者、过号患者、回诊患者报到。报到后，患者进入待叫号队列。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具备VIP患者设置功能，设置后，此类患者将优先其他队列患者叫号。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具备针对挂号到科目的患者，由护士指定就诊医生功能。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具备护士对已报到的患者执行取消报到功能。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具备护士对已完成就诊的患者执行结诊功能。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诊区概况</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具备查看当前诊区出诊的医生，当前医生下正在就诊的患者、下一位患者功能。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具备查看每个科目下的待叫号、未报到、过号、全部患者列表中信息功能。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具备护士查看整个诊区挂号人数、待叫号人数、未报到人数功能。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具备根据科目切换患者列表功能。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具备护士查看患者分诊记录功能。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叫号记录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具备查看历史患者叫号记录功能。</w:t>
            </w:r>
          </w:p>
          <w:p>
            <w:pPr>
              <w:pStyle w:val="133"/>
              <w:widowControl/>
              <w:autoSpaceDE w:val="0"/>
              <w:adjustRightInd w:val="0"/>
              <w:snapToGrid w:val="0"/>
              <w:spacing w:line="288" w:lineRule="auto"/>
              <w:jc w:val="left"/>
              <w:rPr>
                <w:rFonts w:ascii="Arial" w:hAnsi="Arial" w:cs="Arial"/>
                <w:szCs w:val="21"/>
                <w:highlight w:val="none"/>
              </w:rPr>
            </w:pPr>
            <w:r>
              <w:rPr>
                <w:rFonts w:hint="eastAsia" w:ascii="Arial" w:hAnsi="Arial" w:cs="Arial"/>
                <w:b/>
                <w:bCs/>
                <w:szCs w:val="21"/>
                <w:highlight w:val="none"/>
              </w:rPr>
              <w:t>▲</w:t>
            </w:r>
            <w:r>
              <w:rPr>
                <w:rFonts w:ascii="Arial" w:hAnsi="Arial" w:cs="Arial"/>
                <w:b/>
                <w:bCs/>
                <w:szCs w:val="21"/>
                <w:highlight w:val="none"/>
              </w:rPr>
              <w:t>具备以时间轴方式展示患者就诊周期记录功能，包括：挂号、报到、候诊、叫号、就诊、结诊节点的详细发生时间。</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门诊诊间分诊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诊室小屏显示当前诊室、坐诊医生介绍以及当前就诊中、等候中的患者信息。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当医生叫号后，小屏中就诊中/等候中的患者信息实时刷新展示。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诊室小屏支持windows10、Android10.0.0及以上操作系统。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具备显示当前日期时间、诊室名称、科目、医生、医生简介、以及就诊中的患者、等候患者功能。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具备选择小屏主题样式风格功能。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具备自定义配置温馨提示内容功能。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具备用户上传医院介绍内容与图片功能。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具备按照诊区自定义配置小屏主题风格样式与显示规则。</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自助报到终端软件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支持患者在自助机刷身份证或者扫描病历本号后，识别定位患者挂号记录功能。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具备首诊患者、回诊患者、过号患者在自助机上报到功能。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具备同一个患者当天挂多次号时，选择挂号记录进行报到功能。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具备患者报到成功后查看患者基本信息、医生信息、患者预计等候人数、预计等候时间功能。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具备自助机与诊区绑定功能，绑定后患者只能在挂号所在诊区自助机报到，自助机与诊区未绑定，患者可在任意诊区自助机上报到。</w:t>
            </w:r>
          </w:p>
          <w:p>
            <w:pPr>
              <w:pStyle w:val="3"/>
              <w:numPr>
                <w:ilvl w:val="1"/>
                <w:numId w:val="3"/>
              </w:numPr>
              <w:spacing w:before="0" w:after="0" w:line="288" w:lineRule="auto"/>
              <w:jc w:val="left"/>
              <w:rPr>
                <w:rFonts w:eastAsia="宋体" w:cs="Arial"/>
                <w:sz w:val="21"/>
                <w:szCs w:val="21"/>
                <w:highlight w:val="none"/>
              </w:rPr>
            </w:pPr>
            <w:bookmarkStart w:id="43" w:name="_Toc853"/>
            <w:r>
              <w:rPr>
                <w:rFonts w:eastAsia="宋体" w:cs="Arial"/>
                <w:sz w:val="21"/>
                <w:szCs w:val="21"/>
                <w:highlight w:val="none"/>
              </w:rPr>
              <w:t>统一支付平台系统</w:t>
            </w:r>
            <w:bookmarkEnd w:id="43"/>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为医院建设统一支付平台，统一对接支付宝、微信第三方支付渠道，医院无需在单独和支付宝、微信对接。</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支付配置</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部署配置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投标厂商需管理院内支付服务的部署情况，根据不同部署模式展示部署图。</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支付商户</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根据院内的支付业务情况，针对不同支付业务场景、不同渠道进行商户号管理。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收费链路配置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投标厂商需维护院内收费应用、院区等关联关系，形成直观的管理维度。</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支付配置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配置不同支付渠道的appid、商户号等支付能力。同时投标厂商需要提供支付配置的自动备份、还原功能。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账单配置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投标厂商需配置账单拉取逻辑，对接支付渠道，获得各个渠道的账单。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应用访问管理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投标厂商需管理院内收费应用，维护收费应用的访问安全参数。</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支付视图</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投标厂商需提供直观的院内收费链路展示功能，展示包括院区、收费应用、支付渠道的关系，协助院方梳理支付的情况。</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系统管理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用户管理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具备用户账号增删改管理功能，包括：登录名、密码、用户姓名、手机、邮箱、所属机构等相关信息。同时可对用户账号状态进行管理，进行冻结、解锁等操作。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角色管理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具备定义角色名称、权限，对角色的增删改处理功能，可查看拥有当前角色的账号人员清单。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日志管理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投标机构需管理日常各类支付方式下单请求、支付请求的推送日志，包括与内外部系统接口交互的入参和出参。</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门诊窗口、住院窗口支付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在门诊窗口、住院窗口二个场景中实现微信/支付宝扫码支付就诊费用。住院场景可进行预交金充值、住院结算。</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对账功能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投标厂商需为医院财务人员提供统一对账平台，对账平台需满足以下对账需求。</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多方渠道统一对账</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提供支付宝、微信支付渠道支付渠道统一对账服务。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 xml:space="preserve">具备自动展示当日资金对账情况功能，并能直观显示对账结果。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提供对账数据对比情况以及今日对账结果展示。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提供单边账日期提醒、单边账原因说明以及单边账处理机制。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具备记录对账人员最后一次对账时间、登录对账操作员、待处理单边账起始日期功能。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为财务对账提供不同筛选条件。如：院区、订单来源等。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具备导出报表、刷新报表功能。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对账记录追溯查询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具备最后一次对账时间、对账操作员等信息查看功能。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支持重新对账，系统能够再次自动重新获取对账单。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单边账预警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单边账预警：支持查询当日产生的或已处理的单边账情况。</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单边账提醒：提供待处理单边账处理日期、单边账日期日历提醒等方式。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单边账原因说明：提供单边账列表，并可查看该笔订单的详细信息。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单边账处理：提供单边账的操作处理。</w:t>
            </w:r>
          </w:p>
          <w:p>
            <w:pPr>
              <w:pStyle w:val="2"/>
              <w:numPr>
                <w:ilvl w:val="0"/>
                <w:numId w:val="3"/>
              </w:numPr>
              <w:spacing w:before="0" w:after="0" w:line="288" w:lineRule="auto"/>
              <w:rPr>
                <w:rFonts w:ascii="Arial" w:hAnsi="Arial" w:cs="Arial"/>
                <w:sz w:val="21"/>
                <w:szCs w:val="21"/>
                <w:highlight w:val="none"/>
              </w:rPr>
            </w:pPr>
            <w:bookmarkStart w:id="44" w:name="_Toc24117"/>
            <w:bookmarkStart w:id="45" w:name="_Toc20619"/>
            <w:r>
              <w:rPr>
                <w:rFonts w:ascii="Arial" w:hAnsi="Arial" w:cs="Arial"/>
                <w:sz w:val="21"/>
                <w:szCs w:val="21"/>
                <w:highlight w:val="none"/>
              </w:rPr>
              <w:t>临床诊疗</w:t>
            </w:r>
            <w:bookmarkEnd w:id="44"/>
            <w:bookmarkEnd w:id="45"/>
          </w:p>
          <w:p>
            <w:pPr>
              <w:pStyle w:val="3"/>
              <w:numPr>
                <w:ilvl w:val="1"/>
                <w:numId w:val="3"/>
              </w:numPr>
              <w:spacing w:before="0" w:after="0" w:line="288" w:lineRule="auto"/>
              <w:rPr>
                <w:rFonts w:eastAsia="宋体" w:cs="Arial"/>
                <w:sz w:val="21"/>
                <w:szCs w:val="21"/>
                <w:highlight w:val="none"/>
              </w:rPr>
            </w:pPr>
            <w:bookmarkStart w:id="46" w:name="_Toc15094"/>
            <w:r>
              <w:rPr>
                <w:rFonts w:eastAsia="宋体" w:cs="Arial"/>
                <w:sz w:val="21"/>
                <w:szCs w:val="21"/>
                <w:highlight w:val="none"/>
              </w:rPr>
              <w:t>门诊医生工作站系统</w:t>
            </w:r>
            <w:bookmarkEnd w:id="46"/>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门诊患者信息管理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分类管理门诊患者，按照卡片、列表模式展示患者就诊信息，支持以标签形式醒目展示门诊患者特点。支持直观展示患者的基本信息、费用信息、医保信息，支持登记患者的过敏信息、皮试信息。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患者信息管理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查看开诊科目和患者信息，支持补充和调整患者信息，支持登记患者过敏情况，满足患者信息管理需要。</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就诊科目选择</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具备登录开诊功能，医生进入门诊医生站后，可自动登录有排班的就诊科目。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具备科目选择功能，进入门诊医生站后，可根据权限切换开诊科目。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支持与分诊系统对接，实现分诊功能，灵活启用分诊科目。</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团队出诊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具备团队出诊功能，在团队出诊模式下，出诊专家登录时，可以选择助理医生。</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开诊信息查看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具备开诊信息查看功能，可以查看当前科目详情及登录时长。</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患者信息展示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具备患者信息集中展示修改功能，包括基本信息、过敏史、健康摘要、就诊信息、患者备注、修改日志。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具备多地址维护功能，可以维护患者的多个地址，包括联系地址、籍贯、出生地、工作单位地址、联系人地址。</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具备患者过敏史管理功能，可录入患者过敏源、过敏物、过敏结果、操作时间信息，过敏源类型包括药物、食物、环境、混合性过敏源等。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具备健康摘要信息录入功能，包括是否发热、肝功能状况描述、肾功能状况描述等信息。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具备就诊信息查看功能，包括患者门诊病历号、就诊类型、挂号科目、挂号时间、接诊时间、就诊状态等信息。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具备患者隐私信息保护功能，包括患者联系电话、身份证信息及地址信息。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具备人群标签设置功能，可以自定义设置和显示绿色通道、特殊人群标签。</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患者管理显示配置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为不同科室配置个性化显示样式，设置个人偏好显示样式，包括配色、患者列表、叫号、诊间转诊等内容的布局。</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患者就诊列表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提供患者列表，展示当前开诊科目的就诊患者。</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具备患者列表显示列自定义配置功能。患者列表中可展示患者姓名、初复诊、号序、性别、年龄、门诊病历号、签到流水号、联系电话、挂号科目、医保信息等。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具备患者分类展示功能，包括全部、未就诊、就诊中、待回诊、已就诊、退号患者、挂账患者，分类展示并统计患者数量。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具备快捷操作功能，包括单据、转诊、我的排班、转介申请等操作。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支持与互联网医院信息系统对接，实现线上线下一体化接诊功能，在患者列表中体现患者来源。</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叫号面板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支持与护士分诊系统对接，显示当前患者排队情况，查看候诊人员及候诊人数，自动呼叫患者进入诊室就诊。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具备叫号面板配置功能，可以自定义配置叫号面板样式。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具备检索功能，可以输入关键信息检索患者。</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诊间转诊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具备诊间转诊功能，可在门诊同级别科室之间，为患者安排转诊。</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个人偏好配置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具备个人偏好配置功能，可以配置患者信息显示样式显示的数据项及顺序。</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门诊处方管理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分类显示门诊处方，按照医嘱模板、检索开立等模式开立门诊处方。支持直观展示处方特色，如精麻毒标志等。支持查看患者的历史处方、已开处方信息，支持撤销、删除患者的处方。</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门诊处方处置规则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门诊处方处置规则包括药品用量、完整性校验、重复医嘱、互斥医嘱、药品联动、用法联动规则。</w:t>
            </w:r>
          </w:p>
          <w:p>
            <w:pPr>
              <w:pStyle w:val="133"/>
              <w:widowControl/>
              <w:autoSpaceDE w:val="0"/>
              <w:adjustRightInd w:val="0"/>
              <w:snapToGrid w:val="0"/>
              <w:spacing w:line="288" w:lineRule="auto"/>
              <w:jc w:val="left"/>
              <w:rPr>
                <w:rFonts w:ascii="Arial" w:hAnsi="Arial" w:cs="Arial"/>
                <w:szCs w:val="21"/>
                <w:highlight w:val="none"/>
              </w:rPr>
            </w:pPr>
            <w:r>
              <w:rPr>
                <w:rFonts w:hint="eastAsia" w:ascii="Arial" w:hAnsi="Arial" w:cs="Arial"/>
                <w:szCs w:val="21"/>
                <w:highlight w:val="none"/>
              </w:rPr>
              <w:t>具备将诊断录入、治疗处置录入、病历录入功能同屏展示，同屏操作。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具备药品使用范围设置功能，可为不同科室、医生、职称等，设置不同的用药范围，支持提示或限制超出用药范围。</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具备药品用量设置功能，限制超出累计用量的用药。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具备重复互斥设置功能，设置相互重复的医嘱服务和相互排斥的医嘱服务。</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具备医嘱联动配置功能，包括药品联动、药品用法联动、药品与检查联动、检查项目联动。</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具备基本费用控制配置功能，设置基本费用控制的处方规则，提醒并控制单张处方金额和单次就诊的总费用。</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具备处方录入完整性校验规则设置功能，包括剂量、剂量单位、用法、频次、天数校验规则。</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具备过敏药品规则设置功能，可设置拦截、提示过敏药品。</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门诊处方和处置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开立门诊处方和处置措施，包括西成药、中药饮片、治疗处方，支持处方绑定诊断，支持调用药品的默认用法、剂量、频次。支持查阅及调用历史处方；提供动态医嘱开立显示样式，支持快速开立处方，处方开立时动态预警，醒目显示特殊属性的标签。</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西成药开立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具备临床服务检索功能，根据拼音、五笔、名称、别名、代码等条件搜索匹配西成药临床服务，匹配方式包括全匹配、前匹配、模糊匹配。</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具备显示样式动态加载功能，开立西成药时，根据药品特性动态加载西成药医嘱录入模块。输液医嘱动态加载滴速录入控件，抗菌药物医嘱动态加载用药目的录入控件。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具备儿科患者体征校验功能，在开立儿科处方前，自动校验儿科患者的身高、体重信息。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具备注射类药品剂型检测功能，动态加载注射类药品录入显示样式，自动获取药品的注射类剂型信息。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具备录入用法、嘱托录入功能，在开立西成药医嘱时，可以填写用法说明等嘱托。</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具备发药数量计算功能，自动根据药品处方的剂量、频次、天数，计算发药数量。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具备处方绑定诊断功能，绑定的处方药品自动调用默认剂量、用法、频次、天数、数量，支持修改处方药品的剂量、用法、频次、天数、数量。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具备药品变动剂量录入功能，用药频次的执行次数大于1时，每顿用药可以录入不同的剂量。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具备自备药录入功能，药品允许自备时，可以录入患者自备的药品。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具备药品流向默认和选择录入功能，开立的西成药医嘱流向可根据设置自动默认发药药房。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具备特殊剂量单位录入功能，滴眼液类药品的剂量单位按“滴”录入，喷剂类药品的剂量单位按“揿”录入。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具备领药人管理功能，开立精麻处方，必须填写领药人信息，支持自动获取精麻档案人员信息。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具备过敏检测功能，对于需要皮试的西成药品，自动判断以往皮试记录，阻止可能导致过敏的药品。支持记录皮试方式，包括非原液皮试和原液皮试。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具备分方处理功能，根据自动分方规则，把药品分成不同的处方。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具备药品成组功能，可以便捷拖动药品顺序，把相同类型的药品组合在一起。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具备医嘱模板管理功能，可将医嘱另存为模板，通过模板快速开立处方。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具备医嘱状态展示功能，展示的医嘱状态包括已开立、已签署、已收费。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具备药品属性标签管理功能，醒目显示精、麻、毒、放等药品特殊属性标签。</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具备自费处方标记功能，可以将整张处方标记为自费处方。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具备慢病长处方开立功能，可根据诊断、病种、用药天数结合判断是否长处方，根据职称控制是可否开立长处方。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具备开立基数药功能，支持选择基数药药品的执行科室。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支持与医务管理系统对接，实现抗菌药物开立的审批流程。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支持与合理用药系统对接，实现药品说明书调用和事中用药提醒功能。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中药饮片开立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具备中药饮片开立模式设置功能，根据门诊医生的操作习惯，个性化设置中药饮片的开立模式，包括卡片模式和表格模式。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具备中药饮片动态加载功能，按照中药饮片的剂型和药房，切换检索药品，动态加载中药饮片。</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具备药品属性标签管理功能，醒目显示特殊属性标签，比如贵重药材显示贵重标签。</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具备快速开立功能，自动获取中药饮片默认剂量、默认剂量单位，按照默认煎法快速开立中药饮片。</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具备君臣佐使标志功能，为处方中的草药建立君臣佐使标志，按顺序显示。可以拖动改变草药的君臣佐使标志。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具备全键盘快速操作功能，可通过键盘快速搜索、选择、删除、替换药品。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具备重复草药服务设置功能，校验重复的草药处方并及时提醒。</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具备多剂共用标记功能，对于多剂饮片处方要共用的药品，可以设置多剂共用标记，按一剂处方数量计算。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具备库存校验功能，处方中的药品如果库存不足，将醒目提醒。</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具备草药用量设置功能，控制单张处方单味草药的最大剂量。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具备草药属性默认值设置功能，包含剂数、给药途径、频次、煎法信息。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具备草药录入完整性校验功能，包括剂数、给药途径、药房、用法、煎药方式的必填校验和逻辑校验。</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具备中药饮片备注功能，可以备注膏方、外送、保密、快递等信息。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具备处方引用开立功能，可引用医嘱模板、历史处方，快速开立饮片处方。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具备合并开立功能，可以把多个中药处方合并为一个处方。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具备分方处理功能，按照处方分方规则，把药品分成不同的处方。处方分方规则包括不同药品分方、不同厂家分方、不同剂型分方、自制药品分方以及小规格单独分方。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具备单次诊疗草药方数量控制功能，包括单次就诊的草药处方数量、相同给药途径的草药处方数量、药品总剂量、处方总金额。</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具备处方联动功能，按照草药代煎规则，联动代煎服务，按照医师职称规则联动中医辨证服务。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支持与合理用药系统对接，实现饮片“十八反十九畏”验证提醒功能。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治疗项目开立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具备治疗目的动态加载功能，开立治疗项目时，动态加载不同属性的治疗显示项。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具备治疗项目拼接展示功能，可以拼接显示治疗规格和单价。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具备治疗项目自动计算功能，根据单价和数量自动计算治疗项目金额。</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医嘱操作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具备医嘱统一操作功能，在医嘱模块统一执行编辑、撤销、删除、签署等操作，支持批量医嘱操作，支持医嘱联动处理，支持医嘱数量实时计算。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具备医嘱撤回功能，可以撤回已签署未收费的医嘱。</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处方权限管理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具备处方权限管理功能，根据医生职级设置相应的医嘱处方权限。</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具备处方权限实时提示功能，在门诊医生检索医嘱的过程中，即通过警示图标实时提示处方权限。</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医嘱显示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嘱集中显示功能，根据西药、中药饮片、检验、检查、治疗等各类医嘱的特点，自动提取相应的重点信息，包括给药途径、用法、嘱托，自动拼接为连贯的文本语言，并与当前医嘱费用、签署状态等相关信息，集中显示在同一页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具备根据医嘱属性配置医嘱显示颜色功能。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处方单据打印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具备单据打印功能，可以打印处方单、检验单、检查单、治疗单、导诊单。</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日间手术申请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支持与日间手术管理系统对接，实现开立日间手术申请单功能。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历史处方查阅及引用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具备历史处方查阅功能，对于复诊病人，门诊医生可以快速筛选一个月、三个月、六个月内的历史处方，可以自定义时间段筛选历史处方。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具备历史处方引用功能，对于复诊病人，可以引用历史处方，延续就诊处置措施。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处置模板查阅及引用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具备处置模板引用功能，可以引用单条医嘱，可以批量引用处置模板，快速开立处置措施。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具备处置模板维护功能，通过拖拽医嘱，便捷维护处置模板。可以将当前开立的医嘱，另存为处置模板，包括个人、科室、全院处置模板。</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具备模板权限控制功能，对全院处置模板设置查阅权限。</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处方开立辅助检索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具备医嘱检索功能，可以检索多种类型的医嘱，包括西成药、中药饮片、检验、检查、治疗、病历、模板。检索方式包括拼音、五笔、名称、别名、代码等，可以模糊检索、智能排序。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具备医嘱检索展示功能，根据医嘱类型特点，自动提取各类医嘱的重点信息，为医嘱检索拼接展示内容，为精麻毒类药品、抗菌药物、自费药物设置标签。</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具备配置检索列表展示的表头名称功能。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常用临床服务前置推荐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具备临床服务前置推荐功能，根据用户使用频率，将医生常用的临床服务前置，方便门诊医生便捷选择常用的临床服务。</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门诊协定方管理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具体门诊协定方维护和管理功能，提供门诊诊疗包和协定方维护及引用，方便快速录入处方。</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门诊申请单管理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基于统一的检验和检查项目字典，开立检验和检查申请单，调阅与申请单对应的检验和检查报告。</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门诊检验电子申请单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具备门诊检验申请单开立功能，动态加载检验项目录入模块，自动生成相应的收费信息。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具备组套勾选开立功能，勾选检验项目形成组套，可以录入检验项目相关的诊断、频次、数量、加急标志。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具备指定检验项目流向功能，指定检验申请单流向的执行科室。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具备检验申请单树状图开立功能，可查看树状图，并据此选择相应的检验项目进行开立。”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门诊检查电子申请单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具备门诊检查申请单开立功能，动态加载检查项目录入模块，自动生成相应的收费信息。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具备人体图开立功能，当用户需要开立检查申请单时，可浏览人体图示，精准选择所需检查的部位，进行检查项目开立。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具备指定检查申请单流向功能，指定检查申请单流向的执行科室。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具备树状图开立功能，用户可查看树状图，并据此选择相应的检查项目进行开立。并在此过程中录入临床摘要、诊断信息、检查目的及注意事项关键信息。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检验报告调阅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检验信息系统对接，实现医技检验报告调阅功能。可接收检验信息系统发布的检验报告、撤销通知。可通过申请单医嘱快捷跳转查看对应的检验报告，可通过检验指标快捷跳转查看对应的检验报告，可以按照名称、拼音、五笔、日期检索检验报告，可以查看患者历次就诊报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具备检验报告趋势展示功能，可视化展示同一检验指标的变化趋势。</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检查报告调阅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支持与检查信息系统对接，实现医技检查报告调阅功能。可以接收检查信息系统发布的检查报告、撤销通知。可通过申请单医嘱快捷跳转查看对应的检查报告。</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门诊医生危急值应用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为门诊医生提供医技危急值信息的提醒，辅助门诊医生给予患者及时有效的干预措施，记录危急值发布后的处置过程。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危急值接收和处理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具备危急值接收功能，可以设置危急值消息内容和样式，按照设置样式展示接收的危急值内容。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具备危急值处理功能，接收危急值消息后，可以立即处置。若存在多个危急值通知，可连续处置。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具备修改处置回复的内容功能。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具备危急值插入病历功能。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具备稍后处置功能，接收危急值消息后，如果选择稍后处置，显示样式转为缩略样式，稍后将自动再次弹出。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具备危急值方案维护功能，支持医生采用危急值方案进行危急值处理，可查看消息处理结果。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危急值查询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具备危急值查询功能，对于已经处理过的危急值，可以按照发布科室、处理医生、危急值类型和发布日期检索，支持查询危急值处理意见。</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危急值消息时限监控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具备消息时限监控功能，可设置消息级别、配置时限、监控策略，进行消息时限监控管理，及时提醒医生查看危急值消息。</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门诊单据管理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门诊单据包括住院证、疾病证明单、病假单，提供门诊单据的填写、开具和打印功能。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住院证开具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具备入院通知单管理功能，门诊医生可为需要住院的患者开具入院通知单，作为患者办理住院手续的凭证。</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疾病证明单管理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具备疾病证明单管理功能，门诊医生可为门诊患者开具疾病证明单，作为患者的疾病证明资料。</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病假单管理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具备病假单管理功能，门诊医生可为门诊患者开具病假单，作为患者申请病假时的证明资料。可以录入休假天数、开始日期和结束日期。</w:t>
            </w:r>
          </w:p>
          <w:p>
            <w:pPr>
              <w:pStyle w:val="3"/>
              <w:numPr>
                <w:ilvl w:val="1"/>
                <w:numId w:val="3"/>
              </w:numPr>
              <w:spacing w:before="0" w:after="0" w:line="288" w:lineRule="auto"/>
              <w:jc w:val="left"/>
              <w:rPr>
                <w:rFonts w:eastAsia="宋体" w:cs="Arial"/>
                <w:sz w:val="21"/>
                <w:szCs w:val="21"/>
                <w:highlight w:val="none"/>
              </w:rPr>
            </w:pPr>
            <w:bookmarkStart w:id="47" w:name="_Toc15098"/>
            <w:r>
              <w:rPr>
                <w:rFonts w:eastAsia="宋体" w:cs="Arial"/>
                <w:sz w:val="21"/>
                <w:szCs w:val="21"/>
                <w:highlight w:val="none"/>
              </w:rPr>
              <w:t>门诊电子病历信息系统</w:t>
            </w:r>
            <w:bookmarkEnd w:id="47"/>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门诊病历录入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门诊病历书写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优化门诊医生编辑病历的方式，结构化录入，所见即所得，自动采集核心数据，记录病历签署、撤销操作，打印签署的病历。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具备核心数据自动采集功能，采集的数据自动写入病历，包括患者主诉、诊断、检验、检查、处置方案。</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具备书写逻辑校验功能，按照结构化录入规则校验病历内容。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具备编辑器工具栏功能，编辑病历时可以使用工具栏，包括加粗，斜体，字体，字号，上标，下标，插入表格，插入图片。</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具备编辑区域调整功能，门诊医生可以根据个人习惯设置病历编辑区域的比例大小。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具备快捷键操作功能，可以个性化配置病历操作的快捷键，如Alt+Q病历签署，Alt+P病历打印等等。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具备病历留痕功能，可以查看病历修改痕迹和病历操作记录。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具备个人模板制作功能，支持医生自行制作个人病历模板，建立模板目录，调整目录顺序。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具备个人模板共享功能，个人模板可以共享给科室，成为科室共享模板。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具备病历有效期管理功能，设置病历编辑的有效期后，仅在有效期内新增和编辑病历，有效期外限制编辑病历、限制新增病历。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具备病历打印锁定功能，病历在经过打印输出后，电子版本的病历将被限制编辑。</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具备解锁管理功能，病历锁定后，医生可以申请解锁，辅助医院建立病历解锁审批流程。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具备门诊病历授权管理功能，支持讲患者病历授权给其他科室人员进行查阅。</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具备授权记录查询功能，支持查看当天、一周内、一个月内及自定义时间范围查询。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具备门诊案例病历管理功能，支持对当前病历进行案例标记，支持自定义案例名称、输入领证体会、设置案例标签；选择病历后，按设置进行保存案例。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具备门诊病历案例查看功能，支持对本人保存的案例进行查询管理功能。</w:t>
            </w:r>
          </w:p>
          <w:p>
            <w:pPr>
              <w:pStyle w:val="133"/>
              <w:widowControl/>
              <w:autoSpaceDE w:val="0"/>
              <w:adjustRightInd w:val="0"/>
              <w:snapToGrid w:val="0"/>
              <w:spacing w:line="288" w:lineRule="auto"/>
              <w:jc w:val="left"/>
              <w:rPr>
                <w:highlight w:val="none"/>
              </w:rPr>
            </w:pPr>
            <w:r>
              <w:rPr>
                <w:rFonts w:hint="eastAsia" w:ascii="Arial" w:hAnsi="Arial" w:cs="Arial"/>
                <w:szCs w:val="21"/>
                <w:highlight w:val="none"/>
              </w:rPr>
              <w:t>书写效率：满足</w:t>
            </w:r>
            <w:r>
              <w:rPr>
                <w:rFonts w:hint="eastAsia"/>
                <w:highlight w:val="none"/>
              </w:rPr>
              <w:t>200或以上并发量时系统响应时间≤3秒。</w:t>
            </w:r>
          </w:p>
          <w:p>
            <w:pPr>
              <w:pStyle w:val="133"/>
              <w:widowControl/>
              <w:autoSpaceDE w:val="0"/>
              <w:adjustRightInd w:val="0"/>
              <w:snapToGrid w:val="0"/>
              <w:spacing w:line="288" w:lineRule="auto"/>
              <w:jc w:val="left"/>
              <w:rPr>
                <w:highlight w:val="none"/>
              </w:rPr>
            </w:pPr>
            <w:r>
              <w:rPr>
                <w:rFonts w:hint="eastAsia"/>
                <w:highlight w:val="none"/>
              </w:rPr>
              <w:t>具备中医电子病历标准模板。</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门诊病历书写助手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书写助手集成患者以往病历、医技报告、医学公式、常用图形，辅助医生快捷录入门诊病历。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具备既往病历引用功能，可以查看并引用以往的急诊病历、门诊病历、住院病历。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具备医技报告引用功能，可以查看检查、检验、微生物报告，支持自定义文本格式引用录入病历。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具备医嘱引用功能，书写病历时查看并引用当前患者的医嘱信息。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具备符号录入功能，可以查看预置的常用特殊符号，书写病历时快速引用特殊符号。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具备医学控件功能，包括牙位图、月经公式、生育史等医学控件。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具备医学公式功能，辅助医生计算BMI、体脂率、体表面积、预产期、肌酐清除率、血浆渗透液面积、腰臀比、微糖、化疗药物等，书写病历时快速引用计算结果。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具备常用语功能，门诊医生可以在病历书写过程中收藏常用语，可以把常用语共享给科室，在病历过程书写中引用收藏的常用语。</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门诊病历模板管理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管理与维护病历模板，方便门诊医生根据诊疗过程实际情况，快速建立门诊病历的段落结构，按照全院、科室、个人等维度，分类管理病历模板。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具备模板分类维护功能，类别包括全院模板、科室模板、个人模板。支持统一维护全院模板和科室模板，支持把科室级别的病历模板发布到对应的科室。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具备默认模板设置功能，医生接诊时将引用设置的默认模板创建门诊病历。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具备门诊病历模版版本管理功能，模版更新后记录版本号，支持按版本号进行溯源。</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具备门诊病历模版更新于发布功能，支持模版云端制作完成后发布到院端环境。</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门诊病历查询与统计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门诊病历基本查询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具备按患者姓名、性别、年龄段等查询门诊病历功能。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具备按患者诊疗信息，包括诊断、接诊医生、就诊科室、挂号信息等查询门诊病历功能。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具备按病历模版查询门诊病历功能。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具备多院区查询门诊病历功能，支持查看全部院区及单个院区的门诊病历。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具备查询条件重置功能，支持一键重置为系统默认查询条件。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具备查询结果列自定义设置及排序功能。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具备病历完成情况查询功能，按科室或医生维度查询病历完成情况，并支持一键重置查询条件功能。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具备按创建时间查询病历完成情况功能，包括草稿状态、已签署状态及已审核状态的查询。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具备按患者查询病历完成情况功能。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具备病历操作日志查询功能，包括病历创建、修改、保存、签署、撤销签署、打印的操作步骤。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具备按操作时间、按患者基本信息、按医生信息查询病历操作日志功能。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具备病历阅读记录查询功能，包括操作者对病历的打开时间、关闭时间的记录，支持展示持续时间。</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具备按操作时间、按患者基本信息、按操作者查询病历阅读记录功能。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具备病历借阅功能，支持医生本人接诊患者的病历，临时授权给指定医生、指定IP调阅，支持自定义借阅的时间范围。</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具备借阅病历查看功能，支持查看当天、一周内、一个月内及自定义时间范围查询。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具备授权记录查询功能，支持查看当天、一周内、一个月内及自定义时间范围查询。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具备到时自动回收及手动回收授权功能。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门诊病历结构化内容查询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具备按结构化节点查询功能，支持设置一个或多个数据元进行结构化查询。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具备按病历段落是否包含关键字模糊查询功能。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具备按数据元及按段落联合查询功能。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具备一键重置查询条件到初始状态功能。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具备查询结果导出Excel功能。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具备通过医院授权给部分角色，将查询出来的患者病历数据导出PDF、导出xml文件功能。</w:t>
            </w:r>
          </w:p>
          <w:p>
            <w:pPr>
              <w:pStyle w:val="3"/>
              <w:numPr>
                <w:ilvl w:val="1"/>
                <w:numId w:val="3"/>
              </w:numPr>
              <w:spacing w:before="0" w:after="0" w:line="288" w:lineRule="auto"/>
              <w:jc w:val="left"/>
              <w:rPr>
                <w:rFonts w:eastAsia="宋体" w:cs="Arial"/>
                <w:sz w:val="21"/>
                <w:szCs w:val="21"/>
                <w:highlight w:val="none"/>
              </w:rPr>
            </w:pPr>
            <w:bookmarkStart w:id="48" w:name="_Toc7378"/>
            <w:r>
              <w:rPr>
                <w:rFonts w:eastAsia="宋体" w:cs="Arial"/>
                <w:sz w:val="21"/>
                <w:szCs w:val="21"/>
                <w:highlight w:val="none"/>
              </w:rPr>
              <w:t>住院医生工作站系统</w:t>
            </w:r>
            <w:bookmarkEnd w:id="48"/>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住院患者信息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患者信息集中管理，包括基本信息、住院信息、患者健康状况、过敏史、药品不良反应、费用信息、医保信息、患者标记/备注信息、诊断信息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患者信息管理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具备患者基本信息显示与修改功能，字段至少包括：姓名、性别、国籍、出生日期、证件信息、联系电话、地址、贫困级、信息保密级、实名制级。</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具备患者住院信息显示与修改功能，至少包括：责任护士、责任医生、主治医生、医疗组。其中住院号、住院科室、住院病区、入院时间信息不能修改。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具备患者基本健康信息显示和修改功能，至少包括身高、体重、BMI、血型、危重级别、病生理状态、呼吸、脉搏。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具备患者过敏信息登记、展示、编辑功能。可录入药物类、食物类、环境类过敏信息，支持医生录入非结构化类过敏信息。`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具备患者费用信息显示功能，至少包括：总费用、预交金余额、担保金额、报警线、停药线。</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具备患者病种信息编辑与显示功能。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具备患者生育业务类型显示和修改功能，包括生育业务类型、计划生育手术类别、生育或流产日期。</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具备患者备注信息录入功能。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床卡显示管理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提供多种样式床头卡显示功能，包括标准模式、简卡模式、列表模式。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具备多种患者标签配置功能，至少包括：护理级、VTE风险级、手术患者、危重级、临床路径、压疮风险级。可根据业务场景和状态定义患者不同标签，并在医生站床头卡中显示。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床头卡多维度自定义组合查询功能，至少包含“病人状态”、“入区方式”、“床位状态”、“患者角色”、“患者标签”、“手术状态”、“患者状态”、“在院状态”、“医保范围”及“护理状态”多个维度。</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诊断管理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具备诊断录入功能，包括西医诊断录入和中医诊断录入。支持诊断录入相关操作，包括诊断新增、编辑、保存、删除、复制、排序。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具备集中录入西医诊断、中医诊断功能。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具备录入西医诊断主要诊断、次要诊断、子诊断，具备录入中医诊断疾病和中医诊断证候。</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具备多种类型的诊断查看功能，至少包括门诊诊断、入院诊断、确定诊断、出院诊断临床相关诊断类型。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具备录入诊断的前缀、后缀。</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具备确诊时间修改功能。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具备复制历史诊断功能，支持单个复制和批量复制。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具备诊断收藏功能，包括个人收藏、科室收藏。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支持与疾病监测报告管理系统对接，录入传染病诊断时，自动触发传染病报卡，并能进行填写。</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住院医嘱管理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围绕临床医嘱开立场景，需提供医嘱权限、医嘱检索、医嘱开立显示、医嘱开立规则控制、历史医嘱查看、医嘱模板引用、医嘱打印相关功能。针对不同类型医嘱，需提供按医嘱类别分开开立及相关规则控制。</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住院医嘱管理</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医嘱操作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具备医嘱操作功能，至少包括：医嘱开立、排序、成组、签署、删除、撤销、作废、停止操作。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具备医嘱开立快捷键操作功能，医嘱录入时，通过预设的快捷键，可快速完成医嘱开立操作。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具备检索开立、模板引用、历史医嘱引用、复制、联动开立多种开立方式，具体如下：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①医嘱检索开立,具备不同医嘱类型的检索设置功能;具备多种方式的快速查找功能，包括按首拼、五笔、代码、名称查询药品，并支持模糊查询;具备检索词频应用功能，可根据使用频率排序。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②医嘱联动,医嘱进行联动开立，包括皮试医嘱的联动，开立治疗药时自动联动一条皮试医嘱。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③医嘱模板引用,具备模板分类、归类功能，医嘱模板可以根据需要维护自己的分类。医嘱模板关联模板分类，可将相同属性的模板归属到同一模板分类；具备模板维护功能，包括医嘱模板的新增、删除、修改、启用、停用操作。可在诊疗过程中，选择已开立的医嘱直接另存为医嘱模板；具备模板关联功能，医嘱模板可关联诊断、诊断组；具备模板范围设置功能，可设置医嘱模板应用范围，包括“个人”、“科室”、“全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④历史医嘱引用,具备历史医嘱查询功能，可查询历次门诊就诊医嘱、历次住院医嘱，并可根据时间范围过滤历次就诊记录；具备历史医嘱批量开立功能，可在历次住院医嘱中选择需要重新开立的医嘱，批量进行开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⑤复制医嘱引用，具备“复制”本人、他人医嘱开立医嘱功能，“复制”可快速引用本次就诊医嘱，“复制到剪切板”可快速引用其他患者就诊医嘱。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具备医嘱显示与排序功能，可批量显示未签署医嘱的长临标志、开始日期、时间、名称、规格、剂量、单位、用法、频次、嘱托、扩展信息列；可在医嘱未签署前拖动排序，成组药品可重新成组。</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具备开立医嘱暂存功能。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终止医嘱功能，对于未签署的医嘱，医生可直接删除进行废止；对于医生已签署而护士尚未签收的医嘱，支持医嘱的撤回操作；对于护士已签收的医嘱，则支持医嘱的作废处理；对于长期医嘱支持停止医嘱操作。</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医嘱管理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具备医嘱自定义分类显示功能，可自定义每列显示内容，自定义分类显示不同的医嘱类型，包含护理医嘱、膳食医嘱、西成药品医嘱、草药医嘱、治疗医嘱、手术医嘱、嘱托医嘱。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①护理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具备开立等级护理、常规护理、专项护理功能。其中等级护理支持特级、Ⅰ级、Ⅱ级、Ⅲ级共4个等级，级别护理互斥。</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②膳食</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具备开立膳食医嘱功能，至少包括：禁食、基本饮食、治疗饮食、专科饮食4个分组，具备配置组内、组间膳食医嘱互斥功能。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③西成药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具备药品属性提示功能，针对特殊类药品显示药品的属性特征，针对国家基本药物显示国基、省基，针对医保药品显示国家医保编码和省医保编码。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具备药品库存校验功能，对于药品类服务，可进行库存实时校验及提示。</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执行详情信息录入功能，针对药品医嘱开立可录入剂量、单位、用法、频次、嘱托；可根据频次属性自动推荐首日用药次数和首次用药时间；可设置滴速要求或定量录入滴速范围，填写超限滴速的说明原因；支持录入和药品费用相关属性。</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具备过敏药品皮试功能，根据患者的临床用药情况、皮试有效期，判断需皮试的医嘱用药是否需要重新皮试，需要皮试联动皮试相关药品。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具备领药人信息录入功能，录入精麻毒类药物时，需登记领药人及其身份证明信息，领药人信息支持自动同步患者的基本信息。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具备精麻药品统一编码归档功能，精麻类处方按照规范要求统一编码归档。</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具备出院带药医嘱录入功能，可录入出院带药，录入出院带药时与当前患者的出院医嘱进行关联控制，无出院医嘱不允许出院带药。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具备医学计算公式融入功能，TPN（肠外营养）开单针对不同人群提供个性化参考标准，自动计算当次医嘱全肠外营养总液量、总能量、非蛋白热卡、供氮量、热氮比、葡萄糖借给量、脂肪乳供给量。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④草药医嘱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具备草药类药品医生权限校验功能，可根据登录医生的权限设置是否显示草药。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具备中药饮片处方编辑功能，可编辑中药饮片的处方名称、治疗法则。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具备中药饮片处方信息录入功能，录入中药饮片处方明细项时，可选择不同规格中药饮片，单味药剂量，补充煎法要求；可编辑中药饮片处方的剂数、煎法、煎出总剂量、每顿剂量、每日频次、代煎要求及剂数。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⑤治疗</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具备执行医生与科室选择功能，录入医嘱时，可对执行科室进行选择。</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具备治疗部位录入功能。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⑥手术医嘱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在下达手术医嘱之前，系统将支持对患者进行术前讨论，并撰写术前小结。同时，系统将向患者明确说明手术风险，并取得患者签署的手术知情同意书。随后，在对患者实施手术医嘱时，系统将执行相关病历文书的校验工作，并提供病历书写模块的切换功能，以便补全和修正任何未完成的病历文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具备手术医嘱开立功能，手术录入取标准手术字典，自动带入手术等级，调整并标识主手术，支持录入主从手术、手术信息、人员信息、耗材信息。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具备手术医嘱开立后手术信息查看功能。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⑦流转医嘱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具备录入转床、转科、转区、出院及死亡等流转类医嘱的功能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具备将流转类医嘱与自动终止医嘱流程进行关联功能。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⑧嘱托医嘱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具备结构化嘱托和手工自由录入2种模式录入嘱托医嘱功能。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医嘱查询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具备长期医嘱、临时医嘱、有效医嘱、全部医嘱的查询功能，并提供医嘱执行情况、患者费用明细查询。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具备医嘱内容类别过滤功能，包括按药品、护理、膳食、治疗、手术、检查、检验、全部过滤医嘱。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具备长期医嘱、临时医嘱区分展示功能，可显示医嘱的长临标志、开始日期、时间、名称、规格、剂量、单位、用法、频次、嘱托、扩展信息。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具备医嘱状态实时显示功能，可实时显示医嘱的执行交互信息，可查看医嘱当前状态，包括护士核对情况、药师审方信息、医技预约信息、费用收取情况。</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医嘱打印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具备打印医嘱单据功能，含长期医嘱和临时医嘱。</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具备撤销、续打、重整、查询历史记录、全面打印以及表格打印等操作。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具备转科医嘱、术后医嘱分页打印功能，以符合不同地区对医嘱书写规范的要求。</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具备精麻处方单据、外购处方单据、普通药品单据、草药处方单据、手术单据、检查单据、检验单据、治疗单据和病理单据打印功能。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具备精麻类处方打印功能，包括精麻类医嘱按处方打印，长期医嘱中精麻类处方按天打印处方。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具备医嘱单据合并预览打印功能。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具备单据预览模式及多种打印模式选择功能。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医嘱处置规则管理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具备处方规则控制功能，包括科室对应药品项目、职称对应药品项目、医师对应药品项目。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具备重复医嘱规则校验功能，可自动校验重复医嘱。</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具备医嘱必填项校验功能，且能进行醒目提醒。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具备医嘱互斥规则控制功能，可设置医嘱互斥规则，并进行相关控制。</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具备流转类医嘱校验功能，针对患者流转类医嘱，支持互斥规则、联动停止规则；患者流转包括：转床、转区、转科、出院、死亡。</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具备药品及项目属性展示功能，可自动加载临床药品及项目的默认属性，包括药品的剂量、给药途径。</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住院申请单管理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需提供电子化处理住院检查、检验项目，涵盖申请单的开具、打印以及报告查阅功能。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住院检验电子申请单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需提供住院检验项目电子申请单相关功能，至少包括申请单的开立、打印。可对检验项目进行维护及自定义配置，电子申请单开立时可进行基础规则校验控制，检验电子申请单数据支持与电子病历文书互通。</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申请单类型管理功能，包括：包括临检血液检查、生化常规检测、出凝血检测、临床微生物检测、病原体核酸检测、基因（多态性/突变）检测、尿液相关检测、粪便相关检测、体液相关检测、性病相关检测、女性激素检测、凝血项测定（DIC全套）、肝功能、肾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具备检验申请单开立样式及打印模板自定义配置功能。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具备检验申请单录入诊断、临床摘要、注意事项信息功能。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具备检验项目维护功能。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具备申请单打印功能，打印模板可自定义设置。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具备申请单基础规则校验控制功能，至少包括院区、应用场景、开单科室、开单医生、开单职称、性别、年龄规则、数量规则。</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住院检查电子申请单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需提供住院检查项目电子申请单相关功能，包括申请单的开立、打印。可对检查项目进行维护及自定义配置，电子申请单开立时可进行相应规则校验控制，检查电子单数据支持与电子病历文书互通。</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具备检查类型管理功能，至少包括：医学影像、超声检查、心电图检查、内镜检查。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具备检查申请单开立样式自定义配置功能。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具备检查申请单加急、床旁、影像号、检查部位、临床摘要、其他检查结果、检查目的信息录入功能。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具备申请单基础规则校验控制功能，至少包括院区、应用场景、开单科室、开单医生、开单职称、性别、年龄。</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具备申请单打印功能，打印模板支持自定义设置。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具备搜索检查项目，填写检查申请单功能。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具备检查申请单中数据与病历文书互通功能。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住院检验报告调阅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支持与医技系统对接，实现在住院医生站调阅住院检验报告调阅，可按照名称、拼音、五笔、日期检索检验报告,可查看患者历次就诊报告,包括住院检验报告、历史住院检验报告、门诊历次就诊检验报告。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具备检验报告趋势展示功能，可视化展示同一检验指标的变化趋势。</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具备检验报告打印功能。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住院检查报告调阅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支持与医技系统对接，实现住院检查报告调阅功能，可以按照名称、拼音、五笔、日期检索检查报告,可以查看患者历次就诊报告,包括住院检查报告、历史住院检查报告、门诊检查报告。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具备检查报告打印功能。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住院危急值管理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支持对接医技系统，实现危急值的智能提醒、处置与反馈功能。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危急值预警提醒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支持与医技系统对接，接收医技系统发送的危急值信息，并进行预警提醒。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具备危急值不处理时，不间断进行消息提醒干预功能。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具备在消息中心处理危急值功能。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消息处理结果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具备危急值方案维护功能，支持医生采用危急值方案进行处理，可查看消息处理结果。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具备危急值处理所使用的医嘱，建立与危急值关联功能。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具备危急值医嘱方案病历插入功能。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消息处理意见反馈</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具备根据危急值处理情况，自动生成危急值病程记录功能。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支持与医技系统对接，实现将危急值接收、处理信息返回医技科室功能。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消息时限监控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具备危急值查询功能，实时查询危急值内容信息和处理进展。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具备消息时限监控功能，可设置消息级别、配置时限、监控策略，进行消息时限监控管理，及时提醒医生查看危急值消息。</w:t>
            </w:r>
          </w:p>
          <w:p>
            <w:pPr>
              <w:pStyle w:val="3"/>
              <w:numPr>
                <w:ilvl w:val="1"/>
                <w:numId w:val="3"/>
              </w:numPr>
              <w:spacing w:before="0" w:after="0" w:line="288" w:lineRule="auto"/>
              <w:jc w:val="left"/>
              <w:rPr>
                <w:rFonts w:eastAsia="宋体" w:cs="Arial"/>
                <w:sz w:val="21"/>
                <w:szCs w:val="21"/>
                <w:highlight w:val="none"/>
              </w:rPr>
            </w:pPr>
            <w:bookmarkStart w:id="49" w:name="_Toc12943"/>
            <w:r>
              <w:rPr>
                <w:rFonts w:eastAsia="宋体" w:cs="Arial"/>
                <w:sz w:val="21"/>
                <w:szCs w:val="21"/>
                <w:highlight w:val="none"/>
              </w:rPr>
              <w:t>住院电子病历信息系统</w:t>
            </w:r>
            <w:bookmarkEnd w:id="49"/>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住院病历书写</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结构化录入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具备数据自动采集功能，病历文书创建完成后，患者在就诊过程中产生的病史信息、医嘱信息和诊断信息会自动同步到病历文书中。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具备病历结构化录入功能，提供包括单选、多选、日期时间控件等结构化的方式实现病历文书的编辑。</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具备插入月经史、孕周、眼压、胎心常用医学公式功能。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具备不同的文书展示模式功能，包括预览模式/编辑模式/痕迹模式。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具备手术相关文书绑定手术信息功能，按手术名称分类展示病历。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具备临床异常指标信息自动生成病历功能，例如危急值自动生成病程。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支持对接CA接口，实现电子病历签名的功能。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具备病历记录录入编辑过程中自动保存编辑内容的功能。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具备按照医生操作进行病历版本保存以及查看的功能。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具备多个客户端编辑病历时，进行版本校验，提醒保留还是覆盖病历内容的功能。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具备对书写内容进行智能检查与提示功能。</w:t>
            </w:r>
          </w:p>
          <w:p>
            <w:pPr>
              <w:pStyle w:val="133"/>
              <w:widowControl/>
              <w:autoSpaceDE w:val="0"/>
              <w:adjustRightInd w:val="0"/>
              <w:snapToGrid w:val="0"/>
              <w:spacing w:line="288" w:lineRule="auto"/>
              <w:jc w:val="left"/>
              <w:rPr>
                <w:rFonts w:ascii="Arial" w:hAnsi="Arial" w:cs="Arial"/>
                <w:szCs w:val="21"/>
                <w:highlight w:val="none"/>
              </w:rPr>
            </w:pPr>
            <w:r>
              <w:rPr>
                <w:rFonts w:hint="eastAsia" w:ascii="Arial" w:hAnsi="Arial" w:cs="Arial"/>
                <w:szCs w:val="21"/>
                <w:highlight w:val="none"/>
              </w:rPr>
              <w:t>书写效率：满足200或以上并发量时系统响应时间≤3秒。</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病历保存</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提供结构化数据、自由文本及PDF格式等多种数据存储方式。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采用标准化的数据格式和编码方式保存结构化数据。</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支持通过数据接口实现不同系统之间的数据共享和交换。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具备对病历数据的长期管理和访问，提供数据备份和恢复功能。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病历提交</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具备病历提交时根据设定的规则进行完整性、合规性校验功能。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支持与电子签名系统对接，在电子病历系统中生成具有法律效力的电子签名。在进行病历提交和签名之前，医生需要通过电子病历系统的身份认证功能，验证自己的身份和权限。支持使用USB Key、扫描二维码等多种方式进行认证。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具备病历操作留痕功能，病历提交后，支持上级医生修改病历，并能够自动留痕，记录时间、修改人、职称等信息。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数据存储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具备采用病历服务器时间作为病历操作记录时间的唯一来源功能。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具备病历记录结构化存储功能。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病历保存时间符合《电子病历应用管理规范》存储要求。</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支持与其他业务系统对接，实现病历数据全院共享功能。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具备敏感信息脱敏功能。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住院病历打印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具备普通文书单份打印功能，支持打印预览、直接打印、指定页打印、奇偶页打印、补打。</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具备病程类文书连续打印功能，支持续打、选择页补打、奇偶页打印、全部打印、分批打印，支持选择多份病程一起续打。</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具备病历集中打印功能，可按需要选择多份病历进行打印。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具备设置集中打印病历排序功能。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具备按照文书类型配置打印模式功能，支持单页打、续打、续打（新页打）、续打（单独打）等多种模式。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具备按文书类型控制病历打印次数及打印锁定功能。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住院病历三级阅改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具备住院病历三级审签流程管理功能，支持针对不同的文书类型，配置审签方式。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具备三级审签流程可视化配置功能，直观展示三级审签从开始到结束的全流程。</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具备三级审签模式下不同职称医生的权限分配功能，可设置每种阅改流程中不同职称医生的权限。</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具备审签通过和审签退回功能，支持查看审签记录。</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具备审签任务提醒功能，可通过消息、任务等对上级医生进行提醒。</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住院病历个人设置</w:t>
            </w:r>
          </w:p>
          <w:p>
            <w:pPr>
              <w:pStyle w:val="133"/>
              <w:spacing w:line="288" w:lineRule="auto"/>
              <w:rPr>
                <w:rFonts w:ascii="Arial" w:hAnsi="Arial" w:cs="Arial"/>
                <w:szCs w:val="21"/>
                <w:highlight w:val="none"/>
              </w:rPr>
            </w:pPr>
            <w:r>
              <w:rPr>
                <w:rFonts w:ascii="Arial" w:hAnsi="Arial" w:cs="Arial"/>
                <w:szCs w:val="21"/>
                <w:highlight w:val="none"/>
              </w:rPr>
              <w:t>具备住院病历个性化设置功能，医生可按自己关注点及喜好设置书写助手功能区的展示方式。</w:t>
            </w:r>
          </w:p>
          <w:p>
            <w:pPr>
              <w:pStyle w:val="133"/>
              <w:spacing w:line="288" w:lineRule="auto"/>
              <w:rPr>
                <w:rFonts w:ascii="Arial" w:hAnsi="Arial" w:cs="Arial"/>
                <w:szCs w:val="21"/>
                <w:highlight w:val="none"/>
              </w:rPr>
            </w:pPr>
            <w:r>
              <w:rPr>
                <w:rFonts w:ascii="Arial" w:hAnsi="Arial" w:cs="Arial"/>
                <w:szCs w:val="21"/>
                <w:highlight w:val="none"/>
              </w:rPr>
              <w:t>具备设置既往病历、短语引用、检查报告、检验报告等的展示样式、展示方式及默认值功能。</w:t>
            </w:r>
          </w:p>
          <w:p>
            <w:pPr>
              <w:pStyle w:val="133"/>
              <w:spacing w:line="288" w:lineRule="auto"/>
              <w:rPr>
                <w:rFonts w:ascii="Arial" w:hAnsi="Arial" w:cs="Arial"/>
                <w:b/>
                <w:bCs/>
                <w:szCs w:val="21"/>
                <w:highlight w:val="none"/>
              </w:rPr>
            </w:pPr>
            <w:r>
              <w:rPr>
                <w:rFonts w:hint="eastAsia" w:ascii="Arial" w:hAnsi="Arial" w:cs="Arial"/>
                <w:b/>
                <w:bCs/>
                <w:szCs w:val="21"/>
                <w:highlight w:val="none"/>
              </w:rPr>
              <w:t>▲</w:t>
            </w:r>
            <w:r>
              <w:rPr>
                <w:rFonts w:ascii="Arial" w:hAnsi="Arial" w:cs="Arial"/>
                <w:b/>
                <w:bCs/>
                <w:szCs w:val="21"/>
                <w:highlight w:val="none"/>
              </w:rPr>
              <w:t>具备将病历簿展示方式按个人偏好设置的功能，可按病历薄展示、按时间轴模式展示。</w:t>
            </w:r>
          </w:p>
          <w:p>
            <w:pPr>
              <w:pStyle w:val="133"/>
              <w:spacing w:line="288" w:lineRule="auto"/>
              <w:rPr>
                <w:rFonts w:ascii="Arial" w:hAnsi="Arial" w:cs="Arial"/>
                <w:szCs w:val="21"/>
                <w:highlight w:val="none"/>
              </w:rPr>
            </w:pPr>
            <w:r>
              <w:rPr>
                <w:rFonts w:ascii="Arial" w:hAnsi="Arial" w:cs="Arial"/>
                <w:szCs w:val="21"/>
                <w:highlight w:val="none"/>
              </w:rPr>
              <w:t>具备设置病历病程是按单病程书写还是多病程连续书写功能。</w:t>
            </w:r>
          </w:p>
          <w:p>
            <w:pPr>
              <w:pStyle w:val="133"/>
              <w:spacing w:line="288" w:lineRule="auto"/>
              <w:rPr>
                <w:rFonts w:ascii="Arial" w:hAnsi="Arial" w:cs="Arial"/>
                <w:szCs w:val="21"/>
                <w:highlight w:val="none"/>
              </w:rPr>
            </w:pPr>
            <w:r>
              <w:rPr>
                <w:rFonts w:ascii="Arial" w:hAnsi="Arial" w:cs="Arial"/>
                <w:szCs w:val="21"/>
                <w:highlight w:val="none"/>
              </w:rPr>
              <w:t>具备个性化设置新增病历界面功能，可设置默认显示模式、新增方式。</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表格式病历管理</w:t>
            </w:r>
          </w:p>
          <w:p>
            <w:pPr>
              <w:pStyle w:val="133"/>
              <w:spacing w:line="288" w:lineRule="auto"/>
              <w:jc w:val="left"/>
              <w:rPr>
                <w:rFonts w:ascii="Arial" w:hAnsi="Arial" w:cs="Arial"/>
                <w:szCs w:val="21"/>
                <w:highlight w:val="none"/>
              </w:rPr>
            </w:pPr>
            <w:r>
              <w:rPr>
                <w:rFonts w:ascii="Arial" w:hAnsi="Arial" w:cs="Arial"/>
                <w:szCs w:val="21"/>
                <w:highlight w:val="none"/>
              </w:rPr>
              <w:t>具备病历全表格化管理功能。</w:t>
            </w:r>
          </w:p>
          <w:p>
            <w:pPr>
              <w:pStyle w:val="133"/>
              <w:spacing w:line="288" w:lineRule="auto"/>
              <w:jc w:val="left"/>
              <w:rPr>
                <w:rFonts w:ascii="Arial" w:hAnsi="Arial" w:cs="Arial"/>
                <w:szCs w:val="21"/>
                <w:highlight w:val="none"/>
              </w:rPr>
            </w:pPr>
            <w:r>
              <w:rPr>
                <w:rFonts w:ascii="Arial" w:hAnsi="Arial" w:cs="Arial"/>
                <w:szCs w:val="21"/>
                <w:highlight w:val="none"/>
              </w:rPr>
              <w:t>具备对指定的病历设置编辑、打印样式中的网格线功能。</w:t>
            </w:r>
          </w:p>
          <w:p>
            <w:pPr>
              <w:pStyle w:val="133"/>
              <w:spacing w:line="288" w:lineRule="auto"/>
              <w:jc w:val="left"/>
              <w:rPr>
                <w:rFonts w:ascii="Arial" w:hAnsi="Arial" w:cs="Arial"/>
                <w:szCs w:val="21"/>
                <w:highlight w:val="none"/>
              </w:rPr>
            </w:pPr>
            <w:r>
              <w:rPr>
                <w:rFonts w:ascii="Arial" w:hAnsi="Arial" w:cs="Arial"/>
                <w:szCs w:val="21"/>
                <w:highlight w:val="none"/>
              </w:rPr>
              <w:t>具备根据每页的行数自动调节行间距功能。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住院病历书写提醒</w:t>
            </w:r>
          </w:p>
          <w:p>
            <w:pPr>
              <w:pStyle w:val="133"/>
              <w:spacing w:line="288" w:lineRule="auto"/>
              <w:jc w:val="left"/>
              <w:rPr>
                <w:rFonts w:ascii="Arial" w:hAnsi="Arial" w:cs="Arial"/>
                <w:szCs w:val="21"/>
                <w:highlight w:val="none"/>
              </w:rPr>
            </w:pPr>
            <w:r>
              <w:rPr>
                <w:rFonts w:ascii="Arial" w:hAnsi="Arial" w:cs="Arial"/>
                <w:szCs w:val="21"/>
                <w:highlight w:val="none"/>
              </w:rPr>
              <w:t>具备病历待书写提醒功能，根据住院过程中患者的诊疗场景和临床事件触发病历书写任务，并提醒医生在规定时间内完成。</w:t>
            </w:r>
          </w:p>
          <w:p>
            <w:pPr>
              <w:pStyle w:val="133"/>
              <w:spacing w:line="288" w:lineRule="auto"/>
              <w:jc w:val="left"/>
              <w:rPr>
                <w:rFonts w:ascii="Arial" w:hAnsi="Arial" w:cs="Arial"/>
                <w:szCs w:val="21"/>
                <w:highlight w:val="none"/>
              </w:rPr>
            </w:pPr>
            <w:r>
              <w:rPr>
                <w:rFonts w:ascii="Arial" w:hAnsi="Arial" w:cs="Arial"/>
                <w:szCs w:val="21"/>
                <w:highlight w:val="none"/>
              </w:rPr>
              <w:t>具备根据诊疗时间触发场景的配置功能，覆盖入区、转科、出院等住院全程。</w:t>
            </w:r>
          </w:p>
          <w:p>
            <w:pPr>
              <w:pStyle w:val="133"/>
              <w:spacing w:line="288" w:lineRule="auto"/>
              <w:jc w:val="left"/>
              <w:rPr>
                <w:rFonts w:ascii="Arial" w:hAnsi="Arial" w:cs="Arial"/>
                <w:szCs w:val="21"/>
                <w:highlight w:val="none"/>
              </w:rPr>
            </w:pPr>
            <w:r>
              <w:rPr>
                <w:rFonts w:ascii="Arial" w:hAnsi="Arial" w:cs="Arial"/>
                <w:szCs w:val="21"/>
                <w:highlight w:val="none"/>
              </w:rPr>
              <w:t>具备根据临床事件触发时限规则功能，包括：病危病重医嘱、手术医嘱、抢救医嘱关联等。</w:t>
            </w:r>
          </w:p>
          <w:p>
            <w:pPr>
              <w:pStyle w:val="133"/>
              <w:spacing w:line="288" w:lineRule="auto"/>
              <w:jc w:val="left"/>
              <w:rPr>
                <w:rFonts w:ascii="Arial" w:hAnsi="Arial" w:cs="Arial"/>
                <w:szCs w:val="21"/>
                <w:highlight w:val="none"/>
              </w:rPr>
            </w:pPr>
            <w:r>
              <w:rPr>
                <w:rFonts w:ascii="Arial" w:hAnsi="Arial" w:cs="Arial"/>
                <w:szCs w:val="21"/>
                <w:highlight w:val="none"/>
              </w:rPr>
              <w:t>具备在文书总览中展示7天内、14天病历书写情况及待书写情况提醒功能，支持快捷生成病历。</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住院病历封存管理</w:t>
            </w:r>
          </w:p>
          <w:p>
            <w:pPr>
              <w:pStyle w:val="133"/>
              <w:spacing w:line="288" w:lineRule="auto"/>
              <w:jc w:val="left"/>
              <w:rPr>
                <w:rFonts w:ascii="Arial" w:hAnsi="Arial" w:cs="Arial"/>
                <w:szCs w:val="21"/>
                <w:highlight w:val="none"/>
              </w:rPr>
            </w:pPr>
            <w:r>
              <w:rPr>
                <w:rFonts w:ascii="Arial" w:hAnsi="Arial" w:cs="Arial"/>
                <w:szCs w:val="21"/>
                <w:highlight w:val="none"/>
              </w:rPr>
              <w:t>具备运行病历封存功能，可按患者基本信息、就诊信息及责任医生进行联合查询，支持查看当前患者的病历信息并进行封存。</w:t>
            </w:r>
          </w:p>
          <w:p>
            <w:pPr>
              <w:pStyle w:val="133"/>
              <w:spacing w:line="288" w:lineRule="auto"/>
              <w:jc w:val="left"/>
              <w:rPr>
                <w:rFonts w:ascii="Arial" w:hAnsi="Arial" w:cs="Arial"/>
                <w:szCs w:val="21"/>
                <w:highlight w:val="none"/>
              </w:rPr>
            </w:pPr>
            <w:r>
              <w:rPr>
                <w:rFonts w:ascii="Arial" w:hAnsi="Arial" w:cs="Arial"/>
                <w:szCs w:val="21"/>
                <w:highlight w:val="none"/>
              </w:rPr>
              <w:t>具备查询封存记录功能，可按患者基本信息、就诊信息及责任医生进行查询，支持查看历史记录。</w:t>
            </w:r>
          </w:p>
          <w:p>
            <w:pPr>
              <w:pStyle w:val="133"/>
              <w:spacing w:line="288" w:lineRule="auto"/>
              <w:jc w:val="left"/>
              <w:rPr>
                <w:rFonts w:ascii="Arial" w:hAnsi="Arial" w:cs="Arial"/>
                <w:szCs w:val="21"/>
                <w:highlight w:val="none"/>
              </w:rPr>
            </w:pPr>
            <w:r>
              <w:rPr>
                <w:rFonts w:ascii="Arial" w:hAnsi="Arial" w:cs="Arial"/>
                <w:szCs w:val="21"/>
                <w:highlight w:val="none"/>
              </w:rPr>
              <w:t>具备病历解封功能，对于已封存的病历进行人工操作解封，并记录操作信息。</w:t>
            </w:r>
          </w:p>
          <w:p>
            <w:pPr>
              <w:pStyle w:val="133"/>
              <w:spacing w:line="288" w:lineRule="auto"/>
              <w:jc w:val="left"/>
              <w:rPr>
                <w:rFonts w:ascii="Arial" w:hAnsi="Arial" w:cs="Arial"/>
                <w:szCs w:val="21"/>
                <w:highlight w:val="none"/>
              </w:rPr>
            </w:pPr>
            <w:r>
              <w:rPr>
                <w:rFonts w:ascii="Arial" w:hAnsi="Arial" w:cs="Arial"/>
                <w:szCs w:val="21"/>
                <w:highlight w:val="none"/>
              </w:rPr>
              <w:t>具备病历再封存功能，封存记录查询中可查看封存状态，可对已解封病历再次封存。</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住院病历归档管理</w:t>
            </w:r>
          </w:p>
          <w:p>
            <w:pPr>
              <w:pStyle w:val="133"/>
              <w:spacing w:line="288" w:lineRule="auto"/>
              <w:jc w:val="left"/>
              <w:rPr>
                <w:rFonts w:ascii="Arial" w:hAnsi="Arial" w:cs="Arial"/>
                <w:szCs w:val="21"/>
                <w:highlight w:val="none"/>
              </w:rPr>
            </w:pPr>
            <w:r>
              <w:rPr>
                <w:rFonts w:ascii="Arial" w:hAnsi="Arial" w:cs="Arial"/>
                <w:szCs w:val="21"/>
                <w:highlight w:val="none"/>
              </w:rPr>
              <w:t>具备住院病历自动归档和手动归档功能。</w:t>
            </w:r>
          </w:p>
          <w:p>
            <w:pPr>
              <w:pStyle w:val="133"/>
              <w:spacing w:line="288" w:lineRule="auto"/>
              <w:jc w:val="left"/>
              <w:rPr>
                <w:rFonts w:ascii="Arial" w:hAnsi="Arial" w:cs="Arial"/>
                <w:szCs w:val="21"/>
                <w:highlight w:val="none"/>
              </w:rPr>
            </w:pPr>
            <w:r>
              <w:rPr>
                <w:rFonts w:ascii="Arial" w:hAnsi="Arial" w:cs="Arial"/>
                <w:szCs w:val="21"/>
                <w:highlight w:val="none"/>
              </w:rPr>
              <w:t>具备病历自动归档设置功能，配置首次归档时限、召回后再次归档时限、死亡等特殊患者归档时限，支持跳过节假日。</w:t>
            </w:r>
          </w:p>
          <w:p>
            <w:pPr>
              <w:pStyle w:val="133"/>
              <w:spacing w:line="288" w:lineRule="auto"/>
              <w:jc w:val="left"/>
              <w:rPr>
                <w:rFonts w:ascii="Arial" w:hAnsi="Arial" w:cs="Arial"/>
                <w:szCs w:val="21"/>
                <w:highlight w:val="none"/>
              </w:rPr>
            </w:pPr>
            <w:r>
              <w:rPr>
                <w:rFonts w:ascii="Arial" w:hAnsi="Arial" w:cs="Arial"/>
                <w:szCs w:val="21"/>
                <w:highlight w:val="none"/>
              </w:rPr>
              <w:t>具备归档查询功能，可按患者基本信息、就诊信息及归档状态进行查询统计。</w:t>
            </w:r>
          </w:p>
          <w:p>
            <w:pPr>
              <w:pStyle w:val="133"/>
              <w:spacing w:line="288" w:lineRule="auto"/>
              <w:jc w:val="left"/>
              <w:rPr>
                <w:rFonts w:ascii="Arial" w:hAnsi="Arial" w:cs="Arial"/>
                <w:szCs w:val="21"/>
                <w:highlight w:val="none"/>
              </w:rPr>
            </w:pPr>
            <w:r>
              <w:rPr>
                <w:rFonts w:ascii="Arial" w:hAnsi="Arial" w:cs="Arial"/>
                <w:szCs w:val="21"/>
                <w:highlight w:val="none"/>
              </w:rPr>
              <w:t>具备归档统计功能，可按科室统计手动归档率、自动归档率、召回归档率。</w:t>
            </w:r>
          </w:p>
          <w:p>
            <w:pPr>
              <w:pStyle w:val="133"/>
              <w:spacing w:line="288" w:lineRule="auto"/>
              <w:jc w:val="left"/>
              <w:rPr>
                <w:rFonts w:ascii="Arial" w:hAnsi="Arial" w:cs="Arial"/>
                <w:szCs w:val="21"/>
                <w:highlight w:val="none"/>
              </w:rPr>
            </w:pPr>
            <w:r>
              <w:rPr>
                <w:rFonts w:ascii="Arial" w:hAnsi="Arial" w:cs="Arial"/>
                <w:szCs w:val="21"/>
                <w:highlight w:val="none"/>
              </w:rPr>
              <w:t>具备对已归档病历召回申请功能，可按患者基本信息、就诊信息及患者状态查询并在线申请归档召回。</w:t>
            </w:r>
          </w:p>
          <w:p>
            <w:pPr>
              <w:pStyle w:val="133"/>
              <w:spacing w:line="288" w:lineRule="auto"/>
              <w:jc w:val="left"/>
              <w:rPr>
                <w:rFonts w:ascii="Arial" w:hAnsi="Arial" w:cs="Arial"/>
                <w:szCs w:val="21"/>
                <w:highlight w:val="none"/>
              </w:rPr>
            </w:pPr>
            <w:r>
              <w:rPr>
                <w:rFonts w:ascii="Arial" w:hAnsi="Arial" w:cs="Arial"/>
                <w:szCs w:val="21"/>
                <w:highlight w:val="none"/>
              </w:rPr>
              <w:t>具备病历召回情况查询功能，可查看申请原因、当前流程步骤等信息，支持查看我的申请。</w:t>
            </w:r>
          </w:p>
          <w:p>
            <w:pPr>
              <w:pStyle w:val="133"/>
              <w:spacing w:line="288" w:lineRule="auto"/>
              <w:jc w:val="left"/>
              <w:rPr>
                <w:rFonts w:ascii="Arial" w:hAnsi="Arial" w:cs="Arial"/>
                <w:szCs w:val="21"/>
                <w:highlight w:val="none"/>
              </w:rPr>
            </w:pPr>
            <w:r>
              <w:rPr>
                <w:rFonts w:ascii="Arial" w:hAnsi="Arial" w:cs="Arial"/>
                <w:szCs w:val="21"/>
                <w:highlight w:val="none"/>
              </w:rPr>
              <w:t>具备召回审核功能，可对申请召回的已归档病历进行在线审核，支持查看待我审核的和我参与审核的招回申请。</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住院病案借阅管理</w:t>
            </w:r>
          </w:p>
          <w:p>
            <w:pPr>
              <w:pStyle w:val="133"/>
              <w:spacing w:line="288" w:lineRule="auto"/>
              <w:jc w:val="left"/>
              <w:rPr>
                <w:rFonts w:ascii="Arial" w:hAnsi="Arial" w:cs="Arial"/>
                <w:szCs w:val="21"/>
                <w:highlight w:val="none"/>
              </w:rPr>
            </w:pPr>
            <w:r>
              <w:rPr>
                <w:rFonts w:ascii="Arial" w:hAnsi="Arial" w:cs="Arial"/>
                <w:szCs w:val="21"/>
                <w:highlight w:val="none"/>
              </w:rPr>
              <w:t>具备住院病案借阅申请功能，可按患者基本信息、就诊信息查询并发起借阅申请。</w:t>
            </w:r>
          </w:p>
          <w:p>
            <w:pPr>
              <w:pStyle w:val="133"/>
              <w:spacing w:line="288" w:lineRule="auto"/>
              <w:jc w:val="left"/>
              <w:rPr>
                <w:rFonts w:ascii="Arial" w:hAnsi="Arial" w:cs="Arial"/>
                <w:szCs w:val="21"/>
                <w:highlight w:val="none"/>
              </w:rPr>
            </w:pPr>
            <w:r>
              <w:rPr>
                <w:rFonts w:ascii="Arial" w:hAnsi="Arial" w:cs="Arial"/>
                <w:szCs w:val="21"/>
                <w:highlight w:val="none"/>
              </w:rPr>
              <w:t>具备查询我的申请功能，可对我的申请进行撤销申请及流程查看。</w:t>
            </w:r>
          </w:p>
          <w:p>
            <w:pPr>
              <w:pStyle w:val="133"/>
              <w:spacing w:line="288" w:lineRule="auto"/>
              <w:jc w:val="left"/>
              <w:rPr>
                <w:rFonts w:ascii="Arial" w:hAnsi="Arial" w:cs="Arial"/>
                <w:szCs w:val="21"/>
                <w:highlight w:val="none"/>
              </w:rPr>
            </w:pPr>
            <w:r>
              <w:rPr>
                <w:rFonts w:ascii="Arial" w:hAnsi="Arial" w:cs="Arial"/>
                <w:szCs w:val="21"/>
                <w:highlight w:val="none"/>
              </w:rPr>
              <w:t>具备在线借阅审核功能，可查看待我审核的和我参与审核。</w:t>
            </w:r>
          </w:p>
          <w:p>
            <w:pPr>
              <w:pStyle w:val="133"/>
              <w:spacing w:line="288" w:lineRule="auto"/>
              <w:jc w:val="left"/>
              <w:rPr>
                <w:rFonts w:ascii="Arial" w:hAnsi="Arial" w:cs="Arial"/>
                <w:szCs w:val="21"/>
                <w:highlight w:val="none"/>
              </w:rPr>
            </w:pPr>
            <w:r>
              <w:rPr>
                <w:rFonts w:ascii="Arial" w:hAnsi="Arial" w:cs="Arial"/>
                <w:szCs w:val="21"/>
                <w:highlight w:val="none"/>
              </w:rPr>
              <w:t>具备借阅病历过期后自动归还功能。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住院病历书写助手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具备通过智能标签集成展示当前患者诊疗信息功能，展示最近搜索的关键词，支持按关键词快捷查找，支持展示最近病历操作情况，支持快捷写入到病历中。</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具备分类检索当前患者诊疗信息功能，支持查看检验报告、检查报告、住院医嘱、护理信息及病历文书信息。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具备查看患者本次以及历史病历功能，并支持引用既往病历数据。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具备查看患者医嘱信息功能，支持表格和卡片两种展现方式，支持按医嘱类型分别展示，并支持多选医嘱数据插入到病历中。</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具备查看患者本次就诊过敏信息功能，并支持多选过敏信息后写入到病历中。</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具备查看患者本次就诊诊断信息功能，并支持引用诊断数据。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具备查看患者本次以及既往门诊、住院就诊医技报告功能，支持表格和卡片两种展现方式，并支持引用检查检验结果数据。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具备医学计算公式及计算结果引用功能。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具备医学常用特殊字符引用功能，支持自定义配置特殊字符。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具备医学常用图片引用功能，并支持对图片进行标注。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具备常用短语收藏及引用功能，并支持对短语进行编辑、共享等操作。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具备智能提醒集成展示功能，支持展示病历内容校验不符合项、病历质控校验不符合项及质控记录项。</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住院病历模板管理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具备病历模板管理功能，提供符合卫生部、省市标准规范的病历模板。</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具备病历模板目录自定义配置功能。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具备模板目录标准分类管理功能。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具备模版云端维护并发布功能。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具备病历模板维护功能，支持依据医院需求对病历模板进行修改。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具备病历模板的批量修改功能。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具备科室模版管理功能，科室模版管理员维护模版，经院级审核后发布使用。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具备个人模版的创建、维护、共享到科室功能。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标准病案首页书写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具备临床病案首页录入功能，提供卫健委中西医标准病案首页模板。</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具备基本信息数据自动采集功能。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具备病案首页数据填写规则事中提醒功能。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具备病案首页自动获取患者基本信息、临床信息功能。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具备病案首页所见即所得打印功能。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具备病案首页必填项、关联性数据校验功能。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提供符合HQMS、绩效考核、质控规则要求校验的病案首页数据。</w:t>
            </w:r>
          </w:p>
          <w:p>
            <w:pPr>
              <w:pStyle w:val="4"/>
              <w:numPr>
                <w:ilvl w:val="2"/>
                <w:numId w:val="3"/>
              </w:numPr>
              <w:spacing w:before="0" w:after="0" w:line="288" w:lineRule="auto"/>
              <w:rPr>
                <w:rFonts w:ascii="Arial" w:hAnsi="Arial" w:cs="Arial"/>
                <w:color w:val="000000"/>
                <w:sz w:val="21"/>
                <w:szCs w:val="21"/>
                <w:highlight w:val="none"/>
              </w:rPr>
            </w:pPr>
            <w:r>
              <w:rPr>
                <w:rFonts w:ascii="Arial" w:hAnsi="Arial" w:cs="Arial"/>
                <w:color w:val="000000"/>
                <w:sz w:val="21"/>
                <w:szCs w:val="21"/>
                <w:highlight w:val="none"/>
                <w:shd w:val="clear" w:color="auto" w:fill="FFFFFF"/>
              </w:rPr>
              <w:t>住院病历授权管理</w:t>
            </w:r>
          </w:p>
          <w:p>
            <w:pPr>
              <w:pStyle w:val="133"/>
              <w:spacing w:line="288" w:lineRule="auto"/>
              <w:rPr>
                <w:rFonts w:ascii="Arial" w:hAnsi="Arial" w:cs="Arial"/>
                <w:szCs w:val="21"/>
                <w:highlight w:val="none"/>
              </w:rPr>
            </w:pPr>
            <w:r>
              <w:rPr>
                <w:rFonts w:ascii="Arial" w:hAnsi="Arial" w:cs="Arial"/>
                <w:szCs w:val="21"/>
                <w:highlight w:val="none"/>
              </w:rPr>
              <w:t>具备住院病历授权功能，可按科室、按病区或按医生授权病历查看权限、病历编辑权限。</w:t>
            </w:r>
          </w:p>
          <w:p>
            <w:pPr>
              <w:pStyle w:val="133"/>
              <w:spacing w:line="288" w:lineRule="auto"/>
              <w:rPr>
                <w:rFonts w:ascii="Arial" w:hAnsi="Arial" w:cs="Arial"/>
                <w:szCs w:val="21"/>
                <w:highlight w:val="none"/>
              </w:rPr>
            </w:pPr>
            <w:r>
              <w:rPr>
                <w:rFonts w:ascii="Arial" w:hAnsi="Arial" w:cs="Arial"/>
                <w:szCs w:val="21"/>
                <w:highlight w:val="none"/>
              </w:rPr>
              <w:t>具备住院病历授权时选择全部病历、指定病历查看、编辑的功能。</w:t>
            </w:r>
          </w:p>
          <w:p>
            <w:pPr>
              <w:pStyle w:val="133"/>
              <w:spacing w:line="288" w:lineRule="auto"/>
              <w:rPr>
                <w:rFonts w:ascii="Arial" w:hAnsi="Arial" w:cs="Arial"/>
                <w:szCs w:val="21"/>
                <w:highlight w:val="none"/>
              </w:rPr>
            </w:pPr>
            <w:r>
              <w:rPr>
                <w:rFonts w:ascii="Arial" w:hAnsi="Arial" w:cs="Arial"/>
                <w:szCs w:val="21"/>
                <w:highlight w:val="none"/>
              </w:rPr>
              <w:t>具备自定义设置授权有效期功能。</w:t>
            </w:r>
          </w:p>
          <w:p>
            <w:pPr>
              <w:pStyle w:val="133"/>
              <w:spacing w:line="288" w:lineRule="auto"/>
              <w:rPr>
                <w:rFonts w:ascii="Arial" w:hAnsi="Arial" w:cs="Arial"/>
                <w:szCs w:val="21"/>
                <w:highlight w:val="none"/>
              </w:rPr>
            </w:pPr>
            <w:r>
              <w:rPr>
                <w:rFonts w:ascii="Arial" w:hAnsi="Arial" w:cs="Arial"/>
                <w:szCs w:val="21"/>
                <w:highlight w:val="none"/>
              </w:rPr>
              <w:t>具备病人转科后自动授权查看权限、病历编辑权限。</w:t>
            </w:r>
          </w:p>
          <w:p>
            <w:pPr>
              <w:pStyle w:val="133"/>
              <w:spacing w:line="288" w:lineRule="auto"/>
              <w:rPr>
                <w:rFonts w:ascii="Arial" w:hAnsi="Arial" w:cs="Arial"/>
                <w:szCs w:val="21"/>
                <w:highlight w:val="none"/>
              </w:rPr>
            </w:pPr>
            <w:r>
              <w:rPr>
                <w:rFonts w:ascii="Arial" w:hAnsi="Arial" w:cs="Arial"/>
                <w:szCs w:val="21"/>
                <w:highlight w:val="none"/>
              </w:rPr>
              <w:t>具备配置会诊病历授权功能，支持设置自动授权的病历范围、操作类型和授权期限。</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住院病历数据查询</w:t>
            </w:r>
          </w:p>
          <w:p>
            <w:pPr>
              <w:pStyle w:val="5"/>
              <w:numPr>
                <w:ilvl w:val="3"/>
                <w:numId w:val="3"/>
              </w:numPr>
              <w:spacing w:before="0" w:after="0" w:line="288" w:lineRule="auto"/>
              <w:jc w:val="left"/>
              <w:rPr>
                <w:rFonts w:eastAsia="宋体" w:cs="Arial"/>
                <w:sz w:val="21"/>
                <w:szCs w:val="21"/>
                <w:highlight w:val="none"/>
              </w:rPr>
            </w:pPr>
            <w:r>
              <w:rPr>
                <w:rFonts w:eastAsia="宋体" w:cs="Arial"/>
                <w:color w:val="000000"/>
                <w:sz w:val="21"/>
                <w:szCs w:val="21"/>
                <w:highlight w:val="none"/>
              </w:rPr>
              <w:t>病历基础查询</w:t>
            </w:r>
          </w:p>
          <w:p>
            <w:pPr>
              <w:pStyle w:val="133"/>
              <w:spacing w:line="288" w:lineRule="auto"/>
              <w:jc w:val="left"/>
              <w:rPr>
                <w:rFonts w:ascii="Arial" w:hAnsi="Arial" w:cs="Arial"/>
                <w:szCs w:val="21"/>
                <w:highlight w:val="none"/>
              </w:rPr>
            </w:pPr>
            <w:r>
              <w:rPr>
                <w:rFonts w:ascii="Arial" w:hAnsi="Arial" w:cs="Arial"/>
                <w:szCs w:val="21"/>
                <w:highlight w:val="none"/>
              </w:rPr>
              <w:t>具备住院病历查询功能，包括按患者基本信息、就诊信息、文书信息等联合查询。</w:t>
            </w:r>
          </w:p>
          <w:p>
            <w:pPr>
              <w:pStyle w:val="133"/>
              <w:spacing w:line="288" w:lineRule="auto"/>
              <w:jc w:val="left"/>
              <w:rPr>
                <w:rFonts w:ascii="Arial" w:hAnsi="Arial" w:cs="Arial"/>
                <w:szCs w:val="21"/>
                <w:highlight w:val="none"/>
              </w:rPr>
            </w:pPr>
            <w:r>
              <w:rPr>
                <w:rFonts w:ascii="Arial" w:hAnsi="Arial" w:cs="Arial"/>
                <w:szCs w:val="21"/>
                <w:highlight w:val="none"/>
              </w:rPr>
              <w:t>具备按角色权限分配菜单进行科室、全院病历查询功能。</w:t>
            </w:r>
          </w:p>
          <w:p>
            <w:pPr>
              <w:pStyle w:val="133"/>
              <w:spacing w:line="288" w:lineRule="auto"/>
              <w:jc w:val="left"/>
              <w:rPr>
                <w:rFonts w:ascii="Arial" w:hAnsi="Arial" w:cs="Arial"/>
                <w:szCs w:val="21"/>
                <w:highlight w:val="none"/>
              </w:rPr>
            </w:pPr>
            <w:r>
              <w:rPr>
                <w:rFonts w:ascii="Arial" w:hAnsi="Arial" w:cs="Arial"/>
                <w:szCs w:val="21"/>
                <w:highlight w:val="none"/>
              </w:rPr>
              <w:t>具备按需求编辑查询条件功能。</w:t>
            </w:r>
          </w:p>
          <w:p>
            <w:pPr>
              <w:pStyle w:val="133"/>
              <w:spacing w:line="288" w:lineRule="auto"/>
              <w:jc w:val="left"/>
              <w:rPr>
                <w:rFonts w:ascii="Arial" w:hAnsi="Arial" w:cs="Arial"/>
                <w:szCs w:val="21"/>
                <w:highlight w:val="none"/>
              </w:rPr>
            </w:pPr>
            <w:r>
              <w:rPr>
                <w:rFonts w:ascii="Arial" w:hAnsi="Arial" w:cs="Arial"/>
                <w:szCs w:val="21"/>
                <w:highlight w:val="none"/>
              </w:rPr>
              <w:t>具备将查询结果可视化展示功能，直观展示科室分布情况。</w:t>
            </w:r>
          </w:p>
          <w:p>
            <w:pPr>
              <w:pStyle w:val="133"/>
              <w:spacing w:line="288" w:lineRule="auto"/>
              <w:jc w:val="left"/>
              <w:rPr>
                <w:rFonts w:ascii="Arial" w:hAnsi="Arial" w:cs="Arial"/>
                <w:szCs w:val="21"/>
                <w:highlight w:val="none"/>
              </w:rPr>
            </w:pPr>
            <w:r>
              <w:rPr>
                <w:rFonts w:ascii="Arial" w:hAnsi="Arial" w:cs="Arial"/>
                <w:szCs w:val="21"/>
                <w:highlight w:val="none"/>
              </w:rPr>
              <w:t>具备将查询结果导出Excel功能。</w:t>
            </w:r>
          </w:p>
          <w:p>
            <w:pPr>
              <w:pStyle w:val="133"/>
              <w:spacing w:line="288" w:lineRule="auto"/>
              <w:jc w:val="left"/>
              <w:rPr>
                <w:rFonts w:ascii="Arial" w:hAnsi="Arial" w:cs="Arial"/>
                <w:szCs w:val="21"/>
                <w:highlight w:val="none"/>
              </w:rPr>
            </w:pPr>
            <w:r>
              <w:rPr>
                <w:rFonts w:ascii="Arial" w:hAnsi="Arial" w:cs="Arial"/>
                <w:szCs w:val="21"/>
                <w:highlight w:val="none"/>
              </w:rPr>
              <w:t>具备查询结果列自定义设置及排序功能。</w:t>
            </w:r>
          </w:p>
          <w:p>
            <w:pPr>
              <w:pStyle w:val="133"/>
              <w:spacing w:line="288" w:lineRule="auto"/>
              <w:jc w:val="left"/>
              <w:rPr>
                <w:rFonts w:ascii="Arial" w:hAnsi="Arial" w:cs="Arial"/>
                <w:szCs w:val="21"/>
                <w:highlight w:val="none"/>
              </w:rPr>
            </w:pPr>
            <w:r>
              <w:rPr>
                <w:rFonts w:ascii="Arial" w:hAnsi="Arial" w:cs="Arial"/>
                <w:szCs w:val="21"/>
                <w:highlight w:val="none"/>
              </w:rPr>
              <w:t>具备在查询结果中快速查看患者病历的功能。</w:t>
            </w:r>
          </w:p>
          <w:p>
            <w:pPr>
              <w:pStyle w:val="133"/>
              <w:spacing w:line="288" w:lineRule="auto"/>
              <w:jc w:val="left"/>
              <w:rPr>
                <w:rFonts w:ascii="Arial" w:hAnsi="Arial" w:cs="Arial"/>
                <w:szCs w:val="21"/>
                <w:highlight w:val="none"/>
              </w:rPr>
            </w:pPr>
            <w:r>
              <w:rPr>
                <w:rFonts w:ascii="Arial" w:hAnsi="Arial" w:cs="Arial"/>
                <w:szCs w:val="21"/>
                <w:highlight w:val="none"/>
              </w:rPr>
              <w:t>具备按病历模版分类及按文书名称查询功能。</w:t>
            </w:r>
          </w:p>
          <w:p>
            <w:pPr>
              <w:pStyle w:val="133"/>
              <w:spacing w:line="288" w:lineRule="auto"/>
              <w:jc w:val="left"/>
              <w:rPr>
                <w:rFonts w:ascii="Arial" w:hAnsi="Arial" w:cs="Arial"/>
                <w:szCs w:val="21"/>
                <w:highlight w:val="none"/>
              </w:rPr>
            </w:pPr>
            <w:r>
              <w:rPr>
                <w:rFonts w:ascii="Arial" w:hAnsi="Arial" w:cs="Arial"/>
                <w:szCs w:val="21"/>
                <w:highlight w:val="none"/>
              </w:rPr>
              <w:t>具备多院区查询住院病历功能，支持查看全部院区及单个院区的住院病历。</w:t>
            </w:r>
          </w:p>
          <w:p>
            <w:pPr>
              <w:pStyle w:val="133"/>
              <w:spacing w:line="288" w:lineRule="auto"/>
              <w:jc w:val="left"/>
              <w:rPr>
                <w:rFonts w:ascii="Arial" w:hAnsi="Arial" w:cs="Arial"/>
                <w:szCs w:val="21"/>
                <w:highlight w:val="none"/>
              </w:rPr>
            </w:pPr>
            <w:r>
              <w:rPr>
                <w:rFonts w:ascii="Arial" w:hAnsi="Arial" w:cs="Arial"/>
                <w:szCs w:val="21"/>
                <w:highlight w:val="none"/>
              </w:rPr>
              <w:t>具备病历日志查询功能，可按患者信息、就诊信息、操作类型、操作人、病历文书联合查询，支持一键重置查询条件。</w:t>
            </w:r>
          </w:p>
          <w:p>
            <w:pPr>
              <w:pStyle w:val="133"/>
              <w:spacing w:line="288" w:lineRule="auto"/>
              <w:jc w:val="left"/>
              <w:rPr>
                <w:rFonts w:ascii="Arial" w:hAnsi="Arial" w:cs="Arial"/>
                <w:szCs w:val="21"/>
                <w:highlight w:val="none"/>
              </w:rPr>
            </w:pPr>
            <w:r>
              <w:rPr>
                <w:rFonts w:ascii="Arial" w:hAnsi="Arial" w:cs="Arial"/>
                <w:szCs w:val="21"/>
                <w:highlight w:val="none"/>
              </w:rPr>
              <w:t>具备查询病历新建、暂存、修改、删除、提交、打印、查看的记录功能。</w:t>
            </w:r>
          </w:p>
          <w:p>
            <w:pPr>
              <w:pStyle w:val="133"/>
              <w:spacing w:line="288" w:lineRule="auto"/>
              <w:jc w:val="left"/>
              <w:rPr>
                <w:rFonts w:ascii="Arial" w:hAnsi="Arial" w:cs="Arial"/>
                <w:szCs w:val="21"/>
                <w:highlight w:val="none"/>
              </w:rPr>
            </w:pPr>
            <w:r>
              <w:rPr>
                <w:rFonts w:ascii="Arial" w:hAnsi="Arial" w:cs="Arial"/>
                <w:szCs w:val="21"/>
                <w:highlight w:val="none"/>
              </w:rPr>
              <w:t>具备在查询结果中同屏查看当前操作的病历功能。</w:t>
            </w:r>
          </w:p>
          <w:p>
            <w:pPr>
              <w:pStyle w:val="133"/>
              <w:spacing w:line="288" w:lineRule="auto"/>
              <w:jc w:val="left"/>
              <w:rPr>
                <w:rFonts w:ascii="Arial" w:hAnsi="Arial" w:cs="Arial"/>
                <w:szCs w:val="21"/>
                <w:highlight w:val="none"/>
              </w:rPr>
            </w:pPr>
            <w:r>
              <w:rPr>
                <w:rFonts w:ascii="Arial" w:hAnsi="Arial" w:cs="Arial"/>
                <w:szCs w:val="21"/>
                <w:highlight w:val="none"/>
              </w:rPr>
              <w:t>具备病历审签日志查询功能，可查看审签通过、审签驳回、撤销审签的操作日志。</w:t>
            </w:r>
          </w:p>
          <w:p>
            <w:pPr>
              <w:pStyle w:val="133"/>
              <w:spacing w:line="288" w:lineRule="auto"/>
              <w:jc w:val="left"/>
              <w:rPr>
                <w:rFonts w:ascii="Arial" w:hAnsi="Arial" w:cs="Arial"/>
                <w:szCs w:val="21"/>
                <w:highlight w:val="none"/>
              </w:rPr>
            </w:pPr>
            <w:r>
              <w:rPr>
                <w:rFonts w:ascii="Arial" w:hAnsi="Arial" w:cs="Arial"/>
                <w:szCs w:val="21"/>
                <w:highlight w:val="none"/>
              </w:rPr>
              <w:t>具备短语日志查询功能，支持查询短语的收藏、新建、修改、查看、删除、审核情况、引用情况的日志情况。</w:t>
            </w:r>
          </w:p>
          <w:p>
            <w:pPr>
              <w:pStyle w:val="133"/>
              <w:spacing w:line="288" w:lineRule="auto"/>
              <w:jc w:val="left"/>
              <w:rPr>
                <w:rFonts w:ascii="Arial" w:hAnsi="Arial" w:cs="Arial"/>
                <w:szCs w:val="21"/>
                <w:highlight w:val="none"/>
              </w:rPr>
            </w:pPr>
            <w:r>
              <w:rPr>
                <w:rFonts w:ascii="Arial" w:hAnsi="Arial" w:cs="Arial"/>
                <w:szCs w:val="21"/>
                <w:highlight w:val="none"/>
              </w:rPr>
              <w:t>具备病历归档日志查询功能，支持查看自动归档、手动归档情况，支持查询归档状态及撤销归档审核情况。</w:t>
            </w:r>
          </w:p>
          <w:p>
            <w:pPr>
              <w:pStyle w:val="133"/>
              <w:spacing w:line="288" w:lineRule="auto"/>
              <w:jc w:val="left"/>
              <w:rPr>
                <w:rFonts w:ascii="Arial" w:hAnsi="Arial" w:cs="Arial"/>
                <w:szCs w:val="21"/>
                <w:highlight w:val="none"/>
              </w:rPr>
            </w:pPr>
            <w:r>
              <w:rPr>
                <w:rFonts w:ascii="Arial" w:hAnsi="Arial" w:cs="Arial"/>
                <w:szCs w:val="21"/>
                <w:highlight w:val="none"/>
              </w:rPr>
              <w:t>具备会诊日志查询功能，支持查询会诊申请、审核、调度、回复、完成等不同状态的会诊记录情况。</w:t>
            </w:r>
          </w:p>
          <w:p>
            <w:pPr>
              <w:pStyle w:val="133"/>
              <w:spacing w:line="288" w:lineRule="auto"/>
              <w:jc w:val="left"/>
              <w:rPr>
                <w:rFonts w:ascii="Arial" w:hAnsi="Arial" w:cs="Arial"/>
                <w:szCs w:val="21"/>
                <w:highlight w:val="none"/>
              </w:rPr>
            </w:pPr>
            <w:r>
              <w:rPr>
                <w:rFonts w:ascii="Arial" w:hAnsi="Arial" w:cs="Arial"/>
                <w:szCs w:val="21"/>
                <w:highlight w:val="none"/>
              </w:rPr>
              <w:t>具备病历打印日志查询功能，支持查询全部打印、集中打印、续打、指定页打印等不同类型打印情况。</w:t>
            </w:r>
          </w:p>
          <w:p>
            <w:pPr>
              <w:pStyle w:val="5"/>
              <w:numPr>
                <w:ilvl w:val="3"/>
                <w:numId w:val="3"/>
              </w:numPr>
              <w:spacing w:before="0" w:after="0" w:line="288" w:lineRule="auto"/>
              <w:jc w:val="left"/>
              <w:rPr>
                <w:rFonts w:eastAsia="宋体" w:cs="Arial"/>
                <w:sz w:val="21"/>
                <w:szCs w:val="21"/>
                <w:highlight w:val="none"/>
              </w:rPr>
            </w:pPr>
            <w:r>
              <w:rPr>
                <w:rFonts w:eastAsia="宋体" w:cs="Arial"/>
                <w:color w:val="000000"/>
                <w:sz w:val="21"/>
                <w:szCs w:val="21"/>
                <w:highlight w:val="none"/>
              </w:rPr>
              <w:t>结构化查询</w:t>
            </w:r>
          </w:p>
          <w:p>
            <w:pPr>
              <w:pStyle w:val="133"/>
              <w:spacing w:line="288" w:lineRule="auto"/>
              <w:jc w:val="left"/>
              <w:rPr>
                <w:rFonts w:ascii="Arial" w:hAnsi="Arial" w:cs="Arial"/>
                <w:szCs w:val="21"/>
                <w:highlight w:val="none"/>
              </w:rPr>
            </w:pPr>
            <w:r>
              <w:rPr>
                <w:rFonts w:ascii="Arial" w:hAnsi="Arial" w:cs="Arial"/>
                <w:szCs w:val="21"/>
                <w:highlight w:val="none"/>
              </w:rPr>
              <w:t>具备病历结构化查询功能，支持设置患者基本信息、诊断信息、段落内容、结构化元素内容联合查询。</w:t>
            </w:r>
          </w:p>
          <w:p>
            <w:pPr>
              <w:pStyle w:val="133"/>
              <w:spacing w:line="288" w:lineRule="auto"/>
              <w:jc w:val="left"/>
              <w:rPr>
                <w:rFonts w:ascii="Arial" w:hAnsi="Arial" w:cs="Arial"/>
                <w:szCs w:val="21"/>
                <w:highlight w:val="none"/>
              </w:rPr>
            </w:pPr>
            <w:r>
              <w:rPr>
                <w:rFonts w:ascii="Arial" w:hAnsi="Arial" w:cs="Arial"/>
                <w:szCs w:val="21"/>
                <w:highlight w:val="none"/>
              </w:rPr>
              <w:t>具备自定义新增多个查询条件功能，支持设置条件联合查询的关联关系。</w:t>
            </w:r>
          </w:p>
          <w:p>
            <w:pPr>
              <w:pStyle w:val="133"/>
              <w:spacing w:line="288" w:lineRule="auto"/>
              <w:jc w:val="left"/>
              <w:rPr>
                <w:rFonts w:ascii="Arial" w:hAnsi="Arial" w:cs="Arial"/>
                <w:szCs w:val="21"/>
                <w:highlight w:val="none"/>
              </w:rPr>
            </w:pPr>
            <w:r>
              <w:rPr>
                <w:rFonts w:ascii="Arial" w:hAnsi="Arial" w:cs="Arial"/>
                <w:szCs w:val="21"/>
                <w:highlight w:val="none"/>
              </w:rPr>
              <w:t>具备将自定义设置的查询条件另存为我的查询功能。</w:t>
            </w:r>
          </w:p>
          <w:p>
            <w:pPr>
              <w:pStyle w:val="133"/>
              <w:spacing w:line="288" w:lineRule="auto"/>
              <w:jc w:val="left"/>
              <w:rPr>
                <w:rFonts w:ascii="Arial" w:hAnsi="Arial" w:cs="Arial"/>
                <w:szCs w:val="21"/>
                <w:highlight w:val="none"/>
              </w:rPr>
            </w:pPr>
            <w:r>
              <w:rPr>
                <w:rFonts w:ascii="Arial" w:hAnsi="Arial" w:cs="Arial"/>
                <w:szCs w:val="21"/>
                <w:highlight w:val="none"/>
              </w:rPr>
              <w:t>具备将我的查询模版共享科室功能。</w:t>
            </w:r>
          </w:p>
          <w:p>
            <w:pPr>
              <w:pStyle w:val="133"/>
              <w:spacing w:line="288" w:lineRule="auto"/>
              <w:jc w:val="left"/>
              <w:rPr>
                <w:rFonts w:ascii="Arial" w:hAnsi="Arial" w:cs="Arial"/>
                <w:szCs w:val="21"/>
                <w:highlight w:val="none"/>
              </w:rPr>
            </w:pPr>
            <w:r>
              <w:rPr>
                <w:rFonts w:ascii="Arial" w:hAnsi="Arial" w:cs="Arial"/>
                <w:szCs w:val="21"/>
                <w:highlight w:val="none"/>
              </w:rPr>
              <w:t>具备编辑我的查询模版功能。</w:t>
            </w:r>
          </w:p>
          <w:p>
            <w:pPr>
              <w:pStyle w:val="133"/>
              <w:spacing w:line="288" w:lineRule="auto"/>
              <w:jc w:val="left"/>
              <w:rPr>
                <w:rFonts w:ascii="Arial" w:hAnsi="Arial" w:cs="Arial"/>
                <w:szCs w:val="21"/>
                <w:highlight w:val="none"/>
              </w:rPr>
            </w:pPr>
            <w:r>
              <w:rPr>
                <w:rFonts w:ascii="Arial" w:hAnsi="Arial" w:cs="Arial"/>
                <w:szCs w:val="21"/>
                <w:highlight w:val="none"/>
              </w:rPr>
              <w:t>具备将查询结果导出Excel的功能。</w:t>
            </w:r>
          </w:p>
          <w:p>
            <w:pPr>
              <w:pStyle w:val="133"/>
              <w:spacing w:line="288" w:lineRule="auto"/>
              <w:jc w:val="left"/>
              <w:rPr>
                <w:rFonts w:ascii="Arial" w:hAnsi="Arial" w:cs="Arial"/>
                <w:szCs w:val="21"/>
                <w:highlight w:val="none"/>
              </w:rPr>
            </w:pPr>
            <w:r>
              <w:rPr>
                <w:rFonts w:ascii="Arial" w:hAnsi="Arial" w:cs="Arial"/>
                <w:szCs w:val="21"/>
                <w:highlight w:val="none"/>
              </w:rPr>
              <w:t>具备对查询结果里匹配到的关键字进行高亮显示的功能。</w:t>
            </w:r>
          </w:p>
          <w:p>
            <w:pPr>
              <w:pStyle w:val="3"/>
              <w:numPr>
                <w:ilvl w:val="1"/>
                <w:numId w:val="3"/>
              </w:numPr>
              <w:spacing w:before="0" w:after="0" w:line="288" w:lineRule="auto"/>
              <w:rPr>
                <w:rFonts w:eastAsia="宋体" w:cs="Arial"/>
                <w:sz w:val="21"/>
                <w:szCs w:val="21"/>
                <w:highlight w:val="none"/>
              </w:rPr>
            </w:pPr>
            <w:bookmarkStart w:id="50" w:name="_Toc23735"/>
            <w:r>
              <w:rPr>
                <w:rFonts w:eastAsia="宋体" w:cs="Arial"/>
                <w:sz w:val="21"/>
                <w:szCs w:val="21"/>
                <w:highlight w:val="none"/>
              </w:rPr>
              <w:t>住院电子病历质控</w:t>
            </w:r>
            <w:bookmarkEnd w:id="50"/>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住院病历时限质控</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具备自定义设置时限规则功能。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具备根据配置的时限规则查询科室或全院患者病历的完成进度功能，包含按时完成、超时完成、超时未完成、未完成等。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支持与住院临床信息系统对接，实现在医生站客户端进行时限消息提醒功能。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标准质控规则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提供国家标准的病历质控评分规则，支持按医院管理要求对质控规则进行开启、停用。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具备按医院管理要求定制多套评分体系，支持按环节质控、终末质控设置单独的评分标准。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具备根据不同专科病历、病种，选择差别化的质量控制功能。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具备维护评分大项、评分小项功能。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具备评分小项适用指定病历、绑定多个质控规则的功能。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具备评分项适用病种、适用科室、扣分标准、自动扣分规则设置功能。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运行、终末病历质控评分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具备对在院/出院患者病历自动调用评分表进行缺陷校验，并生成病历分数和等级的功能。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具备质控员一键发起质控，系统自动校验患者的病历缺陷生成质控单功能。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具备自动调用病历质控规则，对当前患者的全部病历进行质控，根据文书类型自动定位对应的质控缺陷。</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具备查看患者医嘱、护理文书、检查检验信息、生命体征、既往病历信息功能。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具备质控员对患者所在科室的医生或诊疗组发送整改单功能，支持将整改单抄送给科主任进行查看。</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病历质控情况统计分析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具备环节质控统计查询功能，包括病历评分等级统计、缺陷明细统计、整改情况统计等，支持导出质控月报。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具备终末质控统计查询功能，包括病历评分等级统计、缺陷明细统计、整改情况统计等，支持导出质控月报及复查记录。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具备质控工作量统计功能，支持按质控员维度、按质控科室维度统计。</w:t>
            </w:r>
          </w:p>
          <w:p>
            <w:pPr>
              <w:pStyle w:val="3"/>
              <w:numPr>
                <w:ilvl w:val="1"/>
                <w:numId w:val="3"/>
              </w:numPr>
              <w:spacing w:before="0" w:after="0" w:line="288" w:lineRule="auto"/>
              <w:rPr>
                <w:rFonts w:eastAsia="宋体" w:cs="Arial"/>
                <w:sz w:val="21"/>
                <w:szCs w:val="21"/>
                <w:highlight w:val="none"/>
              </w:rPr>
            </w:pPr>
            <w:bookmarkStart w:id="51" w:name="_Toc1170"/>
            <w:r>
              <w:rPr>
                <w:rFonts w:eastAsia="宋体" w:cs="Arial"/>
                <w:sz w:val="21"/>
                <w:szCs w:val="21"/>
                <w:highlight w:val="none"/>
              </w:rPr>
              <w:t>住院手术分级管理</w:t>
            </w:r>
            <w:bookmarkEnd w:id="51"/>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手术分级目录管理</w:t>
            </w:r>
          </w:p>
          <w:p>
            <w:pPr>
              <w:pStyle w:val="133"/>
              <w:widowControl/>
              <w:adjustRightInd w:val="0"/>
              <w:snapToGrid w:val="0"/>
              <w:spacing w:line="288" w:lineRule="auto"/>
              <w:ind w:firstLine="420"/>
              <w:rPr>
                <w:rFonts w:ascii="Arial" w:hAnsi="Arial" w:cs="Arial"/>
                <w:szCs w:val="21"/>
                <w:highlight w:val="none"/>
              </w:rPr>
            </w:pPr>
            <w:r>
              <w:rPr>
                <w:rFonts w:ascii="Arial" w:hAnsi="Arial" w:cs="Arial"/>
                <w:szCs w:val="21"/>
                <w:highlight w:val="none"/>
              </w:rPr>
              <w:t>具备手术目录列表查看功能，可按手术级别、手术专业分类、手术类别查询手术列表，手术级别可按一级手术、二级手术、三级手术、四级手术进行查看。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具备手术检索功能，可按手术专业分类、手术等级、手术名称/编码组合查询手术。</w:t>
            </w:r>
          </w:p>
          <w:p>
            <w:pPr>
              <w:pStyle w:val="133"/>
              <w:widowControl/>
              <w:adjustRightInd w:val="0"/>
              <w:snapToGrid w:val="0"/>
              <w:spacing w:line="288" w:lineRule="auto"/>
              <w:ind w:firstLine="420"/>
              <w:rPr>
                <w:rFonts w:ascii="Arial" w:hAnsi="Arial" w:cs="Arial"/>
                <w:szCs w:val="21"/>
                <w:highlight w:val="none"/>
              </w:rPr>
            </w:pPr>
            <w:r>
              <w:rPr>
                <w:rFonts w:ascii="Arial" w:hAnsi="Arial" w:cs="Arial"/>
                <w:szCs w:val="21"/>
                <w:highlight w:val="none"/>
              </w:rPr>
              <w:t>具备手术信息编辑功能，可修改手术分类、手术类别、手术等级、切口等级、切开属性等信息，支持启用、停用手术。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具备重大手术规则定义功能，可定义规则明细、校验规则、年龄范围、手术类别、管控模式等信息。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具备重大手术新增、修改、删除及批量导入功能。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手术分级授权管理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具备手术权限授权功能，按照手术等级、专业分类、手术名称三种方式进行授权。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具备手术权限取消授权功能。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具备医生发起手术权限变更申请功能，审批通过后自动授权。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具备手术权限变更记录功能，查看变更时间和变更内容。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具备手术权限汇总查询功能，可按照指定医师、指定手术等级、指定手术名称多个条件进行筛查结果。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具备开立手术申请单时主刀医师权限校验，只允许选择当前手术授权范围内手术医师。</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重大手术审批管理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具备重大手术/非计划再次手术申请审批功能，支持动态角色审批配置。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具备手术医嘱与重大手术审批结果过程关联功能，要求重大手术审批通过后，对应手术医嘱才可签署通过。</w:t>
            </w:r>
          </w:p>
          <w:p>
            <w:pPr>
              <w:pStyle w:val="3"/>
              <w:numPr>
                <w:ilvl w:val="1"/>
                <w:numId w:val="3"/>
              </w:numPr>
              <w:spacing w:before="0" w:after="0" w:line="288" w:lineRule="auto"/>
              <w:rPr>
                <w:rFonts w:eastAsia="宋体" w:cs="Arial"/>
                <w:sz w:val="21"/>
                <w:szCs w:val="21"/>
                <w:highlight w:val="none"/>
              </w:rPr>
            </w:pPr>
            <w:bookmarkStart w:id="52" w:name="_Toc8380"/>
            <w:r>
              <w:rPr>
                <w:rFonts w:eastAsia="宋体" w:cs="Arial"/>
                <w:sz w:val="21"/>
                <w:szCs w:val="21"/>
                <w:highlight w:val="none"/>
              </w:rPr>
              <w:t>住院临床路径管理系统</w:t>
            </w:r>
            <w:bookmarkEnd w:id="52"/>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临床路径配置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具备临床路径维护权限设置功能，通过权限控制医生允许维护的临床路径范围。</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具备可视化临床路径配置功能，包含临床路径基本信息、入径规则、疗程（含基本信息、重点医嘱、主要诊疗工作、主要护理工作）信息。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具备根据临床路径标准配置疗程功能，配置疗程对应的阶段天数、阶段费用等。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具备配置疗程对应的诊疗服务项目功能，配置诊疗项目所属模块、必选标志、重复执行标志、是否医嘱包。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具备入径判断规则、出径规则路径规则管理功能。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具备入径判断规则，能够根据患者的具体情况进行诊断入径和主动入径的区分。诊断入径时，系统不仅推荐标准化的治疗路径，还提供基于患者所在科室的专业路径，从而确保治疗的精准性和个性化。</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提供出径规则管理功能，支持退出路径和完成路径两种机制。当患者的治疗需求超出当前临床路径的覆盖范围时，系统允许通过退出路径机制来调整治疗方案。对于成功完成治疗计划的患者，则通过完成路径机制正式结束当前路径。</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具备临床路径医嘱包替换维护功能，通过路径疗程计划维护时进行绑定，实现计划中专案或药品与可替换包中专案进行替换不变异。</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具备临床路径入径规则设置功能，可根据入院诊断和手术名称绑定临床路径，下达诊断或者开立手术申请时联动临床路径的入径。</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具备临床路径疗程可视化展示配置结果功能，并可查看疗程对应的诊疗措施。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具备分支路径配置管理功能，可按需对分支路径规则进行相应配置与维护，包括分支路径条件、分支路径信息，在设置临床路径疗程时，可将分支路径维护到疗程中。</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入出路径管理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提供患者入径、出径管理功能，可实现将患者纳入路径，中途退出路径、完成退出路径功能。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入径管理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具备医生手动纳入或按入径规则系统推荐纳入两种方式入径功能。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具备路径纳入条件设置功能，按入径诊断条件或手术操作自动触发。</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具备医生手动纳入路径功能，医生手动纳入路径时，可主观按病人诊断、病情判断纳入路径。</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具备纳入路径评估功能。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具备查看待纳入路径对应的方案明细功能，包括路径流程图、疗程方案情况明细（重点医嘱、诊疗工作）。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具备是否纳入路径操作功能，医生可以选择纳入路径或不纳入路径。</w:t>
            </w:r>
          </w:p>
          <w:p>
            <w:pPr>
              <w:pStyle w:val="133"/>
              <w:widowControl/>
              <w:adjustRightInd w:val="0"/>
              <w:snapToGrid w:val="0"/>
              <w:spacing w:line="288" w:lineRule="auto"/>
              <w:jc w:val="left"/>
              <w:rPr>
                <w:rFonts w:ascii="Arial" w:hAnsi="Arial" w:cs="Arial"/>
                <w:b/>
                <w:bCs/>
                <w:szCs w:val="21"/>
                <w:highlight w:val="none"/>
              </w:rPr>
            </w:pPr>
            <w:r>
              <w:rPr>
                <w:rFonts w:hint="eastAsia" w:ascii="Arial" w:hAnsi="Arial" w:cs="Arial"/>
                <w:b/>
                <w:bCs/>
                <w:szCs w:val="21"/>
                <w:highlight w:val="none"/>
              </w:rPr>
              <w:t>▲</w:t>
            </w:r>
            <w:r>
              <w:rPr>
                <w:rFonts w:ascii="Arial" w:hAnsi="Arial" w:cs="Arial"/>
                <w:b/>
                <w:bCs/>
                <w:szCs w:val="21"/>
                <w:highlight w:val="none"/>
              </w:rPr>
              <w:t>具备纳入路径后，系统自动检测疗程方案中是否包含入径前已完成项目功能。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出径管理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具备临床路径退出机制，包括中途退出路径与路径完成两种模式。中途退出路径，可记录退出原因。</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具备路径中途退出审批功能，审批结束后退出路径。</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路径执行与变异管理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提供路径执行相关功能，可实现路径执行过程中的医嘱下达、药品库存提醒、变异处理提醒。</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路径执行</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具备标签检索路径患者功能，医生可根据临床路径的标签检索进入路径的患者，优先从路径方案中下达医嘱。</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路径阶段显示医嘱计划功能，包括治疗目的显示与否、按照治疗目的或路径定义排序显示；停用项目显示、路径名称、疗程天数以及入院天数显示、可选必选项目显示以及按推荐必做分组显示；可显示治疗目的、成组标志、工作内容、药品剂量、剂量单位、用法、频次、开始时间、开始日期。</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具备醒目区分必须执行、推荐执行的路径项目或药品功能，提供路径表单录入方式，通过勾选框实现将必做项或者推荐项医嘱批量下达。</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具备路径药品、项目替代功能，在路径方案中药品库存不足或厂家停用时，依据规则设置医生可以选择可以替换药品或项目。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具备路径方案中专案或药品下达时，修改剂量、剂量单位、用法、频次功能。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具备录入计划外医嘱功能，包含药品、治疗、检查、检验、护理、膳食类医嘱。</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具备路径疗程执行情况一览功能，查看路径每个疗程执行信息，且可按国家标准路径表单打印。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具备路径疗程执行过程中选择进入特定分支路径的功能。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临床路径变异</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涵盖计划外医嘱、计划内必做医嘱未执行、以及计划内医嘱出现变异的三种管理类别。</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具备路径执行时，新增计划外医嘱功能，纳入变异管理。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具备膳食医嘱、嘱托医嘱豁免变异功能。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具备路径计划中明确必做的任务，在实际执行过程中未得到实施，纳入变异功能。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具备在路径规划任务中，实际执行过程需对元素进行调整，以纳入变异功能。元素应允许医院根据自身需求进行自定义，涵盖剂量、频次和用法要素。</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具备变异原因手工录入功能。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具备路径变异控制功能，如依据药品品种、药品通用名、药品商品、医嘱属性、医嘱剂量来进行变异规则控制，可依据医院实际情况来指定变异规则。</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临床路径评估管理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具备临床路径评估管理功能，支持入径评估展示、填写疗程评估单、分支路径评估、完成路径评估。</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临床路径统计查询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提供临床路径执行月报表，按照患者出院时间根据科室、病区、路径不同维度统计路径执行情况，包括入径人数、完成人数、变异人数、退出人数、入径率、完成率、完成率、退出率。</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具备查看临床路径实时执行情况功能，包括执行路径名称、进入路径时间、当前路径执行状态、当前执行日程信息，是否发生变异和退出。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具备临床路径变异和临床路径退出原因统计功能，统计已发生变异路径的变异人数以及已发生退出路径的退出人数。</w:t>
            </w:r>
          </w:p>
          <w:p>
            <w:pPr>
              <w:pStyle w:val="3"/>
              <w:numPr>
                <w:ilvl w:val="1"/>
                <w:numId w:val="3"/>
              </w:numPr>
              <w:spacing w:before="0" w:after="0" w:line="288" w:lineRule="auto"/>
              <w:rPr>
                <w:rFonts w:eastAsia="宋体" w:cs="Arial"/>
                <w:sz w:val="21"/>
                <w:szCs w:val="21"/>
                <w:highlight w:val="none"/>
              </w:rPr>
            </w:pPr>
            <w:bookmarkStart w:id="53" w:name="_Toc15616"/>
            <w:bookmarkStart w:id="54" w:name="_Toc21024"/>
            <w:r>
              <w:rPr>
                <w:rFonts w:eastAsia="宋体" w:cs="Arial"/>
                <w:sz w:val="21"/>
                <w:szCs w:val="21"/>
                <w:highlight w:val="none"/>
              </w:rPr>
              <w:t>临床知识库系统</w:t>
            </w:r>
            <w:bookmarkEnd w:id="53"/>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临床决策支持知识库</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疾病知识：提供不少于10000条疾病知识，科室全覆盖，常见病种全覆盖，包含疾病概述、病原学、流行病学、临床表现、辅助检查、诊断、鉴别诊断、治疗、预防等条目。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提供典型病例知识，包含临床决策分析过程、经验总结、专家述评。</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提供症状体征相关知识。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提供临床检查相关知识。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提供临床检验相关知识。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提供常见临床操作。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提供手术相关操作，包括手术讲解，图文结合。</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提供常见护理操作。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提供国家临床路径，支持在线阅读及下载。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提供医患沟通相关知识。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提供医疗损害防范案例相关知识。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提供典型临床伦理知识和案例。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提供法律法规相关知识。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提供药品相关知识，包含至少40000余条药物信息、2000余例用药案例分析和3000余对药物相互作用分析。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提供超说明书用药，包括已批准的适应证、说明书之外的用法、依据等级和参考资料。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提供常见疾病处方，可根据不同病症推荐处方。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提供用药问答相关知识。</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临床知识查询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具备医学静态知识库检索功能，医生可以根据需要实时查询需要的知识库内容，包含疾病、药品、检查、检验、手术操作、护理操作。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支持与医院信息系统对接，医护人员可在临床系统中调阅静态医学知识。</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知识自定义维护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具备用户自定义静态医学知识管理功能，包括：添加、编辑、删除。支持医学文献、医疗法律法规等文档的上传。</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知识审批与发布管理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具备审批角色权限维护功能。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具备发布角色权限维护功能。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具备自定义知识审批、发布管理功能。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具备自定义知识启用、停用管理功能。</w:t>
            </w:r>
          </w:p>
          <w:p>
            <w:pPr>
              <w:pStyle w:val="2"/>
              <w:numPr>
                <w:ilvl w:val="0"/>
                <w:numId w:val="3"/>
              </w:numPr>
              <w:spacing w:before="0" w:after="0" w:line="288" w:lineRule="auto"/>
              <w:rPr>
                <w:rFonts w:ascii="Arial" w:hAnsi="Arial" w:cs="Arial"/>
                <w:sz w:val="21"/>
                <w:szCs w:val="21"/>
                <w:highlight w:val="none"/>
              </w:rPr>
            </w:pPr>
            <w:bookmarkStart w:id="55" w:name="_Toc16833"/>
            <w:r>
              <w:rPr>
                <w:rFonts w:ascii="Arial" w:hAnsi="Arial" w:cs="Arial"/>
                <w:sz w:val="21"/>
                <w:szCs w:val="21"/>
                <w:highlight w:val="none"/>
              </w:rPr>
              <w:t>临床护理</w:t>
            </w:r>
            <w:bookmarkEnd w:id="54"/>
            <w:bookmarkEnd w:id="55"/>
          </w:p>
          <w:p>
            <w:pPr>
              <w:pStyle w:val="3"/>
              <w:numPr>
                <w:ilvl w:val="1"/>
                <w:numId w:val="3"/>
              </w:numPr>
              <w:spacing w:before="0" w:after="0" w:line="288" w:lineRule="auto"/>
              <w:rPr>
                <w:rFonts w:eastAsia="宋体" w:cs="Arial"/>
                <w:sz w:val="21"/>
                <w:szCs w:val="21"/>
                <w:highlight w:val="none"/>
              </w:rPr>
            </w:pPr>
            <w:bookmarkStart w:id="56" w:name="_Toc24683"/>
            <w:r>
              <w:rPr>
                <w:rFonts w:eastAsia="宋体" w:cs="Arial"/>
                <w:sz w:val="21"/>
                <w:szCs w:val="21"/>
                <w:highlight w:val="none"/>
              </w:rPr>
              <w:t>门诊护士工作站</w:t>
            </w:r>
            <w:bookmarkEnd w:id="56"/>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危急值提醒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具备危急值提醒功能。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具体危急值查询功能。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体征/病史采集录入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具备以患者维度，展示本诊区内所有的患者，护士可根据患者姓名、医生姓名、科目、预约就诊时间查询过滤。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具备护士录入患者体征/病史信息功能，包括：体温、脉搏、呼吸、血压、既往史、过敏信息等。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具备体征数据打印功能。</w:t>
            </w:r>
          </w:p>
          <w:p>
            <w:pPr>
              <w:pStyle w:val="3"/>
              <w:numPr>
                <w:ilvl w:val="1"/>
                <w:numId w:val="3"/>
              </w:numPr>
              <w:spacing w:before="0" w:after="0" w:line="288" w:lineRule="auto"/>
              <w:rPr>
                <w:rFonts w:eastAsia="宋体" w:cs="Arial"/>
                <w:sz w:val="21"/>
                <w:szCs w:val="21"/>
                <w:highlight w:val="none"/>
              </w:rPr>
            </w:pPr>
            <w:bookmarkStart w:id="57" w:name="_Toc27191"/>
            <w:r>
              <w:rPr>
                <w:rFonts w:eastAsia="宋体" w:cs="Arial"/>
                <w:sz w:val="21"/>
                <w:szCs w:val="21"/>
                <w:highlight w:val="none"/>
              </w:rPr>
              <w:t>门急诊输液管理系统</w:t>
            </w:r>
            <w:bookmarkEnd w:id="57"/>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门急诊输液管理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通过读卡或扫码快速识别患者身份，获取患者基本信息，记录患者输液、注射等业务情况，按卡片和列表两种模式显示患者信息。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具备患者身份识别功能，支持通过身份证、就诊卡、医保卡等快速获取患者基本信息。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具备患者分类管理功能，患者类别包括已签到、待穿刺|治疗、输液|治疗中、输液|治疗结束，支持按类别统计患者人数。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具备患者卡片管理功能，卡片信息包括姓名、性别、年龄、出生日期、卡号、输液就诊编码、类别、挂号时间、开始时间、结束时间。</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具备患者列表管理功能，列表信息包括：姓名、性别、年龄、出生日期、卡号、输液就诊编码、类别、挂号时间、开始时间、结束时间。</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座位管理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维护输液室座位信息，为输液患者分配座位，按卡片和列表两种模式显示座位信息。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具备输液室基础参数设置功能，包括输液室新增及维护设置、座位设置、人员设置、工作台设置、收费项目设置、皮试药品除外设置。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具备座位卡管理功能，支持列表、卡片两种座位卡管理模式。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具备患者排座功能，为输液患者分配座位，并打印座位卡，可以按总座、已座、余座过滤座位信息。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具备换座功能，为已经安排座位的患者更换座位或取消排座。</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输液记录/处方查询</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查看患者的基本信息、挂号信息及收费信息，核对输液处方详情，查对无误后打印输液单据，按照输液处方执行医嘱。</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支持与医院信息系统对接，获取患者基本信息、挂号信息及收费信息。</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支持与门诊医生站系统、药房系统对接，获取患者处方详细信息，包括处方药品的成组标志、医嘱内容、用法、频次、滴速、天数、总量、执行总数、嘱托、处方号、开方日期、开方科室、开方医生、药房、诊断。</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具备输液单据打印功能，可以打印输液瓶贴、患者凭证、腕带。</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具备输液计划拆分功能，可以按照处方天数、频次自动拆分生成输液计划。</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具备药品核对执行功能，记录处方药品的核对过程。</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具备医嘱信息联动管理功能，在药品核对执行时，关联的注射费、材料费也自动同步核对执行。</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具备时间轴展示功能，通过时间轴形式，展示药品执行记录。</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具备瓶贴顺序调整功能，可以通过拖拽操作，便捷调整瓶贴的打印顺序。</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皮试管理</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记录患者皮试过程，管理皮试患者列表，记录皮试结果。</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具备患者皮试进程管理功能，提供待皮试、皮试中、皮试结束、皮试已审核患者列表，统计当前待皮试、皮试中、皮试结束、皮试已审核患者人次。</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具备患者卡片和列表管理功能，卡片和列表展示的信息包括姓名、性别、年龄、电话、皮试费收取状态、出生日期、皮试名称、挂号科室、开方时间、开方医生、历史信息、联动项目。</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具备皮试限制功能，在皮试结果未出或者不符合要求时，限制执行输液医嘱。</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具备皮试结果提示功能，录入皮试的阴性、阳性结果后，在对应皮试药信息界面显示皮试结果标识，在患者信息栏界面显示对应皮试信息，用颜色区分皮试结果，阴性显示绿色，阳性显示红色。</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具备皮试记录时间轴展示功能。通过时间轴展示皮试过程，显示皮试每个环节所耗时间及操作人信息。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费用管理</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为输液患者补录费用，打印对应的费用清单。</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具备收费模板维护功能，一个模板可绑定多个收费项目。</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具备模板批量计费功能，选择模板批量添加收费项目。</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具备批量清空功能，选择未提交的收费项目后，可以批量清空。</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支持与医院收费系统对接，实现费用登记、退费申请功能。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门急诊输液室结算 </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支持与医院收费系统对接，护士在诊间补录与输液相关的耗材等收费项目，并进行诊间结算。</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门急诊输液大屏显示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门急诊输液大屏显示系统运行于大屏等终端显示设备，向输液患者展示输液、皮试等治疗过程，提升输液患者就医体验。</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门急诊输液叫号大屏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管理输液患者、皮试患者、肌注患者、雾化患者的候诊列表，显示排队叫号信息，查看排队队列及当前呼叫信息，引导患者到输液室指定位置接受对应治疗。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支持语音呼叫，按顺序呼叫、重呼患者，可以指定呼叫某位患者，通过大屏显示当前叫号号码。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支持皮试叫号功能，引导皮试患者按照大屏显示信息和语音提示排队候诊。</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具备呼叫设置功能，可以设置叫号内容。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具备模板配置功能，为输液患者、皮试患者、肌注患者、雾化患者配置叫号大屏的显示模板，可以设置大屏背景色、字体、图片、患者列表的展示列数、列表换页周期。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支持与签到机/取号机对接，实现患者取号排队功能。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门急诊移动输液</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门急诊移动输液系统运行于便捷式移动终端设备，是桌面端系统功能的延伸，便于护士实时、实地记录输液治疗工作情况，提高工作效率。</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座位卡管理</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护士通过移动终端设备执行输液医嘱，管理输液座位，可以按输液状态查看座位卡。</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具备移动端座位卡管理功能，根据输液状态过滤显示座位卡，输液状态包括待输液、输液中、空座。</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具备排序模式切换功能，支持座位顺序、排座优先两种排序模式。</w:t>
            </w:r>
          </w:p>
          <w:p>
            <w:pPr>
              <w:pStyle w:val="133"/>
              <w:widowControl/>
              <w:adjustRightInd w:val="0"/>
              <w:snapToGrid w:val="0"/>
              <w:spacing w:line="288" w:lineRule="auto"/>
              <w:ind w:firstLine="420"/>
              <w:jc w:val="left"/>
              <w:rPr>
                <w:rFonts w:ascii="Arial" w:hAnsi="Arial" w:cs="Arial"/>
                <w:szCs w:val="21"/>
                <w:highlight w:val="none"/>
              </w:rPr>
            </w:pPr>
            <w:r>
              <w:rPr>
                <w:rFonts w:ascii="Arial" w:hAnsi="Arial" w:cs="Arial"/>
                <w:szCs w:val="21"/>
                <w:highlight w:val="none"/>
              </w:rPr>
              <w:t>具备输液区域切换功能，按照输液室的输液区，切换座位卡。</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移动配液</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护士通过移动终端设备记录输液过程，扫码核对、执行并记录相关信息，保障输液安全，提高护士工作效率。</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具备输液患者查看功能，查看信息包括座位号、排队号、卡号、姓名、性别、年龄、出生日期。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具备患者列表查看功能，根据输液状态过滤显示患者列表，输液状态包括待输液、输液中、输液结束、未结束。</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具备日期查阅功能，按照日期查阅输液患者列表。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具备扫码验证功能，扫描患者凭证验证患者身份，扫描输液贴验证药品，匹配校验通过后进入药品执行环节，校验失败时给出提示。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具备输液药品查看功能，根据患者信息查看患者的输液药品列表。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具备皮试药品执行记录功能，扫码核对、执行并记录皮试药品执行过程。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具备肌注药品执行记录功能，扫码核对、执行并记录肌注药品执行过程。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具备输液巡视功能，记录巡视过程，记录暂停输液、恢复输液的过程，记录拔针过程。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具备换药功能，记录多组输液药品的换药处理过程。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具备输液多通路管理功能，记录输液通路。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具备桌面端同步功能，可以同步更新桌面端药品状态。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具备工作台切换功能，在移动端切换输液室的工作台。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具备执行记录查阅功能，在移动端查阅患者的输液执行记录。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移动皮试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在移动端记录皮试过程，扫码核对、执行并记录相关信息，保障输液安全，提高护士工作效率。</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具备皮试患者列表查看功能，包括姓名、性别、年龄、卡号、出生日期、用法、医嘱内容、数量、皮试状态。</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具备根据皮试状态过滤患者信息功能，皮试状态包括：待皮试、皮试中、皮试结束、已审核。</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具备扫码验证功能，扫描患者凭证，验证患者身份。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具备药品验证功能，扫描输液贴验证药品信息，校验通过后进入药品执行流程，校验失败给出提示。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具备皮试药品手工执行功能，记录皮试执行时间、编辑药品批号、设置结束提醒。</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具备皮试结果录入功能，在移动端录入皮试结果包括：阴性、弱阳性、阳性、强阳性。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具备皮试审核双签功能，由两名护士审核确认皮试结果后发布。</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具备皮试结果撤销功能，撤销已发布的皮试结果。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移动统计</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在移动端查看统计数据，便于护士掌握今日任务量及代办任务量。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具备今日执行任务量统计功能，包括穿刺次数、巡视次数、换药次数、拔针次数、皮试次数、采血次数。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具备科室待办数据统计功能，包括待配人次、待输人次、皮试人次。</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移动消息管理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具备消息管理功能，可以查看消息、处理消息，按照类型管理的消息，包括：皮试提醒、输液提醒、超时提醒。按照状态管理消息，包括未处理、已处理。</w:t>
            </w:r>
          </w:p>
          <w:p>
            <w:pPr>
              <w:pStyle w:val="3"/>
              <w:numPr>
                <w:ilvl w:val="1"/>
                <w:numId w:val="3"/>
              </w:numPr>
              <w:spacing w:before="0" w:after="0" w:line="288" w:lineRule="auto"/>
              <w:jc w:val="left"/>
              <w:rPr>
                <w:rFonts w:eastAsia="宋体" w:cs="Arial"/>
                <w:sz w:val="21"/>
                <w:szCs w:val="21"/>
                <w:highlight w:val="none"/>
              </w:rPr>
            </w:pPr>
            <w:bookmarkStart w:id="58" w:name="_Toc5564"/>
            <w:r>
              <w:rPr>
                <w:rFonts w:eastAsia="宋体" w:cs="Arial"/>
                <w:sz w:val="21"/>
                <w:szCs w:val="21"/>
                <w:highlight w:val="none"/>
              </w:rPr>
              <w:t>住院护士工作站系统</w:t>
            </w:r>
            <w:bookmarkEnd w:id="58"/>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住院床位管理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住院床位管理支持对患者的床位管理及床位维护，并在床位管理中支持多样化的组合式筛选。同时需支持在床位管理中进行换床、包床/退床、患者迁入/迁出操作。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床位管理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具备快速定位病人功能，能进行住院号和床号的双重定位，对复杂查询提供姓名拼音、五笔检索。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不少于10种床位组合式筛选功能，包括待入院、待入区、在区、流转、出区、授权、补费召回等状态，并支持在不同状态进行二次筛选，如在区状态下可根据床位状态、护理级别、包床包房状态等进行数据的二次筛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具备换床功能，可以选择新的床位进行更换，也可以选择床位卡拖动到另一个床位卡上执行换床，可为患者快速实现床位调换。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具备包床退床功能，可为特定患者提前预约特定床位，可进行包床操作，如不需要特定床位，可进行退床处理。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具备患者迁入、迁出管理功能，病区没有床位时进行借床，选择目标病区及床位完成借床，借床后患者会在目标病区待入区借床患者列表中。</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床位维护</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各病区的床位信息的维护及查看功能，包括所属科室、病区、责任护士、床位医生、床位费、编制床位、加床床位、虚拟床位、家庭床位等，可以根据病房及床位类型进行快捷筛选，可以添加、修改、删除床位。</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住院患者入出转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住院患者入出转包含患者在院过程入区、出区、转区/转科的全流程管理。同时满足母婴专科管理，支持母婴同床、分床管理两种模式。且提供了统一的陪护管理，支持陪护人员信息的维护与结束陪护操作。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患者信息查看与修改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具备患者全局信息的查看与修改功能，包括基本信息、住院信息、入区健康状态、过敏信息、费用信息等；并能依托医院管理规范，对修改权限、内容进行个性化控制。</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入区登记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具备一键入区和操作空床两种入区登记方式，在入区登记时自动带入入院登记的信息，并在选择床位后自动带入床位的责任医生及责任护士等信息。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具备待入区患者列表的统一查看功能，具备按新入院待入区、其他科室待转区、迁入患者的区分查看。</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具备已入区患者的取消入区操作，可以录入取消原因、取消时间。</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转科转区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具备待转科转区患者一键转区转科功能。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具备转区的流程性控制功能，包括对未完成的待处理医嘱、未退药项目、未发药查询、未计费项目、退费申请进行提醒或控制。</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具备已转区未入区患者的取消转区操作。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具备转区待入区患者的退回功能，针对转区患者，接收病区无法接收患者时，进行退回转区功能。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母婴管理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具备婴儿登记管理功能，可以添加新生儿信息，包括胎儿信息、孕周、分娩接生信息、婴儿去向、病床等信息。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具备对已登记婴儿的作废操作。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具备对登记婴儿的腕带打印。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具备母婴突发疾病时的特殊管理模式，包括婴儿突发疾病时通过转科转区到新生儿科，自动办理入院入区模式；或妈妈突发疾病时办理转科转区，将婴儿留在产科病区模式。</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出区管理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具备待出区患者的出区操作，可查看出院诊断，登记出区时间、病情转归。</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具备在出区界面对患者进行退费申请或补记账操作。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具备出区的流程性控制功能，包括对未完成的待处理医嘱、未退药项目、未发药查询、未计费项目、退费申请进行提醒或控制。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具备对已出区的患者进行召回，在召回时选择召回方式、召回床位，并填写召回原因。</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陪护管理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具备陪护人员信息的维护功能，并可对已维护的陪护人员信息进行修改。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具备陪护人信息的统一查看功能，可以根据患者床号、姓名、陪护状态进行数据的检索。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具备对每条记录的状态标识，可对陪护中的状态进行结束陪护操作，录入结束陪护时间、结束陪护原因。</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具备根据陪护信息打印陪护证功能。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住院患者费用处理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住院患者费用处理需提供患者费用多场景化记费功能，包括常规记账、批量补记账、长期记账等。在记账过程中，如患者欠费，需支持按照催缴金额进行欠费催款。</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费用查询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具备预交金的查询功能，可查看某一患者的费用汇总、押金汇总、可用余额等信息，并能查看患者的历次预交金信息。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具备未计费项目的查询、计费和作废操作，在查询时可按照执行科室进行费用信息的查询。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具备费用一日清的查询和打印功能。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具备患者在院费用及已结费用的查看及核对功能。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具备按照费用汇总、费用明细进行查询及打印。</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欠费管理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具备欠费患者信息的查询功能，可以根据报警线、停药线及医保类型进行查询。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具备欠费患者欠费单及催缴单的打印操作。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记账管理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具备灵活的记账功能，支持治疗、护理、卫材、高值耗材等多种类型的记账操作，以满足同时对多个患者的记账操作及长期记账功能；同时具备费用模板的维护和使用功能，以便用户快速的完成记账操作。</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常规记账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具备记账功能，可以按照治疗、护理、卫材、高值耗材等类型进行项目的筛选和开立。</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批量记账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具备批量记账功能，可以选择多个患者进行记账。</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长期记账</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具备长期记账功能，可按照治疗、护理、卫材、高值耗材等类型进行项目的筛选和开立。</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护士站医嘱处理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医嘱处理是患者整个诊疗过程的重要一环，需要能对医生开立的诊疗/医嘱进行全流程管理，包括医嘱签收/申请、单据打印、过敏管理、医嘱执行、药品管理、医嘱查询、医技报告/手术信息查看等。同时能基于医院管理规范，在医嘱处理时对医嘱流程进行管控，如在医嘱申请时进行欠费控制、执行时进行高警示药品提醒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医嘱签收/申请</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具备所选患者医嘱的签收功能，包括新开医嘱、停止医嘱、作废医嘱，可以进行批量签收与申请。</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具备根据不同的筛选条件，如根据长临类型、加急类型、医嘱类型、频次等条件进行签收医嘱的筛选，筛选后进行批量签收。</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具备在医嘱签收、申请时同屏查看对应医嘱的绑费信息，并能进行医嘱的绑费操作。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具备在医嘱签收时，针对重点医嘱进行特殊标识，包括高警示药品、需皮试药品、自备药等。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具备在医嘱签收时针对有疑问的医嘱进行疑问返回操作；具备根据新开、停止、作废的医嘱类型控制是否允许疑问返回。</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具备医嘱申请功能，并在申请前针对有问题的医嘱进行撤销签收操作。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具备药品类医嘱申请后自动生成领药明细功能。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具备按照不同的临床服务类型、临床服务分类、临床服务、给药途径、医嘱类型、开立业务单元条件设置不同的医嘱申请模式。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具备PRN医嘱的特殊申请模式，可根据患者病情手工添加执行计划。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具备在医嘱申请时根据患者欠费情况进行欠费控制。</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单据打印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具备执行单的打印操作，可按照不同的时间段、打印状态、长临类型等条件进行执行单的筛选。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具备多种单据类型的打印，包括口服单、输液单、输液瓶签等。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具备医嘱单据按照数据列表及打印预览两种方式展示。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具备医嘱单据的单个打印或批量打印操作。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具备医嘱单打印功能，包括长期医嘱单、临时医嘱单、检查申请单、处方单。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过敏管理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具备患者过敏信息的登记功能，可维护过敏物、过敏源、过敏结果、过敏程度、过敏症状等信息。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具备皮试执行功能，可对皮试药品录入皮试的开始时间、药品批号、执行人等信息。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具备在皮试执行、结果录入时进行双人核签。</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医嘱执行</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具备按照长临类型、执行状态、首次执行、今日新开、医嘱类型等条件进行执行医嘱的筛选。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具备在医嘱执行查询时，针对重点医嘱进行特殊标识，包括高警示药品、需皮试药品、自备药等。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具备单个医嘱或多个医嘱的批量执行。</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具备医嘱的执行失败操作，填写执行失败原因。</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具备特殊医嘱的执行双签名操作，包括高危药品、皮试药品等。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药品管理</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领药管理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具备所选患者药品医嘱的领药单信息及领药单变更记录查看功能，包括西成药和中草药。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具备按照患者展示领药明细或按药品展示汇总领药功能，药品汇总展示模式可以查看每类药品的患者领药明细。</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退药申请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具备按照药品类型、发药时间、发药药房、药品名称进行发药列表的查看。</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具备按照患者分组展示所选患者的医嘱列表，并可选择单条或多条记录进行退药申请。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具备退药申请提交功能，并支持对已提交药房未确认的退药申请进行作废操作。</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病区毒麻精使用登记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具备毒麻精药品的未登记信息的查询功能，可按照发药时间、发药药房、执行时间等进行毒麻精药品的查询。</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具备在查询的基础上进行毒麻精药品的使用信息登记。</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具备根据毒麻精药品的使用量自动计算余量。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具备已登记毒麻精药品的查看、作废、打印功能。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具备按照待登记、已作废、已过期等状态进行毒麻精药品的查询。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医嘱查询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具备患者医嘱的总览查看功能，可以按照多种条件进行医嘱的查询。同时能在医嘱查询时同屏查看医嘱的费用信息、发药记录、执行计划等。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具备变更医嘱的统一查询功能，以便于用户快速的了解当天的医嘱变化。</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医技报告/手术信息查看</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具备检验、检查报告的查看功能，可按医嘱模式或报告模式进行查看。</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具备按照时间、报告类别、报告单号、送检医生、送检科室等条件进行医技报告的查看。</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支持与检验系统对接，对患者的历次检验结果进行趋势分析。</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具备手术信息的查看功能，可按照申请日期、申请科室、住院号、手术名称、排程状态等条件进行手术信息的筛选。</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住院护士危急值预警提醒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危急值是影响患者病情的重要指标，系统需支持危急值管理流程，当患者有危急值时能在护士站及时接收并进行通知医生操作。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具备查看病区危急值的信息及处理情况，包括发布信息、患者信息、危急值内容、接收反馈信息、上报信息。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具备在接收到危急值后进行用户名、密码的校验。</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住院护士排班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护理排班系统需提供手动排班和自动排班，提高护士长排班效率，帮助护理部了解各病区的排班情况以及人力资源配置是否合理。</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班次设置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具备维护病区特殊排班班次与全院通用班次功能。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具备冬令/夏令班次时间段切换功能。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具备按照不同的管理单元进行班次的启用功能。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具备排班班次颜色设置功能。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具备夜班费计算系数设置功能。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具备弹性班次设置功能。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班组设置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具备按班组进行护理排班功能，并按照班组护士进行责任床位安排。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具备多个科室合并排班功能。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具备单个科室拆分排班功能。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假期维护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具备节假日维护功能。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具备排班显示节假日功能。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护理排班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具备规培护士、实习护士、正式护士排班功能。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具备自动同步上周排班表，可参照上周排班情况完成本次排班功能。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具备显示班组内各护士的责任床位和代管床位,并可对床位进行调整功能。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具备排班前录入护士个人意愿功能，并在排班时提示排班者。</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具备排班界面展示影响到排班的信息概要功能，包括班次、人员、工时。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具备护士进行个人的调换班申请功能。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具备排班管理者对调换班申请进行审批功能，审批通过后直接更新排班表。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具备排班界面进行人员班组调整功能，并直接更新调整后的人员分组。</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具备实习护士带教排班功能。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具备预设模板并按照模板排班功能。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具备自由复制排班区域进行粘贴排班功能。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备班排班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具备备班排班功能。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当日主管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具备按照日期进行每日主管人员的安排功能。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公积休计算</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具备每周额定工时休改，并能按照额定工时计算护士公积休功能。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具备护士公积休初始化功能。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具备护士进行加班申请并根据申请计算公积休功能。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调换班申请/审批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具备护士在排班后申请调换班的功能。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具备护士长对调换班申请进行审批，并支持审批后更新排班表的功能。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人员请假申请审批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具备护士请假申请功能。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具备护士长对护士请假进行审批，并自动更新排班表功能。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加班申请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具备护士线上登记个人加班情况功能。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具备护士长审批护士的加班申请功能。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具备加班申请通过，在排班表上显示功能。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弹性排班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具备排班后弹性班次筛选功能。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具备进行弹性班次排班后上班时间的修改功能。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排班查询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具备工作时长、公休天数、补休天数、周休天数统计功能。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具备护士查看个人排班情况功能。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具备管理人员查看负责科室排班情况以及排班人员分布情况功能。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具备管理人员查看在岗人员情况功能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具备管理人员查看病区床护比/护患比功能。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具备夜班费计算功能。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病区集中配液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提供护士集中配药管理功能，包药品核对、药品配置与查询。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支持与扫码枪对接，实现扫码核对药品，可识别到药品并展示具体的药品信息进行药品核对。可扫码配置药品，识别到药品并展示具体的药品信息进行药品配置。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具备药品配置核对查询功能，可以按照患者状态、长临标识、摆药状态等条件查询药品信息。</w:t>
            </w:r>
          </w:p>
          <w:p>
            <w:pPr>
              <w:pStyle w:val="3"/>
              <w:numPr>
                <w:ilvl w:val="1"/>
                <w:numId w:val="3"/>
              </w:numPr>
              <w:spacing w:before="0" w:after="0" w:line="288" w:lineRule="auto"/>
              <w:rPr>
                <w:rFonts w:eastAsia="宋体" w:cs="Arial"/>
                <w:sz w:val="21"/>
                <w:szCs w:val="21"/>
                <w:highlight w:val="none"/>
              </w:rPr>
            </w:pPr>
            <w:bookmarkStart w:id="59" w:name="_Toc17315"/>
            <w:r>
              <w:rPr>
                <w:rFonts w:eastAsia="宋体" w:cs="Arial"/>
                <w:sz w:val="21"/>
                <w:szCs w:val="21"/>
                <w:highlight w:val="none"/>
              </w:rPr>
              <w:t>护理病历信息系统</w:t>
            </w:r>
            <w:bookmarkEnd w:id="59"/>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护理文书书写</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需支持对病区护理文书模板搜索，可基于护理文书模板进行新建文书等相关操作，如创建、修改、编辑等，模板应覆盖护理各项工作，包括评估类表单、记录类表单、通用体温单、文本类表单等。</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结构化电子病历录入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具备当前病区护理文书模板搜索功能，支持批量创建多个护理文书模板。包括评估类表单、记录类表单、通用体温单、文本类表单等模板。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具备以护理文书大类对已建文书进行筛查功能，默认选择全部护理文书大类。</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具备以护理文书大类文件夹形式展示当前患者已建文书列表功能。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具备切换患者后，同步当前患者已建文书信息功能。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具备文书暂存功能，支持展示草稿状态下护理文书记录，继续编辑文书操作。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具备护理文书项录入配置功能，包括体温、体重、呼吸、脉搏、血压、氧饱和度、血糖（空腹、餐前、餐后）、出入量、各类评估单等。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具备护理文书项数据校验规则配置功能，校验规则包括上下限、预警值、数据格式，在格式错误时系统会自动提示，确保患者数据的准确性。</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具备对患者住院期间产生的医疗数据根据配置的校验规则进行校验并自动提醒功能。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支持与CA对接，实现电子签名认证功能。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具备护理文书模板维护功能，可自主维护护理文书模板。</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评估类表单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具备入院评估单级联录入功能，如皮肤状况正常无弹出，异常弹出皮肤录入项，并可选择录入操作。</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具备入院评估场景中不同评估单内嵌功能，填写完成并提交后将总分数自动带入。</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具备入院评估单基本信息录入功能，包括患者入院时间、入院方式、民族、职业、文化程度、婚姻、既往史、过敏史等信息。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具备体征数据同步功能，在护理记录单、入院评估单里录入的体征数据，可以同步到体温单。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具备数据引用功能，可引用患者体征数据、护理模板。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具备评估单新建、删除/作废、编辑以及查询功能，含通用十大类评估量表，痛疼专科、压疮专科等。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具备评估单评估展示功能，以页签形式打开，以表单形式展示。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具备评估单历史详情查看功能，包括开始时间和截止时间筛查，默认查询全部，根据记录时间倒序展示、评估单历史明细分页展示功能。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具备评估单结果实时展示功能，包括勾选评估选项时，实时计算评估结果并提示在评估结果组件上。</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记录类表单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具备记录单新建、删除/作废、编辑以及查询功能。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具备记录单展示功能，以页签形式打开，以纵向或横向表格形式展示，支持开始时间和截止时间筛查，默认查询全部，根据记录时间倒序展示。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具备记录单历史详情查看功能，包括开始时间和截止时间筛查，默认查询全部，根据记录时间倒序展示。</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具备记录单出入量等信息添加行操作，对于空行数据删除功能。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具备数据引用操作功能，数据引用包括体征引用以及护理模板引用。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具备插入操作功能，插入包括插入小结和插入总结。</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体征管理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具备体温单记录新建、删除/作废、编辑功能。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具备体征异常警示范围上下限设定，录入超过范围可进行提醒的功能。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具备按体温单记录开始时间和截止时间筛查体温单，并按记录时间倒序展示。默认显示全部。</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具备同步体温单功能，可将患者体温信息同步，包括护理记录单体温数据、患者入区登记体温数据同步至体温单中。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具备体温单上自定义项目数据同步功能。（例：胸腔引流液同步到体温单的自定义项中）。</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具备体温单上下标事件新建、删除、编辑以及查询功能。事件类型包括入院、出院、转科、转出、转入、手术、分娩、出生等。可查看事件记录事件、事件时间点、是否隐藏、事件来源等信息。</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具备体温单记录数据实时渲染到体温表单中功能。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具备体温单渲染分页切换以及打印预览功能。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文本类表单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具备文本类表单新建、删除/作废、编辑功能，包括各类知情同意书、健康教育、饮食指导等文书类表单。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出入量计算</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具备护理记录单中的所有入量项目和出量项目（小结、总结）结算功能。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具备出入量所结算结果同步给体温单功能。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护士集中工作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具备对指定病区患者进行集中体温记录，可以设定体温记录的时间点具备血糖单集中录入。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具备录入多个患者的同一个时间点的血糖记录单功能。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具备危重护理记录单集中录入功能。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具备录入多个患者的同一个时间点的一般护理记录单。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具备录入多个患者同一个时间点的危重护理记录单。</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护理文书书写助手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具备书写评估单、记录单时调用书写助手辅助文书书写。</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具备患者就诊记录数据查看与引用，包括医嘱信息、护理文书书写模板、检验检查数据以、体征信息。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具备引用病区设定的护理措施模版。</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具备引用检验包括，支持按今日、昨日、3天内、7天内查询。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具备引用检查包括，支持按今日、昨日、3天内、7天内查询。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具备引用医嘱内容，可按长期、临时、有效查询，支持引用格式设定。</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具备书写文书时，通过书写助手引用特殊字符。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具备书写文书时，引用医生病历记录，包括本次病历及历史病历。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具备引用手麻文书记录，包括总输液量、总书写量、总失血量、总尿量。</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护理文书阅改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具备配置权限给护理部主任、科护士长、病区护士长等进行病历阅改、并记录阅改签名。</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具备在有权限的用户（护理部主任、科护士长、病区护士长）阅改修改时，记录阅改修改的痕迹。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具备根据表单类别筛选存在未阅改的护理病历。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具备根据患者维度筛选该患者存在未阅改的护理病历。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具备对于同一类文书的多个患者进行切换阅改。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具备护理部主任、科护士长、病区护士长查看对同一类文书的多个患者的阅改修改留痕记录进行查看。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具备在阅改界面新增护理记录，直接修改阅改内容，并在阅改界面标记修改的内容。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具备筛选存在阅改修改留痕记录的护理文书记录。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具备根据用户需求渲染阅改界面，阅改界面渲染模式支持可配置。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具备对同一份文书的多条记录进行批量阅改功能。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具备对文书的单条记录进行阅改。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具备已经阅改的文书可配置职级权限，支持职级高的对已阅改内容进行再次修改阅改。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具备护理部主任、科护士长、病区护士长查看护理病历、医嘱、住院病历、医技报告信息，辅助进行病历阅改功能。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具备对于已经阅改的记录进行单条撤销阅改。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具备对于已经阅改的记录进行批量撤销阅改。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具备记录撤销阅改病历的签名记录。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具备对于已经撤销阅改的内容，在护理病历修改。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具备配置职级权限，无需撤销阅改即可为已经阅改的文书支持职级高的对已阅改内容进行再次修改阅改。</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护理文书查询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具备查询患者本病区患者出入院情况功能。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具备查询高危压疮病人评估情况功能。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具备查询高危跌倒病人评估情况功能。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具备查询导管滑脱病人评估情况功能。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具备查询高危疼痛病人评估情况功能。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具备查询患者历次护理文书情况功能。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具备查询患者患者异常体征情况功能。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具备查询患者待执行体征记录功能。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具体查询患者待评估记录功能。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护士交班管理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具备自动获取患者的主诉、既往史信息，患者最新各类评估分数与风险等级、患者最新体温、脉搏、心率、呼吸信息，并自动生成患者交接记录功能。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支持护士根据病区管理需要，自主设置病区交班内容，包括交接的患者分类统计、药品交接、物品交接等，需支持多模式交班，自动生成统计数据和交班数据，支持引用患者医嘱、病历、报告、模板相关内容快速完成交接报告书写。</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具备交接单设置功能，根据临床科室病区需求和班次设置个性化交班单内容。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具备患者交接签名批量签名功能。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具备手动修改交接班内容功能。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具备普通交接班和SBAR交接班两种模式，并能够进行切换功能。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具备交接报告书写功能，可录入各类交班信息形成交班报告书。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具备患者交接信息自动获取功能，可自动生成SBAR交接班的现状、背景、评估、建议的患者交接信息。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具备调用各类信息功能，在SBAR交接时，支持查看并引用患者医嘱、检验、检查、病历信息。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具备交班报告书写及打印功能。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具备书写护理记录单时，可将病情观察措施同步至交班报告中。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具备交接班设置功能，包括根据排班节点设置交接班节点、不同交接班节点匹配不同的交班单模板、批量设置通用交接班内容和模板、临床机构特殊性个性化设置交接班内容和模板。</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区交接班设置功能，包括班次、班次签名是否允许撤销、患者签名是否允许撤销、药品签名显示、药品签名是否允许撤销、物品签名是否显示、物品签名是否允许撤销、排班交班允许撤销时间设置、是否启用组内交班、组内交接签名是否允许撤销、组内患者交接签名是否允许撤销、组内交班允许撤销时间设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具备病区统计设置功能，包括交接班统计标签、显示名称、统计标签编码、交班类型等设置，患者类型统计信息自动获取。</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具备病区药品设置功能，包括药品名称、药品编码、药品数量、药品规格、药品描述等设置。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具备病区物品交接设置功能，包括物品名称、物品编码、物品数量、物品包装规格等设置。</w:t>
            </w:r>
          </w:p>
          <w:p>
            <w:pPr>
              <w:pStyle w:val="3"/>
              <w:numPr>
                <w:ilvl w:val="1"/>
                <w:numId w:val="3"/>
              </w:numPr>
              <w:spacing w:before="0" w:after="0" w:line="288" w:lineRule="auto"/>
              <w:rPr>
                <w:rFonts w:eastAsia="宋体" w:cs="Arial"/>
                <w:sz w:val="21"/>
                <w:szCs w:val="21"/>
                <w:highlight w:val="none"/>
              </w:rPr>
            </w:pPr>
            <w:bookmarkStart w:id="60" w:name="_Toc18174"/>
            <w:r>
              <w:rPr>
                <w:rFonts w:eastAsia="宋体" w:cs="Arial"/>
                <w:sz w:val="21"/>
                <w:szCs w:val="21"/>
                <w:highlight w:val="none"/>
              </w:rPr>
              <w:t>护理计划信息系统</w:t>
            </w:r>
            <w:bookmarkEnd w:id="60"/>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护理计划管理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具备护理计划管理功能，包括护理评估、护理问题、护理目标、护理措施、护理评价、护理计划模块知识库、护理措施智能提醒。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具备护理计划的执行、停止、评价、取消评价、作废功能。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具备根据评估结果推荐护理问题功能。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具备根据护理问题，联动生成护理目标、措施功能，在护理计划列表中展示，护理措施由体征测量、护理评估、健康宣教、护理措施组成。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具备对护理计划单进行打印、预览功能。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具备护理计划模板设置功能，包括：护理问题、护理目标、护理措施。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具备风险评估、体温、入区、医嘱触发护理计划规则设置功能。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具备护理评估标准设定功能。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护理计划联动规则管理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具备护理计划联动规则管理功能，包括压疮评估联动、跌倒评估联动、自理能力评估联动、管道滑脱评估联动、入院宣教联动、手术宣教联动、检查宣教联动、饮食宣教联动。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具备通过入院评估和风险评估，智能提示建议护理问题，护士根据病人病情选择护理问题，生成到护理计划中功能。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具备风险评估趋势图展示功能。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具备高危压疮、高危跌倒、高危自理能力、高危管道滑脱、体温大于38度可以触发护理计划功能。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护理计划统计分析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具备科室常见护理诊断统计查询功能。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具备护理计划执行情况统计查询功能。</w:t>
            </w:r>
          </w:p>
          <w:p>
            <w:pPr>
              <w:pStyle w:val="2"/>
              <w:numPr>
                <w:ilvl w:val="0"/>
                <w:numId w:val="3"/>
              </w:numPr>
              <w:spacing w:before="0" w:after="0" w:line="288" w:lineRule="auto"/>
              <w:rPr>
                <w:rFonts w:ascii="Arial" w:hAnsi="Arial" w:cs="Arial"/>
                <w:sz w:val="21"/>
                <w:szCs w:val="21"/>
                <w:highlight w:val="none"/>
              </w:rPr>
            </w:pPr>
            <w:bookmarkStart w:id="61" w:name="_Toc4745"/>
            <w:bookmarkStart w:id="62" w:name="_Toc31336"/>
            <w:r>
              <w:rPr>
                <w:rFonts w:ascii="Arial" w:hAnsi="Arial" w:cs="Arial"/>
                <w:sz w:val="21"/>
                <w:szCs w:val="21"/>
                <w:highlight w:val="none"/>
              </w:rPr>
              <w:t>医技管理</w:t>
            </w:r>
            <w:bookmarkEnd w:id="61"/>
            <w:bookmarkEnd w:id="62"/>
          </w:p>
          <w:p>
            <w:pPr>
              <w:pStyle w:val="3"/>
              <w:numPr>
                <w:ilvl w:val="1"/>
                <w:numId w:val="3"/>
              </w:numPr>
              <w:spacing w:before="0" w:after="0" w:line="288" w:lineRule="auto"/>
              <w:rPr>
                <w:rFonts w:eastAsia="宋体" w:cs="Arial"/>
                <w:sz w:val="21"/>
                <w:szCs w:val="21"/>
                <w:highlight w:val="none"/>
              </w:rPr>
            </w:pPr>
            <w:bookmarkStart w:id="63" w:name="_Toc14760"/>
            <w:r>
              <w:rPr>
                <w:rFonts w:eastAsia="宋体" w:cs="Arial"/>
                <w:sz w:val="21"/>
                <w:szCs w:val="21"/>
                <w:highlight w:val="none"/>
              </w:rPr>
              <w:t>医学影像管理与通讯系统</w:t>
            </w:r>
            <w:bookmarkEnd w:id="63"/>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PACS服务器软件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PACS服务器管理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所投产品必须已获得医疗器械注册证，且证书在有效期内。 </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企业管理器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具备PACS服务器软件B/S架构中心化管理功能。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支持双机或多机集群负载均衡、冗余架构、超融合架构。</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具备DICOM格式图像文件多种格式导出功能。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具备存储系统负荷统计功能。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具备不停服在线添加DICOM影像设备功能。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具备账户安全管理，用户密码管理，通过系统权限进行账户分级管理功能。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DICOM Storage服务</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支持包括硬盘冗余阵列、存储局域网络、网络存储，对象存储在内的存储介质。</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支持全在线存储模式，即短期在线存储+归档存储模式。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具备智能入库功能，历史影像和当日影像按规则分级入库。</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具备根据用户优先级设置访问不同性能影像存储的功能。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数据流服务</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具备设置影像存储“水线”功能，对在线存储数据量进行临界限制。</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具备调阅路由管理功能，根据影像数据所在的存储设备性能，提供最佳的调阅路径。</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具备影像数据备份管理功能，自动对在线影像数据做异机备份。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具备影像在线数据恢复功能。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具备影像数据自动转移功能。</w:t>
            </w:r>
          </w:p>
          <w:p>
            <w:pPr>
              <w:pStyle w:val="6"/>
              <w:numPr>
                <w:ilvl w:val="4"/>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QR服务</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具备DICOM 3.0 Query/Retrieve Service Class Provider（DICOM Q/R SCP）功能。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具备Patient和study级别的查询检索功能。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具备通过影像号、条码号、患者姓名、检查日期等复合条件查询影像数据功能。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设备联机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支持通过视频采集卡获取影像设备的非模拟影像数据。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具备WorkList设备集成功能。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支持接入符合DICOM3.0标准的影像设备和影像工作站。</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支持接收非DICOM3.0标准接口影像设备或影像工作站，并转换成符合DICOM3.0格式标准的影像数据。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具备不停止服务状态下在线添加DICOM影像设备功能。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影像后处理软件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具备影像多屏显示、多序列显示功能。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具备用户自定义悬挂协议，并根据检查部位自动选用合适的挂片协议功能。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具备患者历史影像数据对比功能，包括自动同步、手动同步和克隆对比。</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具备智能的空间定位功能，即可在定位图上选择截面，又可根据截面位置在定位图上进行定位。</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具备自动播放患者检查影像数据功能，播放速度、播放顺序用户可调。</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具备长度、角度、面积、周长、像素值测量、心胸比测量功能。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具备长方形、椭圆形和不规则状测量功能。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具备图像放大、缩小、移动、镜像、任意旋转、窗宽及窗位线性调整和非线性调整功能。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具备伪彩功能。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具备工具栏动态调整功能。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具备图像的自动拼接功能。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具备在会诊模式下，会诊双方影像数据同步操作功能。会诊双方图像调节能保持实时同步，图像窗宽窗位、大小、移动位置、行列布局、图像标准显示效果完全一致。</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具备线条、矩形、多边型、椭圆、角度、文本注解功能。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具备心血管造影、介入治疗影像数据处理功能。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具备动态播放DSA动态影像数据功能。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具备自定义播放速度，暂停、快进功能。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具备动态影像数据循环播放模式，循环播放，往复播放功能。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具备蒙版功能，自动删减非关键位置影像，突出血管影像。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具备JPEG格式、BMP格式及AVI不同格式的影像导出功能。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具备影像截图保存功能。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具备所见即所得的DICOM打印功能，可拼图打印、剪裁打印、真实尺寸打印。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具备选择影像后，在系统内进行窗宽、窗位调整、GAMMA校正、亮度对比度调整、标注和测量结果均可应用到胶片上功能。</w:t>
            </w:r>
          </w:p>
          <w:p>
            <w:pPr>
              <w:pStyle w:val="3"/>
              <w:numPr>
                <w:ilvl w:val="1"/>
                <w:numId w:val="3"/>
              </w:numPr>
              <w:spacing w:before="0" w:after="0" w:line="288" w:lineRule="auto"/>
              <w:rPr>
                <w:rFonts w:eastAsia="宋体" w:cs="Arial"/>
                <w:sz w:val="21"/>
                <w:szCs w:val="21"/>
                <w:highlight w:val="none"/>
              </w:rPr>
            </w:pPr>
            <w:bookmarkStart w:id="64" w:name="_Toc31139"/>
            <w:r>
              <w:rPr>
                <w:rFonts w:eastAsia="宋体" w:cs="Arial"/>
                <w:sz w:val="21"/>
                <w:szCs w:val="21"/>
                <w:highlight w:val="none"/>
              </w:rPr>
              <w:t>放射检查信息系统</w:t>
            </w:r>
            <w:bookmarkEnd w:id="64"/>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预约登记工作站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支持与院内业务系统对接，实现查看门诊、住院及体检的检查申请单。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支持电子申请单的存档、打印。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具备检查预约排班信息管理功能。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具备按检查预约排班进行预约和取消功能。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具备每日最大预约数上限管理功能。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支持预约回执单打印。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具备预约患者突出标识功能。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具备患者信息手工登记功能。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具备患者列表筛选查找功能。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具备对患者费用确认、退费、补费等操作功能。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具备登记环节留言功能。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具备VIP患者、绿色通道功能。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技师工作站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支持按队列呼叫检查患者功能。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具备呼叫患者、暂停检查、重新广播、呼叫家属功能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具备同一患者多次检查条码合并功能。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具备患者费用确费、补费功能。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具备已检查、未检查人数实时统计功能。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支持检查申请单查看。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具备一台技师工作站控制多个队列功能。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具备根据患者身高年龄自动计算造影剂用量功能。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条码流程管理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具备预约单条形码打印功能。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具备登记/签到分诊单条形码打印的功能。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具备患者检查上机前条形码扫码验证获取患者信息功能。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具备检查完成后检查回执单条形码打印功能。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报告管理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检查报告处理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具备根据患者个人信息、检查信息进行检索，并打开检查记录进行报告书写功能。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具备报告编辑中锁定功能。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具备急诊及危急患者在报告列表中优先排列功能。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具备登记及技师留言查看功能。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具备电子申请单查看功能。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具备报告编辑区域放大缩小、明暗度调整、上下角标标记功能。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具备报告打印自动缩页，无需手动调整功能。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具备报告书写展现所见即所得预览，打印与当前展示页面完全一致功能。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具备报告自动保存功能。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支持与CA对接，实现报告电子签名功能。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 xml:space="preserve">具备修改痕迹对比及修改记录查看功能。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具备报告驳回功能，并可录入报告驳回原因功能。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具备向报告医生发送报告被驳回（审核不通过）消息提醒。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具备向报告医生发送报告超时提醒。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具备向审核医生发送报告再次提交消息提醒。</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专家模版库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提供普放、CT、MR、DSA及其他检查类型专家模板。</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具备按照患者检查项目自动匹配对应报告模板功能。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具备医生编辑与收藏报告模板功能。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具备管理员编辑、添加报告公有模板功能。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具备在同一份报告中追加或替换专家模板功能。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放射危急值提醒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具备对报告中出现的危急值进行判断并提示功能。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具备根据医院需求对危急值字段配置功能。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查询统计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具备多维度统计查询及导出功能。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具备快捷查询（姓名、性别、日期等）及高级查询两种查询功能。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报告集中打印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具备批量打印报告功能。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敏感词提醒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具备敏感词词库个性化配置功能。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相关报告调阅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具备在同一检查报告页面内查看患者科内历次检查报告及图像功能。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支持与院内其他业务系统对接，实现在同一检查报告页面查看患者跨科室（超声、内镜、病理、心电、检验等）的相关检查报告及图像功能。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支持查看检查申请单、电子病历功能。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多级审核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具备多级报告审核体系功能。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具备报告审核医生对报告进行审核，并做相应修改功能。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临床报告调阅软件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支持与院内业务系统对接，实现临床调阅患者既往检查报告和影像功能。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放射质控管理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具备对放射报告的质量控制功能，包括报告书写的规范性、诊断结论的准确性等。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具备对放射影像数据质量控制功能，可对技师拍摄的影像数据根据甲、乙、丙、废等级进行评分。</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具备查询与统计功能。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支持按照质控管理规范要求对放射科数据进行综合质控功能。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临床危急值推送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支持将危急值推送给临床工作站并接收临床危急值处理反馈信息。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支持危急值上传后，临床未及时接收提醒功能。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分诊叫号管理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支持排队叫号一体化系统集成。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具备自动、半自动分诊模式。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具备患者（急诊患者、VIP患者、预约患者）三级优先级功能。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具备在患者登记完成后打印分诊单功能。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具备根据检查类型、检查机房的对应关系，自动进入相应队列功能。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具备语音播放功能。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具备将屏幕自定义分割成多个区域，分别显示不同队列的信息功能。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具备急诊患者姓名颜色突显功能。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具备患者姓名脱敏显示功能。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具备当前播报患者大屏幕突显功能。</w:t>
            </w:r>
          </w:p>
          <w:p>
            <w:pPr>
              <w:pStyle w:val="3"/>
              <w:numPr>
                <w:ilvl w:val="1"/>
                <w:numId w:val="3"/>
              </w:numPr>
              <w:spacing w:before="0" w:after="0" w:line="288" w:lineRule="auto"/>
              <w:rPr>
                <w:rFonts w:eastAsia="宋体" w:cs="Arial"/>
                <w:sz w:val="21"/>
                <w:szCs w:val="21"/>
                <w:highlight w:val="none"/>
              </w:rPr>
            </w:pPr>
            <w:bookmarkStart w:id="65" w:name="_Toc25077"/>
            <w:r>
              <w:rPr>
                <w:rFonts w:eastAsia="宋体" w:cs="Arial"/>
                <w:sz w:val="21"/>
                <w:szCs w:val="21"/>
                <w:highlight w:val="none"/>
              </w:rPr>
              <w:t>超声检查信息系统</w:t>
            </w:r>
            <w:bookmarkEnd w:id="65"/>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检查预约及登记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支持与院内业务系统对接，实现查看门诊、住院及体检的检查申请单。</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支持电子申请单的存档，打印功能。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支持检查预约排班信息管理。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支持按检查预约排班进行预约和取消功能。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具备每日最大预约数上限管理功能。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支持预约回执单打印。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具备预约患者突出标识功能。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具备患者信息手工登记功能。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具备患者列表筛选查找功能。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具备对患者费用确认、退费、补费等操作功能。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具备登记环节留言功能。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具备VIP患者、绿色通道功能。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超声设备联机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具备NTSC、PAL、S-Video、RGB视频信号采集功能。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具备标准DICOM格式影像数据传输功能。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报告管理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检查报告处理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具备根据患者个人信息、检查信息进行检索，并打开检查记录进行报告书写功能。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具备报告编辑中锁定功能。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具备急诊及危急患者在报告列表中优先排列功能。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具备登记及技师留言查看功能。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具备电子申请单查看功能。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具备报告编辑区域放大缩小、明暗度调整、上下角标标记功能。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具备报告打印自动缩页，无需手动调整功能。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具备报告书写展现所见即所得预览，打印与当前展示页面完全一致功能。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具备报告自动保存功能。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支持与CA对接，实现报告电子签名功能。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 xml:space="preserve">具备修改痕迹对比及修改记录查看功能。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具备报告驳回功能，并可录入报告驳回原因功能。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具备向报告医生发送报告被驳回（审核不通过）消息提醒。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具备向报告医生发送报告超时提醒。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具备向审核医生发送报告再次提交消息提醒。</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专家模板库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提供彩超、黑白超及其他检查类型模板库。</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具备按照患者检查项目自动匹配对应报告模板功能。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具备医生编辑与收藏报告模板功能。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具备管理员编辑、添加报告公有模板功能。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具备在同一份报告中追加或替换专家模板功能。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临床图文报告调阅管理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支持通过与院内业务系统对接，实现临床调阅患者既往检查报告。</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图像管理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具备单帧视频图像采集：NTSC、PAL、S-Video、RGB等视频信号采集功能，图像格式可为JPG、DICOM、bmp等格式，并可对图像进行处理。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具备动态视频采集功能，视频格式可为AVI、MP4等。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具备影像数据导出功能。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具备同步或者异步采集图像功能。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具备对采集的影像数据进行后处理，包括影像数据质量调整、裁剪、标注、测量功能。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具备对采集到的影像数据进行平铺以及采集顺序的调整功能。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具备超声图像采集界面以1/4大小悬浮在医生报告窗口，在系统中影像数据的捕捉和录制功能。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支持与设备对接，通过手持或者脚踏的方式获取患者影像数据功能。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统计查询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具备多维度统计查询及导出功能。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具备快捷查询（姓名、性别、日期等）及高级查询两种查询功能。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超声危急值提醒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具备对报告中出现的危急值进行判断并提示功能。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具备根据医院需求对危急值字段配置功能。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敏感词提醒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具备敏感词词库个性化配置功能。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相关报告调阅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具备在同一检查报告页面内查看患者科内历次检查报告及图像功能。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支持同一检查报告页面内查看患者跨科室（放射、内镜、病理、心电、检验等）的相关检查报告及图像功能。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支持查看检查申请单、电子病历功能。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临床危急值推送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支持将危急值推送给临床工作站并接收临床危急值处理反馈信息。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支持危急值上传后，临床未及时接收提醒功能。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分诊工作站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支持排队叫号一体化系统集成。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具备自动半自动分诊模式。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具备患者（急诊患者、VIP患者、预约患者）三级优先级功能。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具备在患者登记完成后打印分诊单功能。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具备根据检查类型、检查机房的对应关系，自动进入相应队列功能。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具备语音播放功能。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具备将屏幕自定义分割成多个区域，分别显示不同队列的信息功能。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具备急诊患者姓名颜色突显功能具备患者姓名脱敏显示功能。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具备当前播报患者大屏幕突显功能。</w:t>
            </w:r>
          </w:p>
          <w:p>
            <w:pPr>
              <w:pStyle w:val="3"/>
              <w:numPr>
                <w:ilvl w:val="1"/>
                <w:numId w:val="3"/>
              </w:numPr>
              <w:spacing w:before="0" w:after="0" w:line="288" w:lineRule="auto"/>
              <w:rPr>
                <w:rFonts w:eastAsia="宋体" w:cs="Arial"/>
                <w:sz w:val="21"/>
                <w:szCs w:val="21"/>
                <w:highlight w:val="none"/>
              </w:rPr>
            </w:pPr>
            <w:bookmarkStart w:id="66" w:name="_Toc3045"/>
            <w:r>
              <w:rPr>
                <w:rFonts w:eastAsia="宋体" w:cs="Arial"/>
                <w:sz w:val="21"/>
                <w:szCs w:val="21"/>
                <w:highlight w:val="none"/>
              </w:rPr>
              <w:t>内镜检查信息系统</w:t>
            </w:r>
            <w:bookmarkEnd w:id="66"/>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检查预约及登记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支持与院内业务系统对接，实现查看门诊、住院及体检的检查申请单。</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支持电子申请单的存档，打印功能。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支持检查预约排班信息管理。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支持按检查预约排班进行预约和取消功能。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具备每日最大预约数上限管理功能。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支持预约回执单打印，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具备预约患者突出标识功能。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具备患者信息手工登记功能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具备患者列表筛选查找功能。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具备对患者费用确认、退费、补费等操作功能。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具备登记环节留言功能。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具备VIP患者、绿色通道功能。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报告管理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检查报告处理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具备根据患者个人信息、检查信息进行检索，并打开检查记录进行报告书写功能。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具备报告编辑中锁定功能。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具备急诊及危急患者在报告列表中优先排列功能。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具备登记及技师留言查看功能。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具备电子申请单查看功能。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具备报告编辑区域放大缩小、明暗度调整、上下角标标记功能。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具备报告打印自动缩页，无需手动调整功能。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具备报告书写展现所见即所得预览，打印与当前展示页面完全一致功能。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具备报告自动保存功能。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支持与CA对接，实现报告电子签名功能。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 xml:space="preserve">具备修改痕迹对比及修改记录查看功能。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具备报告驳回功能，并可录入报告驳回原因功能。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具备向报告医生发送报告被驳回（审核不通过）消息提醒。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具备向报告医生发送报告超时提醒。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具备向审核医生发送报告再次提交消息提醒。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具备胃镜、肠镜采集图像图注与示意图位置自动匹配。</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具备在示意图上标记位置，所选图像自动显示图注。</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专家模板库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提供胃镜、肠镜及其他检查类型模板库。</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具备按照患者检查项目自动匹配对应的报告模板功能。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具备根据医生个人喜好编辑、添加、调整报告私有模板功能。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具备主任医生及管理员编辑、添加、调整报告公有模板功能。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具备一个或多个专家模板插入到报告中，插入方式有新增和追加两种功能。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临床图文报告调阅管理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支持通过与院内业务系统对接，实现临床调阅患者既往检查报告。</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内镜危急值提醒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具备对报告中出现的危急值进行判断并提示功能。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具备根据医院需求对危急值字段配置功能。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敏感词提醒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具备敏感词词库个性化配置功能。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相关报告调阅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具备在同一检查报告页面内查看患者科内历次检查报告及图像功能。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支持与其他业务系统对接，实现同一检查报告页面内查看患者跨科室（放射、超声、病理、心电、检验等）的相关检查报告及图像功能。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支持查看检查申请单、电子病历功能。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查询统计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具备多维度统计查询及导出功能。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具备快捷查询（姓名、性别、日期等）及高级查询两种查询功能。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图像采集 </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具备单帧视频图像采集功能：包括：NTSC、PAL、S-Video、RGB等。图像格式可为JPG、DICOM、bmp等格式。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具备图像处理功能。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具备动态视频采集功能，视频格式可为AVI、MP4等。</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具备手动影像数据备份功能：手工对所需刻录的影像数据资料进行备份。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具备同步或者异步采集图像功能。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具备对采集的影像数据进行后处理功能，包括影像数据质量调整、裁剪、标注、测量。</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具备对采集到的影像数据进行平铺以及采集顺序的调整功能。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具备内镜图像采集界面以1/4大小悬浮在医生报告窗口功能，并可对系统中影像数据进行捕捉和录制。</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支持与设备对接，通过手持或者脚踏的方式获取患者影像数据功能。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临床危急值推送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支持将危急值推送给临床工作站并接收临床危急值处理反馈信息。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支持危急值上传后，临床未及时接收提醒功能。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排队叫号管理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支持排队叫号一体化系统集成。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具备自动半自动分诊模式。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具备患者（急诊患者、VIP患者、预约患者）三级优先级功能。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具备在患者登记完成后打印分诊单功能。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具备根据检查类型、检查机房的对应关系，自动进入相应队列功能。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具备语音播放功能。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具备将屏幕自定义分割成多个区域，分别显示不同队列的信息功能。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具备急诊患者姓名颜色突显功能具备患者姓名脱敏显示功能。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具备当前播报患者大屏幕突显功能。</w:t>
            </w:r>
          </w:p>
          <w:p>
            <w:pPr>
              <w:pStyle w:val="3"/>
              <w:numPr>
                <w:ilvl w:val="1"/>
                <w:numId w:val="3"/>
              </w:numPr>
              <w:spacing w:before="0" w:after="0" w:line="288" w:lineRule="auto"/>
              <w:rPr>
                <w:rFonts w:eastAsia="宋体" w:cs="Arial"/>
                <w:sz w:val="21"/>
                <w:szCs w:val="21"/>
                <w:highlight w:val="none"/>
              </w:rPr>
            </w:pPr>
            <w:bookmarkStart w:id="67" w:name="_Toc4689"/>
            <w:r>
              <w:rPr>
                <w:rFonts w:eastAsia="宋体" w:cs="Arial"/>
                <w:sz w:val="21"/>
                <w:szCs w:val="21"/>
                <w:highlight w:val="none"/>
              </w:rPr>
              <w:t>病理检查信息系统</w:t>
            </w:r>
            <w:bookmarkEnd w:id="67"/>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登记及收费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支持与院内业务系统对接，实现查看门诊、住院及体检的检查申请单。</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支持电子检查申请单的存档、打印功能。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具备患者信息手工登记功能。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具备患者“同名检索”，并展示关键信息协助患者匹配功能。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具备病理号规则自定义、升号、手动修改和删除后回收等功能。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具备术中冰冻检查的术后常规检查病例匹配和登记功能。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支持已发布报告在登记工作站打印。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支持门诊病人登记回执单打印。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具备对患者费用确认、退费、补费等操作功能。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具备登记环节留言功能。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具备VIP患者、绿色通道功能。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病理取材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具备已登记的未取材和已取材病例列表筛选查找功能。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具备补重取医嘱列表筛选查找功能。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具备关联的冰冻检查记录查看功能，可查看冰冻检查取材明细记录和报告结果功能。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具备术后常规病理检查自动导入术中冰冻病理检查的取材明细记录功能。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具备取材病例与取材记录员对应功能。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具备当日取材材块总数统计展示功能。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支持包埋盒打印。</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图像采集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支持与大体成像设备系统的对接，实现大体图像的获取。</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支持与光学显微镜对接，实现镜下图像的采集。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具备已采集图像后处理功能，包括：导入、放大、裁剪、标注等。</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报告管理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检查报告处理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具备根据患者个人信息、检查信息进行检索，并打开检查记录进行报告书写功能。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具备按照未书写、未完成、已完成、已超期、待审核、未打印等不同报告状态快捷查询患者报告列表功能。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具备以不同颜色标识不同病理状态的患者病例功能。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提供大、小标本的肿瘤疾病等多类别的结构化病理报告模板。</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具备按照患者检查项目自动匹配对应报告模板功能。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具备医生编辑与收藏报告模板功能。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具备管理员编辑、添加报告公有模板功能。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具备在同一份取材报告中追加或替换模板功能。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具备报告编辑中锁定功能。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具备急诊及危急患者在报告列表中优先排列功能。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具备登记及技师留言查看功能。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具备电子申请单查看功能。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具备报告编辑区域放大缩小、明暗度调整、上下角标标记功能。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具备报告打印自动缩页，无需手动调整功能。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具备报告书写展现所见即所得预览，打印与当前展示页面完全一致功能。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具备报告自动保存功能。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支持与CA对接，实现报告电子签名功能。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具备修改痕迹对比及修改记录查看功能。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具备报告驳回功能，并可录入报告驳回原因功能。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具备向报告医生发送报告被驳回（审核不通过）消息提醒。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具备向报告医生发送报告超时提醒。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具备向审核医生发送报告再次提交消息提醒。</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病理危急值提醒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具备对报告中出现的危急值进行判断并提示功能。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具备根据医院需求对危急值字段配置功能。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临床报告调阅管理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支持通过与院内业务系统对接，实现临床调阅患者既往检查报告。</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相关报告调阅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具备在同一检查报告页面内查看患者科内历次检查报告及图像功能。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支持与其他业务系统对接，实现同一检查报告页面内查看患者跨科室（放射、超声、内镜、心电、检验等）的相关检查报告及图像功能。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支持查看检查申请单、电子病历功能。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敏感词提醒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具备敏感词词库个性化配置功能。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统计报表及条件查询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具备多维度统计查询及导出功能。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具备快捷查询（姓名、性别、日期等）及高级查询两种查询功能。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多级审核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具备多级报告审核体系功能。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具备报告审核医生对报告进行审核，并做相应修改功能。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临床危急值推送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支持将危急值推送给临床工作站并接收临床危急值处理反馈信息。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支持危急值上传后，临床未及时接收提醒功能。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技术处理流程管理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组织学技术处理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具备记录脱水、包埋、切片、染色时间，操作技师以及备注功能。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具备切片条码合并及打印功能。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细胞学技术处理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具备TCT流程管理功能。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具备记录标本离心、涂片、固定以及填写相关记录功能。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具备记录标本染色时间以及染色试剂功能。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分子学技术处理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支持与分子检测平台对接，实现检测结果返回到对应病例。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特检工作站</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具备特检医嘱（免疫组化、特殊染色、分子病理等）列表展示查询功能。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具备生成包含病例信息、标记物名称等内容的免疫组化切片条码功能。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具备免疫组化医嘱的批量执行功能。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特殊检查及医嘱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具备发出内部医嘱要求功能，包括重切、深切、补取、重取等技术医嘱和免疫组化、特殊染色等特检医嘱。</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具备发出的内部医嘱在技术工作站有实时提醒功能。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具备已执行医嘱的结果录入，并将结果一键导入至报告功能。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具备医嘱结果一键导入时自定义标记物结果排序显示功能。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具备免疫组化和特殊染色等特殊检查医嘱预开单功能。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具备发出内部医嘱后匹配延迟报告原因，并发出延迟报告功能。</w:t>
            </w:r>
          </w:p>
          <w:p>
            <w:pPr>
              <w:pStyle w:val="3"/>
              <w:numPr>
                <w:ilvl w:val="1"/>
                <w:numId w:val="3"/>
              </w:numPr>
              <w:spacing w:before="0" w:after="0" w:line="288" w:lineRule="auto"/>
              <w:jc w:val="left"/>
              <w:rPr>
                <w:rFonts w:eastAsia="宋体" w:cs="Arial"/>
                <w:sz w:val="21"/>
                <w:szCs w:val="21"/>
                <w:highlight w:val="none"/>
              </w:rPr>
            </w:pPr>
            <w:bookmarkStart w:id="68" w:name="_Toc11141"/>
            <w:r>
              <w:rPr>
                <w:rFonts w:eastAsia="宋体" w:cs="Arial"/>
                <w:sz w:val="21"/>
                <w:szCs w:val="21"/>
                <w:highlight w:val="none"/>
              </w:rPr>
              <w:t>实验室信息管理系统</w:t>
            </w:r>
            <w:bookmarkEnd w:id="68"/>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条码流程管理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检验设备条码双工通讯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具备条码标本直接上仪器试管架，自动核收的双向通讯功能。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支持与双工仪器对接，实现无条码标本按试管架和试管位置双向通讯功能。并可自动接收仪器检验结果及向仪器发送检验项目，以便仪器按指定项目检验标本功能。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门急诊条码管理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具备材料费自动计费管理功能。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具备预缴金病人收费确认功能。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具备增加收费项目条码标志、急诊标志、材料费标志功能。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具备通过医嘱匹配收费项目与条码分组、报告回执单功能。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具备回执单管理功能，包含统一领取说明、依据采集时间的报告周期、报告日期+周末顺延+检测日程+抽血截止时间+截止延续天数+统一领取报告时间三种常用模式。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具备采集注意事项提醒、校验适用性提醒、校验填报提醒、关联项目重复提醒功能。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具备已绑定条码的检验项目强制退费功能。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具备标本采集手工登记及支持通过文件导入批量登记生成条码功能。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具备检验标本采集管理功能：包含按照标本类型、执行科室、预执行时间、检验申请单、独立绑定标志、收费项目等条件拆分和合并成条码。</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具备医嘱与条码取消绑定、条码替换、条码补打、采集时间更新、条码集中打印功能。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支持条码预印模式、条码即时打印模式功能。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支持与医院信息系统对接，接收医生站检验申请信息、病人信息及收费信息并确认。</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具备信息汇总及单据打印功能：按条码类别、收费项目、收费项目人次实时集中查询生成采样任务表、标本交接单电子单据并打印。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具备护工对标本进行信息查询、签收确认及运送时间更新功能。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具备标本签收明细打印，标本交接异常情况登记功能。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住院条码管理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具备材料费自动计费管理功能。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具备增加收费项目条码标志、急诊标志、材料费标志功能。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具备通过医嘱匹配收费项目与条码分组、报告回执单功能。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具备回执单管理功能，包含统一领取说明、依据采集时间的报告周期、报告日期+周末顺延+检测日程+抽血截止时间+截止延续天数+统一领取报告时间三种常用模式。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具备采集注意事项提醒、校验适用性提醒、校验填报提醒、关联项目重复提醒功能。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具备已绑定条码的检验项目强制退费功能。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具备标本采集手工登记及支持通过文件导入批量登记生成条码功能。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具备检验标本采集管理功能：包含按照标本类型、执行科室、预执行时间、检验申请单，独立绑定标志、收费项目等条件拆分和合并成条码。</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具备医嘱与条码取消绑定、条码替换、条码补打、采集时间更新、条码集中打印功能。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支持条码预印模式、条码即时打印模式功能。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支持与医院信息系统对接，接收医生站检验申请信息、病人信息及收费信息并确认。</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具备信息汇总及单据打印功能：按条码类别、收费项目、收费项目人次实时集中查询生成采样任务表、标本交接单电子单据并打印。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具备护工对标本进行信息查询、签收确认及运送时间更新功能。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具备标本签收明细打印，标本交接异常情况登记的功能。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体检条码管理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具备材料费自动计费管理功能。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具备增加收费项目条码标志、急诊标志、材料费标志功能。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具备通过医嘱匹配收费项目与条码分组、报告回执单功能。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具备回执单管理功能，包含统一领取说明、依据采集时间的报告周期、报告日期+周末顺延+检测日程+抽血截止时间+截止延续天数+统一领取报告时间三种常用模式。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具备采集注意事项提醒、校验适用性提醒、校验填报提醒、关联项目重复提醒功能。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具备已绑定条码的检验项目强制退费功能。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具备标本采集手工登记及支持通过文件导入批量登记生成条码功能。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具备检验标本采集管理功能：包含按照标本类型、执行科室、预执行时间、检验申请单、独立绑定标志、收费项目等条件拆分和合并成条码。</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具备医嘱与条码取消绑定、条码替换、条码补打、采集时间更新、条码集中打印功能。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支持条码预印模式、条码即时打印模式功能。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支持与医院信息系统对接，接收医生站检验申请信息、病人信息及收费信息并确认。</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具备信息汇总及单据打印功能：按条码类别、收费项目、收费项目人次实时集中查询生成采样任务表、标本交接单电子单据并打印。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具备护工对标本进行信息查询、签收确认及运送时间更新功能。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具备标本签收明细打印，标本交接异常情况登记的功能。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常规检验管理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常规设备联机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具备数据转换、偏移、计算等处理功能。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具备常规转质控自动处理功能。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支持常规设备联机，实现各类设备仪器与信息系统的信息通讯，包含单向数据采集、仪器控制、双向通讯等辅助仪器实现自动化等功能。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支持从检验仪器自动接收检验结果功能。支持常规、急诊、质控数据接收功能。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标本登记及收费</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具备实验室对标本进行集中、小组核收、标本的让步接收功能，包含对需要补充检验申请的添加检验申请并计费，记录签收人、签收时间、生成签收号。</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具备手工计费及补退费功能。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具备检验费用核对功能。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具备免费检验管理功能。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具备条码标本接收登记、外来标本接收登记、手工单标本接收登记功能。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具备对标本重复、漏检、送检超时、送检地错误等问题进行控制功能。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具备不合格标本拒收记录，并记录不合格原因功能。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支持与护士站系统对接，实现拒收标本通知功能。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检验结果处理模块</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具备检验结果确认/修改、批量确认/修改，多结果合并，外部数据导入，手工结果录入等功能。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具备对需要分类的标本进行分类、自动产生实验室内部标本号功能。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具备对已签收的条码统一入库功能，对生化、自动免疫仪器标本提供批量入库功能。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具备对数据进行增加、删除、修改、复制、标本号修改等功能，并提供各种操作进行自动记录。</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具备报告批量输入相同信息和检验结果功能。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具备标本存放位置功能，提供销毁情况记录，销毁记录查询。</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具备对报告的项目数据进行批量校正功能。具备对仪器，项目，检验日期，标本范围查询项目功能。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具备通过普通公式或特殊公式来校正数据结果功能。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具备复做标本管理功能，为病人增加复做标志。</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具备修改检验项目结果值，保存每次的结果值功能。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能够根据预先设定的审核规则对复做标本进行自动筛选。提供历次复查情况和结果记录、统计和分析功能。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具备对报告的项目数据进行批量校正功能。通过仪器、项目、检验日期、样本范围查询出项目，通过公式来校正数据结果。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具备显示病人的超限比较结果集功能。比较距执行日期最近一次的结果。并能通过显示的内容查询到该化验单，可以比较单个项目和组合项目。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具备检验数据自动分析功能：检验项目数量验证，结果超出临界值控制，自定义判定规则执行。</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具备在报告管理界面集成跳转标本签收、标本入库、批量操作、报告查询、检验全景视图功能。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具备趋势分析功能，医生可查看该患者在医院做的这项指标的所有趋势，并可以进行下载保存，同时可以关联指标相关项，快速查看与该指标相关联的指标。</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具备标本信息过滤功能，可按照门诊、住院、急诊、未审核、已审核、危急值、TAT等条件过滤。</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具备自定义知识库的建议与解释功能。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支持与医院信息系统对接，获取医生站信息及电子病历信息。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检验报告发布回收</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具备按不同分类进行报告查询、浏览、打印和批量打印功能。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报告发布支持 Web查询、医生站调阅、大屏通知、服务台打印。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具备发布报告回收功能。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检验报告临床调阅</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具备检验结果、报告单的浏览功能。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具备扩展调阅历史报告功能。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支持报告打印原文件调阅功能。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标本全流程跟踪管理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具备报告全流程跟踪功能，同一界面查询报告的详情信息，包括全流程明细、报告汇总、检验项目、修改记录-报告、修改记录-结果、危急值项目、危急值流程、标本全流程。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检验报告全景视图</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具备同一界面可视化显示该病人的全部历史报告信息功能。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具备展现每份报告的全流程信息功能，包括：对应的医嘱列表、联系方式。以及可按仪器或者检验分类多种检索条件查看该患者的历史报告。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具备对每个分类的报告结果进行对比查看功能。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查询及统计管理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具备标本查询、申请单查询、报告查询以及各种记录查询、统计、分析功能。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具备提供基础常用报表功能，包括工作量统计、危急值统计、复做标本统计等。</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具备用户个性化定制功能。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自动化室内质控管理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提供多种质控图绘制功能：包括：Z-分数图、L-J图、柱状图、尤顿图、±质控图、定性质控图、累计和图、双区法质控图、滴度质控图。</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具备质控图绘制可按月按天描绘功能。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具备不同月份的质控点绘制在同一图上进行对比功能。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提供多种常用的质控规则，包括：标准差倍数规则、极差规则、趋势规则、平均数控制规则、比例控制规则、±半定量规则、数字半定量规则、定性控制规则、累积和控制规则、滴度半定量规则和经典多规则组合，如WESTGARD质控规则。</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具备生化临检免疫的定量质控功能。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具备即刻法质控，由仪器直接传输质控数据功能。重新测定当次的结果,累计满20个数据后,可使用常规的质控图。</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具备月、季、年的质控分析总结，质控阶段性改进质控管理，开放质控规则定义功能。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具备失控自动报警、质控数据自动分析和失控处理意见记录功能。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具备重传覆盖功能，解决仪器重传质控数据时质控曲线上显示多个点的问题。</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具备双区法质控功能，解决免疫阴阳质控品适用Z分数图控制CV过大问题。</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支持与仪器对接，实现质控数据自动接收，自动绘制质控图功能。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检验危急值提醒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具备系统配置设定危急值上下限功能，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具备根据设定的危急值上下限自动判断是否为危急值功能。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具备智能判断危急值功能，通过颜色提示检验医师。</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具备标本检验出危急值启动报警功能。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具备设定危急值上下限功能，当病人所做的项目结果超过所设置的数值上下限，系统会自动判断为危急值。</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具备危急值设置按照标本种类、性别、年龄、临床诊断及科别等类型进行分类。</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支持仪器产生危急值时，系统通过科室大屏幕提醒检验人员及时处理及审核超时报警功能。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具备对危急值回报的各种统计功能，如月统计回报率。</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临床危急值推送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包含接收科室、接收人、接收时间反馈给检验科室。</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支持与护士站对接，将危急值推送到护士站。护士站相关人员通过系统接收检验科发出的危急值报告，并进行接收确认，并及时告知值班医生或管床医生。</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微生物检验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检测方案管理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具备根据医嘱和标本种类实现鉴定路径配置功能。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具备自动生成培养记录功能。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WHONET互通管理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具备WHONET数据同步功能。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具备质控菌株、细菌字典维护、药敏字典维护、药敏折点维护功能。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支持与WHONET主流版本对接，保持系统与WHONET数据标准一致，实现病人信息、细菌信息、药敏信息导入。</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耐药机制管理(超级细菌）</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具备耐药机制设置功能。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具备耐药机制监控预警功能。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微生物统计/分析</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具备微生物报告常规查询及高级查询功能。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具备保存查询分析方案功能，下次使用查询时，无需重新选择查询条件即可进行查询。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微生物流程电子化管理（原始记录单、三级报告）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具备详细记录并管理微生物的接种培养、初步鉴定、鉴定/药敏、报告全过程功能。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具备记录微生物实验的每个过程完整记录功能。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具备培养、初鉴、鉴定独立报告审核发布功能。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微生物质控</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具备手工药敏质控、涂片质控、板条质控、仪器药敏质控、手工生化反应质控、仪器生化反应质控、染色液质控功能。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具备空气、物表监测记录管理功能。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微生物鉴定仪联机</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具备抗生素药物代码转换功能。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支持培养、鉴定药敏等微生物设备双工功能。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报告管理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具备涂片、培养、鉴定/药敏报告功能。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具备微生物检验分步计费功能。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具备查看患者所有历史微生物报告功能。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具备标本信息过滤功能。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具备全流程信息查看功能。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危急值管理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具备智能判断危急值，并通过颜色提示微生物医师功能。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临床信息系统对接，危急值发布通知临床时，操作人员可通过点击弹窗查看详细危急值信息。临床科室确认接收并完成危急值信息处理后，系统自动将危急值的处理措施和过程信息进行记录，实现危急值全过程管理流程闭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具备设定危急值上下限功能，当病人所做的项目结果超过所设置的数值上下限，系统会自动判断为危急值。</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具备危急值设置按照标本种类、性别、年龄、临床诊断及科别等类型进行分类。</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酶标仪报告管理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酶标仪设置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具备按照酶标板的布局格式，单个或批量设置检验项目和样本类型功能。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具备为不同检验项目设定其阴阳性判定计算规则功能。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具备为定量检验项目设定计算转换公式功能。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具备设置酶标仪的测量参数功能，包括：进板方式、振板频率、振板时间、主次波长滤光片。</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具备设置检验结果的后续处理方法功能：包括计算CUTOFF值、采用吸光度。</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具备导出和导入酶标板的参数文件功能。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具备可按照酶标板仿真布局，能够录入或采集检验数据，确定CUTOFF值，自动进行阴阳性判断功能。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酶标仪检验</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具备对控制仪器进行检验，检验结果会自动传到原始数据区功能。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具备自动判定检验结果的阴阳性，并在计算结果区显示功能。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具备将本次的检验结果保存成一个Excel文件功能，包含：原始数据，吸光度值，定性结果。</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实验室质控指标分析 </w:t>
            </w:r>
          </w:p>
          <w:p>
            <w:pPr>
              <w:pStyle w:val="133"/>
              <w:widowControl/>
              <w:adjustRightInd w:val="0"/>
              <w:snapToGrid w:val="0"/>
              <w:spacing w:line="288" w:lineRule="auto"/>
              <w:rPr>
                <w:rFonts w:ascii="Arial" w:hAnsi="Arial" w:cs="Arial"/>
                <w:szCs w:val="21"/>
                <w:highlight w:val="none"/>
              </w:rPr>
            </w:pPr>
            <w:r>
              <w:rPr>
                <w:rFonts w:hint="eastAsia"/>
                <w:highlight w:val="none"/>
              </w:rPr>
              <w:t>国家卫生健康委临床检验中心开展临床检验专业医疗质量控制指标室间质量评价活动。同时要求临床实验室加强临床检验质量控制指标的应用，并利用实验室信息系统（LIS）和医院信息系统（HIS）对质量控制指标进行内部监测，需按照要求出具检验质控指标。</w:t>
            </w:r>
            <w:r>
              <w:rPr>
                <w:rFonts w:hint="eastAsia" w:ascii="Arial" w:hAnsi="Arial" w:cs="Arial"/>
                <w:szCs w:val="21"/>
                <w:highlight w:val="none"/>
              </w:rPr>
              <w:t>至少包括</w:t>
            </w:r>
            <w:r>
              <w:rPr>
                <w:rFonts w:ascii="Arial" w:hAnsi="Arial" w:cs="Arial"/>
                <w:szCs w:val="21"/>
                <w:highlight w:val="none"/>
              </w:rPr>
              <w:t>指标</w:t>
            </w:r>
            <w:r>
              <w:rPr>
                <w:rFonts w:hint="eastAsia" w:ascii="Arial" w:hAnsi="Arial" w:cs="Arial"/>
                <w:szCs w:val="21"/>
                <w:highlight w:val="none"/>
              </w:rPr>
              <w:t>如下</w:t>
            </w:r>
            <w:r>
              <w:rPr>
                <w:rFonts w:ascii="Arial" w:hAnsi="Arial" w:cs="Arial"/>
                <w:szCs w:val="21"/>
                <w:highlight w:val="none"/>
              </w:rPr>
              <w:t>：</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检验前质量指标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标本标签不合格率：以标本接收日期为时间节点，统计该日期范围内标签不符合要求的标本数占同期标本总数的比例。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标本类型错误率：以标本接收日期为时间节点，统计该日期范围内类型不符合要求的标本数占同期标本总数的比例。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标本容器错误率：以标本接收日期为时间节点，统计该日期范围内采集容器不符合要求的标本数占同期标本总数的比例。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标本量不正确率：以标本接收日期为时间节点，统计该日期范围内标本采集量不符合要求的标本数占同期标本总数的比例。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标本采集时机不正确率：以标本接收日期为时间节点，统计该日期范围内标本采集时机不符合要求的标本数占同期标本总数的比例。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血培养污染率：以标本接收日期为时间节点，统计该日期范围内污染的血培养标本数占同期血培养标本总数的比例。标本接收日期为时间节点，统计该日期范围内污染的血培养标本数占同期血培养标本总</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标本运输丢失率：以标本接收日期为时间节点，统计该日期范围内运输途中丢失的标本数占同期运输标本总数的比例。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标本运输时间不当率：以标本接收日期为时间节点，统计该日期范围内运输时间不当的标本数占同期运输标本总数的比例。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标本运输温度不当率：以标本接收日期为时间节点，统计该日期范围内运输温度不当的标本数占同期运输标本总数的比例。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抗凝标本凝集率：以标本接收日期为时间节点，统计该日期范围内凝集的标本数占同期需抗凝的标本总数的比例。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标本溶血率：以标本接收日期为时间节点，统计该日期范围内溶血的标本数占同期标本总数的比例。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检验前周转时间（中位数）：检验前周转时间是指从标本采集到实验室接收标本的时间（以分钟为单位）。检验前周转时间中位数，是指将检验前周转时间由长到短排序后取其中位数。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检验前周转时间（第90%）：检验前周转时间90%位数，是指将检验前周转时间由长到短排序后取其第90%次序的数值。</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检验中质量指标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分析设备故障数：每年分析设备故障导致检验报告延迟的次数。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实验室信息系统（LIS）故障数：每年LIS故障导致检验报告延迟的次数。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LIS传输准确性验证符合率：LIS传输准确性验证符合率占LIS传输结果总数的比例。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室内质控项目开展率：开展室内质控的检验项目数占同期检验项目总数的比例。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室内质控项目变异系数不合格率：室内质控项目变异系数高于要求的检验项目数占同期对室内质控项目变异系数有要求的检验项目总数的比例。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室间质评项目覆盖率：参加室间质评的检验项目数占同期特定机构（国家、省级等）已开展的室间质评项目总数的比例。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室间质评项目不合格率：室间质评不合格的检验项目数占同期参加室间质评检验项目总数的比例。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实验室间比对率（无室间质评计划项目）：执行实验室间比对的检验项目数占同期无室间质评计划检验项目总数的比例。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检验后质量指标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实验室内周转时间（中位数）：实验室内周转时间是指从实验室收到标本到发送报告的时间（以分钟为单位）。实验室内周转时间中位数，是指将实验室内周转时间由长到短排序后取其中位数。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实验室内周转时间（第90%）：实验室内周转时间90%中位数，是指将实验室内周转时间由长到短排序后取其第90%次序的数值。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检验报告错误率：检验报告不正确是指实验室已发出的报告，其内容与实际情况不相符，包括结果不正确、患者信息不正确、标本信息不正确等。检验报告不正确率是指实验室发出的不正确检验报告数占同期检验报告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报告召回率：指召回的报告数占报告总数的比例。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危机值通报率：危急值是指除外检查仪器或试剂等技术原因出现的表明患者可能正处于生命危险的边缘状态，必须立刻进行记录并第一时间报告给该患者主管医师的检验结果。危急值通报率是指已通报的危急值检验项目数占同期需要通报的危急值检验项目总数的比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危机值通报及时率：危急值通报时间（从结果确认到与临床医生交流的时间）符合规定时间的检验项目数占同期需要危急值通报的检验项目总数的比例。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过程质量指标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医护满意度：对实验室各项服务内容满意的医生或者护士人数占调查医生或者护士总人数的百分率。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患者满意度：对实验室各项服务内容满意的患者数占调查患者总数的百分率。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实验室投诉数：实验室收到的投诉数。</w:t>
            </w:r>
          </w:p>
          <w:p>
            <w:pPr>
              <w:pStyle w:val="3"/>
              <w:numPr>
                <w:ilvl w:val="1"/>
                <w:numId w:val="3"/>
              </w:numPr>
              <w:spacing w:before="0" w:after="0" w:line="288" w:lineRule="auto"/>
              <w:rPr>
                <w:rFonts w:eastAsia="宋体" w:cs="Arial"/>
                <w:sz w:val="21"/>
                <w:szCs w:val="21"/>
                <w:highlight w:val="none"/>
              </w:rPr>
            </w:pPr>
            <w:bookmarkStart w:id="69" w:name="_Toc28394"/>
            <w:r>
              <w:rPr>
                <w:rFonts w:eastAsia="宋体" w:cs="Arial"/>
                <w:sz w:val="21"/>
                <w:szCs w:val="21"/>
                <w:highlight w:val="none"/>
              </w:rPr>
              <w:t>用血申请单管理系统</w:t>
            </w:r>
            <w:bookmarkEnd w:id="69"/>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输血申请单管理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输血前评估（合理性提醒）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具备提示医生用血申请功能。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具备根据科室类型、年龄范围、是否手术、是否急救等设定不同评估标准功能。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输血申请开单</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具备不同输血性质分类选择功能，包括常规用血申请、紧急用血申请、自体采血申请、常规备血申请。</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具备用血信息录入功能，包括用血时间、输血目的、输血性质、是否手术、手术名称、手术等级、用血地点。</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具备输血成份、输血量选择功能。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具备受血者既往史录入功能。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具备调阅受血者检验项目结果信息功能。</w:t>
            </w:r>
          </w:p>
          <w:p>
            <w:pPr>
              <w:pStyle w:val="133"/>
              <w:widowControl/>
              <w:autoSpaceDE w:val="0"/>
              <w:adjustRightInd w:val="0"/>
              <w:snapToGrid w:val="0"/>
              <w:spacing w:line="288" w:lineRule="auto"/>
              <w:jc w:val="left"/>
              <w:rPr>
                <w:rFonts w:ascii="Arial" w:hAnsi="Arial" w:cs="Arial"/>
                <w:szCs w:val="21"/>
                <w:highlight w:val="none"/>
              </w:rPr>
            </w:pPr>
            <w:r>
              <w:rPr>
                <w:rFonts w:ascii="Arial" w:hAnsi="Arial" w:cs="Arial"/>
                <w:szCs w:val="21"/>
                <w:highlight w:val="none"/>
              </w:rPr>
              <w:t>支持与医院信息系统对接，医生开单时，系统自动识别提醒该受血者是否签署知情同意书。</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输血后评价</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具备临床医生记录输血后评价信息功能。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支持对未做输血评价的申请单进行提醒功能。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输血申请单三级审核流程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具备根据24H输血量提供三级审核功能，包括24H申请量明细查看、输血前检查项目结果查看、审核全流程节点查看。</w:t>
            </w:r>
          </w:p>
          <w:p>
            <w:pPr>
              <w:pStyle w:val="3"/>
              <w:numPr>
                <w:ilvl w:val="1"/>
                <w:numId w:val="3"/>
              </w:numPr>
              <w:spacing w:before="0" w:after="0" w:line="288" w:lineRule="auto"/>
              <w:rPr>
                <w:rFonts w:eastAsia="宋体" w:cs="Arial"/>
                <w:sz w:val="21"/>
                <w:szCs w:val="21"/>
                <w:highlight w:val="none"/>
              </w:rPr>
            </w:pPr>
            <w:bookmarkStart w:id="70" w:name="_Toc31337"/>
            <w:r>
              <w:rPr>
                <w:rFonts w:eastAsia="宋体" w:cs="Arial"/>
                <w:sz w:val="21"/>
                <w:szCs w:val="21"/>
                <w:highlight w:val="none"/>
              </w:rPr>
              <w:t>用血信息管理系统</w:t>
            </w:r>
            <w:bookmarkEnd w:id="70"/>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血袋出入库管理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具备血袋入库信息化管理功能，包括入库状态、献血码、成分码、血袋品种、规格设置、血型、有效期、制备时间、血型复核、外观检测、血袋来源、负责入库操作人员信息、入库时间、供货单号、存放位置。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具备血袋入库信息参数自由选择配置功能。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具备血袋出库信息化管理功能，包括献血码、成份码、血袋品种、规格、血型、出库类型、出库去处、出库原因、出库操作人员信息、出库时间。</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具备新增出库功能，血袋出库信息包括献血码、成分码、出库类型、血袋去处、出库原因、取血者。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具备血袋出库步骤节点显示功能，包括操作步骤、操作人员、操作时间，时间能精确到秒。</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提供多种血袋入库方式，包括手动入库、文件导入、联网导入。</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支持与血站系统对接，实现与血站数据联动。</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血型检查鉴定及审核管理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具备显示病人验血后的血型鉴定报告结果功能，包括历次历史记录、对应的检测仪器信息。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具备显示病人输血前检验报告结果功能。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提供检验全景视图，包括在同一界面可视化显示该病人的全部历史报告信息功能、展现每份报告的全流程信息功能、对每个分类的报告结果进行对比查看功能。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具备血型检查报告双人审核当前流程状态功能。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具备检查报告的审核、打印、撤销审核、回收、发布功能。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具备对已做过血型检查，查看已做血型检查报告详情功能，包括报告状态、受血者信息、申请时间、采样时间、签收时间、审核时间。</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具备自动计费管理，在血型检查时自动确认收取血型检查相关费用功能。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支持与医院信息系统对接，从系统中直接下载病人信息。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支持设备仪器自动导入血型鉴定结果功能。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备血发血管理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具备受血者指标信息显示功能。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具备自动计费管理功能，在发血配血时自动收取血袋费、配血费、辐射虑白灭活等费用。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具备撤销发血自动退费功能。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具备发血、输血时进行条码扫描核对安全性校验功能。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支持与临床系统对接，查看临床申请单信息。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具备发血单、交叉配血报告单预览及打印功能。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支持与设备仪器对接自动导入交叉配血结果功能。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输血免疫报告</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具备产前免疫、抗体鉴定、Coombas实验、血小板抗体、新生儿、IGg抗A抗B输血免疫报告功能。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血袋销毁管理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具备血袋销毁查询统计功能。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具备血袋销毁步骤节点显示功能，包括操作步骤、操作人员、操作时间，时间能精确到秒。</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支持通过扫描条码、批号实现血袋销毁功能。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自体血管理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具备贮存自体登记信息管理功能，包括登记执行状态、病人姓名、性别、年龄、病区、床号、血液类型、计划采血量、采血频率、采血次数、计划采血时间、完成时间、申请单号。</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具备贮存自体血袋信息登记功能，包括受血者信息和采血信息，其中采血信息包括血人、采血时间、献血码、成份码、血液品种、血袋规格/单位、血袋血型/单位、失效时间、存放库位。</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具备术中回流登记信息管理功能，登记信息包括受血者信息和登记信息，其中登记信息包括采血方式、回收时间、保存条件、回输血量、回输时间、有无不良反应。</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查询/统计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具备多维度查询统计功能。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具备临床用血质量指标的数据统计功能。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具备用户个性化定制功能。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申请单接收及调阅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具备打印申请单的关键信息（含申请单唯一号、病人姓名、病区、床号）功能。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领血单管理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具备包括血制品采集、条码绑定、领血单打印、标本运送功能。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用血审证登记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具备医生根据用血审证登记用血者的证明信息，及患者可用血的血量和血液类型功能。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设备联机</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支持与血型检查仪器、配血仪器的联机。</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支持仪器数据双工通讯，完整传输仪器检测信息。</w:t>
            </w:r>
          </w:p>
          <w:p>
            <w:pPr>
              <w:pStyle w:val="3"/>
              <w:numPr>
                <w:ilvl w:val="1"/>
                <w:numId w:val="3"/>
              </w:numPr>
              <w:spacing w:before="0" w:after="0" w:line="288" w:lineRule="auto"/>
              <w:rPr>
                <w:rFonts w:eastAsia="宋体" w:cs="Arial"/>
                <w:sz w:val="21"/>
                <w:szCs w:val="21"/>
                <w:highlight w:val="none"/>
              </w:rPr>
            </w:pPr>
            <w:bookmarkStart w:id="71" w:name="_Toc3796"/>
            <w:r>
              <w:rPr>
                <w:rFonts w:eastAsia="宋体" w:cs="Arial"/>
                <w:sz w:val="21"/>
                <w:szCs w:val="21"/>
                <w:highlight w:val="none"/>
              </w:rPr>
              <w:t>院内心电检查信息系统</w:t>
            </w:r>
            <w:bookmarkEnd w:id="71"/>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预约叫号</w:t>
            </w:r>
          </w:p>
          <w:p>
            <w:pPr>
              <w:pStyle w:val="133"/>
              <w:spacing w:line="288" w:lineRule="auto"/>
              <w:rPr>
                <w:rFonts w:ascii="Arial" w:hAnsi="Arial" w:cs="Arial"/>
                <w:szCs w:val="21"/>
                <w:highlight w:val="none"/>
              </w:rPr>
            </w:pPr>
            <w:r>
              <w:rPr>
                <w:rFonts w:ascii="Arial" w:hAnsi="Arial" w:cs="Arial"/>
                <w:szCs w:val="21"/>
                <w:highlight w:val="none"/>
              </w:rPr>
              <w:t>支持检查诊室管理功能，支持设置预约时段、关联诊室，每个预约时段可限制人数；支持一个诊室对应多个检查项目，支持一个检查项目多个诊室检查。</w:t>
            </w:r>
          </w:p>
          <w:p>
            <w:pPr>
              <w:pStyle w:val="133"/>
              <w:spacing w:line="288" w:lineRule="auto"/>
              <w:rPr>
                <w:rFonts w:ascii="Arial" w:hAnsi="Arial" w:cs="Arial"/>
                <w:szCs w:val="21"/>
                <w:highlight w:val="none"/>
              </w:rPr>
            </w:pPr>
            <w:r>
              <w:rPr>
                <w:rFonts w:ascii="Arial" w:hAnsi="Arial" w:cs="Arial"/>
                <w:szCs w:val="21"/>
                <w:highlight w:val="none"/>
              </w:rPr>
              <w:t>支持静息心电、动态心电、动态血压、电生理等多种业务类型统一预约。</w:t>
            </w:r>
          </w:p>
          <w:p>
            <w:pPr>
              <w:pStyle w:val="133"/>
              <w:spacing w:line="288" w:lineRule="auto"/>
              <w:rPr>
                <w:rFonts w:ascii="Arial" w:hAnsi="Arial" w:cs="Arial"/>
                <w:szCs w:val="21"/>
                <w:highlight w:val="none"/>
              </w:rPr>
            </w:pPr>
            <w:r>
              <w:rPr>
                <w:rFonts w:ascii="Arial" w:hAnsi="Arial" w:cs="Arial"/>
                <w:szCs w:val="21"/>
                <w:highlight w:val="none"/>
              </w:rPr>
              <w:t>检查医生通过HIS接口获得申请单进行登记和预约，并生成排队号的条形码，患者按照排队号在检查室等待检查。</w:t>
            </w:r>
          </w:p>
          <w:p>
            <w:pPr>
              <w:pStyle w:val="133"/>
              <w:spacing w:line="288" w:lineRule="auto"/>
              <w:rPr>
                <w:rFonts w:ascii="Arial" w:hAnsi="Arial" w:cs="Arial"/>
                <w:szCs w:val="21"/>
                <w:highlight w:val="none"/>
              </w:rPr>
            </w:pPr>
            <w:r>
              <w:rPr>
                <w:rFonts w:ascii="Arial" w:hAnsi="Arial" w:cs="Arial"/>
                <w:szCs w:val="21"/>
                <w:highlight w:val="none"/>
              </w:rPr>
              <w:t>可手动创建、扫码、读卡、输入卡号、下载预约记录获取检查患者。</w:t>
            </w:r>
          </w:p>
          <w:p>
            <w:pPr>
              <w:pStyle w:val="133"/>
              <w:spacing w:line="288" w:lineRule="auto"/>
              <w:rPr>
                <w:rFonts w:ascii="Arial" w:hAnsi="Arial" w:cs="Arial"/>
                <w:szCs w:val="21"/>
                <w:highlight w:val="none"/>
              </w:rPr>
            </w:pPr>
            <w:r>
              <w:rPr>
                <w:rFonts w:ascii="Arial" w:hAnsi="Arial" w:cs="Arial"/>
                <w:szCs w:val="21"/>
                <w:highlight w:val="none"/>
              </w:rPr>
              <w:t>在预约列表中，支持新建、修改、删除、加急、激活等功能。</w:t>
            </w:r>
          </w:p>
          <w:p>
            <w:pPr>
              <w:pStyle w:val="133"/>
              <w:spacing w:line="288" w:lineRule="auto"/>
              <w:rPr>
                <w:rFonts w:ascii="Arial" w:hAnsi="Arial" w:cs="Arial"/>
                <w:szCs w:val="21"/>
                <w:highlight w:val="none"/>
              </w:rPr>
            </w:pPr>
            <w:r>
              <w:rPr>
                <w:rFonts w:ascii="Arial" w:hAnsi="Arial" w:cs="Arial"/>
                <w:szCs w:val="21"/>
                <w:highlight w:val="none"/>
              </w:rPr>
              <w:t>支持手动选择或自动匹配检查诊室和检查时段。具有时段预约已满智能提醒功能。</w:t>
            </w:r>
          </w:p>
          <w:p>
            <w:pPr>
              <w:pStyle w:val="133"/>
              <w:spacing w:line="288" w:lineRule="auto"/>
              <w:rPr>
                <w:rFonts w:ascii="Arial" w:hAnsi="Arial" w:cs="Arial"/>
                <w:szCs w:val="21"/>
                <w:highlight w:val="none"/>
              </w:rPr>
            </w:pPr>
            <w:r>
              <w:rPr>
                <w:rFonts w:ascii="Arial" w:hAnsi="Arial" w:cs="Arial"/>
                <w:szCs w:val="21"/>
                <w:highlight w:val="none"/>
              </w:rPr>
              <w:t>支持呼叫、检查、过号、重呼、激活等功能</w:t>
            </w:r>
          </w:p>
          <w:p>
            <w:pPr>
              <w:pStyle w:val="133"/>
              <w:spacing w:line="288" w:lineRule="auto"/>
              <w:rPr>
                <w:rFonts w:ascii="Arial" w:hAnsi="Arial" w:cs="Arial"/>
                <w:szCs w:val="21"/>
                <w:highlight w:val="none"/>
              </w:rPr>
            </w:pPr>
            <w:r>
              <w:rPr>
                <w:rFonts w:ascii="Arial" w:hAnsi="Arial" w:cs="Arial"/>
                <w:szCs w:val="21"/>
                <w:highlight w:val="none"/>
              </w:rPr>
              <w:t>支持大屏展示排队叫号信息，并依序语音叫号，方便受检者在候诊大厅的大屏随时掌握自己的就诊动态</w:t>
            </w:r>
          </w:p>
          <w:p>
            <w:pPr>
              <w:pStyle w:val="133"/>
              <w:spacing w:line="288" w:lineRule="auto"/>
              <w:rPr>
                <w:rFonts w:ascii="Arial" w:hAnsi="Arial" w:cs="Arial"/>
                <w:szCs w:val="21"/>
                <w:highlight w:val="none"/>
              </w:rPr>
            </w:pPr>
            <w:r>
              <w:rPr>
                <w:rFonts w:ascii="Arial" w:hAnsi="Arial" w:cs="Arial"/>
                <w:szCs w:val="21"/>
                <w:highlight w:val="none"/>
              </w:rPr>
              <w:t>支持自定义大屏模板样式，配置显示内容，包括叫号队列、候诊队列、过号队列、姓名、排队号、检查诊室、检查项目等内容配置显示。</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心电检查管理</w:t>
            </w:r>
          </w:p>
          <w:p>
            <w:pPr>
              <w:pStyle w:val="133"/>
              <w:spacing w:line="288" w:lineRule="auto"/>
              <w:rPr>
                <w:rFonts w:ascii="Arial" w:hAnsi="Arial" w:cs="Arial"/>
                <w:szCs w:val="21"/>
                <w:highlight w:val="none"/>
              </w:rPr>
            </w:pPr>
            <w:r>
              <w:rPr>
                <w:rFonts w:ascii="Arial" w:hAnsi="Arial" w:cs="Arial"/>
                <w:szCs w:val="21"/>
                <w:highlight w:val="none"/>
              </w:rPr>
              <w:t>系统支持连接第三方心电图机完成受检者的心电检查。支持解析hl7、mfer、scp、fda-xml、dicom、anb、dat、ecg、eco、ekg等第三方心电图机数据格式并以统一的格式进行存储。</w:t>
            </w:r>
          </w:p>
          <w:p>
            <w:pPr>
              <w:pStyle w:val="133"/>
              <w:spacing w:line="288" w:lineRule="auto"/>
              <w:rPr>
                <w:rFonts w:ascii="Arial" w:hAnsi="Arial" w:cs="Arial"/>
                <w:szCs w:val="21"/>
                <w:highlight w:val="none"/>
              </w:rPr>
            </w:pPr>
            <w:r>
              <w:rPr>
                <w:rFonts w:ascii="Arial" w:hAnsi="Arial" w:cs="Arial"/>
                <w:szCs w:val="21"/>
                <w:highlight w:val="none"/>
              </w:rPr>
              <w:t xml:space="preserve">支持配置检查模式，可选常规十二导、常规十五导、常规十八导、心向量、心率变异、QT离散度、频谱心电、阿托品等。 </w:t>
            </w:r>
          </w:p>
          <w:p>
            <w:pPr>
              <w:pStyle w:val="133"/>
              <w:spacing w:line="288" w:lineRule="auto"/>
              <w:rPr>
                <w:rFonts w:ascii="Arial" w:hAnsi="Arial" w:cs="Arial"/>
                <w:szCs w:val="21"/>
                <w:highlight w:val="none"/>
              </w:rPr>
            </w:pPr>
            <w:r>
              <w:rPr>
                <w:rFonts w:ascii="Arial" w:hAnsi="Arial" w:cs="Arial"/>
                <w:szCs w:val="21"/>
                <w:highlight w:val="none"/>
              </w:rPr>
              <w:t>支持图谱采集完成后预览，支持加采、重采功能；</w:t>
            </w:r>
          </w:p>
          <w:p>
            <w:pPr>
              <w:pStyle w:val="133"/>
              <w:spacing w:line="288" w:lineRule="auto"/>
              <w:rPr>
                <w:rFonts w:ascii="Arial" w:hAnsi="Arial" w:cs="Arial"/>
                <w:szCs w:val="21"/>
                <w:highlight w:val="none"/>
              </w:rPr>
            </w:pPr>
            <w:r>
              <w:rPr>
                <w:rFonts w:ascii="Arial" w:hAnsi="Arial" w:cs="Arial"/>
                <w:szCs w:val="21"/>
                <w:highlight w:val="none"/>
              </w:rPr>
              <w:t>支持为严重病人申请加急诊断，加急的报告列表有加急的状态标记。</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心电医生工作站</w:t>
            </w:r>
          </w:p>
          <w:p>
            <w:pPr>
              <w:pStyle w:val="133"/>
              <w:spacing w:line="288" w:lineRule="auto"/>
              <w:rPr>
                <w:rFonts w:ascii="Arial" w:hAnsi="Arial" w:cs="Arial"/>
                <w:szCs w:val="21"/>
                <w:highlight w:val="none"/>
              </w:rPr>
            </w:pPr>
            <w:r>
              <w:rPr>
                <w:rFonts w:ascii="Arial" w:hAnsi="Arial" w:cs="Arial"/>
                <w:szCs w:val="21"/>
                <w:highlight w:val="none"/>
              </w:rPr>
              <w:t>为满足医院业务发展需要，医生工作站须提供静息心电、动态心电、动态血压综合分析功能：一套软件即可以进行静息心电、动态心电、动态血压三种检查的分析会诊工作，支持具有对应检查特点的专业分析工具。</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静息心电分析：</w:t>
            </w:r>
          </w:p>
          <w:p>
            <w:pPr>
              <w:pStyle w:val="133"/>
              <w:spacing w:line="288" w:lineRule="auto"/>
              <w:jc w:val="left"/>
              <w:rPr>
                <w:rFonts w:ascii="Arial" w:hAnsi="Arial" w:cs="Arial"/>
                <w:szCs w:val="21"/>
                <w:highlight w:val="none"/>
              </w:rPr>
            </w:pPr>
            <w:r>
              <w:rPr>
                <w:rFonts w:ascii="Arial" w:hAnsi="Arial" w:cs="Arial"/>
                <w:szCs w:val="21"/>
                <w:highlight w:val="none"/>
              </w:rPr>
              <w:t>心电图诊断报告系统具备权限管理功能，给不同的医生进行权限配置。</w:t>
            </w:r>
          </w:p>
          <w:p>
            <w:pPr>
              <w:pStyle w:val="133"/>
              <w:spacing w:line="288" w:lineRule="auto"/>
              <w:jc w:val="left"/>
              <w:rPr>
                <w:rFonts w:ascii="Arial" w:hAnsi="Arial" w:cs="Arial"/>
                <w:szCs w:val="21"/>
                <w:highlight w:val="none"/>
              </w:rPr>
            </w:pPr>
            <w:bookmarkStart w:id="72" w:name="_Hlk99014806"/>
            <w:r>
              <w:rPr>
                <w:rFonts w:ascii="Arial" w:hAnsi="Arial" w:cs="Arial"/>
                <w:szCs w:val="21"/>
                <w:highlight w:val="none"/>
              </w:rPr>
              <w:t>为提高医生工作效率，系统支持同屏显示报告列表和看图界面。可直接在看图页中查看列表数据，无需在列表页和详情页中来回切换。</w:t>
            </w:r>
          </w:p>
          <w:bookmarkEnd w:id="72"/>
          <w:p>
            <w:pPr>
              <w:pStyle w:val="133"/>
              <w:spacing w:line="288" w:lineRule="auto"/>
              <w:jc w:val="left"/>
              <w:rPr>
                <w:rFonts w:ascii="Arial" w:hAnsi="Arial" w:cs="Arial"/>
                <w:szCs w:val="21"/>
                <w:highlight w:val="none"/>
              </w:rPr>
            </w:pPr>
            <w:r>
              <w:rPr>
                <w:rFonts w:ascii="Arial" w:hAnsi="Arial" w:cs="Arial"/>
                <w:szCs w:val="21"/>
                <w:highlight w:val="none"/>
              </w:rPr>
              <w:t>支持在图谱上通过测量工具测量某段波形的电压值、心率和间期测值。</w:t>
            </w:r>
          </w:p>
          <w:p>
            <w:pPr>
              <w:pStyle w:val="133"/>
              <w:spacing w:line="288" w:lineRule="auto"/>
              <w:jc w:val="left"/>
              <w:rPr>
                <w:rFonts w:ascii="Arial" w:hAnsi="Arial" w:cs="Arial"/>
                <w:szCs w:val="21"/>
                <w:highlight w:val="none"/>
              </w:rPr>
            </w:pPr>
            <w:r>
              <w:rPr>
                <w:rFonts w:ascii="Arial" w:hAnsi="Arial" w:cs="Arial"/>
                <w:szCs w:val="21"/>
                <w:highlight w:val="none"/>
              </w:rPr>
              <w:t>支持心搏放大功能，通过心搏放大查看某个心搏，调整波形形态识别后重新发送测值。</w:t>
            </w:r>
          </w:p>
          <w:p>
            <w:pPr>
              <w:pStyle w:val="133"/>
              <w:spacing w:line="288" w:lineRule="auto"/>
              <w:jc w:val="left"/>
              <w:rPr>
                <w:rFonts w:ascii="Arial" w:hAnsi="Arial" w:cs="Arial"/>
                <w:szCs w:val="21"/>
                <w:highlight w:val="none"/>
              </w:rPr>
            </w:pPr>
            <w:r>
              <w:rPr>
                <w:rFonts w:ascii="Arial" w:hAnsi="Arial" w:cs="Arial"/>
                <w:szCs w:val="21"/>
                <w:highlight w:val="none"/>
              </w:rPr>
              <w:t>系统具备并行分规功能。</w:t>
            </w:r>
          </w:p>
          <w:p>
            <w:pPr>
              <w:pStyle w:val="133"/>
              <w:spacing w:line="288" w:lineRule="auto"/>
              <w:jc w:val="left"/>
              <w:rPr>
                <w:rFonts w:ascii="Arial" w:hAnsi="Arial" w:cs="Arial"/>
                <w:szCs w:val="21"/>
                <w:highlight w:val="none"/>
              </w:rPr>
            </w:pPr>
            <w:bookmarkStart w:id="73" w:name="_Hlk99014821"/>
            <w:r>
              <w:rPr>
                <w:rFonts w:ascii="Arial" w:hAnsi="Arial" w:cs="Arial"/>
                <w:szCs w:val="21"/>
                <w:highlight w:val="none"/>
              </w:rPr>
              <w:t>支持在心电图波形区域的异常位置做标记，提供图像注释说明记录。</w:t>
            </w:r>
          </w:p>
          <w:bookmarkEnd w:id="73"/>
          <w:p>
            <w:pPr>
              <w:pStyle w:val="133"/>
              <w:spacing w:line="288" w:lineRule="auto"/>
              <w:jc w:val="left"/>
              <w:rPr>
                <w:rFonts w:ascii="Arial" w:hAnsi="Arial" w:cs="Arial"/>
                <w:szCs w:val="21"/>
                <w:highlight w:val="none"/>
              </w:rPr>
            </w:pPr>
            <w:r>
              <w:rPr>
                <w:rFonts w:ascii="Arial" w:hAnsi="Arial" w:cs="Arial"/>
                <w:szCs w:val="21"/>
                <w:highlight w:val="none"/>
              </w:rPr>
              <w:t>支持导联纠错功能，在肢体导联接反或胸导联接错的情况下，可以通过软件直接修正，无需重新采集。</w:t>
            </w:r>
          </w:p>
          <w:p>
            <w:pPr>
              <w:pStyle w:val="133"/>
              <w:spacing w:line="288" w:lineRule="auto"/>
              <w:jc w:val="left"/>
              <w:rPr>
                <w:rFonts w:ascii="Arial" w:hAnsi="Arial" w:cs="Arial"/>
                <w:szCs w:val="21"/>
                <w:highlight w:val="none"/>
              </w:rPr>
            </w:pPr>
            <w:r>
              <w:rPr>
                <w:rFonts w:ascii="Arial" w:hAnsi="Arial" w:cs="Arial"/>
                <w:szCs w:val="21"/>
                <w:highlight w:val="none"/>
              </w:rPr>
              <w:t>支持漏诊提示，对心电图因显示分辨率问题导致的可能被疏忽的细节异常进行提示，防止造成漏诊。</w:t>
            </w:r>
          </w:p>
          <w:p>
            <w:pPr>
              <w:pStyle w:val="133"/>
              <w:spacing w:line="288" w:lineRule="auto"/>
              <w:jc w:val="left"/>
              <w:rPr>
                <w:rFonts w:ascii="Arial" w:hAnsi="Arial" w:cs="Arial"/>
                <w:szCs w:val="21"/>
                <w:highlight w:val="none"/>
              </w:rPr>
            </w:pPr>
            <w:r>
              <w:rPr>
                <w:rFonts w:ascii="Arial" w:hAnsi="Arial" w:cs="Arial"/>
                <w:szCs w:val="21"/>
                <w:highlight w:val="none"/>
              </w:rPr>
              <w:t>支持图谱对比功能，支持将5份历史报告加入对比，可引用对比报告的诊断结论。</w:t>
            </w:r>
          </w:p>
          <w:p>
            <w:pPr>
              <w:pStyle w:val="133"/>
              <w:spacing w:line="288" w:lineRule="auto"/>
              <w:jc w:val="left"/>
              <w:rPr>
                <w:rFonts w:ascii="Arial" w:hAnsi="Arial" w:cs="Arial"/>
                <w:szCs w:val="21"/>
                <w:highlight w:val="none"/>
              </w:rPr>
            </w:pPr>
            <w:r>
              <w:rPr>
                <w:rFonts w:ascii="Arial" w:hAnsi="Arial" w:cs="Arial"/>
                <w:szCs w:val="21"/>
                <w:highlight w:val="none"/>
              </w:rPr>
              <w:t>支持叠加波分析，可对所有导联心搏进行叠加趋势分析。</w:t>
            </w:r>
          </w:p>
          <w:p>
            <w:pPr>
              <w:pStyle w:val="133"/>
              <w:spacing w:line="288" w:lineRule="auto"/>
              <w:jc w:val="left"/>
              <w:rPr>
                <w:rFonts w:ascii="Arial" w:hAnsi="Arial" w:cs="Arial"/>
                <w:szCs w:val="21"/>
                <w:highlight w:val="none"/>
              </w:rPr>
            </w:pPr>
            <w:r>
              <w:rPr>
                <w:rFonts w:ascii="Arial" w:hAnsi="Arial" w:cs="Arial"/>
                <w:szCs w:val="21"/>
                <w:highlight w:val="none"/>
              </w:rPr>
              <w:t>支持测值根据词条联动，如死亡心电图/无心电活动：所有测值置“/”，房颤：房率、P波时限、PR间期、P电轴置“/”，房扑：P波时限、PR间期、P电轴置“/”。</w:t>
            </w:r>
          </w:p>
          <w:p>
            <w:pPr>
              <w:pStyle w:val="133"/>
              <w:spacing w:line="288" w:lineRule="auto"/>
              <w:jc w:val="left"/>
              <w:rPr>
                <w:rFonts w:ascii="Arial" w:hAnsi="Arial" w:cs="Arial"/>
                <w:szCs w:val="21"/>
                <w:highlight w:val="none"/>
              </w:rPr>
            </w:pPr>
            <w:bookmarkStart w:id="74" w:name="_Hlk99014828"/>
            <w:r>
              <w:rPr>
                <w:rFonts w:ascii="Arial" w:hAnsi="Arial" w:cs="Arial"/>
                <w:szCs w:val="21"/>
                <w:highlight w:val="none"/>
              </w:rPr>
              <w:t xml:space="preserve">支持胸痛加急功能，诊断界面有胸痛加急按钮，点击之后有胸痛加急的提示弹窗并可将检查完成消息推送到手机微信端。 </w:t>
            </w:r>
          </w:p>
          <w:bookmarkEnd w:id="74"/>
          <w:p>
            <w:pPr>
              <w:pStyle w:val="133"/>
              <w:spacing w:line="288" w:lineRule="auto"/>
              <w:jc w:val="left"/>
              <w:rPr>
                <w:rFonts w:ascii="Arial" w:hAnsi="Arial" w:cs="Arial"/>
                <w:szCs w:val="21"/>
                <w:highlight w:val="none"/>
              </w:rPr>
            </w:pPr>
            <w:r>
              <w:rPr>
                <w:rFonts w:ascii="Arial" w:hAnsi="Arial" w:cs="Arial"/>
                <w:szCs w:val="21"/>
                <w:highlight w:val="none"/>
              </w:rPr>
              <w:t>提供标准的心电图诊断词条，辅助医生快速进行报告编辑，在编辑过程中支持词条模糊查询及词条与测值的联动。</w:t>
            </w:r>
          </w:p>
          <w:p>
            <w:pPr>
              <w:pStyle w:val="133"/>
              <w:spacing w:line="288" w:lineRule="auto"/>
              <w:jc w:val="left"/>
              <w:rPr>
                <w:rFonts w:ascii="Arial" w:hAnsi="Arial" w:cs="Arial"/>
                <w:szCs w:val="21"/>
                <w:highlight w:val="none"/>
              </w:rPr>
            </w:pPr>
            <w:r>
              <w:rPr>
                <w:rFonts w:ascii="Arial" w:hAnsi="Arial" w:cs="Arial"/>
                <w:szCs w:val="21"/>
                <w:highlight w:val="none"/>
              </w:rPr>
              <w:t>支持梯形图生成技术。</w:t>
            </w:r>
          </w:p>
          <w:p>
            <w:pPr>
              <w:pStyle w:val="133"/>
              <w:spacing w:line="288" w:lineRule="auto"/>
              <w:jc w:val="left"/>
              <w:rPr>
                <w:rFonts w:ascii="Arial" w:hAnsi="Arial" w:cs="Arial"/>
                <w:szCs w:val="21"/>
                <w:highlight w:val="none"/>
              </w:rPr>
            </w:pPr>
            <w:r>
              <w:rPr>
                <w:rFonts w:ascii="Arial" w:hAnsi="Arial" w:cs="Arial"/>
                <w:szCs w:val="21"/>
                <w:highlight w:val="none"/>
              </w:rPr>
              <w:t>支持频谱心电、高频心电、QT离散度、心电向量、心室晚电位、心率变异等分析功能。</w:t>
            </w:r>
          </w:p>
          <w:p>
            <w:pPr>
              <w:pStyle w:val="133"/>
              <w:spacing w:line="288" w:lineRule="auto"/>
              <w:jc w:val="left"/>
              <w:rPr>
                <w:rFonts w:ascii="Arial" w:hAnsi="Arial" w:cs="Arial"/>
                <w:szCs w:val="21"/>
                <w:highlight w:val="none"/>
              </w:rPr>
            </w:pPr>
            <w:r>
              <w:rPr>
                <w:rFonts w:ascii="Arial" w:hAnsi="Arial" w:cs="Arial"/>
                <w:szCs w:val="21"/>
                <w:highlight w:val="none"/>
              </w:rPr>
              <w:t>支持心电自动诊断技术，对心电报告进行自动化分析和诊断，辅助诊断医生进行报告诊断，提高诊断效率和质量。</w:t>
            </w:r>
          </w:p>
          <w:p>
            <w:pPr>
              <w:pStyle w:val="133"/>
              <w:spacing w:line="288" w:lineRule="auto"/>
              <w:jc w:val="left"/>
              <w:rPr>
                <w:rFonts w:ascii="Arial" w:hAnsi="Arial" w:cs="Arial"/>
                <w:szCs w:val="21"/>
                <w:highlight w:val="none"/>
              </w:rPr>
            </w:pPr>
            <w:r>
              <w:rPr>
                <w:rFonts w:ascii="Arial" w:hAnsi="Arial" w:cs="Arial"/>
                <w:szCs w:val="21"/>
                <w:highlight w:val="none"/>
              </w:rPr>
              <w:t>客户端、Web端、移动端支持自动诊断分析结论，可手动选择是否引用自动诊断结论。</w:t>
            </w:r>
          </w:p>
          <w:p>
            <w:pPr>
              <w:pStyle w:val="133"/>
              <w:spacing w:line="288" w:lineRule="auto"/>
              <w:jc w:val="left"/>
              <w:rPr>
                <w:rFonts w:ascii="Arial" w:hAnsi="Arial" w:cs="Arial"/>
                <w:szCs w:val="21"/>
                <w:highlight w:val="none"/>
              </w:rPr>
            </w:pPr>
            <w:bookmarkStart w:id="75" w:name="_Hlk99014836"/>
            <w:r>
              <w:rPr>
                <w:rFonts w:ascii="Arial" w:hAnsi="Arial" w:cs="Arial"/>
                <w:szCs w:val="21"/>
                <w:highlight w:val="none"/>
              </w:rPr>
              <w:t>支持在诊断界面将心电图原始数据生成二维码，并通过手机端微信小程序进行扫码查看、诊断和分享，通过手机扫码方式实现内网到外网的数据传输，物理隔离保障网络安全。</w:t>
            </w:r>
          </w:p>
          <w:bookmarkEnd w:id="75"/>
          <w:p>
            <w:pPr>
              <w:pStyle w:val="133"/>
              <w:spacing w:line="288" w:lineRule="auto"/>
              <w:jc w:val="left"/>
              <w:rPr>
                <w:rFonts w:ascii="Arial" w:hAnsi="Arial" w:cs="Arial"/>
                <w:szCs w:val="21"/>
                <w:highlight w:val="none"/>
              </w:rPr>
            </w:pPr>
            <w:r>
              <w:rPr>
                <w:rFonts w:ascii="Arial" w:hAnsi="Arial" w:cs="Arial"/>
                <w:szCs w:val="21"/>
                <w:highlight w:val="none"/>
              </w:rPr>
              <w:t>为保护受检者信息安全，报告分享支持脱敏显示。</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动态心电分析：</w:t>
            </w:r>
          </w:p>
          <w:p>
            <w:pPr>
              <w:pStyle w:val="133"/>
              <w:spacing w:line="288" w:lineRule="auto"/>
              <w:jc w:val="left"/>
              <w:rPr>
                <w:rFonts w:ascii="Arial" w:hAnsi="Arial" w:cs="Arial"/>
                <w:szCs w:val="21"/>
                <w:highlight w:val="none"/>
              </w:rPr>
            </w:pPr>
            <w:r>
              <w:rPr>
                <w:rFonts w:ascii="Arial" w:hAnsi="Arial" w:cs="Arial"/>
                <w:szCs w:val="21"/>
                <w:highlight w:val="none"/>
              </w:rPr>
              <w:t>动态心电具备自动分析功能。自动分析功能自动识别心搏类型包括正常（N）、房早（S）、室早（V）、房颤（Af）、起搏（P）和伪差（X）；用户可以手动标记和修改心搏。</w:t>
            </w:r>
          </w:p>
          <w:p>
            <w:pPr>
              <w:pStyle w:val="133"/>
              <w:spacing w:line="288" w:lineRule="auto"/>
              <w:jc w:val="left"/>
              <w:rPr>
                <w:rFonts w:ascii="Arial" w:hAnsi="Arial" w:cs="Arial"/>
                <w:szCs w:val="21"/>
                <w:highlight w:val="none"/>
              </w:rPr>
            </w:pPr>
            <w:r>
              <w:rPr>
                <w:rFonts w:ascii="Arial" w:hAnsi="Arial" w:cs="Arial"/>
                <w:szCs w:val="21"/>
                <w:highlight w:val="none"/>
              </w:rPr>
              <w:t xml:space="preserve">支持P波反混淆快速区分P波形态差异心搏； </w:t>
            </w:r>
          </w:p>
          <w:p>
            <w:pPr>
              <w:pStyle w:val="133"/>
              <w:spacing w:line="288" w:lineRule="auto"/>
              <w:jc w:val="left"/>
              <w:rPr>
                <w:rFonts w:ascii="Arial" w:hAnsi="Arial" w:cs="Arial"/>
                <w:szCs w:val="21"/>
                <w:highlight w:val="none"/>
              </w:rPr>
            </w:pPr>
            <w:r>
              <w:rPr>
                <w:rFonts w:ascii="Arial" w:hAnsi="Arial" w:cs="Arial"/>
                <w:szCs w:val="21"/>
                <w:highlight w:val="none"/>
              </w:rPr>
              <w:t>组合散点图，通过每个心搏的特征选择相应的心搏参数（心搏可选提前量、R波和S波幅度、间期、代偿间期、QRS面积、宽度等方式作为X、Y轴坐标），形成不同的吸引子，快速区分形态不一样的心搏；</w:t>
            </w:r>
          </w:p>
          <w:p>
            <w:pPr>
              <w:pStyle w:val="133"/>
              <w:spacing w:line="288" w:lineRule="auto"/>
              <w:jc w:val="left"/>
              <w:rPr>
                <w:rFonts w:ascii="Arial" w:hAnsi="Arial" w:cs="Arial"/>
                <w:szCs w:val="21"/>
                <w:highlight w:val="none"/>
              </w:rPr>
            </w:pPr>
            <w:r>
              <w:rPr>
                <w:rFonts w:ascii="Arial" w:hAnsi="Arial" w:cs="Arial"/>
                <w:szCs w:val="21"/>
                <w:highlight w:val="none"/>
              </w:rPr>
              <w:t>提供PR间期趋势图功能；</w:t>
            </w:r>
          </w:p>
          <w:p>
            <w:pPr>
              <w:pStyle w:val="133"/>
              <w:spacing w:line="288" w:lineRule="auto"/>
              <w:jc w:val="left"/>
              <w:rPr>
                <w:rFonts w:ascii="Arial" w:hAnsi="Arial" w:cs="Arial"/>
                <w:szCs w:val="21"/>
                <w:highlight w:val="none"/>
              </w:rPr>
            </w:pPr>
            <w:r>
              <w:rPr>
                <w:rFonts w:ascii="Arial" w:hAnsi="Arial" w:cs="Arial"/>
                <w:szCs w:val="21"/>
                <w:highlight w:val="none"/>
              </w:rPr>
              <w:t>支持不同心搏分类模板整体叠加反混淆，快速定位异常心博；</w:t>
            </w:r>
          </w:p>
          <w:p>
            <w:pPr>
              <w:pStyle w:val="133"/>
              <w:spacing w:line="288" w:lineRule="auto"/>
              <w:jc w:val="left"/>
              <w:rPr>
                <w:rFonts w:ascii="Arial" w:hAnsi="Arial" w:cs="Arial"/>
                <w:szCs w:val="21"/>
                <w:highlight w:val="none"/>
              </w:rPr>
            </w:pPr>
            <w:r>
              <w:rPr>
                <w:rFonts w:ascii="Arial" w:hAnsi="Arial" w:cs="Arial"/>
                <w:szCs w:val="21"/>
                <w:highlight w:val="none"/>
              </w:rPr>
              <w:t>支持心率变异性、心室晚电位、心率减速力、心率震荡、T波电交替、心向量等高级功能；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动态血压分析：</w:t>
            </w:r>
          </w:p>
          <w:p>
            <w:pPr>
              <w:pStyle w:val="133"/>
              <w:spacing w:line="288" w:lineRule="auto"/>
              <w:jc w:val="left"/>
              <w:rPr>
                <w:rFonts w:ascii="Arial" w:hAnsi="Arial" w:cs="Arial"/>
                <w:szCs w:val="21"/>
                <w:highlight w:val="none"/>
              </w:rPr>
            </w:pPr>
            <w:r>
              <w:rPr>
                <w:rFonts w:ascii="Arial" w:hAnsi="Arial" w:cs="Arial"/>
                <w:szCs w:val="21"/>
                <w:highlight w:val="none"/>
              </w:rPr>
              <w:t xml:space="preserve">提供多种图标辅助分析工具，包括趋势图、关联图、直方图、饼图、K线图等； </w:t>
            </w:r>
          </w:p>
          <w:p>
            <w:pPr>
              <w:pStyle w:val="133"/>
              <w:spacing w:line="288" w:lineRule="auto"/>
              <w:jc w:val="left"/>
              <w:rPr>
                <w:rFonts w:ascii="Arial" w:hAnsi="Arial" w:cs="Arial"/>
                <w:szCs w:val="21"/>
                <w:highlight w:val="none"/>
              </w:rPr>
            </w:pPr>
            <w:r>
              <w:rPr>
                <w:rFonts w:ascii="Arial" w:hAnsi="Arial" w:cs="Arial"/>
                <w:szCs w:val="21"/>
                <w:highlight w:val="none"/>
              </w:rPr>
              <w:t>提供血压变异系数、夜间血压下降比、血压负荷、晨峰血压等分析指标；</w:t>
            </w:r>
          </w:p>
          <w:p>
            <w:pPr>
              <w:pStyle w:val="133"/>
              <w:spacing w:line="288" w:lineRule="auto"/>
              <w:rPr>
                <w:rFonts w:ascii="Arial" w:hAnsi="Arial" w:cs="Arial"/>
                <w:szCs w:val="21"/>
                <w:highlight w:val="none"/>
              </w:rPr>
            </w:pPr>
            <w:r>
              <w:rPr>
                <w:rFonts w:ascii="Arial" w:hAnsi="Arial" w:cs="Arial"/>
                <w:szCs w:val="21"/>
                <w:highlight w:val="none"/>
              </w:rPr>
              <w:t>提供血压负荷、昼夜节律、动态动脉硬化指数等自动分析结论；</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移动诊断</w:t>
            </w:r>
          </w:p>
          <w:p>
            <w:pPr>
              <w:pStyle w:val="133"/>
              <w:spacing w:line="288" w:lineRule="auto"/>
              <w:rPr>
                <w:rFonts w:ascii="Arial" w:hAnsi="Arial" w:cs="Arial"/>
                <w:szCs w:val="21"/>
                <w:highlight w:val="none"/>
              </w:rPr>
            </w:pPr>
            <w:r>
              <w:rPr>
                <w:rFonts w:ascii="Arial" w:hAnsi="Arial" w:cs="Arial"/>
                <w:szCs w:val="21"/>
                <w:highlight w:val="none"/>
              </w:rPr>
              <w:t>移动会诊支持手机端H5的方式实现原始心电图数据的查看，支持Android和iOS系统等各种品牌终端，满足出差、居家等不同场景下的远程会诊需求。</w:t>
            </w:r>
          </w:p>
          <w:p>
            <w:pPr>
              <w:pStyle w:val="133"/>
              <w:spacing w:line="288" w:lineRule="auto"/>
              <w:rPr>
                <w:rFonts w:ascii="Arial" w:hAnsi="Arial" w:cs="Arial"/>
                <w:szCs w:val="21"/>
                <w:highlight w:val="none"/>
              </w:rPr>
            </w:pPr>
            <w:r>
              <w:rPr>
                <w:rFonts w:ascii="Arial" w:hAnsi="Arial" w:cs="Arial"/>
                <w:szCs w:val="21"/>
                <w:highlight w:val="none"/>
              </w:rPr>
              <w:t>支持手机端报告任务列表刷新功能，可实时查看待处理报告的数量。支持报告编辑功能，提供标准的心电图诊断词条选择或者手动输入诊断词条，辅助医生快速的进行报告编辑。</w:t>
            </w:r>
          </w:p>
          <w:p>
            <w:pPr>
              <w:pStyle w:val="133"/>
              <w:spacing w:line="288" w:lineRule="auto"/>
              <w:rPr>
                <w:rFonts w:ascii="Arial" w:hAnsi="Arial" w:cs="Arial"/>
                <w:szCs w:val="21"/>
                <w:highlight w:val="none"/>
              </w:rPr>
            </w:pPr>
            <w:r>
              <w:rPr>
                <w:rFonts w:ascii="Arial" w:hAnsi="Arial" w:cs="Arial"/>
                <w:szCs w:val="21"/>
                <w:highlight w:val="none"/>
              </w:rPr>
              <w:t>支持手机端浏览器访问登录功能；支持记录最近一次登录用户。</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临床web端调阅</w:t>
            </w:r>
          </w:p>
          <w:p>
            <w:pPr>
              <w:pStyle w:val="133"/>
              <w:spacing w:line="288" w:lineRule="auto"/>
              <w:rPr>
                <w:rFonts w:ascii="Arial" w:hAnsi="Arial" w:cs="Arial"/>
                <w:szCs w:val="21"/>
                <w:highlight w:val="none"/>
              </w:rPr>
            </w:pPr>
            <w:r>
              <w:rPr>
                <w:rFonts w:ascii="Arial" w:hAnsi="Arial" w:cs="Arial"/>
                <w:szCs w:val="21"/>
                <w:highlight w:val="none"/>
              </w:rPr>
              <w:t>Web终端可查看原始数据，支持调整导联布局、增益、走速及；支持心电波形的滤波，包括肌电滤波、工频滤波、高频滤波；支持全院数据共享。</w:t>
            </w:r>
          </w:p>
          <w:p>
            <w:pPr>
              <w:pStyle w:val="133"/>
              <w:spacing w:line="288" w:lineRule="auto"/>
              <w:rPr>
                <w:rFonts w:ascii="Arial" w:hAnsi="Arial" w:cs="Arial"/>
                <w:szCs w:val="21"/>
                <w:highlight w:val="none"/>
              </w:rPr>
            </w:pPr>
            <w:r>
              <w:rPr>
                <w:rFonts w:ascii="Arial" w:hAnsi="Arial" w:cs="Arial"/>
                <w:szCs w:val="21"/>
                <w:highlight w:val="none"/>
              </w:rPr>
              <w:t>支持根据报告完成状态待诊断、已诊断查看报告，并且直观看出待诊断的报告数量。</w:t>
            </w:r>
          </w:p>
          <w:p>
            <w:pPr>
              <w:pStyle w:val="133"/>
              <w:spacing w:line="288" w:lineRule="auto"/>
              <w:rPr>
                <w:rFonts w:ascii="Arial" w:hAnsi="Arial" w:cs="Arial"/>
                <w:szCs w:val="21"/>
                <w:highlight w:val="none"/>
              </w:rPr>
            </w:pPr>
            <w:r>
              <w:rPr>
                <w:rFonts w:ascii="Arial" w:hAnsi="Arial" w:cs="Arial"/>
                <w:szCs w:val="21"/>
                <w:highlight w:val="none"/>
              </w:rPr>
              <w:t>支持通过检查科室、受检者来源、检查时间、受检者标识、受检者姓名快速检索报告。</w:t>
            </w:r>
          </w:p>
          <w:p>
            <w:pPr>
              <w:pStyle w:val="133"/>
              <w:spacing w:line="288" w:lineRule="auto"/>
              <w:rPr>
                <w:rFonts w:ascii="Arial" w:hAnsi="Arial" w:cs="Arial"/>
                <w:szCs w:val="21"/>
                <w:highlight w:val="none"/>
              </w:rPr>
            </w:pPr>
            <w:r>
              <w:rPr>
                <w:rFonts w:ascii="Arial" w:hAnsi="Arial" w:cs="Arial"/>
                <w:szCs w:val="21"/>
                <w:highlight w:val="none"/>
              </w:rPr>
              <w:t>支持产生新报告到达即时提醒功能。当检查端采集的病历发送过来时，web端自动弹出提示窗口并语音提醒，提示医生有新报告到达。</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心电质控分析</w:t>
            </w:r>
          </w:p>
          <w:p>
            <w:pPr>
              <w:pStyle w:val="133"/>
              <w:spacing w:line="288" w:lineRule="auto"/>
              <w:rPr>
                <w:rFonts w:ascii="Arial" w:hAnsi="Arial" w:cs="Arial"/>
                <w:szCs w:val="21"/>
                <w:highlight w:val="none"/>
              </w:rPr>
            </w:pPr>
            <w:r>
              <w:rPr>
                <w:rFonts w:ascii="Arial" w:hAnsi="Arial" w:cs="Arial"/>
                <w:szCs w:val="21"/>
                <w:highlight w:val="none"/>
              </w:rPr>
              <w:t>统计分析：实现管理部门对病种、医生、检查报告的统计分析。</w:t>
            </w:r>
          </w:p>
          <w:p>
            <w:pPr>
              <w:pStyle w:val="133"/>
              <w:spacing w:line="288" w:lineRule="auto"/>
              <w:rPr>
                <w:rFonts w:ascii="Arial" w:hAnsi="Arial" w:cs="Arial"/>
                <w:szCs w:val="21"/>
                <w:highlight w:val="none"/>
              </w:rPr>
            </w:pPr>
            <w:r>
              <w:rPr>
                <w:rFonts w:ascii="Arial" w:hAnsi="Arial" w:cs="Arial"/>
                <w:szCs w:val="21"/>
                <w:highlight w:val="none"/>
              </w:rPr>
              <w:t>支持根据机构、诊断中心查看报告检查量、诊断量。</w:t>
            </w:r>
          </w:p>
          <w:p>
            <w:pPr>
              <w:pStyle w:val="133"/>
              <w:spacing w:line="288" w:lineRule="auto"/>
              <w:rPr>
                <w:rFonts w:ascii="Arial" w:hAnsi="Arial" w:cs="Arial"/>
                <w:szCs w:val="21"/>
                <w:highlight w:val="none"/>
              </w:rPr>
            </w:pPr>
            <w:r>
              <w:rPr>
                <w:rFonts w:ascii="Arial" w:hAnsi="Arial" w:cs="Arial"/>
                <w:szCs w:val="21"/>
                <w:highlight w:val="none"/>
              </w:rPr>
              <w:t>支持危急值统计分析，支持列表和柱状图展示。</w:t>
            </w:r>
          </w:p>
          <w:p>
            <w:pPr>
              <w:pStyle w:val="133"/>
              <w:spacing w:line="288" w:lineRule="auto"/>
              <w:rPr>
                <w:rFonts w:ascii="Arial" w:hAnsi="Arial" w:cs="Arial"/>
                <w:szCs w:val="21"/>
                <w:highlight w:val="none"/>
              </w:rPr>
            </w:pPr>
            <w:r>
              <w:rPr>
                <w:rFonts w:ascii="Arial" w:hAnsi="Arial" w:cs="Arial"/>
                <w:szCs w:val="21"/>
                <w:highlight w:val="none"/>
              </w:rPr>
              <w:t>支持通过心电人工智能进行质控分析，评估诊断医生和诊断组的诊断质量，进一步明确后续的培训方向和提高培训效果。</w:t>
            </w:r>
          </w:p>
          <w:p>
            <w:pPr>
              <w:pStyle w:val="133"/>
              <w:spacing w:line="288" w:lineRule="auto"/>
              <w:rPr>
                <w:rFonts w:ascii="Arial" w:hAnsi="Arial" w:cs="Arial"/>
                <w:szCs w:val="21"/>
                <w:highlight w:val="none"/>
              </w:rPr>
            </w:pPr>
            <w:r>
              <w:rPr>
                <w:rFonts w:ascii="Arial" w:hAnsi="Arial" w:cs="Arial"/>
                <w:szCs w:val="21"/>
                <w:highlight w:val="none"/>
              </w:rPr>
              <w:t>支持心电数据的采集、传输、诊断和数据归档的全流程跟踪管理，记录每一份心电报告的生成过程，为功能调试、问题排查、问题定位等提供技术支撑和可靠保障。</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心电电生理设备接入</w:t>
            </w:r>
          </w:p>
          <w:p>
            <w:pPr>
              <w:pStyle w:val="133"/>
              <w:spacing w:line="288" w:lineRule="auto"/>
              <w:rPr>
                <w:rFonts w:ascii="Arial" w:hAnsi="Arial" w:cs="Arial"/>
                <w:szCs w:val="21"/>
                <w:highlight w:val="none"/>
              </w:rPr>
            </w:pPr>
            <w:r>
              <w:rPr>
                <w:rFonts w:ascii="Arial" w:hAnsi="Arial" w:cs="Arial"/>
                <w:szCs w:val="21"/>
                <w:highlight w:val="none"/>
              </w:rPr>
              <w:t>为充分利用现有设备，系统需支持连接医院现有不同品牌与型号的心电图设备，支持采集原始数据，不能以截屏、拷贝、拍照等方式获取数据，并以标准的数据格式存储，实现心电数据分析，支持接入心电图设备的数据归档和管理。</w:t>
            </w:r>
          </w:p>
          <w:p>
            <w:pPr>
              <w:pStyle w:val="133"/>
              <w:spacing w:line="288" w:lineRule="auto"/>
              <w:rPr>
                <w:rFonts w:ascii="Arial" w:hAnsi="Arial" w:cs="Arial"/>
                <w:szCs w:val="21"/>
                <w:highlight w:val="none"/>
              </w:rPr>
            </w:pPr>
            <w:r>
              <w:rPr>
                <w:rFonts w:ascii="Arial" w:hAnsi="Arial" w:cs="Arial"/>
                <w:szCs w:val="21"/>
                <w:highlight w:val="none"/>
              </w:rPr>
              <w:t>支持对电生理报告的自动解析，并可进行归档、生成电生理报告，报告可院内共享。</w:t>
            </w:r>
          </w:p>
          <w:p>
            <w:pPr>
              <w:pStyle w:val="133"/>
              <w:spacing w:line="288" w:lineRule="auto"/>
              <w:rPr>
                <w:rFonts w:ascii="Arial" w:hAnsi="Arial" w:cs="Arial"/>
                <w:szCs w:val="21"/>
                <w:highlight w:val="none"/>
              </w:rPr>
            </w:pPr>
            <w:r>
              <w:rPr>
                <w:rFonts w:ascii="Arial" w:hAnsi="Arial" w:cs="Arial"/>
                <w:szCs w:val="21"/>
                <w:highlight w:val="none"/>
              </w:rPr>
              <w:t>支持电生理设备包括Holter、运动平板、动态血压、脑电图、肌电图、TCD、听力检查、眼科检查、神经电生理检查等。可根据临床实际需要，支持重新定义报告格式，并且可对电生理参数进行相应的统计分析。</w:t>
            </w:r>
          </w:p>
          <w:p>
            <w:pPr>
              <w:pStyle w:val="2"/>
              <w:numPr>
                <w:ilvl w:val="0"/>
                <w:numId w:val="3"/>
              </w:numPr>
              <w:spacing w:before="0" w:after="0" w:line="288" w:lineRule="auto"/>
              <w:rPr>
                <w:rFonts w:ascii="Arial" w:hAnsi="Arial" w:cs="Arial"/>
                <w:sz w:val="21"/>
                <w:szCs w:val="21"/>
                <w:highlight w:val="none"/>
              </w:rPr>
            </w:pPr>
            <w:bookmarkStart w:id="76" w:name="_Toc17675"/>
            <w:bookmarkStart w:id="77" w:name="_Toc24730"/>
            <w:r>
              <w:rPr>
                <w:rFonts w:ascii="Arial" w:hAnsi="Arial" w:cs="Arial"/>
                <w:sz w:val="21"/>
                <w:szCs w:val="21"/>
                <w:highlight w:val="none"/>
              </w:rPr>
              <w:t>治疗管理</w:t>
            </w:r>
            <w:bookmarkEnd w:id="76"/>
            <w:bookmarkEnd w:id="77"/>
          </w:p>
          <w:p>
            <w:pPr>
              <w:pStyle w:val="3"/>
              <w:numPr>
                <w:ilvl w:val="1"/>
                <w:numId w:val="3"/>
              </w:numPr>
              <w:spacing w:before="0" w:after="0" w:line="288" w:lineRule="auto"/>
              <w:rPr>
                <w:rFonts w:eastAsia="宋体" w:cs="Arial"/>
                <w:sz w:val="21"/>
                <w:szCs w:val="21"/>
                <w:highlight w:val="none"/>
              </w:rPr>
            </w:pPr>
            <w:bookmarkStart w:id="78" w:name="_Toc16242"/>
            <w:r>
              <w:rPr>
                <w:rFonts w:eastAsia="宋体" w:cs="Arial"/>
                <w:sz w:val="21"/>
                <w:szCs w:val="21"/>
                <w:highlight w:val="none"/>
              </w:rPr>
              <w:t>手术麻醉信息系统</w:t>
            </w:r>
            <w:bookmarkEnd w:id="78"/>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麻醉医师工作站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麻醉术前访视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具备查看患者基本就诊信息，手术申请和安排信息的功能。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具备麻醉术前访视与麻醉评估功能，提供术前麻醉访视及评估表单，麻醉知情同意书以及涉及麻醉自费用药或耗材等麻醉相关文书。</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具备麻醉计划文书功能，辅助麻醉医生通过系统查看患者病情、病史，便于拟定患者麻醉计划。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支持与临床信息集成视图对接，实现查看患者的电子病历信息、检查检验信息、影像报告、医嘱信息等功能。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术中麻醉管理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具备图形化展示各手术间当天的手术排台情况的功能，一览各个手术状态。</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支持与消息平台或院内医生端对接，实现发送信息提醒给接台手术的主刀医生功能。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支持给接台手术的主刀医生发送提醒，消息支持对接消息平台或院内医生端。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具备麻醉记录单功能，自动将采集到的监护仪、麻醉机生命体征参数记录在麻醉单上。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具备对术中患者的体征数据进行实时监测的功能，指标异常时进行报警。</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具备对术中患者的体征异常数据进行特殊颜色标识功能。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具备术中事件计时提醒自定义设置功能，可以倒计时形式在术中进行提醒。</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具备自动记取对应的时间作为事件发生时间（或持续事件的起始时间）的功能，自动匹配该事件对应的剂量、途径、持续情况。</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具备对持续性用药根据使用的持续时间和流速自动计算使用剂量功能。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具备将术中麻醉操作以数字序号方式标记在治疗序号区域对应时间点的功能，对应麻醉备注区域事件详情。</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具备用户对受到干扰的误差生命体征数据进行修正的功能。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具备实现术中出入量汇总自动计算的功能。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具备转出手术时，可选择转出至病房、PACU、ICU的功能。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具备器械清点单功能，记录术中手术器械名称和数量，并可记录核对后的器械数量。</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具备麻醉记录单生命体征间隔自定义设置功能，可自定义1分钟，2分钟，5分钟。</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具备术中抢救模式切换功能，对病情危重患者提供一键抢救功能，抢救模式下自动30s间隔呈现。</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具备术中针对用药、事件录入，录入支持设置模板并通过模板进行录入的功能。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具备如Apache II评分、TISS评分、PRAS麻醉恢复评分至少一种自动风险评分功能。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麻醉医生交接</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具备麻醉医生交接班记录功能，包括麻醉医生、交班时间。</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具备术后镇痛记录单及随访单功能，记录患者术后镇痛效果及随访信息。</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具备麻醉总结记录单功能，记录对患者的麻醉过程、麻醉效果进行总结。</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具备对要进行复苏的患者提前对复苏室床位进行预约的功能，支持在手术中查看当前苏醒室床位使用情况。</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具备图形化展示复苏室的床位及患者信息的功能。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具备查看即将出手术间进入复苏室的患者及其床位预约信息的功能。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具备选择指定复苏床位对复苏患者进行转入的功能，记录进入PACU时间。</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具备记录术后复苏过程中的麻醉用药、事件、生命体征、患者入室情况、出室情况，并自动生成独立的术后复苏记录单的功能。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具备麻醉复苏（Steward苏醒评分）评分评估患者清醒程度的功能。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支持与监护设备联机，自动采集患者苏醒过程中的生命体征趋势并自动绘制在复苏记录单上。</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具备复苏记录单延续术中麻醉记录单的功能。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具备复苏室麻醉医师可在复苏室查阅患者麻醉记录单的功能。</w:t>
            </w:r>
          </w:p>
          <w:p>
            <w:pPr>
              <w:pStyle w:val="4"/>
              <w:numPr>
                <w:ilvl w:val="2"/>
                <w:numId w:val="3"/>
              </w:numPr>
              <w:spacing w:before="0" w:after="0" w:line="288" w:lineRule="auto"/>
              <w:ind w:firstLine="40"/>
              <w:jc w:val="left"/>
              <w:rPr>
                <w:rFonts w:ascii="Arial" w:hAnsi="Arial" w:cs="Arial"/>
                <w:sz w:val="21"/>
                <w:szCs w:val="21"/>
                <w:highlight w:val="none"/>
              </w:rPr>
            </w:pPr>
            <w:r>
              <w:rPr>
                <w:rFonts w:ascii="Arial" w:hAnsi="Arial" w:cs="Arial"/>
                <w:sz w:val="21"/>
                <w:szCs w:val="21"/>
                <w:highlight w:val="none"/>
              </w:rPr>
              <w:t xml:space="preserve">手术室护士工作站 </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手术室护理文书</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具备手术护理记录单，支持同步麻醉单上相关信息，并记录患者手术过程中的护理信息的功能。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具备器械清点功能，提供关前、关后、手术结束三个时间点的物品清点功能。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具备三方安全核查功能，支持卫生部标准手术安全核查单格式，在麻醉实施前、手术开始前和手术结束后对手术相关信息进行主刀医生、手术室护士、麻醉医生三方确认。</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手术排班管理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支持与临床信息系统、急诊管理系统对接，接收住院医生站、急诊渠道的手术申请单并进行手术类别标识功能。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具备以图形化拖拽的方式对手术申请、麻醉医生及护士进行台次安排和人员分配，支持手术的时间安排与预估时长的功能。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具备排班页面信息折叠功能，最大化的展示排班护士所关注数据。</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具备以列表方式进行手术安排及人员分配的功能，列表支持批量操作。</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具备手术安排表的导出和打印的功能。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具备手术取消并记录手术停台和取消原因的功能。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支持与消息平台或院内医生端对接，实现推送手术安排信息给主刀医生及麻醉医生功能。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手术室手术麻醉计费 </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具备手术相关费用的录入及查询功能，包括各类收费项目，药品费用以及耗材费用明细。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具备麻醉相关费用的录入及查询功能，包括各类收费项目，药品费用医技耗材费用明细。</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支持与医院信息系统对接实现术中医嘱关联的收费项目自动计费、医技确费以及高值耗材耗材的扫码识别。</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具备手术麻醉协定方或收费项目组套的维护与套用的功能。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具备手术、麻醉费用录入后的修正与审核功能。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具备术中医嘱的审核与执行的功能。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具备术中医嘱执行后自动关联手术费项目进行计费功能。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具备手术室备用药品目录、额定库存数量与预警库存数量设置功能。</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具备术中医嘱执行后自动扣减手术室备用药品的库存的功能，并定期生成汇总请领单，实现自动通知药房发药以补充备用药品。</w:t>
            </w:r>
          </w:p>
          <w:p>
            <w:pPr>
              <w:pStyle w:val="133"/>
              <w:widowControl/>
              <w:adjustRightInd w:val="0"/>
              <w:snapToGrid w:val="0"/>
              <w:spacing w:line="288" w:lineRule="auto"/>
              <w:jc w:val="left"/>
              <w:rPr>
                <w:rFonts w:ascii="Arial" w:hAnsi="Arial" w:cs="Arial"/>
                <w:szCs w:val="21"/>
                <w:highlight w:val="none"/>
              </w:rPr>
            </w:pPr>
            <w:r>
              <w:rPr>
                <w:rFonts w:ascii="Arial" w:hAnsi="Arial" w:cs="Arial"/>
                <w:szCs w:val="21"/>
                <w:highlight w:val="none"/>
              </w:rPr>
              <w:t>具备手术室领药记录查询功能。</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手术信息屏</w:t>
            </w:r>
          </w:p>
          <w:p>
            <w:pPr>
              <w:pStyle w:val="133"/>
              <w:spacing w:line="288" w:lineRule="auto"/>
              <w:rPr>
                <w:rFonts w:ascii="Arial" w:hAnsi="Arial" w:cs="Arial"/>
                <w:szCs w:val="21"/>
                <w:highlight w:val="none"/>
              </w:rPr>
            </w:pPr>
            <w:r>
              <w:rPr>
                <w:rFonts w:ascii="Arial" w:hAnsi="Arial" w:cs="Arial"/>
                <w:szCs w:val="21"/>
                <w:highlight w:val="none"/>
              </w:rPr>
              <w:t>具备家属等候区展示当前手术室内正在进行的每台手术的手术进程信息的功能，支持对患者姓名等信息进行隐私处理。</w:t>
            </w:r>
          </w:p>
          <w:p>
            <w:pPr>
              <w:pStyle w:val="133"/>
              <w:spacing w:line="288" w:lineRule="auto"/>
              <w:rPr>
                <w:rFonts w:ascii="Arial" w:hAnsi="Arial" w:cs="Arial"/>
                <w:szCs w:val="21"/>
                <w:highlight w:val="none"/>
              </w:rPr>
            </w:pPr>
            <w:r>
              <w:rPr>
                <w:rFonts w:ascii="Arial" w:hAnsi="Arial" w:cs="Arial"/>
                <w:szCs w:val="21"/>
                <w:highlight w:val="none"/>
              </w:rPr>
              <w:t>具备手术室内屏幕展示当天手术安排及人员排班信息的功能。</w:t>
            </w:r>
          </w:p>
          <w:p>
            <w:pPr>
              <w:pStyle w:val="133"/>
              <w:spacing w:line="288" w:lineRule="auto"/>
              <w:rPr>
                <w:rFonts w:ascii="Arial" w:hAnsi="Arial" w:cs="Arial"/>
                <w:szCs w:val="21"/>
                <w:highlight w:val="none"/>
              </w:rPr>
            </w:pPr>
            <w:r>
              <w:rPr>
                <w:rFonts w:ascii="Arial" w:hAnsi="Arial" w:cs="Arial"/>
                <w:szCs w:val="21"/>
                <w:highlight w:val="none"/>
              </w:rPr>
              <w:t>具备通过手术大屏发送通知消息功能。</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麻醉质控管理</w:t>
            </w:r>
          </w:p>
          <w:p>
            <w:pPr>
              <w:pStyle w:val="133"/>
              <w:spacing w:line="288" w:lineRule="auto"/>
              <w:rPr>
                <w:rFonts w:ascii="Arial" w:hAnsi="Arial" w:cs="Arial"/>
                <w:szCs w:val="21"/>
                <w:highlight w:val="none"/>
              </w:rPr>
            </w:pPr>
            <w:r>
              <w:rPr>
                <w:rFonts w:ascii="Arial" w:hAnsi="Arial" w:cs="Arial"/>
                <w:szCs w:val="21"/>
                <w:highlight w:val="none"/>
              </w:rPr>
              <w:t>提供符合《麻醉专业医疗质量控制指标（2022年）》的麻醉质控文书。</w:t>
            </w:r>
          </w:p>
          <w:p>
            <w:pPr>
              <w:pStyle w:val="133"/>
              <w:spacing w:line="288" w:lineRule="auto"/>
              <w:rPr>
                <w:rFonts w:ascii="Arial" w:hAnsi="Arial" w:cs="Arial"/>
                <w:szCs w:val="21"/>
                <w:highlight w:val="none"/>
              </w:rPr>
            </w:pPr>
            <w:r>
              <w:rPr>
                <w:rFonts w:ascii="Arial" w:hAnsi="Arial" w:cs="Arial"/>
                <w:szCs w:val="21"/>
                <w:highlight w:val="none"/>
              </w:rPr>
              <w:t>具备对麻醉质控要求26项质控指标统计功能，包括：麻醉科医护比、麻醉医师人均年麻醉例次数、手术室外麻醉占比、择期手术麻醉前访视率、入室后手术麻醉取消率、麻醉开始后手术取消率、全身麻醉术中体温监测率、术中主动保温率、术中自体血输注率、手术麻醉期间低体温发生率、术中牙齿损伤发生率、麻醉期间严重反流误吸发生率、计划外建立人工气道发生率、术中心脏骤停率、麻醉期间严重过敏反应发生率、全身麻醉术中知晓发生率、PACU 入室低体温发生率、麻醉后 PACU 转出延迟率、非计划二次气管插管率、非计划转入 ICU 率、术后镇痛满意率、区域阻滞麻醉后严重神经并发症发生率、全身麻醉气管插管拔管后声音嘶哑发生率、麻醉后新发昏迷发生率、麻醉后 24 小时内患者死亡率、阴道分娩椎管内麻醉使用率。</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麻醉术中医嘱管理</w:t>
            </w:r>
          </w:p>
          <w:p>
            <w:pPr>
              <w:pStyle w:val="133"/>
              <w:spacing w:line="288" w:lineRule="auto"/>
              <w:rPr>
                <w:rFonts w:ascii="Arial" w:hAnsi="Arial" w:cs="Arial"/>
                <w:szCs w:val="21"/>
                <w:highlight w:val="none"/>
              </w:rPr>
            </w:pPr>
            <w:r>
              <w:rPr>
                <w:rFonts w:ascii="Arial" w:hAnsi="Arial" w:cs="Arial"/>
                <w:szCs w:val="21"/>
                <w:highlight w:val="none"/>
              </w:rPr>
              <w:t>具备术中医嘱开立功能，并与住院医生站医嘱互通。</w:t>
            </w:r>
          </w:p>
          <w:p>
            <w:pPr>
              <w:pStyle w:val="133"/>
              <w:spacing w:line="288" w:lineRule="auto"/>
              <w:rPr>
                <w:rFonts w:ascii="Arial" w:hAnsi="Arial" w:cs="Arial"/>
                <w:szCs w:val="21"/>
                <w:highlight w:val="none"/>
              </w:rPr>
            </w:pPr>
            <w:r>
              <w:rPr>
                <w:rFonts w:ascii="Arial" w:hAnsi="Arial" w:cs="Arial"/>
                <w:szCs w:val="21"/>
                <w:highlight w:val="none"/>
              </w:rPr>
              <w:t>具备麻醉记录单中术中用药记录导入术中医嘱清单功能，并与住院医生站医嘱互通。</w:t>
            </w:r>
          </w:p>
          <w:p>
            <w:pPr>
              <w:pStyle w:val="133"/>
              <w:spacing w:line="288" w:lineRule="auto"/>
              <w:rPr>
                <w:rFonts w:ascii="Arial" w:hAnsi="Arial" w:cs="Arial"/>
                <w:szCs w:val="21"/>
                <w:highlight w:val="none"/>
              </w:rPr>
            </w:pPr>
            <w:r>
              <w:rPr>
                <w:rFonts w:ascii="Arial" w:hAnsi="Arial" w:cs="Arial"/>
                <w:szCs w:val="21"/>
                <w:highlight w:val="none"/>
              </w:rPr>
              <w:t>具备成套医嘱的维护和录入成套医嘱功能。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麻醉设备联机（8间）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支持8间手术室/复苏室麻醉机、监护仪设备对接，自动获取麻醉机、监护仪数据，并展示在麻醉记录单。</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具备采集数据存储功能。</w:t>
            </w:r>
          </w:p>
          <w:p>
            <w:pPr>
              <w:pStyle w:val="3"/>
              <w:numPr>
                <w:ilvl w:val="1"/>
                <w:numId w:val="3"/>
              </w:numPr>
              <w:spacing w:before="0" w:after="0" w:line="288" w:lineRule="auto"/>
              <w:rPr>
                <w:rFonts w:eastAsia="宋体" w:cs="Arial"/>
                <w:sz w:val="21"/>
                <w:szCs w:val="21"/>
                <w:highlight w:val="none"/>
              </w:rPr>
            </w:pPr>
            <w:bookmarkStart w:id="79" w:name="_Toc21197"/>
            <w:r>
              <w:rPr>
                <w:rFonts w:eastAsia="宋体" w:cs="Arial"/>
                <w:sz w:val="21"/>
                <w:szCs w:val="21"/>
                <w:highlight w:val="none"/>
              </w:rPr>
              <w:t>治疗管理信息系统</w:t>
            </w:r>
            <w:bookmarkEnd w:id="79"/>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治疗项目管理 </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基本信息查看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支持与临床系统对接，查看开设治疗项目的门诊患者、住院患者基本信息功能，包括患者姓名、性别、年龄、病历号、住院号、床位号、诊断。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具备根据患者类型、姓名、卡号、开方日期查找患者功能。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治疗项目管理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支持与临床系统对接，查看患者治疗师开方项目信息，包括门诊临时处方项目、住院长期处方项目。查看患者处方详情，包括：项目名称、项目总数量、项目剩余数量、单价、项目频次、开方医生、开方时间。</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具备单项目确费、多项目批量确费、取消门诊项目功能。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具备门诊/住院项目确费功能，设置确费治疗师、本次确费数量。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支持项目费用状态同步至医院信息系统。</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治疗项目明细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具备查看患者处方项目确费明细功能，包含项目名称、项目数量、确认时间、操作人员、项目状态信息。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具备批量撤销已确费项目、已取消项目功能。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具备打印确费明细功能。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统计分析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具备按治疗师统计时间范围内工作量数据功能。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具备按项目统计时间范围内工作量数据功能。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具备统计查看明细功能，包含确费项目、确费日期、单价、数量、总费用、患者信息。</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治疗排班</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具备治疗室排班、医生排班两种排班模式功能。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具备根据设置的排班规则进行自动排班功能。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具备分类排班规则设置功能，包含运行时间、取消时限、上下午起止时间、启用状态。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具备医生/分类排班规则设置功能，包含周次、名额、工作日等规则。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具备选择治疗师/分类进行批量排班功能。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具备编辑排班功能，修改排班名额、停诊/出诊状态。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具备预览排班结果功能，包含周次、排班信息、排班预约信息。</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治疗记录 </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治疗项目记录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具备查看患者已治疗项目记录数据功能，包含项目名称、治疗部位、治疗方法、治疗反应、治疗频次、治疗时间段、治疗小结、记录状态。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具备根据确费日期、已治疗项目记录状态查找项目功能。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具备选择患者已治疗项目批量记录治疗情况功能。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具备打印患者已治疗项目功能。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治疗记录模板</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具备治疗师添加、删除治疗记录模板功能。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具备保存治疗记录为个人模板、科室模板、全院模板功能。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具备填写治疗记录时引用已维护模板功能，直接带入模板数据。</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治疗单划价 </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治疗单划价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具备查看患者历史划价项目功能，包含项目名称、项目数量、申请日期、划价医生、费用状态数据。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支持与医院信息系统对接，实现划价项目添加选择收费小项目、临床项目、药品功能，可设置项目数量。治疗师收费划价项目、作废划价项目。</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治疗单划价项目组套</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具备选择多个项目组成套餐功能。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具备治疗单划价添加个人组套、科室组套、全院组套项目功能。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具备管理个人组套项目功能。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治疗预约管理 </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科室分类预约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具备按科室分类模式预约功能，选择分类排班时间点预约。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具备按周次查看分类排班信息功能，包含预约时间段、预约状态（可约/不可约）。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具备单个预约、批量预约功能。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具备治疗师按预约日期查询全部预约患者信息功能。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具备预约批量撤销预约功能。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科室治疗师预约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具备按科室治疗师模式预约功能，选择治疗师排班时间点预约。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具备按日期、按治疗师查看排班信息功能，包含预约时间段、预约状态（可约/不可约）。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具备单个预约、批量预约功能。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具备治疗师按预约日期查询全部预约患者信息功能。</w:t>
            </w:r>
          </w:p>
          <w:p>
            <w:pPr>
              <w:pStyle w:val="2"/>
              <w:numPr>
                <w:ilvl w:val="0"/>
                <w:numId w:val="3"/>
              </w:numPr>
              <w:spacing w:before="0" w:after="0" w:line="288" w:lineRule="auto"/>
              <w:rPr>
                <w:rFonts w:ascii="Arial" w:hAnsi="Arial" w:cs="Arial"/>
                <w:sz w:val="21"/>
                <w:szCs w:val="21"/>
                <w:highlight w:val="none"/>
              </w:rPr>
            </w:pPr>
            <w:bookmarkStart w:id="80" w:name="_Toc17404"/>
            <w:bookmarkStart w:id="81" w:name="_Toc23836"/>
            <w:r>
              <w:rPr>
                <w:rFonts w:ascii="Arial" w:hAnsi="Arial" w:cs="Arial"/>
                <w:sz w:val="21"/>
                <w:szCs w:val="21"/>
                <w:highlight w:val="none"/>
              </w:rPr>
              <w:t>医疗保障</w:t>
            </w:r>
            <w:bookmarkEnd w:id="80"/>
            <w:bookmarkEnd w:id="81"/>
          </w:p>
          <w:p>
            <w:pPr>
              <w:pStyle w:val="3"/>
              <w:numPr>
                <w:ilvl w:val="1"/>
                <w:numId w:val="3"/>
              </w:numPr>
              <w:spacing w:before="0" w:after="0" w:line="288" w:lineRule="auto"/>
              <w:rPr>
                <w:rFonts w:eastAsia="宋体" w:cs="Arial"/>
                <w:sz w:val="21"/>
                <w:szCs w:val="21"/>
                <w:highlight w:val="none"/>
              </w:rPr>
            </w:pPr>
            <w:bookmarkStart w:id="82" w:name="_Toc5597"/>
            <w:r>
              <w:rPr>
                <w:rFonts w:eastAsia="宋体" w:cs="Arial"/>
                <w:sz w:val="21"/>
                <w:szCs w:val="21"/>
                <w:highlight w:val="none"/>
              </w:rPr>
              <w:t>合理用药检测系统</w:t>
            </w:r>
            <w:bookmarkEnd w:id="82"/>
          </w:p>
          <w:p>
            <w:pPr>
              <w:pStyle w:val="4"/>
              <w:numPr>
                <w:ilvl w:val="2"/>
                <w:numId w:val="3"/>
              </w:numPr>
              <w:spacing w:before="0" w:after="0" w:line="288" w:lineRule="auto"/>
              <w:ind w:firstLine="40"/>
              <w:rPr>
                <w:rFonts w:ascii="Arial" w:hAnsi="Arial" w:cs="Arial"/>
                <w:sz w:val="21"/>
                <w:szCs w:val="21"/>
                <w:highlight w:val="none"/>
              </w:rPr>
            </w:pPr>
            <w:bookmarkStart w:id="83" w:name="_Toc5294"/>
            <w:r>
              <w:rPr>
                <w:rFonts w:ascii="Arial" w:hAnsi="Arial" w:cs="Arial"/>
                <w:sz w:val="21"/>
                <w:szCs w:val="21"/>
                <w:highlight w:val="none"/>
                <w:lang w:eastAsia="zh"/>
              </w:rPr>
              <w:t xml:space="preserve"> </w:t>
            </w:r>
            <w:r>
              <w:rPr>
                <w:rFonts w:ascii="Arial" w:hAnsi="Arial" w:cs="Arial"/>
                <w:sz w:val="21"/>
                <w:szCs w:val="21"/>
                <w:highlight w:val="none"/>
              </w:rPr>
              <w:t>药学</w:t>
            </w:r>
            <w:bookmarkEnd w:id="83"/>
            <w:r>
              <w:rPr>
                <w:rFonts w:ascii="Arial" w:hAnsi="Arial" w:cs="Arial"/>
                <w:sz w:val="21"/>
                <w:szCs w:val="21"/>
                <w:highlight w:val="none"/>
              </w:rPr>
              <w:t>知识库</w:t>
            </w:r>
          </w:p>
          <w:p>
            <w:pPr>
              <w:pStyle w:val="133"/>
              <w:spacing w:line="288" w:lineRule="auto"/>
              <w:rPr>
                <w:rFonts w:ascii="Arial" w:hAnsi="Arial" w:cs="Arial"/>
                <w:szCs w:val="21"/>
                <w:highlight w:val="none"/>
              </w:rPr>
            </w:pPr>
            <w:r>
              <w:rPr>
                <w:rFonts w:ascii="Arial" w:hAnsi="Arial" w:cs="Arial"/>
                <w:szCs w:val="21"/>
                <w:highlight w:val="none"/>
              </w:rPr>
              <w:t>医生在开方过程中或药师在审方过程中，均可通过浏览药学智库中的静态知识库查询相关用药知识。具体功能要求如下：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综合检索</w:t>
            </w:r>
          </w:p>
          <w:p>
            <w:pPr>
              <w:pStyle w:val="133"/>
              <w:spacing w:line="288" w:lineRule="auto"/>
              <w:jc w:val="left"/>
              <w:rPr>
                <w:rFonts w:ascii="Arial" w:hAnsi="Arial" w:cs="Arial"/>
                <w:szCs w:val="21"/>
                <w:highlight w:val="none"/>
              </w:rPr>
            </w:pPr>
            <w:r>
              <w:rPr>
                <w:rFonts w:ascii="Arial" w:hAnsi="Arial" w:cs="Arial"/>
                <w:szCs w:val="21"/>
                <w:highlight w:val="none"/>
              </w:rPr>
              <w:t>提供综合检索输入需要查询的关键字，进行全知识库检索。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上市药品知识库</w:t>
            </w:r>
          </w:p>
          <w:p>
            <w:pPr>
              <w:pStyle w:val="133"/>
              <w:spacing w:line="288" w:lineRule="auto"/>
              <w:jc w:val="left"/>
              <w:rPr>
                <w:rFonts w:ascii="Arial" w:hAnsi="Arial" w:cs="Arial"/>
                <w:szCs w:val="21"/>
                <w:highlight w:val="none"/>
              </w:rPr>
            </w:pPr>
            <w:r>
              <w:rPr>
                <w:rFonts w:ascii="Arial" w:hAnsi="Arial" w:cs="Arial"/>
                <w:szCs w:val="21"/>
                <w:highlight w:val="none"/>
              </w:rPr>
              <w:t>提供上市药品按分类、关键字检索，查看药品详细信息，并支持与其他智库内知识库关联查询。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国家医保药品查询</w:t>
            </w:r>
          </w:p>
          <w:p>
            <w:pPr>
              <w:pStyle w:val="133"/>
              <w:spacing w:line="288" w:lineRule="auto"/>
              <w:jc w:val="left"/>
              <w:rPr>
                <w:rFonts w:ascii="Arial" w:hAnsi="Arial" w:cs="Arial"/>
                <w:szCs w:val="21"/>
                <w:highlight w:val="none"/>
              </w:rPr>
            </w:pPr>
            <w:r>
              <w:rPr>
                <w:rFonts w:ascii="Arial" w:hAnsi="Arial" w:cs="Arial"/>
                <w:szCs w:val="21"/>
                <w:highlight w:val="none"/>
              </w:rPr>
              <w:t>提供国家医保药品按分类、关键字检索查询药品详细信息。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国家基本药物查询</w:t>
            </w:r>
          </w:p>
          <w:p>
            <w:pPr>
              <w:pStyle w:val="133"/>
              <w:spacing w:line="288" w:lineRule="auto"/>
              <w:jc w:val="left"/>
              <w:rPr>
                <w:rFonts w:ascii="Arial" w:hAnsi="Arial" w:cs="Arial"/>
                <w:szCs w:val="21"/>
                <w:highlight w:val="none"/>
              </w:rPr>
            </w:pPr>
            <w:r>
              <w:rPr>
                <w:rFonts w:ascii="Arial" w:hAnsi="Arial" w:cs="Arial"/>
                <w:szCs w:val="21"/>
                <w:highlight w:val="none"/>
              </w:rPr>
              <w:t>提供国家基本药物按分类、关键字检索查询药品详细信息。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集采药品查询</w:t>
            </w:r>
          </w:p>
          <w:p>
            <w:pPr>
              <w:pStyle w:val="133"/>
              <w:spacing w:line="288" w:lineRule="auto"/>
              <w:jc w:val="left"/>
              <w:rPr>
                <w:rFonts w:ascii="Arial" w:hAnsi="Arial" w:cs="Arial"/>
                <w:szCs w:val="21"/>
                <w:highlight w:val="none"/>
              </w:rPr>
            </w:pPr>
            <w:r>
              <w:rPr>
                <w:rFonts w:ascii="Arial" w:hAnsi="Arial" w:cs="Arial"/>
                <w:szCs w:val="21"/>
                <w:highlight w:val="none"/>
              </w:rPr>
              <w:t>提供国家集采药品按分类、关键字检索，查看药品详细信息，并支持与其他智库内知识库关联查询。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物质查询</w:t>
            </w:r>
          </w:p>
          <w:p>
            <w:pPr>
              <w:pStyle w:val="133"/>
              <w:spacing w:line="288" w:lineRule="auto"/>
              <w:jc w:val="left"/>
              <w:rPr>
                <w:rFonts w:ascii="Arial" w:hAnsi="Arial" w:cs="Arial"/>
                <w:szCs w:val="21"/>
                <w:highlight w:val="none"/>
              </w:rPr>
            </w:pPr>
            <w:r>
              <w:rPr>
                <w:rFonts w:ascii="Arial" w:hAnsi="Arial" w:cs="Arial"/>
                <w:szCs w:val="21"/>
                <w:highlight w:val="none"/>
              </w:rPr>
              <w:t>提供药品物质层信息按分类、关键字检索查询药品详细信息。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DDD查询</w:t>
            </w:r>
          </w:p>
          <w:p>
            <w:pPr>
              <w:pStyle w:val="133"/>
              <w:spacing w:line="288" w:lineRule="auto"/>
              <w:jc w:val="left"/>
              <w:rPr>
                <w:rFonts w:ascii="Arial" w:hAnsi="Arial" w:cs="Arial"/>
                <w:szCs w:val="21"/>
                <w:highlight w:val="none"/>
              </w:rPr>
            </w:pPr>
            <w:r>
              <w:rPr>
                <w:rFonts w:ascii="Arial" w:hAnsi="Arial" w:cs="Arial"/>
                <w:szCs w:val="21"/>
                <w:highlight w:val="none"/>
              </w:rPr>
              <w:t>提供药物DDD值按关键字检索，查询药物DDD值详情。</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中医方剂库查询</w:t>
            </w:r>
          </w:p>
          <w:p>
            <w:pPr>
              <w:pStyle w:val="133"/>
              <w:spacing w:line="288" w:lineRule="auto"/>
              <w:jc w:val="left"/>
              <w:rPr>
                <w:rFonts w:ascii="Arial" w:hAnsi="Arial" w:cs="Arial"/>
                <w:szCs w:val="21"/>
                <w:highlight w:val="none"/>
              </w:rPr>
            </w:pPr>
            <w:r>
              <w:rPr>
                <w:rFonts w:ascii="Arial" w:hAnsi="Arial" w:cs="Arial"/>
                <w:szCs w:val="21"/>
                <w:highlight w:val="none"/>
              </w:rPr>
              <w:t>提供中医方剂库按分类、关键字检索查询药品详细信息。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疾病分类与代码（ICD）查询</w:t>
            </w:r>
          </w:p>
          <w:p>
            <w:pPr>
              <w:pStyle w:val="133"/>
              <w:spacing w:line="288" w:lineRule="auto"/>
              <w:jc w:val="left"/>
              <w:rPr>
                <w:rFonts w:ascii="Arial" w:hAnsi="Arial" w:cs="Arial"/>
                <w:szCs w:val="21"/>
                <w:highlight w:val="none"/>
              </w:rPr>
            </w:pPr>
            <w:r>
              <w:rPr>
                <w:rFonts w:ascii="Arial" w:hAnsi="Arial" w:cs="Arial"/>
                <w:szCs w:val="21"/>
                <w:highlight w:val="none"/>
              </w:rPr>
              <w:t>提供ICD10诊断代码知识库分类、关键字检索查询。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中医病症分类与代码（TCD）查询</w:t>
            </w:r>
          </w:p>
          <w:p>
            <w:pPr>
              <w:pStyle w:val="133"/>
              <w:spacing w:line="288" w:lineRule="auto"/>
              <w:jc w:val="left"/>
              <w:rPr>
                <w:rFonts w:ascii="Arial" w:hAnsi="Arial" w:cs="Arial"/>
                <w:szCs w:val="21"/>
                <w:highlight w:val="none"/>
              </w:rPr>
            </w:pPr>
            <w:r>
              <w:rPr>
                <w:rFonts w:ascii="Arial" w:hAnsi="Arial" w:cs="Arial"/>
                <w:szCs w:val="21"/>
                <w:highlight w:val="none"/>
              </w:rPr>
              <w:t>提供TCD中医病症代码知识库分类、关键字检索查询。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药物ATC编码查询</w:t>
            </w:r>
          </w:p>
          <w:p>
            <w:pPr>
              <w:pStyle w:val="133"/>
              <w:spacing w:line="288" w:lineRule="auto"/>
              <w:jc w:val="left"/>
              <w:rPr>
                <w:rFonts w:ascii="Arial" w:hAnsi="Arial" w:cs="Arial"/>
                <w:szCs w:val="21"/>
                <w:highlight w:val="none"/>
              </w:rPr>
            </w:pPr>
            <w:r>
              <w:rPr>
                <w:rFonts w:ascii="Arial" w:hAnsi="Arial" w:cs="Arial"/>
                <w:szCs w:val="21"/>
                <w:highlight w:val="none"/>
              </w:rPr>
              <w:t>提供药物ATC代码知识库分类、关键字检索查询。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国家医保药品分类与代码查询</w:t>
            </w:r>
          </w:p>
          <w:p>
            <w:pPr>
              <w:pStyle w:val="133"/>
              <w:spacing w:line="288" w:lineRule="auto"/>
              <w:jc w:val="left"/>
              <w:rPr>
                <w:rFonts w:ascii="Arial" w:hAnsi="Arial" w:cs="Arial"/>
                <w:szCs w:val="21"/>
                <w:highlight w:val="none"/>
              </w:rPr>
            </w:pPr>
            <w:r>
              <w:rPr>
                <w:rFonts w:ascii="Arial" w:hAnsi="Arial" w:cs="Arial"/>
                <w:szCs w:val="21"/>
                <w:highlight w:val="none"/>
              </w:rPr>
              <w:t>提供国家医保药品代码知识库分类、关键字检索查询，并支持跨库关联检索。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药品生产企业查询</w:t>
            </w:r>
          </w:p>
          <w:p>
            <w:pPr>
              <w:pStyle w:val="133"/>
              <w:spacing w:line="288" w:lineRule="auto"/>
              <w:jc w:val="left"/>
              <w:rPr>
                <w:rFonts w:ascii="Arial" w:hAnsi="Arial" w:cs="Arial"/>
                <w:szCs w:val="21"/>
                <w:highlight w:val="none"/>
              </w:rPr>
            </w:pPr>
            <w:r>
              <w:rPr>
                <w:rFonts w:ascii="Arial" w:hAnsi="Arial" w:cs="Arial"/>
                <w:szCs w:val="21"/>
                <w:highlight w:val="none"/>
              </w:rPr>
              <w:t>提供药品生产企业知识库按名称和统一信代码检索查询，并支持跨库关联检索。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TPN指标计算 </w:t>
            </w:r>
          </w:p>
          <w:p>
            <w:pPr>
              <w:pStyle w:val="133"/>
              <w:spacing w:line="288" w:lineRule="auto"/>
              <w:jc w:val="left"/>
              <w:rPr>
                <w:rFonts w:ascii="Arial" w:hAnsi="Arial" w:cs="Arial"/>
                <w:szCs w:val="21"/>
                <w:highlight w:val="none"/>
              </w:rPr>
            </w:pPr>
            <w:r>
              <w:rPr>
                <w:rFonts w:ascii="Arial" w:hAnsi="Arial" w:cs="Arial"/>
                <w:szCs w:val="21"/>
                <w:highlight w:val="none"/>
              </w:rPr>
              <w:t>提供TPN指标计算工具。</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 xml:space="preserve">血药浓度预测 </w:t>
            </w:r>
          </w:p>
          <w:p>
            <w:pPr>
              <w:pStyle w:val="133"/>
              <w:spacing w:line="288" w:lineRule="auto"/>
              <w:jc w:val="left"/>
              <w:rPr>
                <w:rFonts w:ascii="Arial" w:hAnsi="Arial" w:cs="Arial"/>
                <w:szCs w:val="21"/>
                <w:highlight w:val="none"/>
              </w:rPr>
            </w:pPr>
            <w:r>
              <w:rPr>
                <w:rFonts w:ascii="Arial" w:hAnsi="Arial" w:cs="Arial"/>
                <w:szCs w:val="21"/>
                <w:highlight w:val="none"/>
              </w:rPr>
              <w:t>提供预测工具对服用他克莫司胶囊血药浓度预测的功能。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临床检验查询</w:t>
            </w:r>
          </w:p>
          <w:p>
            <w:pPr>
              <w:pStyle w:val="133"/>
              <w:spacing w:line="288" w:lineRule="auto"/>
              <w:jc w:val="left"/>
              <w:rPr>
                <w:rFonts w:ascii="Arial" w:hAnsi="Arial" w:cs="Arial"/>
                <w:szCs w:val="21"/>
                <w:highlight w:val="none"/>
              </w:rPr>
            </w:pPr>
            <w:r>
              <w:rPr>
                <w:rFonts w:ascii="Arial" w:hAnsi="Arial" w:cs="Arial"/>
                <w:szCs w:val="21"/>
                <w:highlight w:val="none"/>
              </w:rPr>
              <w:t>提供常用临床检验知识库查询。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药物警戒快讯查询</w:t>
            </w:r>
          </w:p>
          <w:p>
            <w:pPr>
              <w:pStyle w:val="133"/>
              <w:spacing w:line="288" w:lineRule="auto"/>
              <w:jc w:val="left"/>
              <w:rPr>
                <w:rFonts w:ascii="Arial" w:hAnsi="Arial" w:cs="Arial"/>
                <w:szCs w:val="21"/>
                <w:highlight w:val="none"/>
              </w:rPr>
            </w:pPr>
            <w:r>
              <w:rPr>
                <w:rFonts w:ascii="Arial" w:hAnsi="Arial" w:cs="Arial"/>
                <w:szCs w:val="21"/>
                <w:highlight w:val="none"/>
              </w:rPr>
              <w:t>提供药物警戒快讯知识库查询。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常用药学法律法规</w:t>
            </w:r>
          </w:p>
          <w:p>
            <w:pPr>
              <w:pStyle w:val="133"/>
              <w:spacing w:line="288" w:lineRule="auto"/>
              <w:jc w:val="left"/>
              <w:rPr>
                <w:rFonts w:ascii="Arial" w:hAnsi="Arial" w:cs="Arial"/>
                <w:szCs w:val="21"/>
                <w:highlight w:val="none"/>
              </w:rPr>
            </w:pPr>
            <w:r>
              <w:rPr>
                <w:rFonts w:ascii="Arial" w:hAnsi="Arial" w:cs="Arial"/>
                <w:szCs w:val="21"/>
                <w:highlight w:val="none"/>
              </w:rPr>
              <w:t>提供常用法律法规、指导原则、管理办法等查询。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说明书修订公告</w:t>
            </w:r>
          </w:p>
          <w:p>
            <w:pPr>
              <w:pStyle w:val="133"/>
              <w:spacing w:line="288" w:lineRule="auto"/>
              <w:jc w:val="left"/>
              <w:rPr>
                <w:rFonts w:ascii="Arial" w:hAnsi="Arial" w:cs="Arial"/>
                <w:szCs w:val="21"/>
                <w:highlight w:val="none"/>
              </w:rPr>
            </w:pPr>
            <w:r>
              <w:rPr>
                <w:rFonts w:ascii="Arial" w:hAnsi="Arial" w:cs="Arial"/>
                <w:szCs w:val="21"/>
                <w:highlight w:val="none"/>
              </w:rPr>
              <w:t>可查询国家药监局发布的说明书修订公告。</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药物相互作用查询</w:t>
            </w:r>
          </w:p>
          <w:p>
            <w:pPr>
              <w:pStyle w:val="133"/>
              <w:spacing w:line="288" w:lineRule="auto"/>
              <w:jc w:val="left"/>
              <w:rPr>
                <w:rFonts w:ascii="Arial" w:hAnsi="Arial" w:cs="Arial"/>
                <w:szCs w:val="21"/>
                <w:highlight w:val="none"/>
              </w:rPr>
            </w:pPr>
            <w:r>
              <w:rPr>
                <w:rFonts w:ascii="Arial" w:hAnsi="Arial" w:cs="Arial"/>
                <w:szCs w:val="21"/>
                <w:highlight w:val="none"/>
              </w:rPr>
              <w:t>可通过选择多个药品来查看药物间相互作用情况。</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配伍禁忌查询</w:t>
            </w:r>
          </w:p>
          <w:p>
            <w:pPr>
              <w:pStyle w:val="133"/>
              <w:spacing w:line="288" w:lineRule="auto"/>
              <w:jc w:val="left"/>
              <w:rPr>
                <w:rFonts w:ascii="Arial" w:hAnsi="Arial" w:cs="Arial"/>
                <w:szCs w:val="21"/>
                <w:highlight w:val="none"/>
              </w:rPr>
            </w:pPr>
            <w:r>
              <w:rPr>
                <w:rFonts w:ascii="Arial" w:hAnsi="Arial" w:cs="Arial"/>
                <w:szCs w:val="21"/>
                <w:highlight w:val="none"/>
              </w:rPr>
              <w:t>可通过选择多个药品来查看药物间配伍禁忌情况。</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抗生素分类查询</w:t>
            </w:r>
          </w:p>
          <w:p>
            <w:pPr>
              <w:pStyle w:val="133"/>
              <w:spacing w:line="288" w:lineRule="auto"/>
              <w:jc w:val="left"/>
              <w:rPr>
                <w:rFonts w:ascii="Arial" w:hAnsi="Arial" w:cs="Arial"/>
                <w:szCs w:val="21"/>
                <w:highlight w:val="none"/>
              </w:rPr>
            </w:pPr>
            <w:r>
              <w:rPr>
                <w:rFonts w:ascii="Arial" w:hAnsi="Arial" w:cs="Arial"/>
                <w:szCs w:val="21"/>
                <w:highlight w:val="none"/>
              </w:rPr>
              <w:t>可通过抗生素分类、不同的病生理状态和不同年龄人群来抗生素药品以及药品禁慎用情况。</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肝肾功能不全用药查询</w:t>
            </w:r>
          </w:p>
          <w:p>
            <w:pPr>
              <w:pStyle w:val="133"/>
              <w:spacing w:line="288" w:lineRule="auto"/>
              <w:jc w:val="left"/>
              <w:rPr>
                <w:rFonts w:ascii="Arial" w:hAnsi="Arial" w:cs="Arial"/>
                <w:szCs w:val="21"/>
                <w:highlight w:val="none"/>
              </w:rPr>
            </w:pPr>
            <w:r>
              <w:rPr>
                <w:rFonts w:ascii="Arial" w:hAnsi="Arial" w:cs="Arial"/>
                <w:szCs w:val="21"/>
                <w:highlight w:val="none"/>
              </w:rPr>
              <w:t>可通过药品分来来查询肝、肾功能不全患者用药剂量调整方法。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临床路径查询</w:t>
            </w:r>
          </w:p>
          <w:p>
            <w:pPr>
              <w:pStyle w:val="133"/>
              <w:spacing w:line="288" w:lineRule="auto"/>
              <w:jc w:val="left"/>
              <w:rPr>
                <w:rFonts w:ascii="Arial" w:hAnsi="Arial" w:cs="Arial"/>
                <w:szCs w:val="21"/>
                <w:highlight w:val="none"/>
              </w:rPr>
            </w:pPr>
            <w:r>
              <w:rPr>
                <w:rFonts w:ascii="Arial" w:hAnsi="Arial" w:cs="Arial"/>
                <w:szCs w:val="21"/>
                <w:highlight w:val="none"/>
              </w:rPr>
              <w:t>提供国家卫健委历年发布的临床路径查询以及肿瘤诊疗规范查询。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相关疾病用药知识查询</w:t>
            </w:r>
          </w:p>
          <w:p>
            <w:pPr>
              <w:pStyle w:val="133"/>
              <w:spacing w:line="288" w:lineRule="auto"/>
              <w:jc w:val="left"/>
              <w:rPr>
                <w:rFonts w:ascii="Arial" w:hAnsi="Arial" w:cs="Arial"/>
                <w:szCs w:val="21"/>
                <w:highlight w:val="none"/>
              </w:rPr>
            </w:pPr>
            <w:r>
              <w:rPr>
                <w:rFonts w:ascii="Arial" w:hAnsi="Arial" w:cs="Arial"/>
                <w:szCs w:val="21"/>
                <w:highlight w:val="none"/>
              </w:rPr>
              <w:t>根据ICD10诊断代码来分类查询可用药物。</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细菌感染用药查询</w:t>
            </w:r>
          </w:p>
          <w:p>
            <w:pPr>
              <w:pStyle w:val="133"/>
              <w:spacing w:line="288" w:lineRule="auto"/>
              <w:jc w:val="left"/>
              <w:rPr>
                <w:rFonts w:ascii="Arial" w:hAnsi="Arial" w:cs="Arial"/>
                <w:szCs w:val="21"/>
                <w:highlight w:val="none"/>
              </w:rPr>
            </w:pPr>
            <w:r>
              <w:rPr>
                <w:rFonts w:ascii="Arial" w:hAnsi="Arial" w:cs="Arial"/>
                <w:szCs w:val="21"/>
                <w:highlight w:val="none"/>
              </w:rPr>
              <w:t>提供按病症或病原菌关键字查询细菌感染用药。</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FDA妊娠分级查询</w:t>
            </w:r>
          </w:p>
          <w:p>
            <w:pPr>
              <w:pStyle w:val="133"/>
              <w:spacing w:line="288" w:lineRule="auto"/>
              <w:jc w:val="left"/>
              <w:rPr>
                <w:rFonts w:ascii="Arial" w:hAnsi="Arial" w:cs="Arial"/>
                <w:szCs w:val="21"/>
                <w:highlight w:val="none"/>
              </w:rPr>
            </w:pPr>
            <w:r>
              <w:rPr>
                <w:rFonts w:ascii="Arial" w:hAnsi="Arial" w:cs="Arial"/>
                <w:szCs w:val="21"/>
                <w:highlight w:val="none"/>
              </w:rPr>
              <w:t>可通过FDA妊娠期不同分级和关键字来查询妊娠期用药及用法。</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常用医学公式</w:t>
            </w:r>
          </w:p>
          <w:p>
            <w:pPr>
              <w:pStyle w:val="133"/>
              <w:spacing w:line="288" w:lineRule="auto"/>
              <w:jc w:val="left"/>
              <w:rPr>
                <w:rFonts w:ascii="Arial" w:hAnsi="Arial" w:cs="Arial"/>
                <w:szCs w:val="21"/>
                <w:highlight w:val="none"/>
              </w:rPr>
            </w:pPr>
            <w:r>
              <w:rPr>
                <w:rFonts w:ascii="Arial" w:hAnsi="Arial" w:cs="Arial"/>
                <w:szCs w:val="21"/>
                <w:highlight w:val="none"/>
              </w:rPr>
              <w:t>提供各个医学科常用的医学公式快速查询。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用药指南</w:t>
            </w:r>
          </w:p>
          <w:p>
            <w:pPr>
              <w:pStyle w:val="133"/>
              <w:spacing w:line="288" w:lineRule="auto"/>
              <w:jc w:val="left"/>
              <w:rPr>
                <w:rFonts w:ascii="Arial" w:hAnsi="Arial" w:cs="Arial"/>
                <w:szCs w:val="21"/>
                <w:highlight w:val="none"/>
              </w:rPr>
            </w:pPr>
            <w:r>
              <w:rPr>
                <w:rFonts w:ascii="Arial" w:hAnsi="Arial" w:cs="Arial"/>
                <w:szCs w:val="21"/>
                <w:highlight w:val="none"/>
              </w:rPr>
              <w:t>提供用药科普知识和用药指南相关文章查询。</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FDA说明书</w:t>
            </w:r>
          </w:p>
          <w:p>
            <w:pPr>
              <w:pStyle w:val="133"/>
              <w:spacing w:line="288" w:lineRule="auto"/>
              <w:jc w:val="left"/>
              <w:rPr>
                <w:rFonts w:ascii="Arial" w:hAnsi="Arial" w:cs="Arial"/>
                <w:szCs w:val="21"/>
                <w:highlight w:val="none"/>
              </w:rPr>
            </w:pPr>
            <w:r>
              <w:rPr>
                <w:rFonts w:ascii="Arial" w:hAnsi="Arial" w:cs="Arial"/>
                <w:szCs w:val="21"/>
                <w:highlight w:val="none"/>
              </w:rPr>
              <w:t>提供按名称或厂家查询FDA说明书的功能。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诊疗指南</w:t>
            </w:r>
          </w:p>
          <w:p>
            <w:pPr>
              <w:pStyle w:val="133"/>
              <w:spacing w:line="288" w:lineRule="auto"/>
              <w:jc w:val="left"/>
              <w:rPr>
                <w:rFonts w:ascii="Arial" w:hAnsi="Arial" w:cs="Arial"/>
                <w:szCs w:val="21"/>
                <w:highlight w:val="none"/>
              </w:rPr>
            </w:pPr>
            <w:r>
              <w:rPr>
                <w:rFonts w:ascii="Arial" w:hAnsi="Arial" w:cs="Arial"/>
                <w:szCs w:val="21"/>
                <w:highlight w:val="none"/>
              </w:rPr>
              <w:t>提供按诊断名称查询指南的功能。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超说明书用药</w:t>
            </w:r>
          </w:p>
          <w:p>
            <w:pPr>
              <w:pStyle w:val="133"/>
              <w:spacing w:line="288" w:lineRule="auto"/>
              <w:jc w:val="left"/>
              <w:rPr>
                <w:rFonts w:ascii="Arial" w:hAnsi="Arial" w:cs="Arial"/>
                <w:szCs w:val="21"/>
                <w:highlight w:val="none"/>
              </w:rPr>
            </w:pPr>
            <w:r>
              <w:rPr>
                <w:rFonts w:ascii="Arial" w:hAnsi="Arial" w:cs="Arial"/>
                <w:szCs w:val="21"/>
                <w:highlight w:val="none"/>
              </w:rPr>
              <w:t>提供超说明书药品及超说明书适应症查询的功能。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知识库浏览</w:t>
            </w:r>
          </w:p>
          <w:p>
            <w:pPr>
              <w:pStyle w:val="133"/>
              <w:spacing w:line="288" w:lineRule="auto"/>
              <w:rPr>
                <w:rFonts w:ascii="Arial" w:hAnsi="Arial" w:cs="Arial"/>
                <w:szCs w:val="21"/>
                <w:highlight w:val="none"/>
              </w:rPr>
            </w:pPr>
            <w:r>
              <w:rPr>
                <w:rFonts w:ascii="Arial" w:hAnsi="Arial" w:cs="Arial"/>
                <w:szCs w:val="21"/>
                <w:highlight w:val="none"/>
              </w:rPr>
              <w:t>具备对知识库问题提交问题反馈的功能；</w:t>
            </w:r>
          </w:p>
          <w:p>
            <w:pPr>
              <w:pStyle w:val="133"/>
              <w:spacing w:line="288" w:lineRule="auto"/>
              <w:rPr>
                <w:rFonts w:ascii="Arial" w:hAnsi="Arial" w:cs="Arial"/>
                <w:szCs w:val="21"/>
                <w:highlight w:val="none"/>
              </w:rPr>
            </w:pPr>
            <w:r>
              <w:rPr>
                <w:rFonts w:ascii="Arial" w:hAnsi="Arial" w:cs="Arial"/>
                <w:szCs w:val="21"/>
                <w:highlight w:val="none"/>
              </w:rPr>
              <w:t>具备查看浏览历史记录的功能；</w:t>
            </w:r>
          </w:p>
          <w:p>
            <w:pPr>
              <w:pStyle w:val="133"/>
              <w:spacing w:line="288" w:lineRule="auto"/>
              <w:rPr>
                <w:rFonts w:ascii="Arial" w:hAnsi="Arial" w:cs="Arial"/>
                <w:szCs w:val="21"/>
                <w:highlight w:val="none"/>
              </w:rPr>
            </w:pPr>
            <w:r>
              <w:rPr>
                <w:rFonts w:ascii="Arial" w:hAnsi="Arial" w:cs="Arial"/>
                <w:szCs w:val="21"/>
                <w:highlight w:val="none"/>
              </w:rPr>
              <w:t>具备对详情信息收藏的功能。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药学知识库规则管理</w:t>
            </w:r>
          </w:p>
          <w:p>
            <w:pPr>
              <w:pStyle w:val="133"/>
              <w:spacing w:line="288" w:lineRule="auto"/>
              <w:rPr>
                <w:rFonts w:ascii="Arial" w:hAnsi="Arial" w:cs="Arial"/>
                <w:szCs w:val="21"/>
                <w:highlight w:val="none"/>
              </w:rPr>
            </w:pPr>
            <w:r>
              <w:rPr>
                <w:rFonts w:ascii="Arial" w:hAnsi="Arial" w:cs="Arial"/>
                <w:szCs w:val="21"/>
                <w:highlight w:val="none"/>
              </w:rPr>
              <w:t>系统知识库匹配模块，建设药品字典、给药途径、用药频次等匹配工具，便于医疗机构根据自身药库的情况对药品信息进行添加和更新，并可通过自定义规则对用药分析规则进行可视化的建设和管理。</w:t>
            </w:r>
          </w:p>
          <w:p>
            <w:pPr>
              <w:pStyle w:val="133"/>
              <w:spacing w:line="288" w:lineRule="auto"/>
              <w:rPr>
                <w:rFonts w:ascii="Arial" w:hAnsi="Arial" w:cs="Arial"/>
                <w:szCs w:val="21"/>
                <w:highlight w:val="none"/>
              </w:rPr>
            </w:pPr>
            <w:r>
              <w:rPr>
                <w:rFonts w:ascii="Arial" w:hAnsi="Arial" w:cs="Arial"/>
                <w:szCs w:val="21"/>
                <w:highlight w:val="none"/>
              </w:rPr>
              <w:t>功能要求：需实现自定义规则工具的建设，以及药品字典、给药途径、用药频次等匹配工具的建设以及初始化匹配预设等功能。</w:t>
            </w:r>
          </w:p>
          <w:p>
            <w:pPr>
              <w:pStyle w:val="133"/>
              <w:spacing w:line="288" w:lineRule="auto"/>
              <w:rPr>
                <w:rFonts w:ascii="Arial" w:hAnsi="Arial" w:cs="Arial"/>
                <w:szCs w:val="21"/>
                <w:highlight w:val="none"/>
              </w:rPr>
            </w:pPr>
            <w:r>
              <w:rPr>
                <w:rFonts w:ascii="Arial" w:hAnsi="Arial" w:cs="Arial"/>
                <w:szCs w:val="21"/>
                <w:highlight w:val="none"/>
              </w:rPr>
              <w:t>具体功能要求如下：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药品规则概览</w:t>
            </w:r>
          </w:p>
          <w:p>
            <w:pPr>
              <w:pStyle w:val="133"/>
              <w:spacing w:line="288" w:lineRule="auto"/>
              <w:jc w:val="left"/>
              <w:rPr>
                <w:rFonts w:ascii="Arial" w:hAnsi="Arial" w:cs="Arial"/>
                <w:szCs w:val="21"/>
                <w:highlight w:val="none"/>
              </w:rPr>
            </w:pPr>
            <w:r>
              <w:rPr>
                <w:rFonts w:ascii="Arial" w:hAnsi="Arial" w:cs="Arial"/>
                <w:szCs w:val="21"/>
                <w:highlight w:val="none"/>
              </w:rPr>
              <w:t>对系统规则提供查询功能。具体要求如下：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具备可查看系统中不同类型规则的规则标题、规则药品数量、规则总数、禁用规则数、慎用规则数以及自定义规则的功能。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自定义规则建设</w:t>
            </w:r>
          </w:p>
          <w:p>
            <w:pPr>
              <w:pStyle w:val="133"/>
              <w:spacing w:line="288" w:lineRule="auto"/>
              <w:jc w:val="left"/>
              <w:rPr>
                <w:rFonts w:ascii="Arial" w:hAnsi="Arial" w:cs="Arial"/>
                <w:szCs w:val="21"/>
                <w:highlight w:val="none"/>
              </w:rPr>
            </w:pPr>
            <w:r>
              <w:rPr>
                <w:rFonts w:ascii="Arial" w:hAnsi="Arial" w:cs="Arial"/>
                <w:szCs w:val="21"/>
                <w:highlight w:val="none"/>
              </w:rPr>
              <w:t>需实现用药分析规则的个性化建设，并可对可视化自定义规则进行管理操作。具体要求如下：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具备创建全新的单一药品或药品大类的用药分析规则的功能；</w:t>
            </w:r>
          </w:p>
          <w:p>
            <w:pPr>
              <w:pStyle w:val="133"/>
              <w:spacing w:line="288" w:lineRule="auto"/>
              <w:jc w:val="left"/>
              <w:rPr>
                <w:rFonts w:ascii="Arial" w:hAnsi="Arial" w:cs="Arial"/>
                <w:szCs w:val="21"/>
                <w:highlight w:val="none"/>
              </w:rPr>
            </w:pPr>
            <w:r>
              <w:rPr>
                <w:rFonts w:ascii="Arial" w:hAnsi="Arial" w:cs="Arial"/>
                <w:szCs w:val="21"/>
                <w:highlight w:val="none"/>
              </w:rPr>
              <w:t>具备对已有自定义规则进行修改和复制等管理的功能；</w:t>
            </w:r>
          </w:p>
          <w:p>
            <w:pPr>
              <w:pStyle w:val="133"/>
              <w:spacing w:line="288" w:lineRule="auto"/>
              <w:jc w:val="left"/>
              <w:rPr>
                <w:rFonts w:ascii="Arial" w:hAnsi="Arial" w:cs="Arial"/>
                <w:szCs w:val="21"/>
                <w:highlight w:val="none"/>
              </w:rPr>
            </w:pPr>
            <w:r>
              <w:rPr>
                <w:rFonts w:ascii="Arial" w:hAnsi="Arial" w:cs="Arial"/>
                <w:szCs w:val="21"/>
                <w:highlight w:val="none"/>
              </w:rPr>
              <w:t>具备查看自定义规则操作人员、创建和修改时间的功能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药品字典管理</w:t>
            </w:r>
          </w:p>
          <w:p>
            <w:pPr>
              <w:pStyle w:val="133"/>
              <w:spacing w:line="288" w:lineRule="auto"/>
              <w:jc w:val="left"/>
              <w:rPr>
                <w:rFonts w:ascii="Arial" w:hAnsi="Arial" w:cs="Arial"/>
                <w:szCs w:val="21"/>
                <w:highlight w:val="none"/>
              </w:rPr>
            </w:pPr>
            <w:r>
              <w:rPr>
                <w:rFonts w:ascii="Arial" w:hAnsi="Arial" w:cs="Arial"/>
                <w:szCs w:val="21"/>
                <w:highlight w:val="none"/>
              </w:rPr>
              <w:t xml:space="preserve">对医院药品字典数据和系统药品字典数据进行对照。具体要求如下：   </w:t>
            </w:r>
          </w:p>
          <w:p>
            <w:pPr>
              <w:pStyle w:val="133"/>
              <w:spacing w:line="288" w:lineRule="auto"/>
              <w:jc w:val="left"/>
              <w:rPr>
                <w:rFonts w:ascii="Arial" w:hAnsi="Arial" w:cs="Arial"/>
                <w:szCs w:val="21"/>
                <w:highlight w:val="none"/>
              </w:rPr>
            </w:pPr>
            <w:r>
              <w:rPr>
                <w:rFonts w:ascii="Arial" w:hAnsi="Arial" w:cs="Arial"/>
                <w:szCs w:val="21"/>
                <w:highlight w:val="none"/>
              </w:rPr>
              <w:t>具备对新增药品信息自动获取和匹配的功能；</w:t>
            </w:r>
          </w:p>
          <w:p>
            <w:pPr>
              <w:pStyle w:val="133"/>
              <w:spacing w:line="288" w:lineRule="auto"/>
              <w:jc w:val="left"/>
              <w:rPr>
                <w:rFonts w:ascii="Arial" w:hAnsi="Arial" w:cs="Arial"/>
                <w:szCs w:val="21"/>
                <w:highlight w:val="none"/>
              </w:rPr>
            </w:pPr>
            <w:r>
              <w:rPr>
                <w:rFonts w:ascii="Arial" w:hAnsi="Arial" w:cs="Arial"/>
                <w:szCs w:val="21"/>
                <w:highlight w:val="none"/>
              </w:rPr>
              <w:t>具备通过药品类型和时间段来筛选查询药品未匹配记录、待确认记录、匹配记录等查询的功能；</w:t>
            </w:r>
          </w:p>
          <w:p>
            <w:pPr>
              <w:pStyle w:val="133"/>
              <w:spacing w:line="288" w:lineRule="auto"/>
              <w:jc w:val="left"/>
              <w:rPr>
                <w:rFonts w:ascii="Arial" w:hAnsi="Arial" w:cs="Arial"/>
                <w:szCs w:val="21"/>
                <w:highlight w:val="none"/>
              </w:rPr>
            </w:pPr>
            <w:r>
              <w:rPr>
                <w:rFonts w:ascii="Arial" w:hAnsi="Arial" w:cs="Arial"/>
                <w:szCs w:val="21"/>
                <w:highlight w:val="none"/>
              </w:rPr>
              <w:t>具备对药品字典数据进行自动匹配和手动匹配两种模式的功能；</w:t>
            </w:r>
          </w:p>
          <w:p>
            <w:pPr>
              <w:pStyle w:val="133"/>
              <w:spacing w:line="288" w:lineRule="auto"/>
              <w:jc w:val="left"/>
              <w:rPr>
                <w:rFonts w:ascii="Arial" w:hAnsi="Arial" w:cs="Arial"/>
                <w:szCs w:val="21"/>
                <w:highlight w:val="none"/>
              </w:rPr>
            </w:pPr>
            <w:r>
              <w:rPr>
                <w:rFonts w:ascii="Arial" w:hAnsi="Arial" w:cs="Arial"/>
                <w:szCs w:val="21"/>
                <w:highlight w:val="none"/>
              </w:rPr>
              <w:t>具备药品说明书上传pdf格式和图片查看；</w:t>
            </w:r>
          </w:p>
          <w:p>
            <w:pPr>
              <w:pStyle w:val="133"/>
              <w:spacing w:line="288" w:lineRule="auto"/>
              <w:jc w:val="left"/>
              <w:rPr>
                <w:rFonts w:ascii="Arial" w:hAnsi="Arial" w:cs="Arial"/>
                <w:szCs w:val="21"/>
                <w:highlight w:val="none"/>
              </w:rPr>
            </w:pPr>
            <w:r>
              <w:rPr>
                <w:rFonts w:ascii="Arial" w:hAnsi="Arial" w:cs="Arial"/>
                <w:szCs w:val="21"/>
                <w:highlight w:val="none"/>
              </w:rPr>
              <w:t>具备根据不同人群、给药途径、诊断进行药品用量维护，超低和超高常规量维护；</w:t>
            </w:r>
          </w:p>
          <w:p>
            <w:pPr>
              <w:pStyle w:val="133"/>
              <w:spacing w:line="288" w:lineRule="auto"/>
              <w:jc w:val="left"/>
              <w:rPr>
                <w:rFonts w:ascii="Arial" w:hAnsi="Arial" w:cs="Arial"/>
                <w:szCs w:val="21"/>
                <w:highlight w:val="none"/>
              </w:rPr>
            </w:pPr>
            <w:r>
              <w:rPr>
                <w:rFonts w:ascii="Arial" w:hAnsi="Arial" w:cs="Arial"/>
                <w:szCs w:val="21"/>
                <w:highlight w:val="none"/>
              </w:rPr>
              <w:t>具备可选择某药品适应症监测的范围</w:t>
            </w:r>
          </w:p>
          <w:p>
            <w:pPr>
              <w:pStyle w:val="133"/>
              <w:spacing w:line="288" w:lineRule="auto"/>
              <w:jc w:val="left"/>
              <w:rPr>
                <w:rFonts w:ascii="Arial" w:hAnsi="Arial" w:cs="Arial"/>
                <w:szCs w:val="21"/>
                <w:highlight w:val="none"/>
              </w:rPr>
            </w:pPr>
            <w:r>
              <w:rPr>
                <w:rFonts w:ascii="Arial" w:hAnsi="Arial" w:cs="Arial"/>
                <w:szCs w:val="21"/>
                <w:highlight w:val="none"/>
              </w:rPr>
              <w:t>具备维护不可掰药品，使其必须按整粒或整片服用；</w:t>
            </w:r>
          </w:p>
          <w:p>
            <w:pPr>
              <w:pStyle w:val="133"/>
              <w:spacing w:line="288" w:lineRule="auto"/>
              <w:jc w:val="left"/>
              <w:rPr>
                <w:rFonts w:ascii="Arial" w:hAnsi="Arial" w:cs="Arial"/>
                <w:szCs w:val="21"/>
                <w:highlight w:val="none"/>
              </w:rPr>
            </w:pPr>
            <w:r>
              <w:rPr>
                <w:rFonts w:ascii="Arial" w:hAnsi="Arial" w:cs="Arial"/>
                <w:szCs w:val="21"/>
                <w:highlight w:val="none"/>
              </w:rPr>
              <w:t>具备维护在开具药品时提醒医生过敏药物、警示药物和慎用药物的提示；</w:t>
            </w:r>
          </w:p>
          <w:p>
            <w:pPr>
              <w:pStyle w:val="133"/>
              <w:spacing w:line="288" w:lineRule="auto"/>
              <w:jc w:val="left"/>
              <w:rPr>
                <w:rFonts w:ascii="Arial" w:hAnsi="Arial" w:cs="Arial"/>
                <w:szCs w:val="21"/>
                <w:highlight w:val="none"/>
              </w:rPr>
            </w:pPr>
            <w:r>
              <w:rPr>
                <w:rFonts w:ascii="Arial" w:hAnsi="Arial" w:cs="Arial"/>
                <w:szCs w:val="21"/>
                <w:highlight w:val="none"/>
              </w:rPr>
              <w:t>具备维护药品不良反应提示功能。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给药途径匹配管理</w:t>
            </w:r>
          </w:p>
          <w:p>
            <w:pPr>
              <w:pStyle w:val="133"/>
              <w:spacing w:line="288" w:lineRule="auto"/>
              <w:rPr>
                <w:rFonts w:ascii="Arial" w:hAnsi="Arial" w:cs="Arial"/>
                <w:szCs w:val="21"/>
                <w:highlight w:val="none"/>
              </w:rPr>
            </w:pPr>
            <w:r>
              <w:rPr>
                <w:rFonts w:ascii="Arial" w:hAnsi="Arial" w:cs="Arial"/>
                <w:szCs w:val="21"/>
                <w:highlight w:val="none"/>
              </w:rPr>
              <w:t>对医院药品给药途径字典数据和系统给药途径字典数据进行对照。具体要求如下：</w:t>
            </w:r>
          </w:p>
          <w:p>
            <w:pPr>
              <w:pStyle w:val="133"/>
              <w:spacing w:line="288" w:lineRule="auto"/>
              <w:rPr>
                <w:rFonts w:ascii="Arial" w:hAnsi="Arial" w:cs="Arial"/>
                <w:szCs w:val="21"/>
                <w:highlight w:val="none"/>
              </w:rPr>
            </w:pPr>
            <w:r>
              <w:rPr>
                <w:rFonts w:ascii="Arial" w:hAnsi="Arial" w:cs="Arial"/>
                <w:szCs w:val="21"/>
                <w:highlight w:val="none"/>
              </w:rPr>
              <w:t>具备可维护药品给药途径，进行查看、修改、确认匹配信息的功能。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给药频次匹配管理</w:t>
            </w:r>
          </w:p>
          <w:p>
            <w:pPr>
              <w:pStyle w:val="133"/>
              <w:spacing w:line="288" w:lineRule="auto"/>
              <w:jc w:val="left"/>
              <w:rPr>
                <w:rFonts w:ascii="Arial" w:hAnsi="Arial" w:cs="Arial"/>
                <w:szCs w:val="21"/>
                <w:highlight w:val="none"/>
              </w:rPr>
            </w:pPr>
            <w:r>
              <w:rPr>
                <w:rFonts w:ascii="Arial" w:hAnsi="Arial" w:cs="Arial"/>
                <w:szCs w:val="21"/>
                <w:highlight w:val="none"/>
              </w:rPr>
              <w:t>对医院药品给药途频次字典数据和系统给药频次字典数据进行对照。具体要求如下：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具备可维护药品给药频次，进行查看、修改、确认匹配信息的功能。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药品溶媒维护</w:t>
            </w:r>
          </w:p>
          <w:p>
            <w:pPr>
              <w:pStyle w:val="133"/>
              <w:spacing w:line="288" w:lineRule="auto"/>
              <w:jc w:val="left"/>
              <w:rPr>
                <w:rFonts w:ascii="Arial" w:hAnsi="Arial" w:cs="Arial"/>
                <w:szCs w:val="21"/>
                <w:highlight w:val="none"/>
              </w:rPr>
            </w:pPr>
            <w:r>
              <w:rPr>
                <w:rFonts w:ascii="Arial" w:hAnsi="Arial" w:cs="Arial"/>
                <w:szCs w:val="21"/>
                <w:highlight w:val="none"/>
              </w:rPr>
              <w:t>对医院药品溶媒规则进行自定义。具体要求如下：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具备维护溶媒清单，可一键匹配医院新进的溶媒进入溶媒清单；</w:t>
            </w:r>
          </w:p>
          <w:p>
            <w:pPr>
              <w:pStyle w:val="133"/>
              <w:spacing w:line="288" w:lineRule="auto"/>
              <w:jc w:val="left"/>
              <w:rPr>
                <w:rFonts w:ascii="Arial" w:hAnsi="Arial" w:cs="Arial"/>
                <w:szCs w:val="21"/>
                <w:highlight w:val="none"/>
              </w:rPr>
            </w:pPr>
            <w:r>
              <w:rPr>
                <w:rFonts w:ascii="Arial" w:hAnsi="Arial" w:cs="Arial"/>
                <w:szCs w:val="21"/>
                <w:highlight w:val="none"/>
              </w:rPr>
              <w:t>具备维护药品的可用溶媒、禁用溶媒、初溶溶媒和另加溶媒；</w:t>
            </w:r>
          </w:p>
          <w:p>
            <w:pPr>
              <w:pStyle w:val="133"/>
              <w:spacing w:line="288" w:lineRule="auto"/>
              <w:jc w:val="left"/>
              <w:rPr>
                <w:rFonts w:ascii="Arial" w:hAnsi="Arial" w:cs="Arial"/>
                <w:szCs w:val="21"/>
                <w:highlight w:val="none"/>
              </w:rPr>
            </w:pPr>
            <w:r>
              <w:rPr>
                <w:rFonts w:ascii="Arial" w:hAnsi="Arial" w:cs="Arial"/>
                <w:szCs w:val="21"/>
                <w:highlight w:val="none"/>
              </w:rPr>
              <w:t>具备维护药品溶媒的浓度范围和体积范围。</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肠外营养液药品维护</w:t>
            </w:r>
          </w:p>
          <w:p>
            <w:pPr>
              <w:pStyle w:val="133"/>
              <w:spacing w:line="288" w:lineRule="auto"/>
              <w:jc w:val="left"/>
              <w:rPr>
                <w:rFonts w:ascii="Arial" w:hAnsi="Arial" w:cs="Arial"/>
                <w:szCs w:val="21"/>
                <w:highlight w:val="none"/>
              </w:rPr>
            </w:pPr>
            <w:r>
              <w:rPr>
                <w:rFonts w:ascii="Arial" w:hAnsi="Arial" w:cs="Arial"/>
                <w:szCs w:val="21"/>
                <w:highlight w:val="none"/>
              </w:rPr>
              <w:t>对医院TPN药品规则进行自定义维护。具体要求如下：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具备维护肠外营养液的各项能量指标；</w:t>
            </w:r>
          </w:p>
          <w:p>
            <w:pPr>
              <w:pStyle w:val="133"/>
              <w:spacing w:line="288" w:lineRule="auto"/>
              <w:jc w:val="left"/>
              <w:rPr>
                <w:rFonts w:ascii="Arial" w:hAnsi="Arial" w:cs="Arial"/>
                <w:szCs w:val="21"/>
                <w:highlight w:val="none"/>
              </w:rPr>
            </w:pPr>
            <w:r>
              <w:rPr>
                <w:rFonts w:ascii="Arial" w:hAnsi="Arial" w:cs="Arial"/>
                <w:szCs w:val="21"/>
                <w:highlight w:val="none"/>
              </w:rPr>
              <w:t>具备维护肠外营养液组的审核指标；</w:t>
            </w:r>
          </w:p>
          <w:p>
            <w:pPr>
              <w:pStyle w:val="133"/>
              <w:spacing w:line="288" w:lineRule="auto"/>
              <w:jc w:val="left"/>
              <w:rPr>
                <w:rFonts w:ascii="Arial" w:hAnsi="Arial" w:cs="Arial"/>
                <w:szCs w:val="21"/>
                <w:highlight w:val="none"/>
              </w:rPr>
            </w:pPr>
            <w:r>
              <w:rPr>
                <w:rFonts w:ascii="Arial" w:hAnsi="Arial" w:cs="Arial"/>
                <w:szCs w:val="21"/>
                <w:highlight w:val="none"/>
              </w:rPr>
              <w:t>具备肠外营养液的指标计算工具。</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儿童默认身高体重维护</w:t>
            </w:r>
          </w:p>
          <w:p>
            <w:pPr>
              <w:pStyle w:val="133"/>
              <w:spacing w:line="288" w:lineRule="auto"/>
              <w:rPr>
                <w:rFonts w:ascii="Arial" w:hAnsi="Arial" w:cs="Arial"/>
                <w:szCs w:val="21"/>
                <w:highlight w:val="none"/>
              </w:rPr>
            </w:pPr>
            <w:r>
              <w:rPr>
                <w:rFonts w:ascii="Arial" w:hAnsi="Arial" w:cs="Arial"/>
                <w:szCs w:val="21"/>
                <w:highlight w:val="none"/>
              </w:rPr>
              <w:t>对儿童默认身高体重进行自定义维护。具体要求如下：</w:t>
            </w:r>
          </w:p>
          <w:p>
            <w:pPr>
              <w:pStyle w:val="133"/>
              <w:spacing w:line="288" w:lineRule="auto"/>
              <w:rPr>
                <w:rFonts w:ascii="Arial" w:hAnsi="Arial" w:cs="Arial"/>
                <w:szCs w:val="21"/>
                <w:highlight w:val="none"/>
              </w:rPr>
            </w:pPr>
            <w:r>
              <w:rPr>
                <w:rFonts w:ascii="Arial" w:hAnsi="Arial" w:cs="Arial"/>
                <w:szCs w:val="21"/>
                <w:highlight w:val="none"/>
              </w:rPr>
              <w:t>具备按中国儿童体格发育调查协作组和首都儿科研究所生长发育研究室发布的儿童发育身高/体重标准差单位值，创建默认的18岁以下男、女中位身高和中位体重，并可自定义儿童身高/体重的功能。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离子浓度维护</w:t>
            </w:r>
          </w:p>
          <w:p>
            <w:pPr>
              <w:pStyle w:val="133"/>
              <w:spacing w:line="288" w:lineRule="auto"/>
              <w:jc w:val="left"/>
              <w:rPr>
                <w:rFonts w:ascii="Arial" w:hAnsi="Arial" w:cs="Arial"/>
                <w:szCs w:val="21"/>
                <w:highlight w:val="none"/>
              </w:rPr>
            </w:pPr>
            <w:r>
              <w:rPr>
                <w:rFonts w:ascii="Arial" w:hAnsi="Arial" w:cs="Arial"/>
                <w:szCs w:val="21"/>
                <w:highlight w:val="none"/>
              </w:rPr>
              <w:t>对离子浓度专项审查进行自定义维护。具体要求如下：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具备对同组注射剂的钾、钠、钙、镁离子总浓度审查规则自定义维护的功能。</w:t>
            </w:r>
          </w:p>
          <w:p>
            <w:pPr>
              <w:pStyle w:val="133"/>
              <w:spacing w:line="288" w:lineRule="auto"/>
              <w:jc w:val="left"/>
              <w:rPr>
                <w:rFonts w:ascii="Arial" w:hAnsi="Arial" w:cs="Arial"/>
                <w:szCs w:val="21"/>
                <w:highlight w:val="none"/>
              </w:rPr>
            </w:pPr>
            <w:r>
              <w:rPr>
                <w:rFonts w:ascii="Arial" w:hAnsi="Arial" w:cs="Arial"/>
                <w:szCs w:val="21"/>
                <w:highlight w:val="none"/>
              </w:rPr>
              <w:t>具备对单日补钾量上限进行自定义设置的功能。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药品用药疗程规则维护</w:t>
            </w:r>
          </w:p>
          <w:p>
            <w:pPr>
              <w:pStyle w:val="133"/>
              <w:spacing w:line="288" w:lineRule="auto"/>
              <w:jc w:val="left"/>
              <w:rPr>
                <w:rFonts w:ascii="Arial" w:hAnsi="Arial" w:cs="Arial"/>
                <w:szCs w:val="21"/>
                <w:highlight w:val="none"/>
              </w:rPr>
            </w:pPr>
            <w:r>
              <w:rPr>
                <w:rFonts w:ascii="Arial" w:hAnsi="Arial" w:cs="Arial"/>
                <w:szCs w:val="21"/>
                <w:highlight w:val="none"/>
              </w:rPr>
              <w:t>对药品用药疗程规则进行自定义维护。具体要求如下：</w:t>
            </w:r>
          </w:p>
          <w:p>
            <w:pPr>
              <w:pStyle w:val="133"/>
              <w:spacing w:line="288" w:lineRule="auto"/>
              <w:jc w:val="left"/>
              <w:rPr>
                <w:rFonts w:ascii="Arial" w:hAnsi="Arial" w:cs="Arial"/>
                <w:szCs w:val="21"/>
                <w:highlight w:val="none"/>
              </w:rPr>
            </w:pPr>
            <w:r>
              <w:rPr>
                <w:rFonts w:ascii="Arial" w:hAnsi="Arial" w:cs="Arial"/>
                <w:szCs w:val="21"/>
                <w:highlight w:val="none"/>
              </w:rPr>
              <w:t>具备结合患者诊断，自定义设置药品的用药疗程规则的功能。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门诊静脉输液维护</w:t>
            </w:r>
          </w:p>
          <w:p>
            <w:pPr>
              <w:pStyle w:val="133"/>
              <w:spacing w:line="288" w:lineRule="auto"/>
              <w:jc w:val="left"/>
              <w:rPr>
                <w:rFonts w:ascii="Arial" w:hAnsi="Arial" w:cs="Arial"/>
                <w:szCs w:val="21"/>
                <w:highlight w:val="none"/>
              </w:rPr>
            </w:pPr>
            <w:r>
              <w:rPr>
                <w:rFonts w:ascii="Arial" w:hAnsi="Arial" w:cs="Arial"/>
                <w:szCs w:val="21"/>
                <w:highlight w:val="none"/>
              </w:rPr>
              <w:t>具备按药品、诊断、科室、药房、医生等条件自定义设置门诊静脉输液药品监护白名单的功能。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自定义药品分类维护</w:t>
            </w:r>
          </w:p>
          <w:p>
            <w:pPr>
              <w:pStyle w:val="133"/>
              <w:spacing w:line="288" w:lineRule="auto"/>
              <w:jc w:val="left"/>
              <w:rPr>
                <w:rFonts w:ascii="Arial" w:hAnsi="Arial" w:cs="Arial"/>
                <w:szCs w:val="21"/>
                <w:highlight w:val="none"/>
              </w:rPr>
            </w:pPr>
            <w:r>
              <w:rPr>
                <w:rFonts w:ascii="Arial" w:hAnsi="Arial" w:cs="Arial"/>
                <w:szCs w:val="21"/>
                <w:highlight w:val="none"/>
              </w:rPr>
              <w:t>具备自定义创建不同的药品分类，可针对分类进行自定义规则管理的功能。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用药规则分析引擎</w:t>
            </w:r>
          </w:p>
          <w:p>
            <w:pPr>
              <w:pStyle w:val="133"/>
              <w:spacing w:line="288" w:lineRule="auto"/>
              <w:rPr>
                <w:rFonts w:ascii="Arial" w:hAnsi="Arial" w:cs="Arial"/>
                <w:szCs w:val="21"/>
                <w:highlight w:val="none"/>
              </w:rPr>
            </w:pPr>
            <w:r>
              <w:rPr>
                <w:rFonts w:ascii="Arial" w:hAnsi="Arial" w:cs="Arial"/>
                <w:szCs w:val="21"/>
                <w:highlight w:val="none"/>
              </w:rPr>
              <w:t>需自带共性化用药知识分析规则，需包含适应症分析、禁忌症分析、给药途径、给药频次、用法用量、相互作用、配伍禁忌、特殊人群用药适宜性等用药情况进行分析，且用药分析规则均有出处和事实依据说明。</w:t>
            </w:r>
          </w:p>
          <w:p>
            <w:pPr>
              <w:pStyle w:val="133"/>
              <w:spacing w:line="288" w:lineRule="auto"/>
              <w:rPr>
                <w:rFonts w:ascii="Arial" w:hAnsi="Arial" w:cs="Arial"/>
                <w:szCs w:val="21"/>
                <w:highlight w:val="none"/>
              </w:rPr>
            </w:pPr>
            <w:r>
              <w:rPr>
                <w:rFonts w:ascii="Arial" w:hAnsi="Arial" w:cs="Arial"/>
                <w:szCs w:val="21"/>
                <w:highlight w:val="none"/>
              </w:rPr>
              <w:t>功能要求：共性化用药知识分析规则可通过业务模块对其调用，在相关业务界面进行显示。</w:t>
            </w:r>
          </w:p>
          <w:p>
            <w:pPr>
              <w:pStyle w:val="133"/>
              <w:spacing w:line="288" w:lineRule="auto"/>
              <w:rPr>
                <w:rFonts w:ascii="Arial" w:hAnsi="Arial" w:cs="Arial"/>
                <w:szCs w:val="21"/>
                <w:highlight w:val="none"/>
              </w:rPr>
            </w:pPr>
            <w:r>
              <w:rPr>
                <w:rFonts w:ascii="Arial" w:hAnsi="Arial" w:cs="Arial"/>
                <w:szCs w:val="21"/>
                <w:highlight w:val="none"/>
              </w:rPr>
              <w:t>具体功能要求如下：</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药品剂型审查</w:t>
            </w:r>
          </w:p>
          <w:p>
            <w:pPr>
              <w:pStyle w:val="133"/>
              <w:spacing w:line="288" w:lineRule="auto"/>
              <w:jc w:val="left"/>
              <w:rPr>
                <w:rFonts w:ascii="Arial" w:hAnsi="Arial" w:cs="Arial"/>
                <w:szCs w:val="21"/>
                <w:highlight w:val="none"/>
              </w:rPr>
            </w:pPr>
            <w:r>
              <w:rPr>
                <w:rFonts w:ascii="Arial" w:hAnsi="Arial" w:cs="Arial"/>
                <w:szCs w:val="21"/>
                <w:highlight w:val="none"/>
              </w:rPr>
              <w:t>具备对药品剂型和用药途径的适宜性进行自动分析，并提示分析结果的功能；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具备对药品剂型和患者年龄的适宜性进行分析，并提示分析结果的功能；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具备对药品剂型和患者性别的匹配性进行分析，并提示分析结果的功能。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药品给药途径审查</w:t>
            </w:r>
          </w:p>
          <w:p>
            <w:pPr>
              <w:pStyle w:val="133"/>
              <w:spacing w:line="288" w:lineRule="auto"/>
              <w:jc w:val="left"/>
              <w:rPr>
                <w:rFonts w:ascii="Arial" w:hAnsi="Arial" w:cs="Arial"/>
                <w:szCs w:val="21"/>
                <w:highlight w:val="none"/>
              </w:rPr>
            </w:pPr>
            <w:r>
              <w:rPr>
                <w:rFonts w:ascii="Arial" w:hAnsi="Arial" w:cs="Arial"/>
                <w:szCs w:val="21"/>
                <w:highlight w:val="none"/>
              </w:rPr>
              <w:t>具备对药品的禁用给药途径进行分析，并提示分析结果的功能；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具备对药品的未提及给药途径进行分析，并提示分析结果的功能；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具备对学龄前儿童禁止肌肉注射含“苯甲醇”注射剂分析提示。</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药品给药频次审查</w:t>
            </w:r>
          </w:p>
          <w:p>
            <w:pPr>
              <w:pStyle w:val="133"/>
              <w:spacing w:line="288" w:lineRule="auto"/>
              <w:jc w:val="left"/>
              <w:rPr>
                <w:rFonts w:ascii="Arial" w:hAnsi="Arial" w:cs="Arial"/>
                <w:szCs w:val="21"/>
                <w:highlight w:val="none"/>
              </w:rPr>
            </w:pPr>
            <w:r>
              <w:rPr>
                <w:rFonts w:ascii="Arial" w:hAnsi="Arial" w:cs="Arial"/>
                <w:szCs w:val="21"/>
                <w:highlight w:val="none"/>
              </w:rPr>
              <w:t>具备结合患者生理状况，对单个药品的给药频次上限进行分析，并提示分析结果的功能；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具备结合患者生理状况，对单个药品的给药频次下限进行分析，并提示分析结果的功能。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单张处方药品剂量审查</w:t>
            </w:r>
          </w:p>
          <w:p>
            <w:pPr>
              <w:pStyle w:val="133"/>
              <w:spacing w:line="288" w:lineRule="auto"/>
              <w:jc w:val="left"/>
              <w:rPr>
                <w:rFonts w:ascii="Arial" w:hAnsi="Arial" w:cs="Arial"/>
                <w:szCs w:val="21"/>
                <w:highlight w:val="none"/>
              </w:rPr>
            </w:pPr>
            <w:r>
              <w:rPr>
                <w:rFonts w:ascii="Arial" w:hAnsi="Arial" w:cs="Arial"/>
                <w:szCs w:val="21"/>
                <w:highlight w:val="none"/>
              </w:rPr>
              <w:t>具备结合患者生理状况，对单个药品的单次用药极量进行分析，并提示分析结果的功能；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具备结合患者生理状况，对单个药品的单日用药极量进行分析，并提示分析结果的功能；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具备结合患者生理状况，对单个药品的单次常用药量上下限进行分析，并提示分析结果的功能；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具备结合患者生理状况，对单个药品的单日常用量上下限进行分析，并提示分析结果的功能；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具备对单个药品不可掰片服用的剂量进行分析，若开具的剂量不符合药品规格，则提示分析结果；</w:t>
            </w:r>
          </w:p>
          <w:p>
            <w:pPr>
              <w:pStyle w:val="133"/>
              <w:spacing w:line="288" w:lineRule="auto"/>
              <w:jc w:val="left"/>
              <w:rPr>
                <w:rFonts w:ascii="Arial" w:hAnsi="Arial" w:cs="Arial"/>
                <w:szCs w:val="21"/>
                <w:highlight w:val="none"/>
              </w:rPr>
            </w:pPr>
            <w:r>
              <w:rPr>
                <w:rFonts w:ascii="Arial" w:hAnsi="Arial" w:cs="Arial"/>
                <w:szCs w:val="21"/>
                <w:highlight w:val="none"/>
              </w:rPr>
              <w:t>具备对单个药品超倍数用量进行分析，若超出指定倍数，则提示分析结果；</w:t>
            </w:r>
          </w:p>
          <w:p>
            <w:pPr>
              <w:pStyle w:val="133"/>
              <w:spacing w:line="288" w:lineRule="auto"/>
              <w:jc w:val="left"/>
              <w:rPr>
                <w:rFonts w:ascii="Arial" w:hAnsi="Arial" w:cs="Arial"/>
                <w:szCs w:val="21"/>
                <w:highlight w:val="none"/>
              </w:rPr>
            </w:pPr>
            <w:r>
              <w:rPr>
                <w:rFonts w:ascii="Arial" w:hAnsi="Arial" w:cs="Arial"/>
                <w:szCs w:val="21"/>
                <w:highlight w:val="none"/>
              </w:rPr>
              <w:t>具备对单个药品无效剂量进行分析，若开具的剂量过低，则并提示分析结果。</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疾病诊断与用药审查</w:t>
            </w:r>
          </w:p>
          <w:p>
            <w:pPr>
              <w:pStyle w:val="133"/>
              <w:spacing w:line="288" w:lineRule="auto"/>
              <w:jc w:val="left"/>
              <w:rPr>
                <w:rFonts w:ascii="Arial" w:hAnsi="Arial" w:cs="Arial"/>
                <w:szCs w:val="21"/>
                <w:highlight w:val="none"/>
              </w:rPr>
            </w:pPr>
            <w:r>
              <w:rPr>
                <w:rFonts w:ascii="Arial" w:hAnsi="Arial" w:cs="Arial"/>
                <w:szCs w:val="21"/>
                <w:highlight w:val="none"/>
              </w:rPr>
              <w:t>具备结合患者诊断和相关临床依据，对患者用药的适应症进行自动分析，并提示分析结果的功能；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具备结合患者性别和诊断信息，对患者性别与所开具的诊断是否相符进行自动分析，并提示分析结果的功能；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具备结合患者中医诊断和中医证型，对中药适宜性进行自动分析，并提示分析结果的功能；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具备在手术期预防性使用质子泵抑制剂的情况下，对患者用药的适应症分析不进行提示的功能；</w:t>
            </w:r>
          </w:p>
          <w:p>
            <w:pPr>
              <w:pStyle w:val="133"/>
              <w:spacing w:line="288" w:lineRule="auto"/>
              <w:jc w:val="left"/>
              <w:rPr>
                <w:rFonts w:ascii="Arial" w:hAnsi="Arial" w:cs="Arial"/>
                <w:szCs w:val="21"/>
                <w:highlight w:val="none"/>
              </w:rPr>
            </w:pPr>
            <w:r>
              <w:rPr>
                <w:rFonts w:ascii="Arial" w:hAnsi="Arial" w:cs="Arial"/>
                <w:szCs w:val="21"/>
                <w:highlight w:val="none"/>
              </w:rPr>
              <w:t>具备支持多药物联用情况下，对患者用药的适应症不进行分析的功能</w:t>
            </w:r>
          </w:p>
          <w:p>
            <w:pPr>
              <w:pStyle w:val="133"/>
              <w:spacing w:line="288" w:lineRule="auto"/>
              <w:jc w:val="left"/>
              <w:rPr>
                <w:rFonts w:ascii="Arial" w:hAnsi="Arial" w:cs="Arial"/>
                <w:szCs w:val="21"/>
                <w:highlight w:val="none"/>
              </w:rPr>
            </w:pPr>
            <w:r>
              <w:rPr>
                <w:rFonts w:ascii="Arial" w:hAnsi="Arial" w:cs="Arial"/>
                <w:szCs w:val="21"/>
                <w:highlight w:val="none"/>
              </w:rPr>
              <w:t>具备支持多药物联用情况下，对患者用药的禁忌症不进行分析的功能。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体内相互作用审查</w:t>
            </w:r>
          </w:p>
          <w:p>
            <w:pPr>
              <w:pStyle w:val="133"/>
              <w:spacing w:line="288" w:lineRule="auto"/>
              <w:jc w:val="left"/>
              <w:rPr>
                <w:rFonts w:ascii="Arial" w:hAnsi="Arial" w:cs="Arial"/>
                <w:szCs w:val="21"/>
                <w:highlight w:val="none"/>
              </w:rPr>
            </w:pPr>
            <w:r>
              <w:rPr>
                <w:rFonts w:ascii="Arial" w:hAnsi="Arial" w:cs="Arial"/>
                <w:szCs w:val="21"/>
                <w:highlight w:val="none"/>
              </w:rPr>
              <w:t>具备对不同药物和不同成药物成分之间的相互作用进行分析，并提示注意事项的功能；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具备药物与含酒精成分的药物相互作用进行分析，并提示注意事项的功能；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具备对不同中成药成分之间的相互作用进行分析，并提示注意事项的功能。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重复用药智能审查</w:t>
            </w:r>
          </w:p>
          <w:p>
            <w:pPr>
              <w:pStyle w:val="133"/>
              <w:spacing w:line="288" w:lineRule="auto"/>
              <w:jc w:val="left"/>
              <w:rPr>
                <w:rFonts w:ascii="Arial" w:hAnsi="Arial" w:cs="Arial"/>
                <w:szCs w:val="21"/>
                <w:highlight w:val="none"/>
              </w:rPr>
            </w:pPr>
            <w:r>
              <w:rPr>
                <w:rFonts w:ascii="Arial" w:hAnsi="Arial" w:cs="Arial"/>
                <w:szCs w:val="21"/>
                <w:highlight w:val="none"/>
              </w:rPr>
              <w:t>具备对相同通用名不同剂型的重复用药进行分析，并提示注意事项的功能；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具备对同类或作用机制相同的重复用药进行分析，并提示注意事项的功能；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具备对相同药品或不同处方中的同个药被开具两次的情况进行分析，并提示注意事项的功能；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具备对两种及以上同成分药同时开具的情况进行分析，并提示注意事项的功能；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具备对两种以上药理作用机制相同的中成药进行分析，并提示注意事项的功能；</w:t>
            </w:r>
          </w:p>
          <w:p>
            <w:pPr>
              <w:pStyle w:val="133"/>
              <w:spacing w:line="288" w:lineRule="auto"/>
              <w:jc w:val="left"/>
              <w:rPr>
                <w:rFonts w:ascii="Arial" w:hAnsi="Arial" w:cs="Arial"/>
                <w:szCs w:val="21"/>
                <w:highlight w:val="none"/>
              </w:rPr>
            </w:pPr>
            <w:r>
              <w:rPr>
                <w:rFonts w:ascii="Arial" w:hAnsi="Arial" w:cs="Arial"/>
                <w:szCs w:val="21"/>
                <w:highlight w:val="none"/>
              </w:rPr>
              <w:t>具备对相同抗菌谱/相同抗病毒图谱的重复用药进行分析，并提示注意事项的功能；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门（急）诊处方超规定用药天数审查</w:t>
            </w:r>
          </w:p>
          <w:p>
            <w:pPr>
              <w:pStyle w:val="133"/>
              <w:spacing w:line="288" w:lineRule="auto"/>
              <w:jc w:val="left"/>
              <w:rPr>
                <w:rFonts w:ascii="Arial" w:hAnsi="Arial" w:cs="Arial"/>
                <w:szCs w:val="21"/>
                <w:highlight w:val="none"/>
              </w:rPr>
            </w:pPr>
            <w:r>
              <w:rPr>
                <w:rFonts w:ascii="Arial" w:hAnsi="Arial" w:cs="Arial"/>
                <w:szCs w:val="21"/>
                <w:highlight w:val="none"/>
              </w:rPr>
              <w:t>具备对门急诊处方用药天数门诊可用七天、急诊可用三天进行分析，并提示分析结果的功能。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药品过敏史与用药审查</w:t>
            </w:r>
          </w:p>
          <w:p>
            <w:pPr>
              <w:pStyle w:val="133"/>
              <w:spacing w:line="288" w:lineRule="auto"/>
              <w:jc w:val="left"/>
              <w:rPr>
                <w:rFonts w:ascii="Arial" w:hAnsi="Arial" w:cs="Arial"/>
                <w:szCs w:val="21"/>
                <w:highlight w:val="none"/>
              </w:rPr>
            </w:pPr>
            <w:r>
              <w:rPr>
                <w:rFonts w:ascii="Arial" w:hAnsi="Arial" w:cs="Arial"/>
                <w:szCs w:val="21"/>
                <w:highlight w:val="none"/>
              </w:rPr>
              <w:t>具备结合既往药物过敏史，对用药适宜性进行自动分析，并提示分析结果的功能；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具备结合既往药物过敏史，对两种或两种以上用药的交叉过敏情况进行自动分析，并提示分析结果的功能；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具备结合既往药物过敏史，对开具药物的成分或辅料成分的过敏进行自动分析，并提示分析结果的功能；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具备结合既往食物过敏史，对开具药物的适宜性进行自动分析，并提示分析结果的功能。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具备可选择使用医院维护的过敏药品大类进行药物过敏分析</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跨处方医嘱用药审查</w:t>
            </w:r>
          </w:p>
          <w:p>
            <w:pPr>
              <w:pStyle w:val="133"/>
              <w:spacing w:line="288" w:lineRule="auto"/>
              <w:jc w:val="left"/>
              <w:rPr>
                <w:rFonts w:ascii="Arial" w:hAnsi="Arial" w:cs="Arial"/>
                <w:szCs w:val="21"/>
                <w:highlight w:val="none"/>
              </w:rPr>
            </w:pPr>
            <w:r>
              <w:rPr>
                <w:rFonts w:ascii="Arial" w:hAnsi="Arial" w:cs="Arial"/>
                <w:szCs w:val="21"/>
                <w:highlight w:val="none"/>
              </w:rPr>
              <w:t>具备单日及支持多日对同一患者在不同科室开具的同一药品的累计用药量进行分析，并提示分析结果的功能；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具备单日及支持多日对同一患者在不同科室开具处方上不同药物或不同药物大类的两两间相互作用进行分析，并提示分析结果的功能；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具备单日及支持多日对同一患者在不同科室开具的同一药品、同种药品和同药物成分的重复用药进行分析，并提示分析结果的功能；</w:t>
            </w:r>
          </w:p>
          <w:p>
            <w:pPr>
              <w:pStyle w:val="5"/>
              <w:numPr>
                <w:ilvl w:val="3"/>
                <w:numId w:val="3"/>
              </w:numPr>
              <w:spacing w:before="0" w:after="0" w:line="288" w:lineRule="auto"/>
              <w:ind w:firstLine="40"/>
              <w:jc w:val="left"/>
              <w:rPr>
                <w:rFonts w:eastAsia="宋体" w:cs="Arial"/>
                <w:sz w:val="21"/>
                <w:szCs w:val="21"/>
                <w:highlight w:val="none"/>
              </w:rPr>
            </w:pPr>
            <w:r>
              <w:rPr>
                <w:rFonts w:eastAsia="宋体" w:cs="Arial"/>
                <w:sz w:val="21"/>
                <w:szCs w:val="21"/>
                <w:highlight w:val="none"/>
              </w:rPr>
              <w:t>全年龄性别人群与用药专项审查</w:t>
            </w:r>
          </w:p>
          <w:p>
            <w:pPr>
              <w:pStyle w:val="133"/>
              <w:spacing w:line="288" w:lineRule="auto"/>
              <w:jc w:val="left"/>
              <w:rPr>
                <w:rFonts w:ascii="Arial" w:hAnsi="Arial" w:cs="Arial"/>
                <w:szCs w:val="21"/>
                <w:highlight w:val="none"/>
              </w:rPr>
            </w:pPr>
            <w:r>
              <w:rPr>
                <w:rFonts w:ascii="Arial" w:hAnsi="Arial" w:cs="Arial"/>
                <w:szCs w:val="21"/>
                <w:highlight w:val="none"/>
              </w:rPr>
              <w:t>具备结合未成年人、成年人和老年人根据性别，对其限制用药、禁慎用药等进行用药适宜性自动分析，并提示分析结果的功能；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具备结合诊断与患者性别，对其限制用药、禁慎用药等进行用药适宜性自动分析，并提示分析结果的功能。</w:t>
            </w:r>
          </w:p>
          <w:p>
            <w:pPr>
              <w:pStyle w:val="133"/>
              <w:spacing w:line="288" w:lineRule="auto"/>
              <w:jc w:val="left"/>
              <w:rPr>
                <w:rFonts w:ascii="Arial" w:hAnsi="Arial" w:cs="Arial"/>
                <w:szCs w:val="21"/>
                <w:highlight w:val="none"/>
              </w:rPr>
            </w:pPr>
            <w:r>
              <w:rPr>
                <w:rFonts w:ascii="Arial" w:hAnsi="Arial" w:cs="Arial"/>
                <w:szCs w:val="21"/>
                <w:highlight w:val="none"/>
              </w:rPr>
              <w:t>具备对高龄老人多重用药进行分析，如：75岁以上老人开具药品大于5种，则提示注意事项的功能；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孕哺人群与用药专项审查</w:t>
            </w:r>
          </w:p>
          <w:p>
            <w:pPr>
              <w:pStyle w:val="133"/>
              <w:spacing w:line="288" w:lineRule="auto"/>
              <w:rPr>
                <w:rFonts w:ascii="Arial" w:hAnsi="Arial" w:cs="Arial"/>
                <w:szCs w:val="21"/>
                <w:highlight w:val="none"/>
              </w:rPr>
            </w:pPr>
            <w:r>
              <w:rPr>
                <w:rFonts w:ascii="Arial" w:hAnsi="Arial" w:cs="Arial"/>
                <w:szCs w:val="21"/>
                <w:highlight w:val="none"/>
              </w:rPr>
              <w:t>具备结合患者病生理状态、孕周、诊断等条件，对其限制用药、禁慎用药等进行妊娠期用药自动分析，并提示分析结果的功能；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具备结合患者病生理状态、诊断等条件，对其限制用药、禁慎用药等进行哺乳期用药自动分析，并提示分析结果的功能；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具备对患者从孕妇到产妇的状态变更进行捕捉识别，并对以上相关用药进行分析的功能。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特殊病生理与用药专项审查</w:t>
            </w:r>
          </w:p>
          <w:p>
            <w:pPr>
              <w:pStyle w:val="133"/>
              <w:spacing w:line="288" w:lineRule="auto"/>
              <w:rPr>
                <w:rFonts w:ascii="Arial" w:hAnsi="Arial" w:cs="Arial"/>
                <w:szCs w:val="21"/>
                <w:highlight w:val="none"/>
              </w:rPr>
            </w:pPr>
            <w:r>
              <w:rPr>
                <w:rFonts w:ascii="Arial" w:hAnsi="Arial" w:cs="Arial"/>
                <w:szCs w:val="21"/>
                <w:highlight w:val="none"/>
              </w:rPr>
              <w:t>具备结合患者肝肾功能不全、癌痛、G-6-PD等特殊病生理状态，对其限制用药、禁慎用药等进行用药自动分析，并提示分析结果的功能。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围术期抗菌药物用药专项审查</w:t>
            </w:r>
          </w:p>
          <w:p>
            <w:pPr>
              <w:pStyle w:val="133"/>
              <w:spacing w:line="288" w:lineRule="auto"/>
              <w:rPr>
                <w:rFonts w:ascii="Arial" w:hAnsi="Arial" w:cs="Arial"/>
                <w:szCs w:val="21"/>
                <w:highlight w:val="none"/>
              </w:rPr>
            </w:pPr>
            <w:r>
              <w:rPr>
                <w:rFonts w:ascii="Arial" w:hAnsi="Arial" w:cs="Arial"/>
                <w:szCs w:val="21"/>
                <w:highlight w:val="none"/>
              </w:rPr>
              <w:t>具备结合患者手术、切口信息，对抗菌药物在围手术期预防使用的品种选择适宜性自动分析，并提示分析结果的功能。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静脉输注药品专项审查</w:t>
            </w:r>
          </w:p>
          <w:p>
            <w:pPr>
              <w:pStyle w:val="133"/>
              <w:spacing w:line="288" w:lineRule="auto"/>
              <w:rPr>
                <w:rFonts w:ascii="Arial" w:hAnsi="Arial" w:cs="Arial"/>
                <w:szCs w:val="21"/>
                <w:highlight w:val="none"/>
              </w:rPr>
            </w:pPr>
            <w:r>
              <w:rPr>
                <w:rFonts w:ascii="Arial" w:hAnsi="Arial" w:cs="Arial"/>
                <w:szCs w:val="21"/>
                <w:highlight w:val="none"/>
              </w:rPr>
              <w:t>当开具有粉针剂类药物时，具备对需成组开具进行分析，并提示注意事项的功能。</w:t>
            </w:r>
          </w:p>
          <w:p>
            <w:pPr>
              <w:pStyle w:val="133"/>
              <w:spacing w:line="288" w:lineRule="auto"/>
              <w:rPr>
                <w:rFonts w:ascii="Arial" w:hAnsi="Arial" w:cs="Arial"/>
                <w:szCs w:val="21"/>
                <w:highlight w:val="none"/>
              </w:rPr>
            </w:pPr>
            <w:r>
              <w:rPr>
                <w:rFonts w:ascii="Arial" w:hAnsi="Arial" w:cs="Arial"/>
                <w:szCs w:val="21"/>
                <w:highlight w:val="none"/>
              </w:rPr>
              <w:t>具备对两种及以上静脉输注药品混合使用时是否存在配伍禁忌和配伍问题进行分析，并提示注意事项的功能；</w:t>
            </w:r>
          </w:p>
          <w:p>
            <w:pPr>
              <w:pStyle w:val="133"/>
              <w:spacing w:line="288" w:lineRule="auto"/>
              <w:rPr>
                <w:rFonts w:ascii="Arial" w:hAnsi="Arial" w:cs="Arial"/>
                <w:szCs w:val="21"/>
                <w:highlight w:val="none"/>
              </w:rPr>
            </w:pPr>
            <w:r>
              <w:rPr>
                <w:rFonts w:ascii="Arial" w:hAnsi="Arial" w:cs="Arial"/>
                <w:szCs w:val="21"/>
                <w:highlight w:val="none"/>
              </w:rPr>
              <w:t>具备对静脉输注药品的溶媒选择合理性进行分析，并提示注意事项的功能；</w:t>
            </w:r>
          </w:p>
          <w:p>
            <w:pPr>
              <w:pStyle w:val="133"/>
              <w:spacing w:line="288" w:lineRule="auto"/>
              <w:rPr>
                <w:rFonts w:ascii="Arial" w:hAnsi="Arial" w:cs="Arial"/>
                <w:szCs w:val="21"/>
                <w:highlight w:val="none"/>
              </w:rPr>
            </w:pPr>
            <w:r>
              <w:rPr>
                <w:rFonts w:ascii="Arial" w:hAnsi="Arial" w:cs="Arial"/>
                <w:szCs w:val="21"/>
                <w:highlight w:val="none"/>
              </w:rPr>
              <w:t>具备对中药注射剂单独开具处方进行提示的功能；</w:t>
            </w:r>
          </w:p>
          <w:p>
            <w:pPr>
              <w:pStyle w:val="133"/>
              <w:spacing w:line="288" w:lineRule="auto"/>
              <w:rPr>
                <w:rFonts w:ascii="Arial" w:hAnsi="Arial" w:cs="Arial"/>
                <w:szCs w:val="21"/>
                <w:highlight w:val="none"/>
              </w:rPr>
            </w:pPr>
            <w:r>
              <w:rPr>
                <w:rFonts w:ascii="Arial" w:hAnsi="Arial" w:cs="Arial"/>
                <w:szCs w:val="21"/>
                <w:highlight w:val="none"/>
              </w:rPr>
              <w:t>具备可自动识别肠外营养输液组配伍问题，从而不再分析普通输液药品的配伍问题，并可对肠外营养液各项指标范围进行分析，并提示注意事项的功能；</w:t>
            </w:r>
          </w:p>
          <w:p>
            <w:pPr>
              <w:pStyle w:val="133"/>
              <w:spacing w:line="288" w:lineRule="auto"/>
              <w:rPr>
                <w:rFonts w:ascii="Arial" w:hAnsi="Arial" w:cs="Arial"/>
                <w:szCs w:val="21"/>
                <w:highlight w:val="none"/>
              </w:rPr>
            </w:pPr>
            <w:r>
              <w:rPr>
                <w:rFonts w:ascii="Arial" w:hAnsi="Arial" w:cs="Arial"/>
                <w:szCs w:val="21"/>
                <w:highlight w:val="none"/>
              </w:rPr>
              <w:t>具备对同组注射药品钾、钠、钙、镁等离子总浓度进行审查分析，并提示注意事项的功能；</w:t>
            </w:r>
          </w:p>
          <w:p>
            <w:pPr>
              <w:pStyle w:val="133"/>
              <w:spacing w:line="288" w:lineRule="auto"/>
              <w:rPr>
                <w:rFonts w:ascii="Arial" w:hAnsi="Arial" w:cs="Arial"/>
                <w:szCs w:val="21"/>
                <w:highlight w:val="none"/>
              </w:rPr>
            </w:pPr>
            <w:r>
              <w:rPr>
                <w:rFonts w:ascii="Arial" w:hAnsi="Arial" w:cs="Arial"/>
                <w:szCs w:val="21"/>
                <w:highlight w:val="none"/>
              </w:rPr>
              <w:t>具备对患者单日补钾量超过规定值进行提示的功能；</w:t>
            </w:r>
          </w:p>
          <w:p>
            <w:pPr>
              <w:pStyle w:val="133"/>
              <w:spacing w:line="288" w:lineRule="auto"/>
              <w:rPr>
                <w:rFonts w:ascii="Arial" w:hAnsi="Arial" w:cs="Arial"/>
                <w:szCs w:val="21"/>
                <w:highlight w:val="none"/>
              </w:rPr>
            </w:pPr>
            <w:r>
              <w:rPr>
                <w:rFonts w:ascii="Arial" w:hAnsi="Arial" w:cs="Arial"/>
                <w:szCs w:val="21"/>
                <w:highlight w:val="none"/>
              </w:rPr>
              <w:t>具备自定义设置门诊静脉输液白名单的功能。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中药饮片专项用药分析</w:t>
            </w:r>
          </w:p>
          <w:p>
            <w:pPr>
              <w:pStyle w:val="133"/>
              <w:spacing w:line="288" w:lineRule="auto"/>
              <w:rPr>
                <w:rFonts w:ascii="Arial" w:hAnsi="Arial" w:cs="Arial"/>
                <w:szCs w:val="21"/>
                <w:highlight w:val="none"/>
              </w:rPr>
            </w:pPr>
            <w:r>
              <w:rPr>
                <w:rFonts w:ascii="Arial" w:hAnsi="Arial" w:cs="Arial"/>
                <w:szCs w:val="21"/>
                <w:highlight w:val="none"/>
              </w:rPr>
              <w:t>具备对饮片间十八反十九畏，与西药、中成药之间的相互作用进行分析，并提示分析结果；</w:t>
            </w:r>
          </w:p>
          <w:p>
            <w:pPr>
              <w:pStyle w:val="133"/>
              <w:spacing w:line="288" w:lineRule="auto"/>
              <w:rPr>
                <w:rFonts w:ascii="Arial" w:hAnsi="Arial" w:cs="Arial"/>
                <w:szCs w:val="21"/>
                <w:highlight w:val="none"/>
              </w:rPr>
            </w:pPr>
            <w:r>
              <w:rPr>
                <w:rFonts w:ascii="Arial" w:hAnsi="Arial" w:cs="Arial"/>
                <w:szCs w:val="21"/>
                <w:highlight w:val="none"/>
              </w:rPr>
              <w:t>具备结合患者生理状况对中药饮片用药剂量并可只针对毒性草药用量进行分析，并提示分析结果的功能；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具备对饮片处方的总剂量和总味数进行分析，并提示分析结果的功能；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具备对饮片跨处方累计用量进行分析，并提示分析结果的功能；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具备结合患者妊娠期生理状况对中药饮片禁慎用药进行分析，并提示分析结果的功能；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具备结合患者哺乳期生理状况对中药饮片禁慎用药进行分析，并提示分析结果的功能；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具备对中药饮片重复用药进行分析，可仅对毒性草药重复用药进行分析，并提示分析结果的功能；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具备对有特殊煎煮要求的中药饮片如需先煎后煮的给药途径进行分析，并提示分析结果的功能。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精麻毒药品专项开药量分析</w:t>
            </w:r>
          </w:p>
          <w:p>
            <w:pPr>
              <w:pStyle w:val="133"/>
              <w:spacing w:line="288" w:lineRule="auto"/>
              <w:rPr>
                <w:rFonts w:ascii="Arial" w:hAnsi="Arial" w:cs="Arial"/>
                <w:szCs w:val="21"/>
                <w:highlight w:val="none"/>
              </w:rPr>
            </w:pPr>
            <w:r>
              <w:rPr>
                <w:rFonts w:ascii="Arial" w:hAnsi="Arial" w:cs="Arial"/>
                <w:szCs w:val="21"/>
                <w:highlight w:val="none"/>
              </w:rPr>
              <w:t>具备对麻醉药品、精神药品和毒性药品开药量限制进行自动分析，并提示分析结果的功能；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具备对麻醉药品和精神药品使用天数限制进行分析，并提示分析结果的功能；</w:t>
            </w:r>
          </w:p>
          <w:p>
            <w:pPr>
              <w:pStyle w:val="133"/>
              <w:spacing w:line="288" w:lineRule="auto"/>
              <w:rPr>
                <w:rFonts w:ascii="Arial" w:hAnsi="Arial" w:cs="Arial"/>
                <w:szCs w:val="21"/>
                <w:highlight w:val="none"/>
              </w:rPr>
            </w:pPr>
            <w:r>
              <w:rPr>
                <w:rFonts w:ascii="Arial" w:hAnsi="Arial" w:cs="Arial"/>
                <w:szCs w:val="21"/>
                <w:highlight w:val="none"/>
              </w:rPr>
              <w:t>具备对医生为自己开具麻醉、精神类药品进行管控的功能；</w:t>
            </w:r>
          </w:p>
          <w:p>
            <w:pPr>
              <w:pStyle w:val="133"/>
              <w:spacing w:line="288" w:lineRule="auto"/>
              <w:rPr>
                <w:rFonts w:ascii="Arial" w:hAnsi="Arial" w:cs="Arial"/>
                <w:szCs w:val="21"/>
                <w:highlight w:val="none"/>
              </w:rPr>
            </w:pPr>
            <w:r>
              <w:rPr>
                <w:rFonts w:ascii="Arial" w:hAnsi="Arial" w:cs="Arial"/>
                <w:szCs w:val="21"/>
                <w:highlight w:val="none"/>
              </w:rPr>
              <w:t>具备对麻醉药品和精神药品多日累积使用天数限制进行分析，并提示分析结果的功能。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医生站合理用药</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门诊医生站合理用药</w:t>
            </w:r>
          </w:p>
          <w:p>
            <w:pPr>
              <w:pStyle w:val="133"/>
              <w:spacing w:line="288" w:lineRule="auto"/>
              <w:rPr>
                <w:rFonts w:ascii="Arial" w:hAnsi="Arial" w:cs="Arial"/>
                <w:szCs w:val="21"/>
                <w:highlight w:val="none"/>
              </w:rPr>
            </w:pPr>
            <w:r>
              <w:rPr>
                <w:rFonts w:ascii="Arial" w:hAnsi="Arial" w:cs="Arial"/>
                <w:szCs w:val="21"/>
                <w:highlight w:val="none"/>
              </w:rPr>
              <w:t>通过向所有接入的门急诊医生工作站提供合理用药预警与提示功能，形成集中用药安全管理和用药知识共享，在相同的共性化用药知识规则驱动下，对医生开方实现多维度的用药风险预警和提醒。</w:t>
            </w:r>
          </w:p>
          <w:p>
            <w:pPr>
              <w:pStyle w:val="133"/>
              <w:spacing w:line="288" w:lineRule="auto"/>
              <w:rPr>
                <w:rFonts w:ascii="Arial" w:hAnsi="Arial" w:cs="Arial"/>
                <w:szCs w:val="21"/>
                <w:highlight w:val="none"/>
              </w:rPr>
            </w:pPr>
            <w:r>
              <w:rPr>
                <w:rFonts w:ascii="Arial" w:hAnsi="Arial" w:cs="Arial"/>
                <w:szCs w:val="21"/>
                <w:highlight w:val="none"/>
              </w:rPr>
              <w:t>功能要求：可实现在医生开方时进行用药安全提示、用药知识的推送、查询药品说明书和合理用药分析数据的统计功能。</w:t>
            </w:r>
          </w:p>
          <w:p>
            <w:pPr>
              <w:pStyle w:val="133"/>
              <w:spacing w:line="288" w:lineRule="auto"/>
              <w:rPr>
                <w:rFonts w:ascii="Arial" w:hAnsi="Arial" w:cs="Arial"/>
                <w:szCs w:val="21"/>
                <w:highlight w:val="none"/>
              </w:rPr>
            </w:pPr>
            <w:r>
              <w:rPr>
                <w:rFonts w:ascii="Arial" w:hAnsi="Arial" w:cs="Arial"/>
                <w:szCs w:val="21"/>
                <w:highlight w:val="none"/>
              </w:rPr>
              <w:t>具体功能要求如下：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处方用药风险自动审查</w:t>
            </w:r>
          </w:p>
          <w:p>
            <w:pPr>
              <w:pStyle w:val="133"/>
              <w:spacing w:line="288" w:lineRule="auto"/>
              <w:rPr>
                <w:rFonts w:ascii="Arial" w:hAnsi="Arial" w:cs="Arial"/>
                <w:szCs w:val="21"/>
                <w:highlight w:val="none"/>
              </w:rPr>
            </w:pPr>
            <w:r>
              <w:rPr>
                <w:rFonts w:ascii="Arial" w:hAnsi="Arial" w:cs="Arial"/>
                <w:szCs w:val="21"/>
                <w:highlight w:val="none"/>
              </w:rPr>
              <w:t>在医生开具处方时，自动调用智慧药学知识库智能分析服务组件和药学知识建设组件对处方中的药物过敏、用药合法合规和用药安全进行自动审查，并将分析结果提示给医生，具体要求如下：</w:t>
            </w:r>
          </w:p>
          <w:p>
            <w:pPr>
              <w:pStyle w:val="133"/>
              <w:spacing w:line="288" w:lineRule="auto"/>
              <w:rPr>
                <w:rFonts w:ascii="Arial" w:hAnsi="Arial" w:cs="Arial"/>
                <w:szCs w:val="21"/>
                <w:highlight w:val="none"/>
              </w:rPr>
            </w:pPr>
            <w:r>
              <w:rPr>
                <w:rFonts w:ascii="Arial" w:hAnsi="Arial" w:cs="Arial"/>
                <w:szCs w:val="21"/>
                <w:highlight w:val="none"/>
              </w:rPr>
              <w:t>具备在医生尚未提交处方时，对处方中的某一药品的过敏风险进行提示的功能；</w:t>
            </w:r>
          </w:p>
          <w:p>
            <w:pPr>
              <w:pStyle w:val="133"/>
              <w:spacing w:line="288" w:lineRule="auto"/>
              <w:rPr>
                <w:rFonts w:ascii="Arial" w:hAnsi="Arial" w:cs="Arial"/>
                <w:szCs w:val="21"/>
                <w:highlight w:val="none"/>
              </w:rPr>
            </w:pPr>
            <w:r>
              <w:rPr>
                <w:rFonts w:ascii="Arial" w:hAnsi="Arial" w:cs="Arial"/>
                <w:szCs w:val="21"/>
                <w:highlight w:val="none"/>
              </w:rPr>
              <w:t>具备在医生尚未提交处方时，对处方中的高危药品用药风险进行提示的功能；</w:t>
            </w:r>
          </w:p>
          <w:p>
            <w:pPr>
              <w:pStyle w:val="133"/>
              <w:spacing w:line="288" w:lineRule="auto"/>
              <w:rPr>
                <w:rFonts w:ascii="Arial" w:hAnsi="Arial" w:cs="Arial"/>
                <w:szCs w:val="21"/>
                <w:highlight w:val="none"/>
              </w:rPr>
            </w:pPr>
            <w:r>
              <w:rPr>
                <w:rFonts w:ascii="Arial" w:hAnsi="Arial" w:cs="Arial"/>
                <w:szCs w:val="21"/>
                <w:highlight w:val="none"/>
              </w:rPr>
              <w:t>具备在医生开具药品时，显示系统要点提示或用户自定义要点提示的功能。</w:t>
            </w:r>
          </w:p>
          <w:p>
            <w:pPr>
              <w:pStyle w:val="133"/>
              <w:spacing w:line="288" w:lineRule="auto"/>
              <w:rPr>
                <w:rFonts w:ascii="Arial" w:hAnsi="Arial" w:cs="Arial"/>
                <w:szCs w:val="21"/>
                <w:highlight w:val="none"/>
              </w:rPr>
            </w:pPr>
            <w:r>
              <w:rPr>
                <w:rFonts w:ascii="Arial" w:hAnsi="Arial" w:cs="Arial"/>
                <w:szCs w:val="21"/>
                <w:highlight w:val="none"/>
              </w:rPr>
              <w:t>具备结合患者生理状况，对处方用药的适宜性进行多维度的审查分析，并展示相关提示的功能；</w:t>
            </w:r>
          </w:p>
          <w:p>
            <w:pPr>
              <w:pStyle w:val="133"/>
              <w:spacing w:line="288" w:lineRule="auto"/>
              <w:rPr>
                <w:rFonts w:ascii="Arial" w:hAnsi="Arial" w:cs="Arial"/>
                <w:szCs w:val="21"/>
                <w:highlight w:val="none"/>
              </w:rPr>
            </w:pPr>
            <w:r>
              <w:rPr>
                <w:rFonts w:ascii="Arial" w:hAnsi="Arial" w:cs="Arial"/>
                <w:szCs w:val="21"/>
                <w:highlight w:val="none"/>
              </w:rPr>
              <w:t>具备对处方中存在的药物与药物之间的用药风险进行审查分析，并展示相关提示的功能。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提示信息倒计时</w:t>
            </w:r>
          </w:p>
          <w:p>
            <w:pPr>
              <w:pStyle w:val="133"/>
              <w:spacing w:line="288" w:lineRule="auto"/>
              <w:rPr>
                <w:rFonts w:ascii="Arial" w:hAnsi="Arial" w:cs="Arial"/>
                <w:szCs w:val="21"/>
                <w:highlight w:val="none"/>
              </w:rPr>
            </w:pPr>
            <w:r>
              <w:rPr>
                <w:rFonts w:ascii="Arial" w:hAnsi="Arial" w:cs="Arial"/>
                <w:szCs w:val="21"/>
                <w:highlight w:val="none"/>
              </w:rPr>
              <w:t>医生端用药信息提示具备倒计时功能，并可设置倒计时时长，具体如下：</w:t>
            </w:r>
          </w:p>
          <w:p>
            <w:pPr>
              <w:pStyle w:val="133"/>
              <w:spacing w:line="288" w:lineRule="auto"/>
              <w:rPr>
                <w:rFonts w:ascii="Arial" w:hAnsi="Arial" w:cs="Arial"/>
                <w:szCs w:val="21"/>
                <w:highlight w:val="none"/>
              </w:rPr>
            </w:pPr>
            <w:r>
              <w:rPr>
                <w:rFonts w:ascii="Arial" w:hAnsi="Arial" w:cs="Arial"/>
                <w:szCs w:val="21"/>
                <w:highlight w:val="none"/>
              </w:rPr>
              <w:t>具备对提示框倒计时时长进行自定义设置的功能。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住院医生站合理用药</w:t>
            </w:r>
          </w:p>
          <w:p>
            <w:pPr>
              <w:pStyle w:val="133"/>
              <w:spacing w:line="288" w:lineRule="auto"/>
              <w:rPr>
                <w:rFonts w:ascii="Arial" w:hAnsi="Arial" w:cs="Arial"/>
                <w:szCs w:val="21"/>
                <w:highlight w:val="none"/>
              </w:rPr>
            </w:pPr>
            <w:r>
              <w:rPr>
                <w:rFonts w:ascii="Arial" w:hAnsi="Arial" w:cs="Arial"/>
                <w:szCs w:val="21"/>
                <w:highlight w:val="none"/>
              </w:rPr>
              <w:t>通过向所有接入的住院医生工作站提供合理用药预警与提示功能，形成集中用药安全管理和用药知识共享，在相同的共性化用药知识规则驱动下，对医生开具的医嘱实现多维度用药风险预警和提醒。</w:t>
            </w:r>
          </w:p>
          <w:p>
            <w:pPr>
              <w:pStyle w:val="133"/>
              <w:spacing w:line="288" w:lineRule="auto"/>
              <w:rPr>
                <w:rFonts w:ascii="Arial" w:hAnsi="Arial" w:cs="Arial"/>
                <w:szCs w:val="21"/>
                <w:highlight w:val="none"/>
              </w:rPr>
            </w:pPr>
            <w:r>
              <w:rPr>
                <w:rFonts w:ascii="Arial" w:hAnsi="Arial" w:cs="Arial"/>
                <w:szCs w:val="21"/>
                <w:highlight w:val="none"/>
              </w:rPr>
              <w:t>功能要求：可实现在医生开方时进行用药安全提示、用药知识的推送、查询药品说明书和合理用药分析数据的统计功能。</w:t>
            </w:r>
          </w:p>
          <w:p>
            <w:pPr>
              <w:pStyle w:val="133"/>
              <w:spacing w:line="288" w:lineRule="auto"/>
              <w:rPr>
                <w:rFonts w:ascii="Arial" w:hAnsi="Arial" w:cs="Arial"/>
                <w:szCs w:val="21"/>
                <w:highlight w:val="none"/>
              </w:rPr>
            </w:pPr>
            <w:r>
              <w:rPr>
                <w:rFonts w:ascii="Arial" w:hAnsi="Arial" w:cs="Arial"/>
                <w:szCs w:val="21"/>
                <w:highlight w:val="none"/>
              </w:rPr>
              <w:t>具体功能要求如下：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医嘱用药风险自动审查</w:t>
            </w:r>
          </w:p>
          <w:p>
            <w:pPr>
              <w:pStyle w:val="133"/>
              <w:spacing w:line="288" w:lineRule="auto"/>
              <w:rPr>
                <w:rFonts w:ascii="Arial" w:hAnsi="Arial" w:cs="Arial"/>
                <w:szCs w:val="21"/>
                <w:highlight w:val="none"/>
              </w:rPr>
            </w:pPr>
            <w:r>
              <w:rPr>
                <w:rFonts w:ascii="Arial" w:hAnsi="Arial" w:cs="Arial"/>
                <w:szCs w:val="21"/>
                <w:highlight w:val="none"/>
              </w:rPr>
              <w:t>在医生开具医嘱时，自动调用智慧药学知识库智能分析服务组件和药学知识建设组件对长、临医嘱中的药物过敏、用药合法合规和用药安全进行自动审查，并将分析提示展示给医生，具体要求如下：</w:t>
            </w:r>
          </w:p>
          <w:p>
            <w:pPr>
              <w:pStyle w:val="133"/>
              <w:spacing w:line="288" w:lineRule="auto"/>
              <w:rPr>
                <w:rFonts w:ascii="Arial" w:hAnsi="Arial" w:cs="Arial"/>
                <w:szCs w:val="21"/>
                <w:highlight w:val="none"/>
              </w:rPr>
            </w:pPr>
            <w:r>
              <w:rPr>
                <w:rFonts w:ascii="Arial" w:hAnsi="Arial" w:cs="Arial"/>
                <w:szCs w:val="21"/>
                <w:highlight w:val="none"/>
              </w:rPr>
              <w:t>具备在医生尚未提交医嘱时，对长、临医嘱的用药过敏风险进行提示的功能；</w:t>
            </w:r>
          </w:p>
          <w:p>
            <w:pPr>
              <w:pStyle w:val="133"/>
              <w:spacing w:line="288" w:lineRule="auto"/>
              <w:rPr>
                <w:rFonts w:ascii="Arial" w:hAnsi="Arial" w:cs="Arial"/>
                <w:szCs w:val="21"/>
                <w:highlight w:val="none"/>
              </w:rPr>
            </w:pPr>
            <w:r>
              <w:rPr>
                <w:rFonts w:ascii="Arial" w:hAnsi="Arial" w:cs="Arial"/>
                <w:szCs w:val="21"/>
                <w:highlight w:val="none"/>
              </w:rPr>
              <w:t>具备在医生尚未提交处方时，对长、临医嘱中的高危药品用药风险进行提示的功能；</w:t>
            </w:r>
          </w:p>
          <w:p>
            <w:pPr>
              <w:pStyle w:val="133"/>
              <w:spacing w:line="288" w:lineRule="auto"/>
              <w:rPr>
                <w:rFonts w:ascii="Arial" w:hAnsi="Arial" w:cs="Arial"/>
                <w:szCs w:val="21"/>
                <w:highlight w:val="none"/>
              </w:rPr>
            </w:pPr>
            <w:r>
              <w:rPr>
                <w:rFonts w:ascii="Arial" w:hAnsi="Arial" w:cs="Arial"/>
                <w:szCs w:val="21"/>
                <w:highlight w:val="none"/>
              </w:rPr>
              <w:t>具备在医生开具药品医嘱时，显示系统要点提示或用户自定义要点提示的功能。</w:t>
            </w:r>
          </w:p>
          <w:p>
            <w:pPr>
              <w:pStyle w:val="133"/>
              <w:spacing w:line="288" w:lineRule="auto"/>
              <w:rPr>
                <w:rFonts w:ascii="Arial" w:hAnsi="Arial" w:cs="Arial"/>
                <w:szCs w:val="21"/>
                <w:highlight w:val="none"/>
              </w:rPr>
            </w:pPr>
            <w:r>
              <w:rPr>
                <w:rFonts w:ascii="Arial" w:hAnsi="Arial" w:cs="Arial"/>
                <w:szCs w:val="21"/>
                <w:highlight w:val="none"/>
              </w:rPr>
              <w:t>具备结合患者生理状况，对长、临医嘱中用药的适宜性进行多维度的审查分析，并展示相关提示的功能；</w:t>
            </w:r>
          </w:p>
          <w:p>
            <w:pPr>
              <w:pStyle w:val="133"/>
              <w:spacing w:line="288" w:lineRule="auto"/>
              <w:rPr>
                <w:rFonts w:ascii="Arial" w:hAnsi="Arial" w:cs="Arial"/>
                <w:szCs w:val="21"/>
                <w:highlight w:val="none"/>
              </w:rPr>
            </w:pPr>
            <w:r>
              <w:rPr>
                <w:rFonts w:ascii="Arial" w:hAnsi="Arial" w:cs="Arial"/>
                <w:szCs w:val="21"/>
                <w:highlight w:val="none"/>
              </w:rPr>
              <w:t>具备对长、临医嘱中存在的药物与药物之间的用药风险进行审查分析，并展示相关提示的功能。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提示信息倒计时</w:t>
            </w:r>
          </w:p>
          <w:p>
            <w:pPr>
              <w:pStyle w:val="133"/>
              <w:spacing w:line="288" w:lineRule="auto"/>
              <w:rPr>
                <w:rFonts w:ascii="Arial" w:hAnsi="Arial" w:cs="Arial"/>
                <w:szCs w:val="21"/>
                <w:highlight w:val="none"/>
              </w:rPr>
            </w:pPr>
            <w:r>
              <w:rPr>
                <w:rFonts w:ascii="Arial" w:hAnsi="Arial" w:cs="Arial"/>
                <w:szCs w:val="21"/>
                <w:highlight w:val="none"/>
              </w:rPr>
              <w:t>医生端用药信息提示具备倒计时功能，并可设置倒计时时长，具体要求如下：</w:t>
            </w:r>
          </w:p>
          <w:p>
            <w:pPr>
              <w:pStyle w:val="133"/>
              <w:spacing w:line="288" w:lineRule="auto"/>
              <w:rPr>
                <w:rFonts w:ascii="Arial" w:hAnsi="Arial" w:cs="Arial"/>
                <w:szCs w:val="21"/>
                <w:highlight w:val="none"/>
              </w:rPr>
            </w:pPr>
            <w:r>
              <w:rPr>
                <w:rFonts w:ascii="Arial" w:hAnsi="Arial" w:cs="Arial"/>
                <w:szCs w:val="21"/>
                <w:highlight w:val="none"/>
              </w:rPr>
              <w:t>具备对提示框的倒计时时长进行自定义设置的功能。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合理用药医生站嵌入功能</w:t>
            </w:r>
          </w:p>
          <w:p>
            <w:pPr>
              <w:pStyle w:val="133"/>
              <w:spacing w:line="288" w:lineRule="auto"/>
              <w:rPr>
                <w:rFonts w:ascii="Arial" w:hAnsi="Arial" w:cs="Arial"/>
                <w:szCs w:val="21"/>
                <w:highlight w:val="none"/>
              </w:rPr>
            </w:pPr>
            <w:r>
              <w:rPr>
                <w:rFonts w:ascii="Arial" w:hAnsi="Arial" w:cs="Arial"/>
                <w:szCs w:val="21"/>
                <w:highlight w:val="none"/>
              </w:rPr>
              <w:t>可通过医生站快捷查询合理用药分析结果，并可查询药品说明书和相关用药知识。便于医生对自己的开方情况有所了解。</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医生站药品说明书查询</w:t>
            </w:r>
          </w:p>
          <w:p>
            <w:pPr>
              <w:pStyle w:val="133"/>
              <w:spacing w:line="288" w:lineRule="auto"/>
              <w:rPr>
                <w:rFonts w:ascii="Arial" w:hAnsi="Arial" w:cs="Arial"/>
                <w:szCs w:val="21"/>
                <w:highlight w:val="none"/>
              </w:rPr>
            </w:pPr>
            <w:r>
              <w:rPr>
                <w:rFonts w:ascii="Arial" w:hAnsi="Arial" w:cs="Arial"/>
                <w:szCs w:val="21"/>
                <w:highlight w:val="none"/>
              </w:rPr>
              <w:t>医生站可通过嵌入功能快捷查询药品相关信息，具体要求如下：</w:t>
            </w:r>
          </w:p>
          <w:p>
            <w:pPr>
              <w:pStyle w:val="133"/>
              <w:spacing w:line="288" w:lineRule="auto"/>
              <w:rPr>
                <w:rFonts w:ascii="Arial" w:hAnsi="Arial" w:cs="Arial"/>
                <w:szCs w:val="21"/>
                <w:highlight w:val="none"/>
              </w:rPr>
            </w:pPr>
            <w:r>
              <w:rPr>
                <w:rFonts w:ascii="Arial" w:hAnsi="Arial" w:cs="Arial"/>
                <w:szCs w:val="21"/>
                <w:highlight w:val="none"/>
              </w:rPr>
              <w:t>具备快捷查看系统中所有药品说明书和医疗机构在用药品说明书的功能；</w:t>
            </w:r>
          </w:p>
          <w:p>
            <w:pPr>
              <w:pStyle w:val="133"/>
              <w:spacing w:line="288" w:lineRule="auto"/>
              <w:rPr>
                <w:rFonts w:ascii="Arial" w:hAnsi="Arial" w:cs="Arial"/>
                <w:szCs w:val="21"/>
                <w:highlight w:val="none"/>
              </w:rPr>
            </w:pPr>
            <w:r>
              <w:rPr>
                <w:rFonts w:ascii="Arial" w:hAnsi="Arial" w:cs="Arial"/>
                <w:szCs w:val="21"/>
                <w:highlight w:val="none"/>
              </w:rPr>
              <w:t>具备对医疗机构在用药品以不同颜色显示有无库存的功能。</w:t>
            </w:r>
          </w:p>
          <w:p>
            <w:pPr>
              <w:pStyle w:val="133"/>
              <w:spacing w:line="288" w:lineRule="auto"/>
              <w:rPr>
                <w:rFonts w:ascii="Arial" w:hAnsi="Arial" w:cs="Arial"/>
                <w:szCs w:val="21"/>
                <w:highlight w:val="none"/>
              </w:rPr>
            </w:pPr>
            <w:r>
              <w:rPr>
                <w:rFonts w:ascii="Arial" w:hAnsi="Arial" w:cs="Arial"/>
                <w:szCs w:val="21"/>
                <w:highlight w:val="none"/>
              </w:rPr>
              <w:t>具备快捷查询药品说明书修订公告的功能；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医生站合理用药分析结果查询</w:t>
            </w:r>
          </w:p>
          <w:p>
            <w:pPr>
              <w:pStyle w:val="133"/>
              <w:spacing w:line="288" w:lineRule="auto"/>
              <w:rPr>
                <w:rFonts w:ascii="Arial" w:hAnsi="Arial" w:cs="Arial"/>
                <w:szCs w:val="21"/>
                <w:highlight w:val="none"/>
              </w:rPr>
            </w:pPr>
            <w:r>
              <w:rPr>
                <w:rFonts w:ascii="Arial" w:hAnsi="Arial" w:cs="Arial"/>
                <w:szCs w:val="21"/>
                <w:highlight w:val="none"/>
              </w:rPr>
              <w:t>医生站可通过嵌入功能快捷查询问题处方分析，便于医生了解自己的开药情况，具体要求如下：</w:t>
            </w:r>
          </w:p>
          <w:p>
            <w:pPr>
              <w:pStyle w:val="133"/>
              <w:spacing w:line="288" w:lineRule="auto"/>
              <w:rPr>
                <w:rFonts w:ascii="Arial" w:hAnsi="Arial" w:cs="Arial"/>
                <w:szCs w:val="21"/>
                <w:highlight w:val="none"/>
              </w:rPr>
            </w:pPr>
            <w:r>
              <w:rPr>
                <w:rFonts w:ascii="Arial" w:hAnsi="Arial" w:cs="Arial"/>
                <w:szCs w:val="21"/>
                <w:highlight w:val="none"/>
              </w:rPr>
              <w:t>具备在医生站对用药风险进行警示，并可快速查看用药风险的功能。</w:t>
            </w:r>
          </w:p>
          <w:p>
            <w:pPr>
              <w:pStyle w:val="133"/>
              <w:spacing w:line="288" w:lineRule="auto"/>
              <w:rPr>
                <w:rFonts w:ascii="Arial" w:hAnsi="Arial" w:cs="Arial"/>
                <w:szCs w:val="21"/>
                <w:highlight w:val="none"/>
              </w:rPr>
            </w:pPr>
            <w:r>
              <w:rPr>
                <w:rFonts w:ascii="Arial" w:hAnsi="Arial" w:cs="Arial"/>
                <w:szCs w:val="21"/>
                <w:highlight w:val="none"/>
              </w:rPr>
              <w:t>具备在医生站快捷查询合理用药问题历史记录的功能；</w:t>
            </w:r>
          </w:p>
          <w:p>
            <w:pPr>
              <w:pStyle w:val="133"/>
              <w:spacing w:line="288" w:lineRule="auto"/>
              <w:rPr>
                <w:rFonts w:ascii="Arial" w:hAnsi="Arial" w:cs="Arial"/>
                <w:szCs w:val="21"/>
                <w:highlight w:val="none"/>
              </w:rPr>
            </w:pPr>
            <w:r>
              <w:rPr>
                <w:rFonts w:ascii="Arial" w:hAnsi="Arial" w:cs="Arial"/>
                <w:szCs w:val="21"/>
                <w:highlight w:val="none"/>
              </w:rPr>
              <w:t>具备在医生站快捷查看合理用药问题明细信息的功能。</w:t>
            </w:r>
          </w:p>
          <w:p>
            <w:pPr>
              <w:spacing w:line="288" w:lineRule="auto"/>
              <w:rPr>
                <w:rFonts w:ascii="Arial" w:hAnsi="Arial" w:cs="Arial"/>
                <w:szCs w:val="21"/>
                <w:highlight w:val="none"/>
              </w:rPr>
            </w:pP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检验与用药专项审查</w:t>
            </w:r>
          </w:p>
          <w:p>
            <w:pPr>
              <w:spacing w:line="288" w:lineRule="auto"/>
              <w:ind w:left="479" w:leftChars="228"/>
              <w:rPr>
                <w:rFonts w:ascii="Arial" w:hAnsi="Arial" w:cs="Arial"/>
                <w:szCs w:val="21"/>
                <w:highlight w:val="none"/>
              </w:rPr>
            </w:pPr>
            <w:r>
              <w:rPr>
                <w:rFonts w:ascii="Arial" w:hAnsi="Arial" w:cs="Arial"/>
                <w:szCs w:val="21"/>
                <w:highlight w:val="none"/>
              </w:rPr>
              <w:t>可结合患者检验指标，对药品的用药规则进行结构化和数据化，形成用药分析规则，具体要求如下：</w:t>
            </w:r>
          </w:p>
          <w:p>
            <w:pPr>
              <w:spacing w:line="288" w:lineRule="auto"/>
              <w:ind w:left="479" w:leftChars="228"/>
              <w:rPr>
                <w:rFonts w:ascii="Arial" w:hAnsi="Arial" w:cs="Arial"/>
                <w:b/>
                <w:bCs/>
                <w:szCs w:val="21"/>
                <w:highlight w:val="none"/>
              </w:rPr>
            </w:pPr>
            <w:r>
              <w:rPr>
                <w:rFonts w:ascii="Arial" w:hAnsi="Arial" w:cs="Arial"/>
                <w:b/>
                <w:bCs/>
                <w:szCs w:val="21"/>
                <w:highlight w:val="none"/>
              </w:rPr>
              <w:t>▲具备对肝功能检验指标异常的用药禁忌进行分析，并提示分析结果和注意事项的功能；</w:t>
            </w:r>
          </w:p>
          <w:p>
            <w:pPr>
              <w:spacing w:line="288" w:lineRule="auto"/>
              <w:ind w:left="479" w:leftChars="228"/>
              <w:rPr>
                <w:rFonts w:ascii="Arial" w:hAnsi="Arial" w:cs="Arial"/>
                <w:b/>
                <w:bCs/>
                <w:szCs w:val="21"/>
                <w:highlight w:val="none"/>
              </w:rPr>
            </w:pPr>
            <w:r>
              <w:rPr>
                <w:rFonts w:ascii="Arial" w:hAnsi="Arial" w:cs="Arial"/>
                <w:b/>
                <w:bCs/>
                <w:szCs w:val="21"/>
                <w:highlight w:val="none"/>
              </w:rPr>
              <w:t>▲具备对肾功能检验指标异常的用药禁忌进行分析，并提示分析结果和注意事项的功能；</w:t>
            </w:r>
          </w:p>
          <w:p>
            <w:pPr>
              <w:spacing w:line="288" w:lineRule="auto"/>
              <w:ind w:left="479" w:leftChars="228"/>
              <w:rPr>
                <w:rFonts w:ascii="Arial" w:hAnsi="Arial" w:cs="Arial"/>
                <w:szCs w:val="21"/>
                <w:highlight w:val="none"/>
              </w:rPr>
            </w:pPr>
            <w:r>
              <w:rPr>
                <w:rFonts w:ascii="Arial" w:hAnsi="Arial" w:cs="Arial"/>
                <w:szCs w:val="21"/>
                <w:highlight w:val="none"/>
              </w:rPr>
              <w:t>具备在肾功能检验指标异常时，对不同异常值对应的药品建议用量进行分析和提示的功能；</w:t>
            </w:r>
          </w:p>
          <w:p>
            <w:pPr>
              <w:spacing w:line="288" w:lineRule="auto"/>
              <w:ind w:left="479" w:leftChars="228"/>
              <w:rPr>
                <w:rFonts w:ascii="Arial" w:hAnsi="Arial" w:cs="Arial"/>
                <w:szCs w:val="21"/>
                <w:highlight w:val="none"/>
              </w:rPr>
            </w:pPr>
            <w:r>
              <w:rPr>
                <w:rFonts w:ascii="Arial" w:hAnsi="Arial" w:cs="Arial"/>
                <w:szCs w:val="21"/>
                <w:highlight w:val="none"/>
              </w:rPr>
              <w:t>具备对血药浓度和用药进行分析，对某浓度下的用药警惕事项进行分析和提示的功能；</w:t>
            </w:r>
          </w:p>
          <w:p>
            <w:pPr>
              <w:spacing w:line="288" w:lineRule="auto"/>
              <w:ind w:firstLine="420" w:firstLineChars="200"/>
              <w:rPr>
                <w:rFonts w:ascii="Arial" w:hAnsi="Arial" w:cs="Arial"/>
                <w:szCs w:val="21"/>
                <w:highlight w:val="none"/>
              </w:rPr>
            </w:pPr>
            <w:r>
              <w:rPr>
                <w:rFonts w:ascii="Arial" w:hAnsi="Arial" w:cs="Arial"/>
                <w:szCs w:val="21"/>
                <w:highlight w:val="none"/>
              </w:rPr>
              <w:t>具备在患者血清电解质指标异常的用药禁忌进行分析和提示的功能；</w:t>
            </w:r>
          </w:p>
          <w:p>
            <w:pPr>
              <w:spacing w:line="288" w:lineRule="auto"/>
              <w:ind w:firstLine="420" w:firstLineChars="200"/>
              <w:rPr>
                <w:rFonts w:ascii="Arial" w:hAnsi="Arial" w:cs="Arial"/>
                <w:szCs w:val="21"/>
                <w:highlight w:val="none"/>
              </w:rPr>
            </w:pPr>
            <w:r>
              <w:rPr>
                <w:rFonts w:ascii="Arial" w:hAnsi="Arial" w:cs="Arial"/>
                <w:szCs w:val="21"/>
                <w:highlight w:val="none"/>
              </w:rPr>
              <w:t>具备在患者凝血功能指标异常的用药禁忌进行分析和提示的功能；</w:t>
            </w:r>
          </w:p>
          <w:p>
            <w:pPr>
              <w:spacing w:line="288" w:lineRule="auto"/>
              <w:ind w:left="479" w:leftChars="228"/>
              <w:rPr>
                <w:rFonts w:ascii="Arial" w:hAnsi="Arial" w:cs="Arial"/>
                <w:szCs w:val="21"/>
                <w:highlight w:val="none"/>
              </w:rPr>
            </w:pPr>
            <w:r>
              <w:rPr>
                <w:rFonts w:ascii="Arial" w:hAnsi="Arial" w:cs="Arial"/>
                <w:szCs w:val="21"/>
                <w:highlight w:val="none"/>
              </w:rPr>
              <w:t>具备在患者血液生化指标出现异常时，对药品使用建议和注意事项进行提示的功能。</w:t>
            </w:r>
          </w:p>
          <w:p>
            <w:pPr>
              <w:spacing w:line="288" w:lineRule="auto"/>
              <w:rPr>
                <w:rFonts w:ascii="Arial" w:hAnsi="Arial" w:cs="Arial"/>
                <w:szCs w:val="21"/>
                <w:highlight w:val="none"/>
              </w:rPr>
            </w:pP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药房发药合理用药</w:t>
            </w:r>
          </w:p>
          <w:p>
            <w:pPr>
              <w:spacing w:line="288" w:lineRule="auto"/>
              <w:ind w:left="479" w:leftChars="228"/>
              <w:rPr>
                <w:rFonts w:ascii="Arial" w:hAnsi="Arial" w:cs="Arial"/>
                <w:szCs w:val="21"/>
                <w:highlight w:val="none"/>
              </w:rPr>
            </w:pPr>
            <w:r>
              <w:rPr>
                <w:rFonts w:ascii="Arial" w:hAnsi="Arial" w:cs="Arial"/>
                <w:szCs w:val="21"/>
                <w:highlight w:val="none"/>
              </w:rPr>
              <w:t>通过在医疗机构药房发药端对问题处方进行合理用药提示，以便于药房发药药师对问题处方进行人工拦截。</w:t>
            </w:r>
          </w:p>
          <w:p>
            <w:pPr>
              <w:spacing w:line="288" w:lineRule="auto"/>
              <w:ind w:left="479" w:leftChars="228"/>
              <w:rPr>
                <w:rFonts w:ascii="Arial" w:hAnsi="Arial" w:cs="Arial"/>
                <w:szCs w:val="21"/>
                <w:highlight w:val="none"/>
              </w:rPr>
            </w:pPr>
            <w:r>
              <w:rPr>
                <w:rFonts w:ascii="Arial" w:hAnsi="Arial" w:cs="Arial"/>
                <w:szCs w:val="21"/>
                <w:highlight w:val="none"/>
              </w:rPr>
              <w:t>功能要求：需与药房发药药师系统的对接，以及在药房发药药师端进行合理用药信息提示。</w:t>
            </w:r>
          </w:p>
          <w:p>
            <w:pPr>
              <w:spacing w:line="288" w:lineRule="auto"/>
              <w:ind w:firstLine="420" w:firstLineChars="200"/>
              <w:rPr>
                <w:rFonts w:ascii="Arial" w:hAnsi="Arial" w:cs="Arial"/>
                <w:szCs w:val="21"/>
                <w:highlight w:val="none"/>
              </w:rPr>
            </w:pPr>
            <w:r>
              <w:rPr>
                <w:rFonts w:ascii="Arial" w:hAnsi="Arial" w:cs="Arial"/>
                <w:szCs w:val="21"/>
                <w:highlight w:val="none"/>
              </w:rPr>
              <w:t>具体功能要求如下：</w:t>
            </w:r>
          </w:p>
          <w:p>
            <w:pPr>
              <w:spacing w:line="288" w:lineRule="auto"/>
              <w:ind w:firstLine="420" w:firstLineChars="200"/>
              <w:rPr>
                <w:rFonts w:ascii="Arial" w:hAnsi="Arial" w:cs="Arial"/>
                <w:szCs w:val="21"/>
                <w:highlight w:val="none"/>
              </w:rPr>
            </w:pPr>
            <w:r>
              <w:rPr>
                <w:rFonts w:ascii="Arial" w:hAnsi="Arial" w:cs="Arial"/>
                <w:szCs w:val="21"/>
                <w:highlight w:val="none"/>
              </w:rPr>
              <w:t>门诊/住院药房发药用药风险审查</w:t>
            </w:r>
          </w:p>
          <w:p>
            <w:pPr>
              <w:spacing w:line="288" w:lineRule="auto"/>
              <w:ind w:firstLine="420" w:firstLineChars="200"/>
              <w:rPr>
                <w:rFonts w:ascii="Arial" w:hAnsi="Arial" w:cs="Arial"/>
                <w:szCs w:val="21"/>
                <w:highlight w:val="none"/>
              </w:rPr>
            </w:pPr>
            <w:r>
              <w:rPr>
                <w:rFonts w:ascii="Arial" w:hAnsi="Arial" w:cs="Arial"/>
                <w:szCs w:val="21"/>
                <w:highlight w:val="none"/>
              </w:rPr>
              <w:t>具备对接医疗机构的门诊/住院药房端系统的功能；</w:t>
            </w:r>
          </w:p>
          <w:p>
            <w:pPr>
              <w:spacing w:line="288" w:lineRule="auto"/>
              <w:ind w:left="479" w:leftChars="228"/>
              <w:rPr>
                <w:rFonts w:ascii="Arial" w:hAnsi="Arial" w:cs="Arial"/>
                <w:szCs w:val="21"/>
                <w:highlight w:val="none"/>
              </w:rPr>
            </w:pPr>
            <w:r>
              <w:rPr>
                <w:rFonts w:ascii="Arial" w:hAnsi="Arial" w:cs="Arial"/>
                <w:szCs w:val="21"/>
                <w:highlight w:val="none"/>
              </w:rPr>
              <w:t>具备调用智慧药学知识库智能分析服务审查医生开具的处方/医嘱的功能；</w:t>
            </w:r>
          </w:p>
          <w:p>
            <w:pPr>
              <w:spacing w:line="288" w:lineRule="auto"/>
              <w:ind w:firstLine="420" w:firstLineChars="200"/>
              <w:rPr>
                <w:rFonts w:ascii="Arial" w:hAnsi="Arial" w:cs="Arial"/>
                <w:szCs w:val="21"/>
                <w:highlight w:val="none"/>
              </w:rPr>
            </w:pPr>
            <w:r>
              <w:rPr>
                <w:rFonts w:ascii="Arial" w:hAnsi="Arial" w:cs="Arial"/>
                <w:szCs w:val="21"/>
                <w:highlight w:val="none"/>
              </w:rPr>
              <w:t>具备在药房发药处提示处方/医嘱用药风险问题的功能。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开药权限管控</w:t>
            </w:r>
          </w:p>
          <w:p>
            <w:pPr>
              <w:spacing w:line="288" w:lineRule="auto"/>
              <w:ind w:left="479" w:leftChars="228"/>
              <w:rPr>
                <w:rFonts w:ascii="Arial" w:hAnsi="Arial" w:cs="Arial"/>
                <w:szCs w:val="21"/>
                <w:highlight w:val="none"/>
              </w:rPr>
            </w:pPr>
            <w:r>
              <w:rPr>
                <w:rFonts w:ascii="Arial" w:hAnsi="Arial" w:cs="Arial"/>
                <w:szCs w:val="21"/>
                <w:highlight w:val="none"/>
              </w:rPr>
              <w:t>实现对医疗机构某类药品的用药权限管控和行政管控，从药品类型、医生、患者、科室等维度设置立体管控规则，形成“人、事、质”三方面的管控规则建设。</w:t>
            </w:r>
          </w:p>
          <w:p>
            <w:pPr>
              <w:pStyle w:val="5"/>
              <w:numPr>
                <w:ilvl w:val="3"/>
                <w:numId w:val="3"/>
              </w:numPr>
              <w:tabs>
                <w:tab w:val="left" w:pos="0"/>
              </w:tabs>
              <w:spacing w:before="0" w:after="0" w:line="288" w:lineRule="auto"/>
              <w:ind w:firstLine="40"/>
              <w:rPr>
                <w:rFonts w:eastAsia="宋体" w:cs="Arial"/>
                <w:sz w:val="21"/>
                <w:szCs w:val="21"/>
                <w:highlight w:val="none"/>
              </w:rPr>
            </w:pPr>
            <w:r>
              <w:rPr>
                <w:rFonts w:eastAsia="宋体" w:cs="Arial"/>
                <w:sz w:val="21"/>
                <w:szCs w:val="21"/>
                <w:highlight w:val="none"/>
              </w:rPr>
              <w:t>开药权限规则维护</w:t>
            </w:r>
          </w:p>
          <w:p>
            <w:pPr>
              <w:spacing w:line="288" w:lineRule="auto"/>
              <w:ind w:left="479" w:leftChars="228"/>
              <w:rPr>
                <w:rFonts w:ascii="Arial" w:hAnsi="Arial" w:cs="Arial"/>
                <w:szCs w:val="21"/>
                <w:highlight w:val="none"/>
              </w:rPr>
            </w:pPr>
            <w:r>
              <w:rPr>
                <w:rFonts w:ascii="Arial" w:hAnsi="Arial" w:cs="Arial"/>
                <w:szCs w:val="21"/>
                <w:highlight w:val="none"/>
              </w:rPr>
              <w:t>具体功能要求如下：</w:t>
            </w:r>
          </w:p>
          <w:p>
            <w:pPr>
              <w:spacing w:line="288" w:lineRule="auto"/>
              <w:ind w:left="479" w:leftChars="228"/>
              <w:rPr>
                <w:rFonts w:ascii="Arial" w:hAnsi="Arial" w:cs="Arial"/>
                <w:szCs w:val="21"/>
                <w:highlight w:val="none"/>
              </w:rPr>
            </w:pPr>
            <w:r>
              <w:rPr>
                <w:rFonts w:ascii="Arial" w:hAnsi="Arial" w:cs="Arial"/>
                <w:szCs w:val="21"/>
                <w:highlight w:val="none"/>
              </w:rPr>
              <w:t>具备新增和编辑药品管控规则，并根据药品或药品类型对某一类药物的开药权限进行管控的功能；</w:t>
            </w:r>
          </w:p>
          <w:p>
            <w:pPr>
              <w:spacing w:line="288" w:lineRule="auto"/>
              <w:ind w:left="479" w:leftChars="228"/>
              <w:rPr>
                <w:rFonts w:ascii="Arial" w:hAnsi="Arial" w:cs="Arial"/>
                <w:szCs w:val="21"/>
                <w:highlight w:val="none"/>
              </w:rPr>
            </w:pPr>
            <w:r>
              <w:rPr>
                <w:rFonts w:ascii="Arial" w:hAnsi="Arial" w:cs="Arial"/>
                <w:szCs w:val="21"/>
                <w:highlight w:val="none"/>
              </w:rPr>
              <w:t>具备分门诊、急诊、住院进行开药权限管控</w:t>
            </w:r>
          </w:p>
          <w:p>
            <w:pPr>
              <w:spacing w:line="288" w:lineRule="auto"/>
              <w:ind w:left="479" w:leftChars="228"/>
              <w:rPr>
                <w:rFonts w:ascii="Arial" w:hAnsi="Arial" w:cs="Arial"/>
                <w:szCs w:val="21"/>
                <w:highlight w:val="none"/>
              </w:rPr>
            </w:pPr>
            <w:r>
              <w:rPr>
                <w:rFonts w:ascii="Arial" w:hAnsi="Arial" w:cs="Arial"/>
                <w:szCs w:val="21"/>
                <w:highlight w:val="none"/>
              </w:rPr>
              <w:t>具备对科室、医生、患者等不同条件组合进行设置来实现用药精准管控，并可设置管控有效时间</w:t>
            </w:r>
          </w:p>
          <w:p>
            <w:pPr>
              <w:pStyle w:val="5"/>
              <w:numPr>
                <w:ilvl w:val="3"/>
                <w:numId w:val="3"/>
              </w:numPr>
              <w:tabs>
                <w:tab w:val="left" w:pos="0"/>
              </w:tabs>
              <w:spacing w:before="0" w:after="0" w:line="288" w:lineRule="auto"/>
              <w:ind w:firstLine="40"/>
              <w:rPr>
                <w:rFonts w:eastAsia="宋体" w:cs="Arial"/>
                <w:sz w:val="21"/>
                <w:szCs w:val="21"/>
                <w:highlight w:val="none"/>
              </w:rPr>
            </w:pPr>
            <w:r>
              <w:rPr>
                <w:rFonts w:eastAsia="宋体" w:cs="Arial"/>
                <w:sz w:val="21"/>
                <w:szCs w:val="21"/>
                <w:highlight w:val="none"/>
              </w:rPr>
              <w:t>患者开药权限规则查询</w:t>
            </w:r>
          </w:p>
          <w:p>
            <w:pPr>
              <w:spacing w:line="288" w:lineRule="auto"/>
              <w:ind w:left="479" w:leftChars="228"/>
              <w:rPr>
                <w:rFonts w:ascii="Arial" w:hAnsi="Arial" w:cs="Arial"/>
                <w:szCs w:val="21"/>
                <w:highlight w:val="none"/>
              </w:rPr>
            </w:pPr>
            <w:r>
              <w:rPr>
                <w:rFonts w:ascii="Arial" w:hAnsi="Arial" w:cs="Arial"/>
                <w:szCs w:val="21"/>
                <w:highlight w:val="none"/>
              </w:rPr>
              <w:t>具备查询病人开药限制管控规则及查看规则明细的功能。</w:t>
            </w:r>
          </w:p>
          <w:p>
            <w:pPr>
              <w:pStyle w:val="5"/>
              <w:numPr>
                <w:ilvl w:val="3"/>
                <w:numId w:val="3"/>
              </w:numPr>
              <w:tabs>
                <w:tab w:val="left" w:pos="0"/>
              </w:tabs>
              <w:spacing w:before="0" w:after="0" w:line="288" w:lineRule="auto"/>
              <w:ind w:firstLine="40"/>
              <w:rPr>
                <w:rFonts w:eastAsia="宋体" w:cs="Arial"/>
                <w:sz w:val="21"/>
                <w:szCs w:val="21"/>
                <w:highlight w:val="none"/>
              </w:rPr>
            </w:pPr>
            <w:r>
              <w:rPr>
                <w:rFonts w:eastAsia="宋体" w:cs="Arial"/>
                <w:sz w:val="21"/>
                <w:szCs w:val="21"/>
                <w:highlight w:val="none"/>
              </w:rPr>
              <w:t>开药权限规则豁免</w:t>
            </w:r>
          </w:p>
          <w:p>
            <w:pPr>
              <w:spacing w:line="288" w:lineRule="auto"/>
              <w:ind w:left="479" w:leftChars="228"/>
              <w:rPr>
                <w:rFonts w:ascii="Arial" w:hAnsi="Arial" w:cs="Arial"/>
                <w:szCs w:val="21"/>
                <w:highlight w:val="none"/>
              </w:rPr>
            </w:pPr>
            <w:r>
              <w:rPr>
                <w:rFonts w:ascii="Arial" w:hAnsi="Arial" w:cs="Arial"/>
                <w:szCs w:val="21"/>
                <w:highlight w:val="none"/>
              </w:rPr>
              <w:t>具备对医疗机构科室、药房用药管控设置白名单的功能；</w:t>
            </w:r>
          </w:p>
          <w:p>
            <w:pPr>
              <w:spacing w:line="288" w:lineRule="auto"/>
              <w:ind w:left="479" w:leftChars="228"/>
              <w:rPr>
                <w:rFonts w:ascii="Arial" w:hAnsi="Arial" w:cs="Arial"/>
                <w:szCs w:val="21"/>
                <w:highlight w:val="none"/>
              </w:rPr>
            </w:pPr>
            <w:r>
              <w:rPr>
                <w:rFonts w:ascii="Arial" w:hAnsi="Arial" w:cs="Arial"/>
                <w:szCs w:val="21"/>
                <w:highlight w:val="none"/>
              </w:rPr>
              <w:t>具备对用药权限管控的患者，可实现一键白名单的功能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合理用药情况统计</w:t>
            </w:r>
          </w:p>
          <w:p>
            <w:pPr>
              <w:pStyle w:val="133"/>
              <w:spacing w:line="288" w:lineRule="auto"/>
              <w:rPr>
                <w:rFonts w:ascii="Arial" w:hAnsi="Arial" w:cs="Arial"/>
                <w:szCs w:val="21"/>
                <w:highlight w:val="none"/>
              </w:rPr>
            </w:pPr>
            <w:r>
              <w:rPr>
                <w:rFonts w:ascii="Arial" w:hAnsi="Arial" w:cs="Arial"/>
                <w:szCs w:val="21"/>
                <w:highlight w:val="none"/>
              </w:rPr>
              <w:t>查询合理用药的问题处方/医嘱信息以及问题处方统计。</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合理用药问题查询</w:t>
            </w:r>
          </w:p>
          <w:p>
            <w:pPr>
              <w:pStyle w:val="133"/>
              <w:spacing w:line="288" w:lineRule="auto"/>
              <w:rPr>
                <w:rFonts w:ascii="Arial" w:hAnsi="Arial" w:cs="Arial"/>
                <w:szCs w:val="21"/>
                <w:highlight w:val="none"/>
              </w:rPr>
            </w:pPr>
            <w:r>
              <w:rPr>
                <w:rFonts w:ascii="Arial" w:hAnsi="Arial" w:cs="Arial"/>
                <w:szCs w:val="21"/>
                <w:highlight w:val="none"/>
              </w:rPr>
              <w:t>具备通过科室、病区、医生、患者、药品、诊疗组等单项条件查询问题处方/医嘱的功能；</w:t>
            </w:r>
          </w:p>
          <w:p>
            <w:pPr>
              <w:pStyle w:val="133"/>
              <w:spacing w:line="288" w:lineRule="auto"/>
              <w:rPr>
                <w:rFonts w:ascii="Arial" w:hAnsi="Arial" w:cs="Arial"/>
                <w:szCs w:val="21"/>
                <w:highlight w:val="none"/>
              </w:rPr>
            </w:pPr>
            <w:r>
              <w:rPr>
                <w:rFonts w:ascii="Arial" w:hAnsi="Arial" w:cs="Arial"/>
                <w:szCs w:val="21"/>
                <w:highlight w:val="none"/>
              </w:rPr>
              <w:t>具备通过科室、病区、医生、患者、药品、诊疗组等多项条件组合查询问题处方/医嘱的功能。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合理用药问题统计</w:t>
            </w:r>
          </w:p>
          <w:p>
            <w:pPr>
              <w:pStyle w:val="133"/>
              <w:spacing w:line="288" w:lineRule="auto"/>
              <w:rPr>
                <w:rFonts w:ascii="Arial" w:hAnsi="Arial" w:cs="Arial"/>
                <w:szCs w:val="21"/>
                <w:highlight w:val="none"/>
              </w:rPr>
            </w:pPr>
            <w:r>
              <w:rPr>
                <w:rFonts w:ascii="Arial" w:hAnsi="Arial" w:cs="Arial"/>
                <w:szCs w:val="21"/>
                <w:highlight w:val="none"/>
              </w:rPr>
              <w:t>具备对问题处方/医嘱数和无问题处方/医嘱数的统计，并以图表形式呈现的功能；</w:t>
            </w:r>
          </w:p>
          <w:p>
            <w:pPr>
              <w:pStyle w:val="133"/>
              <w:spacing w:line="288" w:lineRule="auto"/>
              <w:rPr>
                <w:rFonts w:ascii="Arial" w:hAnsi="Arial" w:cs="Arial"/>
                <w:szCs w:val="21"/>
                <w:highlight w:val="none"/>
              </w:rPr>
            </w:pPr>
            <w:r>
              <w:rPr>
                <w:rFonts w:ascii="Arial" w:hAnsi="Arial" w:cs="Arial"/>
                <w:szCs w:val="21"/>
                <w:highlight w:val="none"/>
              </w:rPr>
              <w:t>具备对问题处方/医嘱按问题类型进行统计，并以图表形式呈现的功能；</w:t>
            </w:r>
          </w:p>
          <w:p>
            <w:pPr>
              <w:pStyle w:val="133"/>
              <w:spacing w:line="288" w:lineRule="auto"/>
              <w:rPr>
                <w:rFonts w:ascii="Arial" w:hAnsi="Arial" w:cs="Arial"/>
                <w:szCs w:val="21"/>
                <w:highlight w:val="none"/>
              </w:rPr>
            </w:pPr>
            <w:r>
              <w:rPr>
                <w:rFonts w:ascii="Arial" w:hAnsi="Arial" w:cs="Arial"/>
                <w:szCs w:val="21"/>
                <w:highlight w:val="none"/>
              </w:rPr>
              <w:t>具备统计图表数据下钻查看问题处方/医嘱明细的功能。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处方遵从比例查看</w:t>
            </w:r>
          </w:p>
          <w:p>
            <w:pPr>
              <w:pStyle w:val="133"/>
              <w:spacing w:line="288" w:lineRule="auto"/>
              <w:rPr>
                <w:rFonts w:ascii="Arial" w:hAnsi="Arial" w:cs="Arial"/>
                <w:szCs w:val="21"/>
                <w:highlight w:val="none"/>
              </w:rPr>
            </w:pPr>
            <w:r>
              <w:rPr>
                <w:rFonts w:ascii="Arial" w:hAnsi="Arial" w:cs="Arial"/>
                <w:szCs w:val="21"/>
                <w:highlight w:val="none"/>
              </w:rPr>
              <w:t>具备对合理用药风险提示，医生修改处方/医嘱的比例进行统计，并以图表形式呈现的功能，且支持点击图表可查看相关明细。</w:t>
            </w:r>
          </w:p>
          <w:p>
            <w:pPr>
              <w:pStyle w:val="3"/>
              <w:numPr>
                <w:ilvl w:val="1"/>
                <w:numId w:val="3"/>
              </w:numPr>
              <w:spacing w:before="0" w:after="0" w:line="288" w:lineRule="auto"/>
              <w:rPr>
                <w:rFonts w:eastAsia="宋体" w:cs="Arial"/>
                <w:sz w:val="21"/>
                <w:szCs w:val="21"/>
                <w:highlight w:val="none"/>
              </w:rPr>
            </w:pPr>
            <w:bookmarkStart w:id="84" w:name="_Toc31322"/>
            <w:r>
              <w:rPr>
                <w:rFonts w:eastAsia="宋体" w:cs="Arial"/>
                <w:sz w:val="21"/>
                <w:szCs w:val="21"/>
                <w:highlight w:val="none"/>
              </w:rPr>
              <w:t>前置审方管理系统</w:t>
            </w:r>
            <w:bookmarkEnd w:id="84"/>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医生站前置审方干预</w:t>
            </w:r>
          </w:p>
          <w:p>
            <w:pPr>
              <w:pStyle w:val="133"/>
              <w:spacing w:line="288" w:lineRule="auto"/>
              <w:rPr>
                <w:rFonts w:ascii="Arial" w:hAnsi="Arial" w:cs="Arial"/>
                <w:szCs w:val="21"/>
                <w:highlight w:val="none"/>
              </w:rPr>
            </w:pPr>
            <w:r>
              <w:rPr>
                <w:rFonts w:ascii="Arial" w:hAnsi="Arial" w:cs="Arial"/>
                <w:szCs w:val="21"/>
                <w:highlight w:val="none"/>
              </w:rPr>
              <w:t>系统自动对医生开具的处方/医嘱进行用药问题分级，并对用药安全问题较大的处方/医嘱进行干预或拦截，同时将用药风险提示推送至医生工作站。</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门急诊医生站审方干预</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门急诊医生站审方预审查干预</w:t>
            </w:r>
          </w:p>
          <w:p>
            <w:pPr>
              <w:pStyle w:val="133"/>
              <w:spacing w:line="288" w:lineRule="auto"/>
              <w:rPr>
                <w:rFonts w:ascii="Arial" w:hAnsi="Arial" w:cs="Arial"/>
                <w:szCs w:val="21"/>
                <w:highlight w:val="none"/>
              </w:rPr>
            </w:pPr>
            <w:r>
              <w:rPr>
                <w:rFonts w:ascii="Arial" w:hAnsi="Arial" w:cs="Arial"/>
                <w:szCs w:val="21"/>
                <w:highlight w:val="none"/>
              </w:rPr>
              <w:t>具备调用智慧药学知识库智能分析服务对门急诊处方用药问题划分不同等级的功能；</w:t>
            </w:r>
          </w:p>
          <w:p>
            <w:pPr>
              <w:pStyle w:val="133"/>
              <w:spacing w:line="288" w:lineRule="auto"/>
              <w:rPr>
                <w:rFonts w:ascii="Arial" w:hAnsi="Arial" w:cs="Arial"/>
                <w:szCs w:val="21"/>
                <w:highlight w:val="none"/>
              </w:rPr>
            </w:pPr>
            <w:r>
              <w:rPr>
                <w:rFonts w:ascii="Arial" w:hAnsi="Arial" w:cs="Arial"/>
                <w:szCs w:val="21"/>
                <w:highlight w:val="none"/>
              </w:rPr>
              <w:t>具备不同等级的处方用药问题对应不同系统预审干预效果的功能；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审方干预消息推送</w:t>
            </w:r>
          </w:p>
          <w:p>
            <w:pPr>
              <w:pStyle w:val="133"/>
              <w:spacing w:line="288" w:lineRule="auto"/>
              <w:rPr>
                <w:rFonts w:ascii="Arial" w:hAnsi="Arial" w:cs="Arial"/>
                <w:szCs w:val="21"/>
                <w:highlight w:val="none"/>
              </w:rPr>
            </w:pPr>
            <w:r>
              <w:rPr>
                <w:rFonts w:ascii="Arial" w:hAnsi="Arial" w:cs="Arial"/>
                <w:szCs w:val="21"/>
                <w:highlight w:val="none"/>
              </w:rPr>
              <w:t>具备将审方干预信息推送至医生站的功能；</w:t>
            </w:r>
          </w:p>
          <w:p>
            <w:pPr>
              <w:pStyle w:val="133"/>
              <w:spacing w:line="288" w:lineRule="auto"/>
              <w:rPr>
                <w:rFonts w:ascii="Arial" w:hAnsi="Arial" w:cs="Arial"/>
                <w:szCs w:val="21"/>
                <w:highlight w:val="none"/>
              </w:rPr>
            </w:pPr>
            <w:r>
              <w:rPr>
                <w:rFonts w:ascii="Arial" w:hAnsi="Arial" w:cs="Arial"/>
                <w:szCs w:val="21"/>
                <w:highlight w:val="none"/>
              </w:rPr>
              <w:t>具备对药师人工干预的用药问题进行医师和药师互动沟通的功能；</w:t>
            </w:r>
          </w:p>
          <w:p>
            <w:pPr>
              <w:pStyle w:val="133"/>
              <w:spacing w:line="288" w:lineRule="auto"/>
              <w:rPr>
                <w:rFonts w:ascii="Arial" w:hAnsi="Arial" w:cs="Arial"/>
                <w:szCs w:val="21"/>
                <w:highlight w:val="none"/>
              </w:rPr>
            </w:pPr>
            <w:r>
              <w:rPr>
                <w:rFonts w:ascii="Arial" w:hAnsi="Arial" w:cs="Arial"/>
                <w:szCs w:val="21"/>
                <w:highlight w:val="none"/>
              </w:rPr>
              <w:t>具备医生填写用药理由并回复审方药师的功能；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门急诊医生站审方干预操作</w:t>
            </w:r>
          </w:p>
          <w:p>
            <w:pPr>
              <w:pStyle w:val="133"/>
              <w:spacing w:line="288" w:lineRule="auto"/>
              <w:rPr>
                <w:rFonts w:ascii="Arial" w:hAnsi="Arial" w:cs="Arial"/>
                <w:szCs w:val="21"/>
                <w:highlight w:val="none"/>
              </w:rPr>
            </w:pPr>
            <w:r>
              <w:rPr>
                <w:rFonts w:ascii="Arial" w:hAnsi="Arial" w:cs="Arial"/>
                <w:szCs w:val="21"/>
                <w:highlight w:val="none"/>
              </w:rPr>
              <w:t>具备接收药师处方审核结果的功能；</w:t>
            </w:r>
          </w:p>
          <w:p>
            <w:pPr>
              <w:pStyle w:val="133"/>
              <w:spacing w:line="288" w:lineRule="auto"/>
              <w:rPr>
                <w:rFonts w:ascii="Arial" w:hAnsi="Arial" w:cs="Arial"/>
                <w:szCs w:val="21"/>
                <w:highlight w:val="none"/>
              </w:rPr>
            </w:pPr>
            <w:r>
              <w:rPr>
                <w:rFonts w:ascii="Arial" w:hAnsi="Arial" w:cs="Arial"/>
                <w:szCs w:val="21"/>
                <w:highlight w:val="none"/>
              </w:rPr>
              <w:t>具备医生修改或填写用药理由后坚持使用处方的功能；</w:t>
            </w:r>
          </w:p>
          <w:p>
            <w:pPr>
              <w:pStyle w:val="133"/>
              <w:spacing w:line="288" w:lineRule="auto"/>
              <w:rPr>
                <w:rFonts w:ascii="Arial" w:hAnsi="Arial" w:cs="Arial"/>
                <w:szCs w:val="21"/>
                <w:highlight w:val="none"/>
              </w:rPr>
            </w:pPr>
            <w:r>
              <w:rPr>
                <w:rFonts w:ascii="Arial" w:hAnsi="Arial" w:cs="Arial"/>
                <w:szCs w:val="21"/>
                <w:highlight w:val="none"/>
              </w:rPr>
              <w:t>具备医生选择双签通过，处方自动通过二次审核的功能。</w:t>
            </w:r>
          </w:p>
          <w:p>
            <w:pPr>
              <w:pStyle w:val="133"/>
              <w:spacing w:line="288" w:lineRule="auto"/>
              <w:rPr>
                <w:rFonts w:ascii="Arial" w:hAnsi="Arial" w:cs="Arial"/>
                <w:szCs w:val="21"/>
                <w:highlight w:val="none"/>
              </w:rPr>
            </w:pPr>
            <w:r>
              <w:rPr>
                <w:rFonts w:ascii="Arial" w:hAnsi="Arial" w:cs="Arial"/>
                <w:szCs w:val="21"/>
                <w:highlight w:val="none"/>
              </w:rPr>
              <w:t>具备审方干预和开方不间断进行的功能。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门急诊历史审方问题查询</w:t>
            </w:r>
          </w:p>
          <w:p>
            <w:pPr>
              <w:pStyle w:val="133"/>
              <w:spacing w:line="288" w:lineRule="auto"/>
              <w:rPr>
                <w:rFonts w:ascii="Arial" w:hAnsi="Arial" w:cs="Arial"/>
                <w:szCs w:val="21"/>
                <w:highlight w:val="none"/>
              </w:rPr>
            </w:pPr>
            <w:r>
              <w:rPr>
                <w:rFonts w:ascii="Arial" w:hAnsi="Arial" w:cs="Arial"/>
                <w:szCs w:val="21"/>
                <w:highlight w:val="none"/>
              </w:rPr>
              <w:t>具备在门诊医生站界面，通过时间段选择，来查看医生个人处方审核历史；</w:t>
            </w:r>
          </w:p>
          <w:p>
            <w:pPr>
              <w:pStyle w:val="133"/>
              <w:spacing w:line="288" w:lineRule="auto"/>
              <w:rPr>
                <w:rFonts w:ascii="Arial" w:hAnsi="Arial" w:cs="Arial"/>
                <w:szCs w:val="21"/>
                <w:highlight w:val="none"/>
              </w:rPr>
            </w:pPr>
            <w:r>
              <w:rPr>
                <w:rFonts w:ascii="Arial" w:hAnsi="Arial" w:cs="Arial"/>
                <w:szCs w:val="21"/>
                <w:highlight w:val="none"/>
              </w:rPr>
              <w:t>具备通过审核的状态筛选审核历史，并可下钻查看处方详情。</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住院医生站审方干预</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住院医生站审方预审干预</w:t>
            </w:r>
          </w:p>
          <w:p>
            <w:pPr>
              <w:pStyle w:val="133"/>
              <w:spacing w:line="288" w:lineRule="auto"/>
              <w:rPr>
                <w:rFonts w:ascii="Arial" w:hAnsi="Arial" w:cs="Arial"/>
                <w:szCs w:val="21"/>
                <w:highlight w:val="none"/>
              </w:rPr>
            </w:pPr>
            <w:r>
              <w:rPr>
                <w:rFonts w:ascii="Arial" w:hAnsi="Arial" w:cs="Arial"/>
                <w:szCs w:val="21"/>
                <w:highlight w:val="none"/>
              </w:rPr>
              <w:t>具备调用智慧药学知识库智能分析服务对住院医嘱用药问题划分不同等级的功能；</w:t>
            </w:r>
          </w:p>
          <w:p>
            <w:pPr>
              <w:pStyle w:val="133"/>
              <w:spacing w:line="288" w:lineRule="auto"/>
              <w:rPr>
                <w:rFonts w:ascii="Arial" w:hAnsi="Arial" w:cs="Arial"/>
                <w:szCs w:val="21"/>
                <w:highlight w:val="none"/>
              </w:rPr>
            </w:pPr>
            <w:r>
              <w:rPr>
                <w:rFonts w:ascii="Arial" w:hAnsi="Arial" w:cs="Arial"/>
                <w:szCs w:val="21"/>
                <w:highlight w:val="none"/>
              </w:rPr>
              <w:t>具备不同等级的医嘱用药问题对应不同系统预审干预效果的功能；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住院审方干预消息推送</w:t>
            </w:r>
          </w:p>
          <w:p>
            <w:pPr>
              <w:pStyle w:val="133"/>
              <w:spacing w:line="288" w:lineRule="auto"/>
              <w:rPr>
                <w:rFonts w:ascii="Arial" w:hAnsi="Arial" w:cs="Arial"/>
                <w:szCs w:val="21"/>
                <w:highlight w:val="none"/>
              </w:rPr>
            </w:pPr>
            <w:r>
              <w:rPr>
                <w:rFonts w:ascii="Arial" w:hAnsi="Arial" w:cs="Arial"/>
                <w:szCs w:val="21"/>
                <w:highlight w:val="none"/>
              </w:rPr>
              <w:t>具备将审方干预信息推送至医生站的功能；</w:t>
            </w:r>
          </w:p>
          <w:p>
            <w:pPr>
              <w:pStyle w:val="133"/>
              <w:spacing w:line="288" w:lineRule="auto"/>
              <w:rPr>
                <w:rFonts w:ascii="Arial" w:hAnsi="Arial" w:cs="Arial"/>
                <w:szCs w:val="21"/>
                <w:highlight w:val="none"/>
              </w:rPr>
            </w:pPr>
            <w:r>
              <w:rPr>
                <w:rFonts w:ascii="Arial" w:hAnsi="Arial" w:cs="Arial"/>
                <w:szCs w:val="21"/>
                <w:highlight w:val="none"/>
              </w:rPr>
              <w:t>具备对药师人工干预的用药问题进行医师和药师互动沟通的功能；</w:t>
            </w:r>
          </w:p>
          <w:p>
            <w:pPr>
              <w:pStyle w:val="133"/>
              <w:spacing w:line="288" w:lineRule="auto"/>
              <w:rPr>
                <w:rFonts w:ascii="Arial" w:hAnsi="Arial" w:cs="Arial"/>
                <w:szCs w:val="21"/>
                <w:highlight w:val="none"/>
              </w:rPr>
            </w:pPr>
            <w:r>
              <w:rPr>
                <w:rFonts w:ascii="Arial" w:hAnsi="Arial" w:cs="Arial"/>
                <w:szCs w:val="21"/>
                <w:highlight w:val="none"/>
              </w:rPr>
              <w:t>具备医生填写用药理由并回复审方药师的功能；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住院医生站审方干预操作</w:t>
            </w:r>
          </w:p>
          <w:p>
            <w:pPr>
              <w:pStyle w:val="133"/>
              <w:spacing w:line="288" w:lineRule="auto"/>
              <w:rPr>
                <w:rFonts w:ascii="Arial" w:hAnsi="Arial" w:cs="Arial"/>
                <w:szCs w:val="21"/>
                <w:highlight w:val="none"/>
              </w:rPr>
            </w:pPr>
            <w:r>
              <w:rPr>
                <w:rFonts w:ascii="Arial" w:hAnsi="Arial" w:cs="Arial"/>
                <w:szCs w:val="21"/>
                <w:highlight w:val="none"/>
              </w:rPr>
              <w:t>具备接收药师处方审核结果的功能；</w:t>
            </w:r>
          </w:p>
          <w:p>
            <w:pPr>
              <w:pStyle w:val="133"/>
              <w:spacing w:line="288" w:lineRule="auto"/>
              <w:rPr>
                <w:rFonts w:ascii="Arial" w:hAnsi="Arial" w:cs="Arial"/>
                <w:szCs w:val="21"/>
                <w:highlight w:val="none"/>
              </w:rPr>
            </w:pPr>
            <w:r>
              <w:rPr>
                <w:rFonts w:ascii="Arial" w:hAnsi="Arial" w:cs="Arial"/>
                <w:szCs w:val="21"/>
                <w:highlight w:val="none"/>
              </w:rPr>
              <w:t>具备医生修改或填写用药理由后坚持使用处方的功能；</w:t>
            </w:r>
          </w:p>
          <w:p>
            <w:pPr>
              <w:pStyle w:val="133"/>
              <w:spacing w:line="288" w:lineRule="auto"/>
              <w:rPr>
                <w:rFonts w:ascii="Arial" w:hAnsi="Arial" w:cs="Arial"/>
                <w:szCs w:val="21"/>
                <w:highlight w:val="none"/>
              </w:rPr>
            </w:pPr>
            <w:r>
              <w:rPr>
                <w:rFonts w:ascii="Arial" w:hAnsi="Arial" w:cs="Arial"/>
                <w:szCs w:val="21"/>
                <w:highlight w:val="none"/>
              </w:rPr>
              <w:t>具备医生选择双签通过，处方自动通过二次审核的功能。</w:t>
            </w:r>
          </w:p>
          <w:p>
            <w:pPr>
              <w:pStyle w:val="133"/>
              <w:spacing w:line="288" w:lineRule="auto"/>
              <w:rPr>
                <w:rFonts w:ascii="Arial" w:hAnsi="Arial" w:cs="Arial"/>
                <w:szCs w:val="21"/>
                <w:highlight w:val="none"/>
              </w:rPr>
            </w:pPr>
            <w:r>
              <w:rPr>
                <w:rFonts w:ascii="Arial" w:hAnsi="Arial" w:cs="Arial"/>
                <w:szCs w:val="21"/>
                <w:highlight w:val="none"/>
              </w:rPr>
              <w:t>具备审方干预和开方不间断进行的功能。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住院历史审方问题查询</w:t>
            </w:r>
          </w:p>
          <w:p>
            <w:pPr>
              <w:pStyle w:val="133"/>
              <w:spacing w:line="288" w:lineRule="auto"/>
              <w:rPr>
                <w:rFonts w:ascii="Arial" w:hAnsi="Arial" w:cs="Arial"/>
                <w:szCs w:val="21"/>
                <w:highlight w:val="none"/>
              </w:rPr>
            </w:pPr>
            <w:r>
              <w:rPr>
                <w:rFonts w:ascii="Arial" w:hAnsi="Arial" w:cs="Arial"/>
                <w:szCs w:val="21"/>
                <w:highlight w:val="none"/>
              </w:rPr>
              <w:t>具备在住院医生站界面，通过时间段选择，来查看医生个人住院审核历史；</w:t>
            </w:r>
          </w:p>
          <w:p>
            <w:pPr>
              <w:pStyle w:val="133"/>
              <w:spacing w:line="288" w:lineRule="auto"/>
              <w:rPr>
                <w:rFonts w:ascii="Arial" w:hAnsi="Arial" w:cs="Arial"/>
                <w:szCs w:val="21"/>
                <w:highlight w:val="none"/>
              </w:rPr>
            </w:pPr>
            <w:r>
              <w:rPr>
                <w:rFonts w:ascii="Arial" w:hAnsi="Arial" w:cs="Arial"/>
                <w:szCs w:val="21"/>
                <w:highlight w:val="none"/>
              </w:rPr>
              <w:t>具备通过审核的状态筛选审核历史，并可下钻查看病历详情。</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药师端前置审方工作站</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门急诊药师前置审方</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门急诊待审处方预审</w:t>
            </w:r>
          </w:p>
          <w:p>
            <w:pPr>
              <w:pStyle w:val="133"/>
              <w:spacing w:line="288" w:lineRule="auto"/>
              <w:rPr>
                <w:rFonts w:ascii="Arial" w:hAnsi="Arial" w:cs="Arial"/>
                <w:szCs w:val="21"/>
                <w:highlight w:val="none"/>
              </w:rPr>
            </w:pPr>
            <w:r>
              <w:rPr>
                <w:rFonts w:ascii="Arial" w:hAnsi="Arial" w:cs="Arial"/>
                <w:szCs w:val="21"/>
                <w:highlight w:val="none"/>
              </w:rPr>
              <w:t>具备开启/关闭人工干预模式的功能；</w:t>
            </w:r>
          </w:p>
          <w:p>
            <w:pPr>
              <w:pStyle w:val="133"/>
              <w:spacing w:line="288" w:lineRule="auto"/>
              <w:rPr>
                <w:rFonts w:ascii="Arial" w:hAnsi="Arial" w:cs="Arial"/>
                <w:szCs w:val="21"/>
                <w:highlight w:val="none"/>
              </w:rPr>
            </w:pPr>
            <w:r>
              <w:rPr>
                <w:rFonts w:ascii="Arial" w:hAnsi="Arial" w:cs="Arial"/>
                <w:szCs w:val="21"/>
                <w:highlight w:val="none"/>
              </w:rPr>
              <w:t>具备将系统预审为较高问题级别的处方推送至药师端前置审方工作站的功能；</w:t>
            </w:r>
          </w:p>
          <w:p>
            <w:pPr>
              <w:pStyle w:val="133"/>
              <w:spacing w:line="288" w:lineRule="auto"/>
              <w:rPr>
                <w:rFonts w:ascii="Arial" w:hAnsi="Arial" w:cs="Arial"/>
                <w:szCs w:val="21"/>
                <w:highlight w:val="none"/>
              </w:rPr>
            </w:pPr>
            <w:r>
              <w:rPr>
                <w:rFonts w:ascii="Arial" w:hAnsi="Arial" w:cs="Arial"/>
                <w:szCs w:val="21"/>
                <w:highlight w:val="none"/>
              </w:rPr>
              <w:t>具备对需要药师进行人工审核干预的处方进行提示的功能；</w:t>
            </w:r>
          </w:p>
          <w:p>
            <w:pPr>
              <w:pStyle w:val="133"/>
              <w:spacing w:line="288" w:lineRule="auto"/>
              <w:rPr>
                <w:rFonts w:ascii="Arial" w:hAnsi="Arial" w:cs="Arial"/>
                <w:szCs w:val="21"/>
                <w:highlight w:val="none"/>
              </w:rPr>
            </w:pPr>
            <w:r>
              <w:rPr>
                <w:rFonts w:ascii="Arial" w:hAnsi="Arial" w:cs="Arial"/>
                <w:szCs w:val="21"/>
                <w:highlight w:val="none"/>
              </w:rPr>
              <w:t>具备药师在待审方时查看待审核处方明细、以及批量列出待审方处方的功能；</w:t>
            </w:r>
          </w:p>
          <w:p>
            <w:pPr>
              <w:pStyle w:val="133"/>
              <w:spacing w:line="288" w:lineRule="auto"/>
              <w:rPr>
                <w:rFonts w:ascii="Arial" w:hAnsi="Arial" w:cs="Arial"/>
                <w:szCs w:val="21"/>
                <w:highlight w:val="none"/>
              </w:rPr>
            </w:pPr>
            <w:r>
              <w:rPr>
                <w:rFonts w:ascii="Arial" w:hAnsi="Arial" w:cs="Arial"/>
                <w:szCs w:val="21"/>
                <w:highlight w:val="none"/>
              </w:rPr>
              <w:t>具备查看系统智能预审的参考信息和处方问题等级的功能；</w:t>
            </w:r>
          </w:p>
          <w:p>
            <w:pPr>
              <w:pStyle w:val="133"/>
              <w:spacing w:line="288" w:lineRule="auto"/>
              <w:rPr>
                <w:rFonts w:ascii="Arial" w:hAnsi="Arial" w:cs="Arial"/>
                <w:szCs w:val="21"/>
                <w:highlight w:val="none"/>
              </w:rPr>
            </w:pPr>
            <w:r>
              <w:rPr>
                <w:rFonts w:ascii="Arial" w:hAnsi="Arial" w:cs="Arial"/>
                <w:szCs w:val="21"/>
                <w:highlight w:val="none"/>
              </w:rPr>
              <w:t>具备对待审核处方进行批量审方处理的功能；</w:t>
            </w:r>
          </w:p>
          <w:p>
            <w:pPr>
              <w:pStyle w:val="133"/>
              <w:spacing w:line="288" w:lineRule="auto"/>
              <w:rPr>
                <w:rFonts w:ascii="Arial" w:hAnsi="Arial" w:cs="Arial"/>
                <w:szCs w:val="21"/>
                <w:highlight w:val="none"/>
              </w:rPr>
            </w:pPr>
            <w:r>
              <w:rPr>
                <w:rFonts w:ascii="Arial" w:hAnsi="Arial" w:cs="Arial"/>
                <w:szCs w:val="21"/>
                <w:highlight w:val="none"/>
              </w:rPr>
              <w:t>具备在审方预审界面对问题处方进警示级别调整的功能；</w:t>
            </w:r>
          </w:p>
          <w:p>
            <w:pPr>
              <w:pStyle w:val="133"/>
              <w:spacing w:line="288" w:lineRule="auto"/>
              <w:rPr>
                <w:rFonts w:ascii="Arial" w:hAnsi="Arial" w:cs="Arial"/>
                <w:szCs w:val="21"/>
                <w:highlight w:val="none"/>
              </w:rPr>
            </w:pPr>
            <w:r>
              <w:rPr>
                <w:rFonts w:ascii="Arial" w:hAnsi="Arial" w:cs="Arial"/>
                <w:szCs w:val="21"/>
                <w:highlight w:val="none"/>
              </w:rPr>
              <w:t>具备在门诊待审处方界面执行快速通过的功能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门急诊药师人工审方干预</w:t>
            </w:r>
          </w:p>
          <w:p>
            <w:pPr>
              <w:pStyle w:val="133"/>
              <w:spacing w:line="288" w:lineRule="auto"/>
              <w:rPr>
                <w:rFonts w:ascii="Arial" w:hAnsi="Arial" w:cs="Arial"/>
                <w:szCs w:val="21"/>
                <w:highlight w:val="none"/>
              </w:rPr>
            </w:pPr>
            <w:r>
              <w:rPr>
                <w:rFonts w:ascii="Arial" w:hAnsi="Arial" w:cs="Arial"/>
                <w:szCs w:val="21"/>
                <w:highlight w:val="none"/>
              </w:rPr>
              <w:t>具备调用智慧药学知识库智能分析服务对处方合法合规进行自动审方，并具备药师对通过系统预审后的问题处方进行人工干预的功能；</w:t>
            </w:r>
          </w:p>
          <w:p>
            <w:pPr>
              <w:pStyle w:val="133"/>
              <w:spacing w:line="288" w:lineRule="auto"/>
              <w:rPr>
                <w:rFonts w:ascii="Arial" w:hAnsi="Arial" w:cs="Arial"/>
                <w:szCs w:val="21"/>
                <w:highlight w:val="none"/>
              </w:rPr>
            </w:pPr>
            <w:r>
              <w:rPr>
                <w:rFonts w:ascii="Arial" w:hAnsi="Arial" w:cs="Arial"/>
                <w:szCs w:val="21"/>
                <w:highlight w:val="none"/>
              </w:rPr>
              <w:t>具备调用智慧药学知识库智能分析服务对处方用药适宜性进行自动审方，并具备药师对通过系统预审后的问题处方进行人工干预的功能；</w:t>
            </w:r>
          </w:p>
          <w:p>
            <w:pPr>
              <w:pStyle w:val="133"/>
              <w:spacing w:line="288" w:lineRule="auto"/>
              <w:rPr>
                <w:rFonts w:ascii="Arial" w:hAnsi="Arial" w:cs="Arial"/>
                <w:szCs w:val="21"/>
                <w:highlight w:val="none"/>
              </w:rPr>
            </w:pPr>
            <w:r>
              <w:rPr>
                <w:rFonts w:ascii="Arial" w:hAnsi="Arial" w:cs="Arial"/>
                <w:szCs w:val="21"/>
                <w:highlight w:val="none"/>
              </w:rPr>
              <w:t>具备在药师进行人工干预处方时执行“通过”或“打回”，“填写理由”等操作的功能；</w:t>
            </w:r>
          </w:p>
          <w:p>
            <w:pPr>
              <w:pStyle w:val="133"/>
              <w:spacing w:line="288" w:lineRule="auto"/>
              <w:rPr>
                <w:rFonts w:ascii="Arial" w:hAnsi="Arial" w:cs="Arial"/>
                <w:szCs w:val="21"/>
                <w:highlight w:val="none"/>
              </w:rPr>
            </w:pPr>
            <w:r>
              <w:rPr>
                <w:rFonts w:ascii="Arial" w:hAnsi="Arial" w:cs="Arial"/>
                <w:szCs w:val="21"/>
                <w:highlight w:val="none"/>
              </w:rPr>
              <w:t>具备药师对审方状态进行选择和切换的功能；</w:t>
            </w:r>
          </w:p>
          <w:p>
            <w:pPr>
              <w:pStyle w:val="133"/>
              <w:spacing w:line="288" w:lineRule="auto"/>
              <w:rPr>
                <w:rFonts w:ascii="Arial" w:hAnsi="Arial" w:cs="Arial"/>
                <w:szCs w:val="21"/>
                <w:highlight w:val="none"/>
              </w:rPr>
            </w:pPr>
            <w:r>
              <w:rPr>
                <w:rFonts w:ascii="Arial" w:hAnsi="Arial" w:cs="Arial"/>
                <w:szCs w:val="21"/>
                <w:highlight w:val="none"/>
              </w:rPr>
              <w:t>具备对重要处方进行“锁定”以阻拦处方超时通过的功能；</w:t>
            </w:r>
          </w:p>
          <w:p>
            <w:pPr>
              <w:pStyle w:val="133"/>
              <w:spacing w:line="288" w:lineRule="auto"/>
              <w:rPr>
                <w:rFonts w:ascii="Arial" w:hAnsi="Arial" w:cs="Arial"/>
                <w:szCs w:val="21"/>
                <w:highlight w:val="none"/>
              </w:rPr>
            </w:pPr>
            <w:r>
              <w:rPr>
                <w:rFonts w:ascii="Arial" w:hAnsi="Arial" w:cs="Arial"/>
                <w:szCs w:val="21"/>
                <w:highlight w:val="none"/>
              </w:rPr>
              <w:t>具备按处方信息、问题级别、点评等级，自动生成审方干预推荐意见的功能；</w:t>
            </w:r>
          </w:p>
          <w:p>
            <w:pPr>
              <w:pStyle w:val="133"/>
              <w:spacing w:line="288" w:lineRule="auto"/>
              <w:rPr>
                <w:rFonts w:ascii="Arial" w:hAnsi="Arial" w:cs="Arial"/>
                <w:szCs w:val="21"/>
                <w:highlight w:val="none"/>
              </w:rPr>
            </w:pPr>
            <w:r>
              <w:rPr>
                <w:rFonts w:ascii="Arial" w:hAnsi="Arial" w:cs="Arial"/>
                <w:szCs w:val="21"/>
                <w:highlight w:val="none"/>
              </w:rPr>
              <w:t>具备通过同意审方干预推荐意见、按自定义模板选择审方干预意见、手工调整审方干预推荐意见等对处方进行“打回”操作的功能；</w:t>
            </w:r>
          </w:p>
          <w:p>
            <w:pPr>
              <w:pStyle w:val="81"/>
              <w:spacing w:line="288" w:lineRule="auto"/>
              <w:ind w:firstLine="0" w:firstLineChars="0"/>
              <w:rPr>
                <w:rFonts w:ascii="Arial" w:hAnsi="Arial" w:cs="Arial"/>
                <w:szCs w:val="21"/>
                <w:highlight w:val="none"/>
              </w:rPr>
            </w:pPr>
            <w:r>
              <w:rPr>
                <w:rFonts w:ascii="Arial" w:hAnsi="Arial" w:cs="Arial"/>
                <w:szCs w:val="21"/>
                <w:highlight w:val="none"/>
              </w:rPr>
              <w:t>具备查看患者体表面积、BMI、过敏史、病生理状态等信息的功能；</w:t>
            </w:r>
          </w:p>
          <w:p>
            <w:pPr>
              <w:pStyle w:val="133"/>
              <w:spacing w:line="288" w:lineRule="auto"/>
              <w:rPr>
                <w:rFonts w:ascii="Arial" w:hAnsi="Arial" w:cs="Arial"/>
                <w:szCs w:val="21"/>
                <w:highlight w:val="none"/>
              </w:rPr>
            </w:pPr>
            <w:r>
              <w:rPr>
                <w:rFonts w:ascii="Arial" w:hAnsi="Arial" w:cs="Arial"/>
                <w:szCs w:val="21"/>
                <w:highlight w:val="none"/>
              </w:rPr>
              <w:t>具备在审方过程中，通过其他医院信息化系统的交互查看患者相关信息的功能；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门急诊处方二次干预</w:t>
            </w:r>
          </w:p>
          <w:p>
            <w:pPr>
              <w:pStyle w:val="133"/>
              <w:spacing w:line="288" w:lineRule="auto"/>
              <w:rPr>
                <w:rFonts w:ascii="Arial" w:hAnsi="Arial" w:cs="Arial"/>
                <w:szCs w:val="21"/>
                <w:highlight w:val="none"/>
              </w:rPr>
            </w:pPr>
            <w:r>
              <w:rPr>
                <w:rFonts w:ascii="Arial" w:hAnsi="Arial" w:cs="Arial"/>
                <w:szCs w:val="21"/>
                <w:highlight w:val="none"/>
              </w:rPr>
              <w:t>具备结合医疗机构自身特点开启处方二次干预的功能。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门急诊审方点评归类</w:t>
            </w:r>
          </w:p>
          <w:p>
            <w:pPr>
              <w:pStyle w:val="133"/>
              <w:spacing w:line="288" w:lineRule="auto"/>
              <w:rPr>
                <w:rFonts w:ascii="Arial" w:hAnsi="Arial" w:cs="Arial"/>
                <w:szCs w:val="21"/>
                <w:highlight w:val="none"/>
              </w:rPr>
            </w:pPr>
            <w:r>
              <w:rPr>
                <w:rFonts w:ascii="Arial" w:hAnsi="Arial" w:cs="Arial"/>
                <w:szCs w:val="21"/>
                <w:highlight w:val="none"/>
              </w:rPr>
              <w:t>具备对所有处方按三大类28小项进行审方事中的自动点评和归类的功能；</w:t>
            </w:r>
          </w:p>
          <w:p>
            <w:pPr>
              <w:pStyle w:val="133"/>
              <w:spacing w:line="288" w:lineRule="auto"/>
              <w:rPr>
                <w:rFonts w:ascii="Arial" w:hAnsi="Arial" w:cs="Arial"/>
                <w:szCs w:val="21"/>
                <w:highlight w:val="none"/>
              </w:rPr>
            </w:pPr>
            <w:r>
              <w:rPr>
                <w:rFonts w:ascii="Arial" w:hAnsi="Arial" w:cs="Arial"/>
                <w:szCs w:val="21"/>
                <w:highlight w:val="none"/>
              </w:rPr>
              <w:t>具备对审方事中的自动点评和归类进行人工点评的功能；</w:t>
            </w:r>
          </w:p>
          <w:p>
            <w:pPr>
              <w:pStyle w:val="133"/>
              <w:spacing w:line="288" w:lineRule="auto"/>
              <w:rPr>
                <w:rFonts w:ascii="Arial" w:hAnsi="Arial" w:cs="Arial"/>
                <w:szCs w:val="21"/>
                <w:highlight w:val="none"/>
              </w:rPr>
            </w:pPr>
            <w:r>
              <w:rPr>
                <w:rFonts w:ascii="Arial" w:hAnsi="Arial" w:cs="Arial"/>
                <w:szCs w:val="21"/>
                <w:highlight w:val="none"/>
              </w:rPr>
              <w:t>具备结合审方事中自动点评和归类的内容和处方问题等级，对处方进行人工干预的功能。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门急诊历史处方用药记录查看</w:t>
            </w:r>
          </w:p>
          <w:p>
            <w:pPr>
              <w:pStyle w:val="133"/>
              <w:spacing w:line="288" w:lineRule="auto"/>
              <w:rPr>
                <w:rFonts w:ascii="Arial" w:hAnsi="Arial" w:cs="Arial"/>
                <w:szCs w:val="21"/>
                <w:highlight w:val="none"/>
              </w:rPr>
            </w:pPr>
            <w:r>
              <w:rPr>
                <w:rFonts w:ascii="Arial" w:hAnsi="Arial" w:cs="Arial"/>
                <w:szCs w:val="21"/>
                <w:highlight w:val="none"/>
              </w:rPr>
              <w:t>具备在审查新开处方时，可查看患者历史处方的用药信息</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住院药师前置审方</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住院待审医嘱预审</w:t>
            </w:r>
          </w:p>
          <w:p>
            <w:pPr>
              <w:pStyle w:val="133"/>
              <w:spacing w:line="288" w:lineRule="auto"/>
              <w:rPr>
                <w:rFonts w:ascii="Arial" w:hAnsi="Arial" w:cs="Arial"/>
                <w:szCs w:val="21"/>
                <w:highlight w:val="none"/>
              </w:rPr>
            </w:pPr>
            <w:r>
              <w:rPr>
                <w:rFonts w:ascii="Arial" w:hAnsi="Arial" w:cs="Arial"/>
                <w:szCs w:val="21"/>
                <w:highlight w:val="none"/>
              </w:rPr>
              <w:t>具备开启/关闭人工干预模式的功能；</w:t>
            </w:r>
          </w:p>
          <w:p>
            <w:pPr>
              <w:pStyle w:val="133"/>
              <w:spacing w:line="288" w:lineRule="auto"/>
              <w:rPr>
                <w:rFonts w:ascii="Arial" w:hAnsi="Arial" w:cs="Arial"/>
                <w:szCs w:val="21"/>
                <w:highlight w:val="none"/>
              </w:rPr>
            </w:pPr>
            <w:r>
              <w:rPr>
                <w:rFonts w:ascii="Arial" w:hAnsi="Arial" w:cs="Arial"/>
                <w:szCs w:val="21"/>
                <w:highlight w:val="none"/>
              </w:rPr>
              <w:t>具备将系统预审为较高问题级别的医嘱推送至药师端前置审方工作站的功能；</w:t>
            </w:r>
          </w:p>
          <w:p>
            <w:pPr>
              <w:pStyle w:val="133"/>
              <w:spacing w:line="288" w:lineRule="auto"/>
              <w:rPr>
                <w:rFonts w:ascii="Arial" w:hAnsi="Arial" w:cs="Arial"/>
                <w:szCs w:val="21"/>
                <w:highlight w:val="none"/>
              </w:rPr>
            </w:pPr>
            <w:r>
              <w:rPr>
                <w:rFonts w:ascii="Arial" w:hAnsi="Arial" w:cs="Arial"/>
                <w:szCs w:val="21"/>
                <w:highlight w:val="none"/>
              </w:rPr>
              <w:t>具备对需要药师进行人工干预的医嘱进行提示的功能；</w:t>
            </w:r>
          </w:p>
          <w:p>
            <w:pPr>
              <w:pStyle w:val="133"/>
              <w:spacing w:line="288" w:lineRule="auto"/>
              <w:rPr>
                <w:rFonts w:ascii="Arial" w:hAnsi="Arial" w:cs="Arial"/>
                <w:szCs w:val="21"/>
                <w:highlight w:val="none"/>
              </w:rPr>
            </w:pPr>
            <w:r>
              <w:rPr>
                <w:rFonts w:ascii="Arial" w:hAnsi="Arial" w:cs="Arial"/>
                <w:szCs w:val="21"/>
                <w:highlight w:val="none"/>
              </w:rPr>
              <w:t>具备药师在审方时查看待审核医嘱明细、以及批量列出待审核医嘱的功能；</w:t>
            </w:r>
          </w:p>
          <w:p>
            <w:pPr>
              <w:pStyle w:val="133"/>
              <w:spacing w:line="288" w:lineRule="auto"/>
              <w:rPr>
                <w:rFonts w:ascii="Arial" w:hAnsi="Arial" w:cs="Arial"/>
                <w:szCs w:val="21"/>
                <w:highlight w:val="none"/>
              </w:rPr>
            </w:pPr>
            <w:r>
              <w:rPr>
                <w:rFonts w:ascii="Arial" w:hAnsi="Arial" w:cs="Arial"/>
                <w:szCs w:val="21"/>
                <w:highlight w:val="none"/>
              </w:rPr>
              <w:t>具备查看系统智能预审的参考信息和医嘱问题等级的功能；</w:t>
            </w:r>
          </w:p>
          <w:p>
            <w:pPr>
              <w:pStyle w:val="133"/>
              <w:spacing w:line="288" w:lineRule="auto"/>
              <w:rPr>
                <w:rFonts w:ascii="Arial" w:hAnsi="Arial" w:cs="Arial"/>
                <w:szCs w:val="21"/>
                <w:highlight w:val="none"/>
              </w:rPr>
            </w:pPr>
            <w:r>
              <w:rPr>
                <w:rFonts w:ascii="Arial" w:hAnsi="Arial" w:cs="Arial"/>
                <w:szCs w:val="21"/>
                <w:highlight w:val="none"/>
              </w:rPr>
              <w:t>具备对待审核医嘱进行批量审方处理的功能；</w:t>
            </w:r>
          </w:p>
          <w:p>
            <w:pPr>
              <w:pStyle w:val="133"/>
              <w:spacing w:line="288" w:lineRule="auto"/>
              <w:rPr>
                <w:rFonts w:ascii="Arial" w:hAnsi="Arial" w:cs="Arial"/>
                <w:szCs w:val="21"/>
                <w:highlight w:val="none"/>
              </w:rPr>
            </w:pPr>
            <w:r>
              <w:rPr>
                <w:rFonts w:ascii="Arial" w:hAnsi="Arial" w:cs="Arial"/>
                <w:szCs w:val="21"/>
                <w:highlight w:val="none"/>
              </w:rPr>
              <w:t>具备对问题医嘱的级别、用户级别权限调整的功能；</w:t>
            </w:r>
          </w:p>
          <w:p>
            <w:pPr>
              <w:pStyle w:val="133"/>
              <w:spacing w:line="288" w:lineRule="auto"/>
              <w:rPr>
                <w:rFonts w:ascii="Arial" w:hAnsi="Arial" w:cs="Arial"/>
                <w:szCs w:val="21"/>
                <w:highlight w:val="none"/>
              </w:rPr>
            </w:pPr>
            <w:r>
              <w:rPr>
                <w:rFonts w:ascii="Arial" w:hAnsi="Arial" w:cs="Arial"/>
                <w:szCs w:val="21"/>
                <w:highlight w:val="none"/>
              </w:rPr>
              <w:t>具备在住院待审医嘱界面执行快速通过的功能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住院药师人工审方干预</w:t>
            </w:r>
          </w:p>
          <w:p>
            <w:pPr>
              <w:pStyle w:val="133"/>
              <w:spacing w:line="288" w:lineRule="auto"/>
              <w:rPr>
                <w:rFonts w:ascii="Arial" w:hAnsi="Arial" w:cs="Arial"/>
                <w:szCs w:val="21"/>
                <w:highlight w:val="none"/>
              </w:rPr>
            </w:pPr>
            <w:r>
              <w:rPr>
                <w:rFonts w:ascii="Arial" w:hAnsi="Arial" w:cs="Arial"/>
                <w:szCs w:val="21"/>
                <w:highlight w:val="none"/>
              </w:rPr>
              <w:t>具备调用智慧药学知识库智能分析服务对医嘱合法合规进行自动审方，并具备药师对通过系统预审后的问题医嘱进行人工干预的功能；</w:t>
            </w:r>
          </w:p>
          <w:p>
            <w:pPr>
              <w:pStyle w:val="133"/>
              <w:spacing w:line="288" w:lineRule="auto"/>
              <w:rPr>
                <w:rFonts w:ascii="Arial" w:hAnsi="Arial" w:cs="Arial"/>
                <w:szCs w:val="21"/>
                <w:highlight w:val="none"/>
              </w:rPr>
            </w:pPr>
            <w:r>
              <w:rPr>
                <w:rFonts w:ascii="Arial" w:hAnsi="Arial" w:cs="Arial"/>
                <w:szCs w:val="21"/>
                <w:highlight w:val="none"/>
              </w:rPr>
              <w:t>具备调用智慧药学知识库智能分析服务对医嘱用药适宜性进行自动审方，并具备药师对通过系统预审后的问题医嘱进行人工干预的功能；</w:t>
            </w:r>
          </w:p>
          <w:p>
            <w:pPr>
              <w:pStyle w:val="133"/>
              <w:spacing w:line="288" w:lineRule="auto"/>
              <w:rPr>
                <w:rFonts w:ascii="Arial" w:hAnsi="Arial" w:cs="Arial"/>
                <w:szCs w:val="21"/>
                <w:highlight w:val="none"/>
              </w:rPr>
            </w:pPr>
            <w:r>
              <w:rPr>
                <w:rFonts w:ascii="Arial" w:hAnsi="Arial" w:cs="Arial"/>
                <w:szCs w:val="21"/>
                <w:highlight w:val="none"/>
              </w:rPr>
              <w:t>具备在药师进行人工干预医嘱时执行“通过”或“打回”，“填写理由”等操作的功能；</w:t>
            </w:r>
          </w:p>
          <w:p>
            <w:pPr>
              <w:pStyle w:val="133"/>
              <w:spacing w:line="288" w:lineRule="auto"/>
              <w:rPr>
                <w:rFonts w:ascii="Arial" w:hAnsi="Arial" w:cs="Arial"/>
                <w:szCs w:val="21"/>
                <w:highlight w:val="none"/>
              </w:rPr>
            </w:pPr>
            <w:r>
              <w:rPr>
                <w:rFonts w:ascii="Arial" w:hAnsi="Arial" w:cs="Arial"/>
                <w:szCs w:val="21"/>
                <w:highlight w:val="none"/>
              </w:rPr>
              <w:t>具备药师对审方状态进行选择和切换的功能；</w:t>
            </w:r>
          </w:p>
          <w:p>
            <w:pPr>
              <w:pStyle w:val="133"/>
              <w:spacing w:line="288" w:lineRule="auto"/>
              <w:rPr>
                <w:rFonts w:ascii="Arial" w:hAnsi="Arial" w:cs="Arial"/>
                <w:szCs w:val="21"/>
                <w:highlight w:val="none"/>
              </w:rPr>
            </w:pPr>
            <w:r>
              <w:rPr>
                <w:rFonts w:ascii="Arial" w:hAnsi="Arial" w:cs="Arial"/>
                <w:szCs w:val="21"/>
                <w:highlight w:val="none"/>
              </w:rPr>
              <w:t>具备对重要医嘱进行“锁定”以阻拦该医嘱超时通过的功能；</w:t>
            </w:r>
          </w:p>
          <w:p>
            <w:pPr>
              <w:pStyle w:val="133"/>
              <w:spacing w:line="288" w:lineRule="auto"/>
              <w:rPr>
                <w:rFonts w:ascii="Arial" w:hAnsi="Arial" w:cs="Arial"/>
                <w:szCs w:val="21"/>
                <w:highlight w:val="none"/>
              </w:rPr>
            </w:pPr>
            <w:r>
              <w:rPr>
                <w:rFonts w:ascii="Arial" w:hAnsi="Arial" w:cs="Arial"/>
                <w:szCs w:val="21"/>
                <w:highlight w:val="none"/>
              </w:rPr>
              <w:t>具备按医嘱信息、问题级别、点评等级，自动生成审方干预推荐意见的功能；</w:t>
            </w:r>
          </w:p>
          <w:p>
            <w:pPr>
              <w:pStyle w:val="133"/>
              <w:spacing w:line="288" w:lineRule="auto"/>
              <w:rPr>
                <w:rFonts w:ascii="Arial" w:hAnsi="Arial" w:cs="Arial"/>
                <w:szCs w:val="21"/>
                <w:highlight w:val="none"/>
              </w:rPr>
            </w:pPr>
            <w:r>
              <w:rPr>
                <w:rFonts w:ascii="Arial" w:hAnsi="Arial" w:cs="Arial"/>
                <w:szCs w:val="21"/>
                <w:highlight w:val="none"/>
              </w:rPr>
              <w:t>具备通过同意审方干预推荐意见、按自定义模板选择审方干预意见、手工调整审方干预推荐意见等对医嘱进行“打回”操作的功能；</w:t>
            </w:r>
          </w:p>
          <w:p>
            <w:pPr>
              <w:pStyle w:val="81"/>
              <w:spacing w:line="288" w:lineRule="auto"/>
              <w:ind w:firstLine="0" w:firstLineChars="0"/>
              <w:rPr>
                <w:rFonts w:ascii="Arial" w:hAnsi="Arial" w:cs="Arial"/>
                <w:szCs w:val="21"/>
                <w:highlight w:val="none"/>
              </w:rPr>
            </w:pPr>
            <w:r>
              <w:rPr>
                <w:rFonts w:ascii="Arial" w:hAnsi="Arial" w:cs="Arial"/>
                <w:szCs w:val="21"/>
                <w:highlight w:val="none"/>
              </w:rPr>
              <w:t>具备查看患者体表面积、BMI、过敏史、病生理状态等信息的功能；</w:t>
            </w:r>
          </w:p>
          <w:p>
            <w:pPr>
              <w:pStyle w:val="133"/>
              <w:spacing w:line="288" w:lineRule="auto"/>
              <w:rPr>
                <w:rFonts w:ascii="Arial" w:hAnsi="Arial" w:cs="Arial"/>
                <w:szCs w:val="21"/>
                <w:highlight w:val="none"/>
              </w:rPr>
            </w:pPr>
            <w:r>
              <w:rPr>
                <w:rFonts w:ascii="Arial" w:hAnsi="Arial" w:cs="Arial"/>
                <w:szCs w:val="21"/>
                <w:highlight w:val="none"/>
              </w:rPr>
              <w:t>具备在审方过程中，通过其他医院信息化系统的交互查看患者相关信息的功能；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医嘱二次干预</w:t>
            </w:r>
          </w:p>
          <w:p>
            <w:pPr>
              <w:pStyle w:val="133"/>
              <w:spacing w:line="288" w:lineRule="auto"/>
              <w:rPr>
                <w:rFonts w:ascii="Arial" w:hAnsi="Arial" w:cs="Arial"/>
                <w:szCs w:val="21"/>
                <w:highlight w:val="none"/>
              </w:rPr>
            </w:pPr>
            <w:r>
              <w:rPr>
                <w:rFonts w:ascii="Arial" w:hAnsi="Arial" w:cs="Arial"/>
                <w:szCs w:val="21"/>
                <w:highlight w:val="none"/>
              </w:rPr>
              <w:t>具备结合医疗机构自身特点开启医嘱审方二次干预的功能。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审方点评归类</w:t>
            </w:r>
          </w:p>
          <w:p>
            <w:pPr>
              <w:pStyle w:val="133"/>
              <w:spacing w:line="288" w:lineRule="auto"/>
              <w:rPr>
                <w:rFonts w:ascii="Arial" w:hAnsi="Arial" w:cs="Arial"/>
                <w:szCs w:val="21"/>
                <w:highlight w:val="none"/>
              </w:rPr>
            </w:pPr>
            <w:r>
              <w:rPr>
                <w:rFonts w:ascii="Arial" w:hAnsi="Arial" w:cs="Arial"/>
                <w:szCs w:val="21"/>
                <w:highlight w:val="none"/>
              </w:rPr>
              <w:t>具备对所有医嘱按三大类28小项进行审方事中的自动点评和归类的功能；</w:t>
            </w:r>
          </w:p>
          <w:p>
            <w:pPr>
              <w:pStyle w:val="133"/>
              <w:spacing w:line="288" w:lineRule="auto"/>
              <w:rPr>
                <w:rFonts w:ascii="Arial" w:hAnsi="Arial" w:cs="Arial"/>
                <w:szCs w:val="21"/>
                <w:highlight w:val="none"/>
              </w:rPr>
            </w:pPr>
            <w:r>
              <w:rPr>
                <w:rFonts w:ascii="Arial" w:hAnsi="Arial" w:cs="Arial"/>
                <w:szCs w:val="21"/>
                <w:highlight w:val="none"/>
              </w:rPr>
              <w:t>具备对审方事中的自动点评和归类进行人工点评的功能；</w:t>
            </w:r>
          </w:p>
          <w:p>
            <w:pPr>
              <w:pStyle w:val="133"/>
              <w:spacing w:line="288" w:lineRule="auto"/>
              <w:rPr>
                <w:rFonts w:ascii="Arial" w:hAnsi="Arial" w:cs="Arial"/>
                <w:szCs w:val="21"/>
                <w:highlight w:val="none"/>
              </w:rPr>
            </w:pPr>
            <w:r>
              <w:rPr>
                <w:rFonts w:ascii="Arial" w:hAnsi="Arial" w:cs="Arial"/>
                <w:szCs w:val="21"/>
                <w:highlight w:val="none"/>
              </w:rPr>
              <w:t>具备结合审方事中自动点评和归类的内容和医嘱问题等级，对处方进行人工干预的功能。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住院草药历史处方用药记录查看</w:t>
            </w:r>
          </w:p>
          <w:p>
            <w:pPr>
              <w:pStyle w:val="133"/>
              <w:spacing w:line="288" w:lineRule="auto"/>
              <w:rPr>
                <w:rFonts w:ascii="Arial" w:hAnsi="Arial" w:cs="Arial"/>
                <w:szCs w:val="21"/>
                <w:highlight w:val="none"/>
              </w:rPr>
            </w:pPr>
            <w:r>
              <w:rPr>
                <w:rFonts w:ascii="Arial" w:hAnsi="Arial" w:cs="Arial"/>
                <w:szCs w:val="21"/>
                <w:highlight w:val="none"/>
              </w:rPr>
              <w:t>具备在审查新开医嘱时，可查看患者历史草药处方的用药信息</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处方/医嘱质量管控</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处方/医嘱全流程历史管理</w:t>
            </w:r>
          </w:p>
          <w:p>
            <w:pPr>
              <w:pStyle w:val="133"/>
              <w:spacing w:line="288" w:lineRule="auto"/>
              <w:rPr>
                <w:rFonts w:ascii="Arial" w:hAnsi="Arial" w:cs="Arial"/>
                <w:szCs w:val="21"/>
                <w:highlight w:val="none"/>
              </w:rPr>
            </w:pPr>
            <w:r>
              <w:rPr>
                <w:rFonts w:ascii="Arial" w:hAnsi="Arial" w:cs="Arial"/>
                <w:szCs w:val="21"/>
                <w:highlight w:val="none"/>
              </w:rPr>
              <w:t>具备对已打回、已通过和超时通过的处方/医嘱进行记录的功能；</w:t>
            </w:r>
          </w:p>
          <w:p>
            <w:pPr>
              <w:pStyle w:val="133"/>
              <w:spacing w:line="288" w:lineRule="auto"/>
              <w:rPr>
                <w:rFonts w:ascii="Arial" w:hAnsi="Arial" w:cs="Arial"/>
                <w:szCs w:val="21"/>
                <w:highlight w:val="none"/>
              </w:rPr>
            </w:pPr>
            <w:r>
              <w:rPr>
                <w:rFonts w:ascii="Arial" w:hAnsi="Arial" w:cs="Arial"/>
                <w:szCs w:val="21"/>
                <w:highlight w:val="none"/>
              </w:rPr>
              <w:t>具备对审方过程和处方/医嘱修改过程进行记录的功能。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问题处方/医嘱自动拦截历史管理</w:t>
            </w:r>
          </w:p>
          <w:p>
            <w:pPr>
              <w:pStyle w:val="133"/>
              <w:spacing w:line="288" w:lineRule="auto"/>
              <w:rPr>
                <w:rFonts w:ascii="Arial" w:hAnsi="Arial" w:cs="Arial"/>
                <w:szCs w:val="21"/>
                <w:highlight w:val="none"/>
              </w:rPr>
            </w:pPr>
            <w:r>
              <w:rPr>
                <w:rFonts w:ascii="Arial" w:hAnsi="Arial" w:cs="Arial"/>
                <w:szCs w:val="21"/>
                <w:highlight w:val="none"/>
              </w:rPr>
              <w:t>具备查看系统自动拦截的历史问题处方/医嘱明细和问题等级的功能；</w:t>
            </w:r>
          </w:p>
          <w:p>
            <w:pPr>
              <w:pStyle w:val="133"/>
              <w:spacing w:line="288" w:lineRule="auto"/>
              <w:rPr>
                <w:rFonts w:ascii="Arial" w:hAnsi="Arial" w:cs="Arial"/>
                <w:szCs w:val="21"/>
                <w:highlight w:val="none"/>
              </w:rPr>
            </w:pPr>
            <w:r>
              <w:rPr>
                <w:rFonts w:ascii="Arial" w:hAnsi="Arial" w:cs="Arial"/>
                <w:szCs w:val="21"/>
                <w:highlight w:val="none"/>
              </w:rPr>
              <w:t>具备对系统自动拦截的历史问题处方/医嘱明细进行批量导出的功能。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问题处方/医嘱人工审核历史管理</w:t>
            </w:r>
          </w:p>
          <w:p>
            <w:pPr>
              <w:pStyle w:val="133"/>
              <w:spacing w:line="288" w:lineRule="auto"/>
              <w:rPr>
                <w:rFonts w:ascii="Arial" w:hAnsi="Arial" w:cs="Arial"/>
                <w:szCs w:val="21"/>
                <w:highlight w:val="none"/>
              </w:rPr>
            </w:pPr>
            <w:r>
              <w:rPr>
                <w:rFonts w:ascii="Arial" w:hAnsi="Arial" w:cs="Arial"/>
                <w:szCs w:val="21"/>
                <w:highlight w:val="none"/>
              </w:rPr>
              <w:t>具备查看所有问题处方/医嘱的信息和人工审方历史回溯的功能；</w:t>
            </w:r>
          </w:p>
          <w:p>
            <w:pPr>
              <w:pStyle w:val="133"/>
              <w:spacing w:line="288" w:lineRule="auto"/>
              <w:rPr>
                <w:rFonts w:ascii="Arial" w:hAnsi="Arial" w:cs="Arial"/>
                <w:szCs w:val="21"/>
                <w:highlight w:val="none"/>
              </w:rPr>
            </w:pPr>
            <w:r>
              <w:rPr>
                <w:rFonts w:ascii="Arial" w:hAnsi="Arial" w:cs="Arial"/>
                <w:szCs w:val="21"/>
                <w:highlight w:val="none"/>
              </w:rPr>
              <w:t>具备通过科室、医生、药品、审方药师、病历号、患者姓名等对历史问题处方/医嘱明细进行筛选的功能；</w:t>
            </w:r>
          </w:p>
          <w:p>
            <w:pPr>
              <w:pStyle w:val="133"/>
              <w:spacing w:line="288" w:lineRule="auto"/>
              <w:rPr>
                <w:rFonts w:ascii="Arial" w:hAnsi="Arial" w:cs="Arial"/>
                <w:szCs w:val="21"/>
                <w:highlight w:val="none"/>
              </w:rPr>
            </w:pPr>
            <w:r>
              <w:rPr>
                <w:rFonts w:ascii="Arial" w:hAnsi="Arial" w:cs="Arial"/>
                <w:szCs w:val="21"/>
                <w:highlight w:val="none"/>
              </w:rPr>
              <w:t>具备对历史问题处方/医嘱明细进行统计、导出和导出格式配置的功能。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打回处方/医嘱历史管理</w:t>
            </w:r>
          </w:p>
          <w:p>
            <w:pPr>
              <w:pStyle w:val="133"/>
              <w:spacing w:line="288" w:lineRule="auto"/>
              <w:rPr>
                <w:rFonts w:ascii="Arial" w:hAnsi="Arial" w:cs="Arial"/>
                <w:szCs w:val="21"/>
                <w:highlight w:val="none"/>
              </w:rPr>
            </w:pPr>
            <w:r>
              <w:rPr>
                <w:rFonts w:ascii="Arial" w:hAnsi="Arial" w:cs="Arial"/>
                <w:szCs w:val="21"/>
                <w:highlight w:val="none"/>
              </w:rPr>
              <w:t>具备对人工干预打回处方/医嘱的医生操作处理进行记录和查看的功能；</w:t>
            </w:r>
          </w:p>
          <w:p>
            <w:pPr>
              <w:pStyle w:val="133"/>
              <w:spacing w:line="288" w:lineRule="auto"/>
              <w:rPr>
                <w:rFonts w:ascii="Arial" w:hAnsi="Arial" w:cs="Arial"/>
                <w:szCs w:val="21"/>
                <w:highlight w:val="none"/>
              </w:rPr>
            </w:pPr>
            <w:r>
              <w:rPr>
                <w:rFonts w:ascii="Arial" w:hAnsi="Arial" w:cs="Arial"/>
                <w:szCs w:val="21"/>
                <w:highlight w:val="none"/>
              </w:rPr>
              <w:t>具备对二次操作的处方/医嘱进行详情记录的功能；</w:t>
            </w:r>
          </w:p>
          <w:p>
            <w:pPr>
              <w:pStyle w:val="133"/>
              <w:spacing w:line="288" w:lineRule="auto"/>
              <w:rPr>
                <w:rFonts w:ascii="Arial" w:hAnsi="Arial" w:cs="Arial"/>
                <w:szCs w:val="21"/>
                <w:highlight w:val="none"/>
              </w:rPr>
            </w:pPr>
            <w:r>
              <w:rPr>
                <w:rFonts w:ascii="Arial" w:hAnsi="Arial" w:cs="Arial"/>
                <w:szCs w:val="21"/>
                <w:highlight w:val="none"/>
              </w:rPr>
              <w:t>具备对在规定时间内没有医生处理的打回处方自动拒配的功能。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问题处方/医嘱报表</w:t>
            </w:r>
          </w:p>
          <w:p>
            <w:pPr>
              <w:pStyle w:val="133"/>
              <w:spacing w:line="288" w:lineRule="auto"/>
              <w:rPr>
                <w:rFonts w:ascii="Arial" w:hAnsi="Arial" w:cs="Arial"/>
                <w:szCs w:val="21"/>
                <w:highlight w:val="none"/>
              </w:rPr>
            </w:pPr>
            <w:r>
              <w:rPr>
                <w:rFonts w:ascii="Arial" w:hAnsi="Arial" w:cs="Arial"/>
                <w:szCs w:val="21"/>
                <w:highlight w:val="none"/>
              </w:rPr>
              <w:t>具备对处方/医嘱问题类型和药品名称等自动生成历史问题处方/医嘱报表的功能；</w:t>
            </w:r>
          </w:p>
          <w:p>
            <w:pPr>
              <w:pStyle w:val="133"/>
              <w:spacing w:line="288" w:lineRule="auto"/>
              <w:rPr>
                <w:rFonts w:ascii="Arial" w:hAnsi="Arial" w:cs="Arial"/>
                <w:szCs w:val="21"/>
                <w:highlight w:val="none"/>
              </w:rPr>
            </w:pPr>
            <w:r>
              <w:rPr>
                <w:rFonts w:ascii="Arial" w:hAnsi="Arial" w:cs="Arial"/>
                <w:szCs w:val="21"/>
                <w:highlight w:val="none"/>
              </w:rPr>
              <w:t>具备对问题处方/医嘱类型和药品名称进行定期回溯的功能。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审方工作量统计</w:t>
            </w:r>
          </w:p>
          <w:p>
            <w:pPr>
              <w:pStyle w:val="133"/>
              <w:spacing w:line="288" w:lineRule="auto"/>
              <w:rPr>
                <w:rFonts w:ascii="Arial" w:hAnsi="Arial" w:cs="Arial"/>
                <w:szCs w:val="21"/>
                <w:highlight w:val="none"/>
              </w:rPr>
            </w:pPr>
            <w:r>
              <w:rPr>
                <w:rFonts w:ascii="Arial" w:hAnsi="Arial" w:cs="Arial"/>
                <w:szCs w:val="21"/>
                <w:highlight w:val="none"/>
              </w:rPr>
              <w:t>具备对处方和医嘱总人次数、总审核数进行统计，并记录药师审核通过和通过的处方医嘱数；</w:t>
            </w:r>
          </w:p>
          <w:p>
            <w:pPr>
              <w:pStyle w:val="133"/>
              <w:spacing w:line="288" w:lineRule="auto"/>
              <w:rPr>
                <w:rFonts w:ascii="Arial" w:hAnsi="Arial" w:cs="Arial"/>
                <w:szCs w:val="21"/>
                <w:highlight w:val="none"/>
              </w:rPr>
            </w:pPr>
            <w:r>
              <w:rPr>
                <w:rFonts w:ascii="Arial" w:hAnsi="Arial" w:cs="Arial"/>
                <w:szCs w:val="21"/>
                <w:highlight w:val="none"/>
              </w:rPr>
              <w:t>具备可对审方整体干预进行统计，统计审核干预率，干预成功率率等指标，也可针对每个审核药师进行相关指标的统计；</w:t>
            </w:r>
          </w:p>
          <w:p>
            <w:pPr>
              <w:pStyle w:val="133"/>
              <w:spacing w:line="288" w:lineRule="auto"/>
              <w:rPr>
                <w:rFonts w:ascii="Arial" w:hAnsi="Arial" w:cs="Arial"/>
                <w:szCs w:val="21"/>
                <w:highlight w:val="none"/>
              </w:rPr>
            </w:pPr>
            <w:r>
              <w:rPr>
                <w:rFonts w:ascii="Arial" w:hAnsi="Arial" w:cs="Arial"/>
                <w:szCs w:val="21"/>
                <w:highlight w:val="none"/>
              </w:rPr>
              <w:t>具备多维度数据排名的统计，如对问题药品的排名统计、问题类型的排名统计、科室用药问题排名统计、医生用药问题排名统计；</w:t>
            </w:r>
          </w:p>
          <w:p>
            <w:pPr>
              <w:pStyle w:val="133"/>
              <w:spacing w:line="288" w:lineRule="auto"/>
              <w:rPr>
                <w:rFonts w:ascii="Arial" w:hAnsi="Arial" w:cs="Arial"/>
                <w:szCs w:val="21"/>
                <w:highlight w:val="none"/>
              </w:rPr>
            </w:pPr>
            <w:r>
              <w:rPr>
                <w:rFonts w:ascii="Arial" w:hAnsi="Arial" w:cs="Arial"/>
                <w:szCs w:val="21"/>
                <w:highlight w:val="none"/>
              </w:rPr>
              <w:t>具备可对药师调整用药规则的排名进行统计。</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前置审方个性化方案设定</w:t>
            </w:r>
          </w:p>
          <w:p>
            <w:pPr>
              <w:pStyle w:val="133"/>
              <w:spacing w:line="288" w:lineRule="auto"/>
              <w:rPr>
                <w:rFonts w:ascii="Arial" w:hAnsi="Arial" w:cs="Arial"/>
                <w:szCs w:val="21"/>
                <w:highlight w:val="none"/>
              </w:rPr>
            </w:pPr>
            <w:r>
              <w:rPr>
                <w:rFonts w:ascii="Arial" w:hAnsi="Arial" w:cs="Arial"/>
                <w:szCs w:val="21"/>
                <w:highlight w:val="none"/>
              </w:rPr>
              <w:t>可对审方方案、审方科室、用户权限、模板配置等进行自定义设置，形成个性化的医疗机构审方方案。</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审方方案配置</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门诊审方方案配置</w:t>
            </w:r>
          </w:p>
          <w:p>
            <w:pPr>
              <w:pStyle w:val="133"/>
              <w:spacing w:line="288" w:lineRule="auto"/>
              <w:rPr>
                <w:rFonts w:ascii="Arial" w:hAnsi="Arial" w:cs="Arial"/>
                <w:szCs w:val="21"/>
                <w:highlight w:val="none"/>
              </w:rPr>
            </w:pPr>
            <w:r>
              <w:rPr>
                <w:rFonts w:ascii="Arial" w:hAnsi="Arial" w:cs="Arial"/>
                <w:szCs w:val="21"/>
                <w:highlight w:val="none"/>
              </w:rPr>
              <w:t>具备对门诊审方设置启用/停用的功能；</w:t>
            </w:r>
          </w:p>
          <w:p>
            <w:pPr>
              <w:pStyle w:val="133"/>
              <w:spacing w:line="288" w:lineRule="auto"/>
              <w:rPr>
                <w:rFonts w:ascii="Arial" w:hAnsi="Arial" w:cs="Arial"/>
                <w:szCs w:val="21"/>
                <w:highlight w:val="none"/>
              </w:rPr>
            </w:pPr>
            <w:r>
              <w:rPr>
                <w:rFonts w:ascii="Arial" w:hAnsi="Arial" w:cs="Arial"/>
                <w:szCs w:val="21"/>
                <w:highlight w:val="none"/>
              </w:rPr>
              <w:t>具备对门诊处方超时自动通过的设置，可设定超时的具体时长的功能；</w:t>
            </w:r>
          </w:p>
          <w:p>
            <w:pPr>
              <w:pStyle w:val="133"/>
              <w:spacing w:line="288" w:lineRule="auto"/>
              <w:rPr>
                <w:rFonts w:ascii="Arial" w:hAnsi="Arial" w:cs="Arial"/>
                <w:szCs w:val="21"/>
                <w:highlight w:val="none"/>
              </w:rPr>
            </w:pPr>
            <w:r>
              <w:rPr>
                <w:rFonts w:ascii="Arial" w:hAnsi="Arial" w:cs="Arial"/>
                <w:szCs w:val="21"/>
                <w:highlight w:val="none"/>
              </w:rPr>
              <w:t>具备对门诊处方打印超时的设置，可设定超时的具体时长的功能；</w:t>
            </w:r>
          </w:p>
          <w:p>
            <w:pPr>
              <w:pStyle w:val="133"/>
              <w:spacing w:line="288" w:lineRule="auto"/>
              <w:rPr>
                <w:rFonts w:ascii="Arial" w:hAnsi="Arial" w:cs="Arial"/>
                <w:szCs w:val="21"/>
                <w:highlight w:val="none"/>
              </w:rPr>
            </w:pPr>
            <w:r>
              <w:rPr>
                <w:rFonts w:ascii="Arial" w:hAnsi="Arial" w:cs="Arial"/>
                <w:szCs w:val="21"/>
                <w:highlight w:val="none"/>
              </w:rPr>
              <w:t>具备将门诊、急诊处方分开进行审核设置的功能；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住院审方方案配置</w:t>
            </w:r>
          </w:p>
          <w:p>
            <w:pPr>
              <w:pStyle w:val="133"/>
              <w:spacing w:line="288" w:lineRule="auto"/>
              <w:rPr>
                <w:rFonts w:ascii="Arial" w:hAnsi="Arial" w:cs="Arial"/>
                <w:szCs w:val="21"/>
                <w:highlight w:val="none"/>
              </w:rPr>
            </w:pPr>
            <w:r>
              <w:rPr>
                <w:rFonts w:ascii="Arial" w:hAnsi="Arial" w:cs="Arial"/>
                <w:szCs w:val="21"/>
                <w:highlight w:val="none"/>
              </w:rPr>
              <w:t>具备对住院医嘱审方设置启用/停用的功能；</w:t>
            </w:r>
          </w:p>
          <w:p>
            <w:pPr>
              <w:pStyle w:val="133"/>
              <w:spacing w:line="288" w:lineRule="auto"/>
              <w:rPr>
                <w:rFonts w:ascii="Arial" w:hAnsi="Arial" w:cs="Arial"/>
                <w:szCs w:val="21"/>
                <w:highlight w:val="none"/>
              </w:rPr>
            </w:pPr>
            <w:r>
              <w:rPr>
                <w:rFonts w:ascii="Arial" w:hAnsi="Arial" w:cs="Arial"/>
                <w:szCs w:val="21"/>
                <w:highlight w:val="none"/>
              </w:rPr>
              <w:t>具备对住院医嘱超时自动通过的设置，可设定超时的具体时长的功能；</w:t>
            </w:r>
          </w:p>
          <w:p>
            <w:pPr>
              <w:pStyle w:val="133"/>
              <w:spacing w:line="288" w:lineRule="auto"/>
              <w:rPr>
                <w:rFonts w:ascii="Arial" w:hAnsi="Arial" w:cs="Arial"/>
                <w:szCs w:val="21"/>
                <w:highlight w:val="none"/>
              </w:rPr>
            </w:pPr>
            <w:r>
              <w:rPr>
                <w:rFonts w:ascii="Arial" w:hAnsi="Arial" w:cs="Arial"/>
                <w:szCs w:val="21"/>
                <w:highlight w:val="none"/>
              </w:rPr>
              <w:t>具备对住院医嘱打印超时的设置，可设定超时的具体时长的功能；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全审方配置</w:t>
            </w:r>
          </w:p>
          <w:p>
            <w:pPr>
              <w:pStyle w:val="133"/>
              <w:spacing w:line="288" w:lineRule="auto"/>
              <w:rPr>
                <w:rFonts w:ascii="Arial" w:hAnsi="Arial" w:cs="Arial"/>
                <w:szCs w:val="21"/>
                <w:highlight w:val="none"/>
              </w:rPr>
            </w:pPr>
            <w:r>
              <w:rPr>
                <w:rFonts w:ascii="Arial" w:hAnsi="Arial" w:cs="Arial"/>
                <w:szCs w:val="21"/>
                <w:highlight w:val="none"/>
              </w:rPr>
              <w:t>具备通过开启全处方审核对所有处方进行人工审核的功能；</w:t>
            </w:r>
          </w:p>
          <w:p>
            <w:pPr>
              <w:pStyle w:val="133"/>
              <w:spacing w:line="288" w:lineRule="auto"/>
              <w:rPr>
                <w:rFonts w:ascii="Arial" w:hAnsi="Arial" w:cs="Arial"/>
                <w:szCs w:val="21"/>
                <w:highlight w:val="none"/>
              </w:rPr>
            </w:pPr>
            <w:r>
              <w:rPr>
                <w:rFonts w:ascii="Arial" w:hAnsi="Arial" w:cs="Arial"/>
                <w:szCs w:val="21"/>
                <w:highlight w:val="none"/>
              </w:rPr>
              <w:t>具备通过关闭全处方审核对较高问题级别的处方进行人工审核的功能。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审方启用科室配置</w:t>
            </w:r>
          </w:p>
          <w:p>
            <w:pPr>
              <w:pStyle w:val="133"/>
              <w:spacing w:line="288" w:lineRule="auto"/>
              <w:rPr>
                <w:rFonts w:ascii="Arial" w:hAnsi="Arial" w:cs="Arial"/>
                <w:szCs w:val="21"/>
                <w:highlight w:val="none"/>
              </w:rPr>
            </w:pPr>
            <w:r>
              <w:rPr>
                <w:rFonts w:ascii="Arial" w:hAnsi="Arial" w:cs="Arial"/>
                <w:szCs w:val="21"/>
                <w:highlight w:val="none"/>
              </w:rPr>
              <w:t>具备设置哪些科室的处方/医嘱进入审方中心进行审核的功能；</w:t>
            </w:r>
          </w:p>
          <w:p>
            <w:pPr>
              <w:pStyle w:val="133"/>
              <w:spacing w:line="288" w:lineRule="auto"/>
              <w:rPr>
                <w:rFonts w:ascii="Arial" w:hAnsi="Arial" w:cs="Arial"/>
                <w:szCs w:val="21"/>
                <w:highlight w:val="none"/>
              </w:rPr>
            </w:pPr>
            <w:r>
              <w:rPr>
                <w:rFonts w:ascii="Arial" w:hAnsi="Arial" w:cs="Arial"/>
                <w:szCs w:val="21"/>
                <w:highlight w:val="none"/>
              </w:rPr>
              <w:t>具备在无设置审方科室范围的情况下默认全院处方都进入审方中心的功能；</w:t>
            </w:r>
          </w:p>
          <w:p>
            <w:pPr>
              <w:pStyle w:val="133"/>
              <w:spacing w:line="288" w:lineRule="auto"/>
              <w:rPr>
                <w:rFonts w:ascii="Arial" w:hAnsi="Arial" w:cs="Arial"/>
                <w:szCs w:val="21"/>
                <w:highlight w:val="none"/>
              </w:rPr>
            </w:pPr>
            <w:r>
              <w:rPr>
                <w:rFonts w:ascii="Arial" w:hAnsi="Arial" w:cs="Arial"/>
                <w:szCs w:val="21"/>
                <w:highlight w:val="none"/>
              </w:rPr>
              <w:t>具备对门诊和急诊分别进行审方科室范围设置的功能；</w:t>
            </w:r>
          </w:p>
          <w:p>
            <w:pPr>
              <w:pStyle w:val="133"/>
              <w:spacing w:line="288" w:lineRule="auto"/>
              <w:rPr>
                <w:rFonts w:ascii="Arial" w:hAnsi="Arial" w:cs="Arial"/>
                <w:szCs w:val="21"/>
                <w:highlight w:val="none"/>
              </w:rPr>
            </w:pPr>
            <w:r>
              <w:rPr>
                <w:rFonts w:ascii="Arial" w:hAnsi="Arial" w:cs="Arial"/>
                <w:szCs w:val="21"/>
                <w:highlight w:val="none"/>
              </w:rPr>
              <w:t>具备设置不拦截来自指定科室处方/医嘱的功能。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处方笺上设置默认药师</w:t>
            </w:r>
          </w:p>
          <w:p>
            <w:pPr>
              <w:pStyle w:val="133"/>
              <w:spacing w:line="288" w:lineRule="auto"/>
              <w:rPr>
                <w:rFonts w:ascii="Arial" w:hAnsi="Arial" w:cs="Arial"/>
                <w:szCs w:val="21"/>
                <w:highlight w:val="none"/>
              </w:rPr>
            </w:pPr>
            <w:r>
              <w:rPr>
                <w:rFonts w:ascii="Arial" w:hAnsi="Arial" w:cs="Arial"/>
                <w:szCs w:val="21"/>
                <w:highlight w:val="none"/>
              </w:rPr>
              <w:t>具备传给医生站在处方笺上指定药师的功能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重点关注审方配置</w:t>
            </w:r>
          </w:p>
          <w:p>
            <w:pPr>
              <w:pStyle w:val="133"/>
              <w:spacing w:line="288" w:lineRule="auto"/>
              <w:rPr>
                <w:rFonts w:ascii="Arial" w:hAnsi="Arial" w:cs="Arial"/>
                <w:szCs w:val="21"/>
                <w:highlight w:val="none"/>
              </w:rPr>
            </w:pPr>
            <w:r>
              <w:rPr>
                <w:rFonts w:ascii="Arial" w:hAnsi="Arial" w:cs="Arial"/>
                <w:szCs w:val="21"/>
                <w:highlight w:val="none"/>
              </w:rPr>
              <w:t>针对需要重点关注的处方/医嘱，包含无问题处方医嘱进行全面审查。</w:t>
            </w:r>
          </w:p>
          <w:p>
            <w:pPr>
              <w:pStyle w:val="133"/>
              <w:spacing w:line="288" w:lineRule="auto"/>
              <w:rPr>
                <w:rFonts w:ascii="Arial" w:hAnsi="Arial" w:cs="Arial"/>
                <w:szCs w:val="21"/>
                <w:highlight w:val="none"/>
              </w:rPr>
            </w:pPr>
            <w:r>
              <w:rPr>
                <w:rFonts w:ascii="Arial" w:hAnsi="Arial" w:cs="Arial"/>
                <w:szCs w:val="21"/>
                <w:highlight w:val="none"/>
              </w:rPr>
              <w:t>具备对住院重点审方设置启用/停用的功能；</w:t>
            </w:r>
          </w:p>
          <w:p>
            <w:pPr>
              <w:pStyle w:val="133"/>
              <w:spacing w:line="288" w:lineRule="auto"/>
              <w:rPr>
                <w:rFonts w:ascii="Arial" w:hAnsi="Arial" w:cs="Arial"/>
                <w:szCs w:val="21"/>
                <w:highlight w:val="none"/>
              </w:rPr>
            </w:pPr>
            <w:r>
              <w:rPr>
                <w:rFonts w:ascii="Arial" w:hAnsi="Arial" w:cs="Arial"/>
                <w:szCs w:val="21"/>
                <w:highlight w:val="none"/>
              </w:rPr>
              <w:t>具备设置多种条件组合，如年龄、性别、诊断、药品进行重点审方方案的配置功能；</w:t>
            </w:r>
          </w:p>
          <w:p>
            <w:pPr>
              <w:pStyle w:val="133"/>
              <w:spacing w:line="288" w:lineRule="auto"/>
              <w:rPr>
                <w:rFonts w:ascii="Arial" w:hAnsi="Arial" w:cs="Arial"/>
                <w:szCs w:val="21"/>
                <w:highlight w:val="none"/>
              </w:rPr>
            </w:pPr>
            <w:r>
              <w:rPr>
                <w:rFonts w:ascii="Arial" w:hAnsi="Arial" w:cs="Arial"/>
                <w:szCs w:val="21"/>
                <w:highlight w:val="none"/>
              </w:rPr>
              <w:t>具备对科室、医生、药房进行分别设置</w:t>
            </w:r>
          </w:p>
          <w:p>
            <w:pPr>
              <w:pStyle w:val="133"/>
              <w:spacing w:line="288" w:lineRule="auto"/>
              <w:rPr>
                <w:rFonts w:ascii="Arial" w:hAnsi="Arial" w:cs="Arial"/>
                <w:szCs w:val="21"/>
                <w:highlight w:val="none"/>
              </w:rPr>
            </w:pPr>
            <w:r>
              <w:rPr>
                <w:rFonts w:ascii="Arial" w:hAnsi="Arial" w:cs="Arial"/>
                <w:szCs w:val="21"/>
                <w:highlight w:val="none"/>
              </w:rPr>
              <w:t>具备对单个处方、当天开具的所有处方以及多日开具的有效处方进行重点关注处方审查</w:t>
            </w:r>
          </w:p>
          <w:p>
            <w:pPr>
              <w:pStyle w:val="133"/>
              <w:spacing w:line="288" w:lineRule="auto"/>
              <w:rPr>
                <w:rFonts w:ascii="Arial" w:hAnsi="Arial" w:cs="Arial"/>
                <w:szCs w:val="21"/>
                <w:highlight w:val="none"/>
              </w:rPr>
            </w:pPr>
            <w:r>
              <w:rPr>
                <w:rFonts w:ascii="Arial" w:hAnsi="Arial" w:cs="Arial"/>
                <w:szCs w:val="21"/>
                <w:highlight w:val="none"/>
              </w:rPr>
              <w:t>具备无人审方时，自动拦截重点审方处方/医嘱的功能。</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审方权限设定</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按科室审方权限设定</w:t>
            </w:r>
          </w:p>
          <w:p>
            <w:pPr>
              <w:pStyle w:val="133"/>
              <w:spacing w:line="288" w:lineRule="auto"/>
              <w:rPr>
                <w:rFonts w:ascii="Arial" w:hAnsi="Arial" w:cs="Arial"/>
                <w:szCs w:val="21"/>
                <w:highlight w:val="none"/>
              </w:rPr>
            </w:pPr>
            <w:r>
              <w:rPr>
                <w:rFonts w:ascii="Arial" w:hAnsi="Arial" w:cs="Arial"/>
                <w:szCs w:val="21"/>
                <w:highlight w:val="none"/>
              </w:rPr>
              <w:t>具备对不同的审方药师分配审方科室的权限的功能。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按药房审方权限设定</w:t>
            </w:r>
          </w:p>
          <w:p>
            <w:pPr>
              <w:pStyle w:val="133"/>
              <w:spacing w:line="288" w:lineRule="auto"/>
              <w:rPr>
                <w:rFonts w:ascii="Arial" w:hAnsi="Arial" w:cs="Arial"/>
                <w:szCs w:val="21"/>
                <w:highlight w:val="none"/>
              </w:rPr>
            </w:pPr>
            <w:r>
              <w:rPr>
                <w:rFonts w:ascii="Arial" w:hAnsi="Arial" w:cs="Arial"/>
                <w:szCs w:val="21"/>
                <w:highlight w:val="none"/>
              </w:rPr>
              <w:t>具备对不同的审方药师分配审方药房的权限的功能。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审方组审方权限设定</w:t>
            </w:r>
          </w:p>
          <w:p>
            <w:pPr>
              <w:pStyle w:val="133"/>
              <w:spacing w:line="288" w:lineRule="auto"/>
              <w:rPr>
                <w:rFonts w:ascii="Arial" w:hAnsi="Arial" w:cs="Arial"/>
                <w:szCs w:val="21"/>
                <w:highlight w:val="none"/>
              </w:rPr>
            </w:pPr>
            <w:r>
              <w:rPr>
                <w:rFonts w:ascii="Arial" w:hAnsi="Arial" w:cs="Arial"/>
                <w:szCs w:val="21"/>
                <w:highlight w:val="none"/>
              </w:rPr>
              <w:t>具备根据病区/科室/药房进行审方权限划分的功能；</w:t>
            </w:r>
          </w:p>
          <w:p>
            <w:pPr>
              <w:pStyle w:val="133"/>
              <w:spacing w:line="288" w:lineRule="auto"/>
              <w:rPr>
                <w:rFonts w:ascii="Arial" w:hAnsi="Arial" w:cs="Arial"/>
                <w:szCs w:val="21"/>
                <w:highlight w:val="none"/>
              </w:rPr>
            </w:pPr>
            <w:r>
              <w:rPr>
                <w:rFonts w:ascii="Arial" w:hAnsi="Arial" w:cs="Arial"/>
                <w:szCs w:val="21"/>
                <w:highlight w:val="none"/>
              </w:rPr>
              <w:t>具备对审方组成员进行编辑并分配审方范围的功能；</w:t>
            </w:r>
          </w:p>
          <w:p>
            <w:pPr>
              <w:pStyle w:val="133"/>
              <w:spacing w:line="288" w:lineRule="auto"/>
              <w:rPr>
                <w:rFonts w:ascii="Arial" w:hAnsi="Arial" w:cs="Arial"/>
                <w:szCs w:val="21"/>
                <w:highlight w:val="none"/>
              </w:rPr>
            </w:pPr>
            <w:r>
              <w:rPr>
                <w:rFonts w:ascii="Arial" w:hAnsi="Arial" w:cs="Arial"/>
                <w:szCs w:val="21"/>
                <w:highlight w:val="none"/>
              </w:rPr>
              <w:t>具备在开启审方组模式时自动关闭科室审方权限和药房审方权限的功能；</w:t>
            </w:r>
          </w:p>
          <w:p>
            <w:pPr>
              <w:pStyle w:val="133"/>
              <w:spacing w:line="288" w:lineRule="auto"/>
              <w:rPr>
                <w:rFonts w:ascii="Arial" w:hAnsi="Arial" w:cs="Arial"/>
                <w:szCs w:val="21"/>
                <w:highlight w:val="none"/>
              </w:rPr>
            </w:pPr>
            <w:r>
              <w:rPr>
                <w:rFonts w:ascii="Arial" w:hAnsi="Arial" w:cs="Arial"/>
                <w:szCs w:val="21"/>
                <w:highlight w:val="none"/>
              </w:rPr>
              <w:t>具备多个审方药师拥有相同范围审方权限的功能；</w:t>
            </w:r>
          </w:p>
          <w:p>
            <w:pPr>
              <w:pStyle w:val="133"/>
              <w:spacing w:line="288" w:lineRule="auto"/>
              <w:rPr>
                <w:rFonts w:ascii="Arial" w:hAnsi="Arial" w:cs="Arial"/>
                <w:szCs w:val="21"/>
                <w:highlight w:val="none"/>
              </w:rPr>
            </w:pPr>
            <w:r>
              <w:rPr>
                <w:rFonts w:ascii="Arial" w:hAnsi="Arial" w:cs="Arial"/>
                <w:szCs w:val="21"/>
                <w:highlight w:val="none"/>
              </w:rPr>
              <w:t>具备叠加设置审方组的审核范围设定、审方超时时间设定的功能。</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审方自动回复模板设定</w:t>
            </w:r>
          </w:p>
          <w:p>
            <w:pPr>
              <w:pStyle w:val="133"/>
              <w:spacing w:line="288" w:lineRule="auto"/>
              <w:rPr>
                <w:rFonts w:ascii="Arial" w:hAnsi="Arial" w:cs="Arial"/>
                <w:szCs w:val="21"/>
                <w:highlight w:val="none"/>
              </w:rPr>
            </w:pPr>
            <w:r>
              <w:rPr>
                <w:rFonts w:ascii="Arial" w:hAnsi="Arial" w:cs="Arial"/>
                <w:szCs w:val="21"/>
                <w:highlight w:val="none"/>
              </w:rPr>
              <w:t>审方药师在回复医生用药建议时，可通过选择设定的审方回复模板，实现高效快捷的医师与药师的线上沟通，具体如下：</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审方自动回复模板编辑</w:t>
            </w:r>
          </w:p>
          <w:p>
            <w:pPr>
              <w:pStyle w:val="133"/>
              <w:spacing w:line="288" w:lineRule="auto"/>
              <w:rPr>
                <w:rFonts w:ascii="Arial" w:hAnsi="Arial" w:cs="Arial"/>
                <w:szCs w:val="21"/>
                <w:highlight w:val="none"/>
              </w:rPr>
            </w:pPr>
            <w:r>
              <w:rPr>
                <w:rFonts w:ascii="Arial" w:hAnsi="Arial" w:cs="Arial"/>
                <w:szCs w:val="21"/>
                <w:highlight w:val="none"/>
              </w:rPr>
              <w:t>具备新增/修改/删除审方回复模板的内容、模板名称的功能；</w:t>
            </w:r>
          </w:p>
          <w:p>
            <w:pPr>
              <w:pStyle w:val="133"/>
              <w:spacing w:line="288" w:lineRule="auto"/>
              <w:rPr>
                <w:rFonts w:ascii="Arial" w:hAnsi="Arial" w:cs="Arial"/>
                <w:szCs w:val="21"/>
                <w:highlight w:val="none"/>
              </w:rPr>
            </w:pPr>
            <w:r>
              <w:rPr>
                <w:rFonts w:ascii="Arial" w:hAnsi="Arial" w:cs="Arial"/>
                <w:szCs w:val="21"/>
                <w:highlight w:val="none"/>
              </w:rPr>
              <w:t>具备新增/修改/删除医生提交理由模版的内容、模板名称的功能；</w:t>
            </w:r>
          </w:p>
          <w:p>
            <w:pPr>
              <w:pStyle w:val="133"/>
              <w:spacing w:line="288" w:lineRule="auto"/>
              <w:rPr>
                <w:rFonts w:ascii="Arial" w:hAnsi="Arial" w:cs="Arial"/>
                <w:szCs w:val="21"/>
                <w:highlight w:val="none"/>
              </w:rPr>
            </w:pPr>
            <w:r>
              <w:rPr>
                <w:rFonts w:ascii="Arial" w:hAnsi="Arial" w:cs="Arial"/>
                <w:szCs w:val="21"/>
                <w:highlight w:val="none"/>
              </w:rPr>
              <w:t>具备按照不同药房设置审方模板的功能。</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审方拦截设置</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问题处方等级设置</w:t>
            </w:r>
          </w:p>
          <w:p>
            <w:pPr>
              <w:pStyle w:val="133"/>
              <w:spacing w:line="288" w:lineRule="auto"/>
              <w:rPr>
                <w:rFonts w:ascii="Arial" w:hAnsi="Arial" w:cs="Arial"/>
                <w:szCs w:val="21"/>
                <w:highlight w:val="none"/>
              </w:rPr>
            </w:pPr>
            <w:r>
              <w:rPr>
                <w:rFonts w:ascii="Arial" w:hAnsi="Arial" w:cs="Arial"/>
                <w:szCs w:val="21"/>
                <w:highlight w:val="none"/>
              </w:rPr>
              <w:t>可更具处方等级的调整来改变审方的提醒和拦截方式</w:t>
            </w:r>
          </w:p>
          <w:p>
            <w:pPr>
              <w:pStyle w:val="133"/>
              <w:spacing w:line="288" w:lineRule="auto"/>
              <w:rPr>
                <w:rFonts w:ascii="Arial" w:hAnsi="Arial" w:cs="Arial"/>
                <w:szCs w:val="21"/>
                <w:highlight w:val="none"/>
              </w:rPr>
            </w:pPr>
            <w:r>
              <w:rPr>
                <w:rFonts w:ascii="Arial" w:hAnsi="Arial" w:cs="Arial"/>
                <w:szCs w:val="21"/>
                <w:highlight w:val="none"/>
              </w:rPr>
              <w:t>具备修改系统审核的处方问题级别并进行查询的功能；</w:t>
            </w:r>
          </w:p>
          <w:p>
            <w:pPr>
              <w:pStyle w:val="133"/>
              <w:spacing w:line="288" w:lineRule="auto"/>
              <w:rPr>
                <w:rFonts w:ascii="Arial" w:hAnsi="Arial" w:cs="Arial"/>
                <w:szCs w:val="21"/>
                <w:highlight w:val="none"/>
              </w:rPr>
            </w:pPr>
            <w:r>
              <w:rPr>
                <w:rFonts w:ascii="Arial" w:hAnsi="Arial" w:cs="Arial"/>
                <w:szCs w:val="21"/>
                <w:highlight w:val="none"/>
              </w:rPr>
              <w:t>具备按照问题大类对问题级别调整并指定门诊住院范围和科室的功能；</w:t>
            </w:r>
          </w:p>
          <w:p>
            <w:pPr>
              <w:pStyle w:val="133"/>
              <w:spacing w:line="288" w:lineRule="auto"/>
              <w:rPr>
                <w:rFonts w:ascii="Arial" w:hAnsi="Arial" w:cs="Arial"/>
                <w:szCs w:val="21"/>
                <w:highlight w:val="none"/>
              </w:rPr>
            </w:pPr>
            <w:r>
              <w:rPr>
                <w:rFonts w:ascii="Arial" w:hAnsi="Arial" w:cs="Arial"/>
                <w:szCs w:val="21"/>
                <w:highlight w:val="none"/>
              </w:rPr>
              <w:t>具备在修改处方问题级别时进行权限验证和管理的功能。</w:t>
            </w:r>
          </w:p>
          <w:p>
            <w:pPr>
              <w:pStyle w:val="133"/>
              <w:spacing w:line="288" w:lineRule="auto"/>
              <w:rPr>
                <w:rFonts w:ascii="Arial" w:hAnsi="Arial" w:cs="Arial"/>
                <w:szCs w:val="21"/>
                <w:highlight w:val="none"/>
              </w:rPr>
            </w:pPr>
            <w:r>
              <w:rPr>
                <w:rFonts w:ascii="Arial" w:hAnsi="Arial" w:cs="Arial"/>
                <w:szCs w:val="21"/>
                <w:highlight w:val="none"/>
              </w:rPr>
              <w:t>具备查看调整和修改处方问题等级的具体操作日志的功能。</w:t>
            </w:r>
          </w:p>
          <w:p>
            <w:pPr>
              <w:pStyle w:val="6"/>
              <w:numPr>
                <w:ilvl w:val="4"/>
                <w:numId w:val="3"/>
              </w:numPr>
              <w:spacing w:before="0" w:after="0" w:line="288" w:lineRule="auto"/>
              <w:rPr>
                <w:rFonts w:ascii="Arial" w:hAnsi="Arial" w:cs="Arial"/>
                <w:sz w:val="21"/>
                <w:szCs w:val="21"/>
                <w:highlight w:val="none"/>
              </w:rPr>
            </w:pPr>
            <w:r>
              <w:rPr>
                <w:rFonts w:ascii="Arial" w:hAnsi="Arial" w:cs="Arial"/>
                <w:sz w:val="21"/>
                <w:szCs w:val="21"/>
                <w:highlight w:val="none"/>
              </w:rPr>
              <w:t>审方打回流程设置</w:t>
            </w:r>
          </w:p>
          <w:p>
            <w:pPr>
              <w:pStyle w:val="133"/>
              <w:spacing w:line="288" w:lineRule="auto"/>
              <w:rPr>
                <w:rFonts w:ascii="Arial" w:hAnsi="Arial" w:cs="Arial"/>
                <w:szCs w:val="21"/>
                <w:highlight w:val="none"/>
              </w:rPr>
            </w:pPr>
            <w:r>
              <w:rPr>
                <w:rFonts w:ascii="Arial" w:hAnsi="Arial" w:cs="Arial"/>
                <w:szCs w:val="21"/>
                <w:highlight w:val="none"/>
              </w:rPr>
              <w:t>可根据医院的需要，来调整审方打回的流程设置</w:t>
            </w:r>
          </w:p>
          <w:p>
            <w:pPr>
              <w:pStyle w:val="133"/>
              <w:spacing w:line="288" w:lineRule="auto"/>
              <w:rPr>
                <w:rFonts w:ascii="Arial" w:hAnsi="Arial" w:cs="Arial"/>
                <w:szCs w:val="21"/>
                <w:highlight w:val="none"/>
              </w:rPr>
            </w:pPr>
            <w:r>
              <w:rPr>
                <w:rFonts w:ascii="Arial" w:hAnsi="Arial" w:cs="Arial"/>
                <w:szCs w:val="21"/>
                <w:highlight w:val="none"/>
              </w:rPr>
              <w:t>具备开启和关闭医生填写二次用药理由的功能；</w:t>
            </w:r>
          </w:p>
          <w:p>
            <w:pPr>
              <w:pStyle w:val="133"/>
              <w:spacing w:line="288" w:lineRule="auto"/>
              <w:rPr>
                <w:rFonts w:ascii="Arial" w:hAnsi="Arial" w:cs="Arial"/>
                <w:szCs w:val="21"/>
                <w:highlight w:val="none"/>
              </w:rPr>
            </w:pPr>
            <w:r>
              <w:rPr>
                <w:rFonts w:ascii="Arial" w:hAnsi="Arial" w:cs="Arial"/>
                <w:szCs w:val="21"/>
                <w:highlight w:val="none"/>
              </w:rPr>
              <w:t>具备对医生写二次用药理由后，处方通过或拦截的功能。</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药房前置审方状态通知</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门急诊发药端用药风险提示</w:t>
            </w:r>
          </w:p>
          <w:p>
            <w:pPr>
              <w:pStyle w:val="133"/>
              <w:spacing w:line="288" w:lineRule="auto"/>
              <w:rPr>
                <w:rFonts w:ascii="Arial" w:hAnsi="Arial" w:cs="Arial"/>
                <w:szCs w:val="21"/>
                <w:highlight w:val="none"/>
              </w:rPr>
            </w:pPr>
            <w:r>
              <w:rPr>
                <w:rFonts w:ascii="Arial" w:hAnsi="Arial" w:cs="Arial"/>
                <w:szCs w:val="21"/>
                <w:highlight w:val="none"/>
              </w:rPr>
              <w:t>具备在门诊发药端查看处方前置审方结果的功能。</w:t>
            </w:r>
          </w:p>
          <w:p>
            <w:pPr>
              <w:pStyle w:val="133"/>
              <w:spacing w:line="288" w:lineRule="auto"/>
              <w:rPr>
                <w:rFonts w:ascii="Arial" w:hAnsi="Arial" w:cs="Arial"/>
                <w:szCs w:val="21"/>
                <w:highlight w:val="none"/>
              </w:rPr>
            </w:pPr>
            <w:r>
              <w:rPr>
                <w:rFonts w:ascii="Arial" w:hAnsi="Arial" w:cs="Arial"/>
                <w:szCs w:val="21"/>
                <w:highlight w:val="none"/>
              </w:rPr>
              <w:t>具备在门诊发药端对较高问题等级和审方超时自动通过的处方进行提示功能。</w:t>
            </w:r>
          </w:p>
          <w:p>
            <w:pPr>
              <w:pStyle w:val="133"/>
              <w:spacing w:line="288" w:lineRule="auto"/>
              <w:rPr>
                <w:rFonts w:ascii="Arial" w:hAnsi="Arial" w:cs="Arial"/>
                <w:szCs w:val="21"/>
                <w:highlight w:val="none"/>
              </w:rPr>
            </w:pPr>
            <w:r>
              <w:rPr>
                <w:rFonts w:ascii="Arial" w:hAnsi="Arial" w:cs="Arial"/>
                <w:szCs w:val="21"/>
                <w:highlight w:val="none"/>
              </w:rPr>
              <w:t>具备对接门诊药房发药系统功能。</w:t>
            </w:r>
          </w:p>
          <w:p>
            <w:pPr>
              <w:pStyle w:val="5"/>
              <w:numPr>
                <w:ilvl w:val="3"/>
                <w:numId w:val="3"/>
              </w:numPr>
              <w:spacing w:before="0" w:after="0" w:line="288" w:lineRule="auto"/>
              <w:rPr>
                <w:rFonts w:eastAsia="宋体" w:cs="Arial"/>
                <w:sz w:val="21"/>
                <w:szCs w:val="21"/>
                <w:highlight w:val="none"/>
              </w:rPr>
            </w:pPr>
            <w:r>
              <w:rPr>
                <w:rFonts w:eastAsia="宋体" w:cs="Arial"/>
                <w:sz w:val="21"/>
                <w:szCs w:val="21"/>
                <w:highlight w:val="none"/>
              </w:rPr>
              <w:t>住院发药端用药风险提示</w:t>
            </w:r>
          </w:p>
          <w:p>
            <w:pPr>
              <w:pStyle w:val="133"/>
              <w:spacing w:line="288" w:lineRule="auto"/>
              <w:rPr>
                <w:rFonts w:ascii="Arial" w:hAnsi="Arial" w:cs="Arial"/>
                <w:szCs w:val="21"/>
                <w:highlight w:val="none"/>
              </w:rPr>
            </w:pPr>
            <w:r>
              <w:rPr>
                <w:rFonts w:ascii="Arial" w:hAnsi="Arial" w:cs="Arial"/>
                <w:szCs w:val="21"/>
                <w:highlight w:val="none"/>
              </w:rPr>
              <w:t>具备在住院发药端查看医嘱前置审方结果的功能。</w:t>
            </w:r>
          </w:p>
          <w:p>
            <w:pPr>
              <w:pStyle w:val="133"/>
              <w:spacing w:line="288" w:lineRule="auto"/>
              <w:rPr>
                <w:rFonts w:ascii="Arial" w:hAnsi="Arial" w:cs="Arial"/>
                <w:szCs w:val="21"/>
                <w:highlight w:val="none"/>
              </w:rPr>
            </w:pPr>
            <w:r>
              <w:rPr>
                <w:rFonts w:ascii="Arial" w:hAnsi="Arial" w:cs="Arial"/>
                <w:szCs w:val="21"/>
                <w:highlight w:val="none"/>
              </w:rPr>
              <w:t>具备在住院发药端对较高问题等级和审方超时自动通过的医嘱进行提示功能。</w:t>
            </w:r>
          </w:p>
          <w:p>
            <w:pPr>
              <w:pStyle w:val="133"/>
              <w:spacing w:line="288" w:lineRule="auto"/>
              <w:rPr>
                <w:rFonts w:ascii="Arial" w:hAnsi="Arial" w:cs="Arial"/>
                <w:szCs w:val="21"/>
                <w:highlight w:val="none"/>
              </w:rPr>
            </w:pPr>
            <w:r>
              <w:rPr>
                <w:rFonts w:ascii="Arial" w:hAnsi="Arial" w:cs="Arial"/>
                <w:szCs w:val="21"/>
                <w:highlight w:val="none"/>
              </w:rPr>
              <w:t>具备对接住院发药系统功能。</w:t>
            </w:r>
          </w:p>
          <w:p>
            <w:pPr>
              <w:pStyle w:val="3"/>
              <w:numPr>
                <w:ilvl w:val="1"/>
                <w:numId w:val="3"/>
              </w:numPr>
              <w:spacing w:before="0" w:after="0" w:line="288" w:lineRule="auto"/>
              <w:rPr>
                <w:rFonts w:eastAsia="宋体" w:cs="Arial"/>
                <w:sz w:val="21"/>
                <w:szCs w:val="21"/>
                <w:highlight w:val="none"/>
              </w:rPr>
            </w:pPr>
            <w:bookmarkStart w:id="85" w:name="_Toc7987"/>
            <w:r>
              <w:rPr>
                <w:rFonts w:eastAsia="宋体" w:cs="Arial"/>
                <w:sz w:val="21"/>
                <w:szCs w:val="21"/>
                <w:highlight w:val="none"/>
              </w:rPr>
              <w:t>抗菌药物管理系统</w:t>
            </w:r>
            <w:bookmarkEnd w:id="85"/>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抗菌药物管理系统需依据国家《抗菌药物临床应用管理办法》、《抗菌药物临床应用指导原则（2015年版）》政策规范，借助信息手段实现对医生开立药品医嘱过程进行监测，需实时管控抗菌药物使用权限、规范抗菌药物使用流程，从而提升抗菌药物使用管理质量。</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抗菌药物规则设置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需提供抗菌药物规则设置功能，抗菌药物的开立、审批权限，抗菌药物等级划分、围手术期使用规则进行管理配置。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具备抗菌药物等级设置功能，包括非限制性、限制性和特殊级抗菌药物。</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具备按职称和按医生两种方式设置医生抗菌药物使用权限功能。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具备医生抗菌药物审批权限设置功能，包括联合用药、三级管控、特殊级抗菌药物会诊和围手术期用药审批权限。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具备围手术期规则设置功能，包括按手术、切口级、科室、用药时机类别，设置对应条件内抗菌药物使用方式（申请使用或直接使用）。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具备抗菌药物医生用药权限规则校验功能：有权使用、允许越级申请、不允许使用。</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抗菌药物联合用药控制</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具备触发联合用药控制条件设置功能，包括联合用药上限设置。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具备联合用药审批流程设置和联合用药申请审批功能，记录联合用药医生及药物。</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抗菌药物三级管理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具备抗菌药物权限分级控制功能，开立抗菌药物时，按医生使用权限控制是否允许使用。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具备抗菌药物治疗目的录入功能，满足详细记录和追踪药物使用目的的需求。</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具备抗菌药物越级使用规则设置功能。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具备非限制级权限医生越级审批申请功能，非限制级权限医生在需要时申请越级审批，通过上级医师审批后使用限制级药品，紧急情况走补签流程。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具备特殊级抗菌药物会诊审批功能，要求特殊级抗菌药物权限的医生在使用特殊级药品前，必须经过抗菌药物会诊专家的审批，紧急情况走补签流程。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具备紧急情况下的临时越级使用功能，满足医生在紧急情况下快速救治患者的需求。</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具备工作流环节调整功能，满足医院根据个性化管理流程调整工作流的需求。</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具备抗菌药物科室使用统计功能，包括：科室出院患者人数、科室抗菌药物使用人数、科室抗菌药物使用率、科室抗菌药物种类数、科室I类切口患者使用抗菌药物患者以及使用率。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具备抗菌药物患者使用查询功能，查询患者使用抗菌药物名称、抗菌药物费用以及占比。</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具备抗菌药物药品使用数量统计功能。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具备抗菌药物使用强度统计功能，按照住院科室维度/病区维度根据抗菌药物设定DDD值以及使用数量，统计具体抗菌药物药物使用强度。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具备查询结果导出EXCEL功能。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围手术期预防性抗菌药物管理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具备围手术期规则设置功能，包括按手术、切口级、科室、用药时机类别，设置对应条件内抗菌药物使用方式（申请使用或直接使用）。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具备按手术切口级控制围手术期用药时长功能。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具备围手术期用药规则设置功能，在特定手术期限内可以允许开立的抗菌药物类别。支持联合开立，支持围手术期预防性抗菌药物控制管理，对术前、术中、术后使用的抗菌药物实行流程控制。</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抗菌药物国家规范文档调阅</w:t>
            </w:r>
          </w:p>
          <w:p>
            <w:pPr>
              <w:pStyle w:val="4"/>
              <w:numPr>
                <w:ilvl w:val="2"/>
                <w:numId w:val="0"/>
              </w:numPr>
              <w:spacing w:before="0" w:after="0" w:line="288" w:lineRule="auto"/>
              <w:ind w:left="400"/>
              <w:rPr>
                <w:rFonts w:ascii="Arial" w:hAnsi="Arial" w:cs="Arial"/>
                <w:b w:val="0"/>
                <w:bCs w:val="0"/>
                <w:sz w:val="21"/>
                <w:szCs w:val="21"/>
                <w:highlight w:val="none"/>
                <w:lang w:bidi="ar"/>
              </w:rPr>
            </w:pPr>
            <w:r>
              <w:rPr>
                <w:rFonts w:ascii="Arial" w:hAnsi="Arial" w:cs="Arial"/>
                <w:b w:val="0"/>
                <w:bCs w:val="0"/>
                <w:sz w:val="21"/>
                <w:szCs w:val="21"/>
                <w:highlight w:val="none"/>
                <w:lang w:bidi="ar"/>
              </w:rPr>
              <w:t>具备抗菌药物规范文档归整分类上传、保存、删除等操作。</w:t>
            </w:r>
          </w:p>
          <w:p>
            <w:pPr>
              <w:pStyle w:val="4"/>
              <w:numPr>
                <w:ilvl w:val="2"/>
                <w:numId w:val="0"/>
              </w:numPr>
              <w:spacing w:before="0" w:after="0" w:line="288" w:lineRule="auto"/>
              <w:ind w:left="400"/>
              <w:rPr>
                <w:rFonts w:ascii="Arial" w:hAnsi="Arial" w:cs="Arial"/>
                <w:sz w:val="21"/>
                <w:szCs w:val="21"/>
                <w:highlight w:val="none"/>
              </w:rPr>
            </w:pPr>
            <w:r>
              <w:rPr>
                <w:rFonts w:ascii="Arial" w:hAnsi="Arial" w:cs="Arial"/>
                <w:b w:val="0"/>
                <w:bCs w:val="0"/>
                <w:sz w:val="21"/>
                <w:szCs w:val="21"/>
                <w:highlight w:val="none"/>
                <w:lang w:bidi="ar"/>
              </w:rPr>
              <w:t>具备按医生、按科室、按病区授权，权限内医生有权调阅。</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抗菌药物审批查询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具备抗菌药物用药申请查询功能，可查看审批进度和审批结果。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具备抗菌药物用药审批查询功能，包括待审批、已审批，满足审批人员查看待处理用药申请单据，并填写审批意见进行审批确认。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具备审批流程记录查看功能，查看用药审批过程记录，包括申请人、科主任审批人员、会诊专家审批人员。</w:t>
            </w:r>
          </w:p>
          <w:p>
            <w:pPr>
              <w:pStyle w:val="3"/>
              <w:numPr>
                <w:ilvl w:val="1"/>
                <w:numId w:val="3"/>
              </w:numPr>
              <w:spacing w:before="0" w:after="0" w:line="288" w:lineRule="auto"/>
              <w:rPr>
                <w:rFonts w:eastAsia="宋体" w:cs="Arial"/>
                <w:sz w:val="21"/>
                <w:szCs w:val="21"/>
                <w:highlight w:val="none"/>
              </w:rPr>
            </w:pPr>
            <w:bookmarkStart w:id="86" w:name="_Toc22443"/>
            <w:r>
              <w:rPr>
                <w:rFonts w:eastAsia="宋体" w:cs="Arial"/>
                <w:sz w:val="21"/>
                <w:szCs w:val="21"/>
                <w:highlight w:val="none"/>
              </w:rPr>
              <w:t>物资管理系统</w:t>
            </w:r>
            <w:bookmarkEnd w:id="86"/>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基础数据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基础数据维护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具备科室、人员、库房、供应商/生产厂商、物资分类、物资维护功能。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具备医院信息系统对接功能，可接收科室、人员信息，并可设置管理属性。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具备分级分类管理库房、设置月结权限和临时入库自动退货天数、是否启用两票制等功能。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具备生产厂商基础信息、资质证照维护功能，资质预警提醒。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具备供应商基础信息、资质证照维护功能，资质预警提醒，针对预警，业务流程控制警示。供应商基础信息变更日志可追溯。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具备国标68分类、2018新分类及自定义分类三种物资分类方式管理功能。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具备手工新建/模版导入物资档案功能，物资属性包括：规格、型号、产品注册证、国家医保编码、国家医保名称、UDI编码等。可将耗材档案与材料收费项目一一对应，物资基础信息变更日志可追溯。</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自定义条码管理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具备自定义条码管理功能，可自定义院内物流码，医院内部生成高值耗材条形码，通过条形码可完成验收入库、移出、计费、追溯业务操作。</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资质管理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具备资质管理功能，包括图片数字化三证管理(可续期、换证)、资质过期或临期自动化预警提醒、采购入库环节控制警示。</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医保贯标管理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具备医保贯标管理功能，可手动新增/批量导入国家医保编码，国家医保编码覆盖计划、请领、采购、入库、出库、消耗全业务流程。</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请领管理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具备按照科室和个人两个维度设置常用物资范围功能，请领时可直接选常用物资。一级库可根据申请向科室二级库进行补货调拨。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提供多种请领单创建方式，包括参照历史请领、使用计划、消耗量。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具备请领控制功能，包括科室申请时间控制、限额控制、限量控制。</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采购管理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具备一级库供货关系维护功能，一个耗材可由多个供应商供货，一个供应商可供货多个耗材。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具备采购计划管理功能，可参照科室请领、科室使用计划、历史采购计划、库存下限要求等方式创建采购计划。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具备采购订单管理功能，根据采购计划制作采购订单，按需定期采购备货耗材，采购内容可按照供应商自动拆分，一次采购，可多次配送，订单状态可跟踪，包括未审核、已审核、已到货等。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采购流程支持“两票制”管理。</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库存管理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一级库进销存</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具备一级库到货验收管理功能，可参照采购订单创建到货验收单，试剂类耗材可记录冷链信息。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具备一级库入库管理功能，低值耗材和检验试剂以普通方式入一级库，实现以领代销；高值耗材以委托方式直销进入二级库，消耗以后再结算，实现零库存管理。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具备一级库出库、移库管理功能，一级库耗材可进行出库消耗、移库调拨。出库消耗和移库调拨可遵循批号效期先进先出原则，且有滞销提醒，批号效期自动化预警。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具备一级库盘点功能，通过人工盘点记录盘点数量，系统自动计算出盘盈、盘亏、正常。</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具备一级库损溢管理功能。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具备一级库退货管理功能，问题耗材可退还给供应商。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级库月结管理功能，提供多种月结管理方式，包括预月结、月结、反月结、暂封。到达月结周期结束时间点，一级库房一键核查是否还有未完成业务且进行月结操作，固化出入盘移数据，为财务结算付款提供辅助支撑。</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二级库进销存</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具备二级库请领管理功能，二级库根据日常使用需求提交请领申请，可参照历史请领、使用计划、消耗量创建请领单，中心库可根据请领内容向科室二级库进行补货调拨。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具备二级库接收管理功能，二级库申请耗材，一级库根据申请进行耗材分发，二级库可自动接收、手动接收。</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具备二级库出库、移库管理功能，二级库耗材可进行出库消耗、移库调拨。出库消耗和移库调拨可遵循批号效期先进先出原则，有滞销提醒，批号效期自动化预警。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具备二级库消耗管理功能。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具备二级库盘点功能，通过人工盘点记录盘点数量，系统自动计算出盘盈、盘亏、正常。</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具备二级库损溢管理功能。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具备二级库退库管理功能，问题耗材或未使用耗材可退还给一级库。</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具备耗材扫码使用功能，条码类耗材在出库、移库、消耗时，均可扫厂商码/院内物流码完成。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具备库存控制管理功能，可设置库存上下限，系统自动匹配当前库存，库存超过上下限自动预警。</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实验试剂进销存</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具备检验试剂到货验收管理功能，可参照采购订单创建到货验收单。试剂类耗材可记录冷链信息，包括到货时间、起运时间、在途温度、运输方式等。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具备检验试剂出入盘移管理功能，具体如下: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具备入库环节记录批次、效期、冷链信息、运输信息等功能。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具备根据批号效期先进先出原则出库消耗功能，实现以领代销。</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具备人工盘点后系统自动计算出盘盈、盘亏、正常功能。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具备试剂效期管理功能，能针对库内耗材进行预警设置，近效期触发报警提示。</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财务管理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发票管理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具备低值耗材、检验试剂在入库时录入发票，实现货票同行功能。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具备高值耗材货票分离功能，先使用，再结算，按照消耗汇总创建采购发票。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具备一个采购发票关联多张消耗单功能。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请款付款管理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具备请款付款管理功能，可标记付款状态，单个或多个请款可一次性付款。</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统计查询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报表数据统计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具备报表数据统计功能，包括进销存月报、科室出库汇总表、科室业务统计表、出入库流水。</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自定义报表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具备自定义报表功能，用户根据实际管理需求，自定义设计日常数据查询模板。</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临床二级库核销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医嘱计费核销</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具备材料与收费项目对应功能，与医院信息系统对接，实现医院信息系统收费项目与耗材字典对应。</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具备低值耗材核销功能，与医院信息系统对接，获取业务系统费用信息后，护士或记账员根据患者的耗材医嘱费用信息，确认并核销对应库房的低值耗材库存。</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具备高值耗材核销功能，与医院信息系统对接，获取业务系统费用信息后，护士或记账员根据患者的耗材医嘱费用信息，扫码并核销对应库房的高值耗材库存。</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耗材核销追溯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具备追溯记录患者耗材使用和医嘱收费情况功能。</w:t>
            </w:r>
          </w:p>
          <w:p>
            <w:pPr>
              <w:pStyle w:val="3"/>
              <w:numPr>
                <w:ilvl w:val="1"/>
                <w:numId w:val="3"/>
              </w:numPr>
              <w:spacing w:before="0" w:after="0" w:line="288" w:lineRule="auto"/>
              <w:rPr>
                <w:rFonts w:eastAsia="宋体" w:cs="Arial"/>
                <w:sz w:val="21"/>
                <w:szCs w:val="21"/>
                <w:highlight w:val="none"/>
              </w:rPr>
            </w:pPr>
            <w:bookmarkStart w:id="87" w:name="_Toc8041"/>
            <w:r>
              <w:rPr>
                <w:rFonts w:eastAsia="宋体" w:cs="Arial"/>
                <w:sz w:val="21"/>
                <w:szCs w:val="21"/>
                <w:highlight w:val="none"/>
              </w:rPr>
              <w:t>医院感染管理系统</w:t>
            </w:r>
            <w:bookmarkEnd w:id="87"/>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院感预警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首页概览</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具备展示监测情况概览数据功能，包括：在院、发热、导尿管、腹泻、隔离人数等指标数据，及与前日数据对比。能够下钻具体数据页面，能够自定义调整指标排列位置。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具备展示待办事项功能，包括：疑似预警、暴发预警、多耐药预警、逾期预警、隔离预警、报卡待审核情况、今日手术情况。</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具备展示重点患者功能，包括：关注患者、高危患者。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具备展示医院感染构成分布功能，包括：病原体、多重耐药、感染部位感染构成比。</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具备展示指标趋势变化图功能，包括：7日发热人数、7日咳嗽人数、7日腹泻人数。</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院感综合查询</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患者查询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具备通过日期段、科室/病区，查询某一天各科室的患者情况功能。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具备通过日期段、住院/出院、科室/病区、住院号、姓名，查询患者情况功能。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具备通过日期段、关注类型，查询患者情况功能。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具备通过日期段查询干预患者情况功能。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具备通过日期段查询高危患者情况功能。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具备对医院血培养的患者情况进行调查功能，调查内容应包括：科室信息、患者基本信息、体征信息、感染信息、血，痰送检信息，抗菌药物使用信息。</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资料查询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具备系统管理员或院感专职人员根据不同类别上传、维护文件功能。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具备系统各角色根据文件名称检索、在线浏览和下载文件功能。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疑似病例预警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具备疑似感染病例查询功能，查询条件包括预警日期、院区/科室/病区、状态、疑似病例、关注状态、在院状态、感染部位，姓名及住院号、排查原因。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具备自动生成疑似病例预警内容功能，预警内容包括：预警日期、疑似感染部位、预警感染因素、重要关注因素、历史报卡记录、出入院诊断信息。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具备下钻查看患者检验中相关感染重点指标功能，包括 C-反应蛋白、降钙素原等。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具备对预警因素分类展示功能，包括：病历、体征、医嘱、检验等。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具备对疑似病例进行待上报、确认、排除处理操作功能。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具备对疑似病例标记为重点关注患者功能。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具备对疑似病例进行代报院感报卡功能。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具备查看查询预警处理记录功能，可查看预警日期、操作人员、操作日期、排查原因。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具备疑似病例条件设置功能，可设置不同感染诊断的触发关键字及其权重值。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应按照《医院感染诊断标准(2001)》要求，内置疑似病例预警规则库。</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院感暴发预警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不同感染聚集事件暴发的预警功能，包括：体温异常（发热和低温）预警、发生腹泻症状预警、检出相同病原体预警、感染相同多重耐药菌预警、感染相同病原体预警、感染相同感染部位预警、感染相同手术部位预警，检出相同多重耐药菌预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具备展示暴发预警事件功能，能够显示科室/病区的预警危险来源、例数、事件状态。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具备查看院感暴发预警明细功能，包括：危险因素、患者信息（住院号、姓名、科室、病区、床号、入院时间、出院时间、责任医生）、发生日期及报卡信息。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预警规则设置功能，包括：体温异常（发热和低温）规则、发生腹泻症状规则、检出相同病原体规则、感染相同多重耐药菌规则、感染相同病原体规则、感染相同感染部位规则、感染相同手术部位规则，检出相同多重耐药菌暴发预警规则。具备设置预警规则的时间间隔、达到人数及对应阈值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高危因素预警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具备根据高危预警因素设置内容进行预警，并能自定义筛选策略检索出存在感染高危患者。</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预警因素包括：发烧、侵袭性操作、三管使用大于48小时、检出阳性菌、使用抗菌药物、手术时长大于3小时、I类切口、年龄大于60岁、腹泻、检出多重耐药菌、尿蛋白异常、血蛋白异常、C-反应蛋白异常。</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具备通过【并且】【或者】的条件关系筛选高危患者功能。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具备在高危预警因素设置中保存已选条件、一键清除已选条件功能。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逾期未上报预警</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具备根据上报日期、科室/病区、报卡状态，查询逾期未上报患者功能。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具备自主设定报卡逾期时间范围功能。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具备对逾期未上报病例标记为确认功能，直接填写院感报卡。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具备对逾期未上报病例核实，确认不是院内感染，支持排查功能，排除为非院内感染。</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具备对逾期未上报病例进行关注和发送干预消息功能。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预警信息医生站集成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支持与医生工作站系统对接，实现在医生站查看院感暴发预警、疑似病例预警、逾期未上报预警信息功能。可对预警病人后进行上报或排除操作。</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具备根据筛选条件进行组合查询院感暴发预警功能。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支持针对多耐药预警进行隔离医嘱下达功能。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支持针对待上报的院感病例在规定时间内没有进行院感报卡填报进行预警提示功能。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院感防控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院感干预与反馈</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感控消息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支持与住院医生站系统、病区护士站系统对接，实现感控专职人员和临床医生、护士端进行感控消息内容收发交互，包括发送和接收文件功能。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具备调用感控预案模板功能，并根据系统预设规则，自动调用指定消息模板进行消息发送。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具备一对一（个人对个人）、一对多（个人对群组）方式发送感控消息功能，并可以患者为对象，查询住院期间每一次消息发送记录，包括：发送人、发送时间、状态（已读、未读）。</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具备自定义维护感控预案模板内容功能，包括：院感上报提醒、感控标准操作流程等。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支持与医生站系统对接，在医生站弹框提醒院感感控消息。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支持与消息平台对接，实现以短信形式将感控消息发送到指定接收人的手机上功能。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患者详情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提供患者感控信息一览，并用不同图标标识发烧、腹泻三管、抗菌药物、病原体、耐药菌、抗菌药物、手术、重点检验信息，并可显示指标详情。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系统自主识别出患者感染风险点，包括侵入性操作、手术信息、检出菌信息及体征等其他信息。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支持与医生工作站系统对接，实现患者医嘱查看功能，并可对三管、抗菌药物、隔离、微生物送检的医嘱分类筛选。以时间轴的方式，查看患者转科、转区、换床医嘱记录。</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支持与护士工作站体征数据对接，实现患者体温、大便次数查看功能。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支持与检验和微生物系统数据对接，实现患者检验及微生物报告查看功能。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支持与检查（心电、超声、CT）数据对接，实现患者检查记录查看功能。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支持与医生站病历系统对接，实现患者住院病历查看功能。可识别病历中上下文内容的感染因素，能够将感染因素进行着色标注。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支持与手术系统对接，实现患者手术信息调阅功能。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支持与医生工作站系统对接，实现患者患者诊断信息调阅功能。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具备查看已提交的院感报卡功能。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具备查看患者疑似记录功能。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具备查看患者历史住院患者详情功能。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支持与患者临床视图对接，实现调阅患者诊疗信息功能。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院感报卡</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院感报卡上报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支持与医生站系统对接，院感报卡嵌入到医生站系统，医生可以选中需要上报的在院患者进行报卡上报，选中需要补报的出院患者进行报卡补报。也可根据筛选条件进行组合查询院感报卡记录。</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院感报卡审核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具备根据日期查询全院各科室/病区的院感报卡信息功能。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具备查看当前院感报卡内容及历史填报记录功能。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具备对院感报卡进行审核、作废、标记漏报迟报功能。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具备打印和导出院感报卡填报记录功能。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感染暴发查询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具备根据日期查询医院感染暴发报卡信息功能。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具备新建报卡进行院感暴发事件上报功能。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具备打印和导出感染暴发填报记录功能。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环境卫生监测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环境卫生</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具备基础信息设置功能，包括环境卫生监测科室、人员、项目、用品、房间、监测区域项目等。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具备根据检测项目的监测频率、检测标准等级设置检测项目数据值功能。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具备针对检测项目新增设定该检测项目的采样方式、采样材料、检测项目、培养天数、启用状态、采样点计算方式以及采样点结果的判断标准功能。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具备科室制定监测计划功能，流程包括：设置监测区域、发布明细登记调查、生成监测计划。科室应设置监测区域，并预设定监测项目。各个科室应查看发布的计划，查看该计划对应的监测项目及监测状态。</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具备院感护士或医生针对环境卫生学监测进行工作跟踪录入功能，并可查看监测结果统计。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具备检验科通过录入样本条码或者通过扫码枪扫描样本条码，接收收到的样本功能。检验科登记检测结果，登记完成后提交审核。审核完成后可上传检测报告。</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支持与实验室管理系统对接，自动获取检测结果值。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具备根据日期段生成监测点统计、消毒效果监测报告统计、初检复检合格率统计、监测任务执行情况统计、监测材料统计功能。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具备通过监测日期段，应能查询各科室的环境卫生学的执行情况。应能查看每项任务的详细执行情况。</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消毒灭菌</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具备手动录入无需采样类别的消毒灭菌的检测值功能，并能自动计算标准值结果及判断是否合格。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具备维护不同环境卫生监测采样类别的标准值、标准值单位、标准值与检测值对应关系、合格与不合格标准及解释说明功能，类别至少包括：空气、物表、污水、手卫生、医疗器械、消毒物品。</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职业防护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职业暴露报卡上报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具备登记与上报职业暴露报卡及评估单功能。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职业暴露审核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具备根据任一日期段查询全院的职业暴露报卡信息功能。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具备查看职业暴露报卡内容及历史填报记录功能。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具备对院感报卡进行审核功能，能够打印和导出职业暴露填报记录。</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职业暴露提醒与统计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具备职业暴露跟踪提醒标记与查询功能，包括提醒人、提醒日期、提醒状态。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具备通过时间、科室/病区查询不同统计条件下职业暴露情况功能，统计条件包括：职业、工龄、接触部位、暴露方式、暴露源、保护措施、关联操作。</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感控目标基础监测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具备感染目标监测统计数据Excel导出 、打印及图表展示功能。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具备自定义勾配置表单显示列功能。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全院综合性监测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医院感染（例次）发病率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具备根据日期段、科室/病区/月份、在院/出院，统计医院感染发病率及医院感染例次发病率功能。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具备下钻查看同期住院患者人数、同期新发生医院感染人数、同期新发生医院感染例次数的明细功能。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医院感染（例次）现患率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具备根据日期、科室/病区，统计医院感染现患率及医院感染现患率例次率功能。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具备下钻查看指定时点住院患者人数、指定时点住院患者中医院感染人数、指定时点住院患者中医院感染例次数明细功能。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千日医院感染（例次）发病率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具备根据日期段、科室/病区/月份、在院/出院，统计千日医院感染（例次）发病率功能。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具备下钻查看确定时段住院患者人数、同期新发生医院感染的患者人数、同期新发生医院感染的例次数明细功能。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多重耐药菌医院感染发生率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具备根据日期段、科室/病区/月份，统计医院多重耐药菌医院感染发生率功能。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具备下钻查看确定时段住院患者人数、同期检出导致医院感染的多重耐药菌人数、同期检出导致医院感染的多重耐药菌的例次数明细功能。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具备统计某一个特定的多重耐药菌的多重耐药菌医院感染发生率功能。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多重耐药菌检出率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具备根据日期段、科室/病区/月份，统计医院多重耐药菌检出率功能。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具备下钻查看确定时段住院患者人数、同期检出菌株的例次数、同期检出多重耐药菌的例次数的明细功能。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具备统计某一个特定的多重耐药菌的多重耐药菌检出率功能。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多重耐药菌医院感染例次千日发生率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具备根据日期段、科室/病区/月份，统计医院多重耐药菌医院感染例次千日发生率功能。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具备下钻查看确定时段住院患者人数、同期检出导致医院感染的多重耐药菌的例次数的明细功能。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多重耐药菌定植例次千日发生率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具备根据日期段、科室/病区/月份，统计多重耐药菌定植例次千日发生率功能。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具备下钻查看确定时段住院患者人数、同期检出定植的多重耐药菌的例次数的明细功能。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抗菌药物使用率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具备根据日期段、科室/病区/月份、住院/出院、抗菌药物等级，统计抗菌药物使用率功能。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具备下钻查看确定时段住院患者人数、同期全身应用抗菌药物的人数明细功能。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抗菌药物治疗前病原学送检率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具备根据日期段、科室/病区/月份、住院/出院、抗菌药物等级，统计抗菌药物治疗前送检率功能。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具备下钻确定时段住院患者人数、同期治疗性应用抗菌药物的人数、同期治疗性应用抗菌药物前病原学送检人数明细功能。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Ⅰ类切口手术部位感染率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具备根据日期段、科室/病区/月份，统计各科室Ⅰ类切口手术部位感染率功能。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具备下钻查看确定时段Ⅰ类切口手术人数、同期Ⅰ类切口手术例次数、Ⅰ类切口手术中发生手术部位感染例次数明细功能。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Ⅰ类切口手术抗菌药物预防使用率</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具备根据日期段、科室/病区/月份，统计各科室Ⅰ类切口手术抗菌药物预防使用率功能。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具备下钻查看确定时段Ⅰ类切口手术人数、同期Ⅰ类切口手术例次数、Ⅰ类切口手术中预防性应用抗菌药物的例次数的明细功能。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Ⅰ类切口手术术后24小时内停药率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具备根据日期段、科室/病区/月份，统计各科室Ⅰ类切口手术术后24小时内停药率功能。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具备下钻查看确定时段Ⅰ类切口手术术后预防性应用抗菌药物例次数、同期Ⅰ类切口手术术后预防性应用抗菌药物的手术例次中24小时内停药的手术例次数的明细功能。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Ⅰ类切口手术抗菌药物预防使用术前0.5-2小时给药率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具备根据日期段、科室/病区/月份，统计各科室Ⅰ类切口手术抗菌药物预防使用术前0.5-2小时给药率功能。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具备下钻查看确定时段Ⅰ类切口手术人数、同期Ⅰ类切口手术例次数、同期Ⅰ类切口手术中手术当天预防性应用抗菌药物的手术例次数、同期Ⅰ类切口手术中手术当天首次预防性应用抗菌药物的给药时间在术前 0.5-2 小时的手术例次数的明细功能。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血管导管相关血流感染发病率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具备根据日期段、科室/病区/月份,统计各科室血管导管相关血流感染发病率功能。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具备下钻查看确定时段住院患者人数、同期中央血管导管使用人数、同期新发生CLABSI例次数明细功能。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呼吸机相关肺炎发病率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具备根据日期段、科室/病区/月份，统计各科室呼吸机相关肺炎发病率功能。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具备下钻查看确定时段住院患者人数、同期呼吸机使用人数、同期新发生VAP例次数的明细功能。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导尿管相关泌尿道感染发病率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具备根据日期段、科室/病区/月份，统计各科室导尿管相关泌尿道感染发病率功能。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具备下钻查看确定时段住院患者人数、同期导尿管使用人数、同期新发生CAUTI例次数的明细功能。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手卫生依从性统计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具备按月份、按科室，统计汇总手卫生依从性功能。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统计包括人员类型、时机数、调查人数、调查人次数、手卫生次数、正确手卫生次数、依从率、正确率。</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医院感染发病率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具备根据日期段、科室/病区、在院/出院，统计感染发病率功能。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具备下钻查看住院患者人数、医院感染人数、医院感染例数、医院感染漏报例数、医院感染送检人数明细功能。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千日医院感染发病率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具备根据日期段、科室/病区/月份、在院/出院，统计千日医院感染发病率功能。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具备下钻查看住院患者人数、医院感染人数、医院感染例数明细功能。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医院感染感染部位分布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具备根据日期段、科室/病区、在院/出院，统计医院感染感染部位（按部位、按细项）分布功能。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具备下钻查看住院患者人数、医院感染人数、医院感染例数明细功能。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医院感染易感因素分布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具备根据日期段、科室/病区、在院/出院，统计各科室医院感染易感因素分布功能。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具备下钻查看住院患者人数、医院感染人数、医院感染例数明细功能。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侵袭性操作监测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CAUTI（导尿管相关尿路感染）</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统计医院导尿管相关尿路感染功能，包括：住院患者人数、住院患者导尿管使用人数、住院患者住院天数、住院患者导尿管使用天数、尿道插管使用率、导尿管相关尿路感染例次数、导尿管相关尿路感染发病率、尿路感染例数指标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具备下钻查看住院患者人数、住院患者导尿管使用人数明细功能。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CLABSI（中央血管导管相关血流感染）</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统计医院中央血管导管相关血流感染情况功能，包括：住院患者人数、中央血管导管使用人数、中央导管使用人数明细、中央血管导管使用天数、中央血管导管使用率、中央血管导管相关血流感染例次数及发病率、血流相关感染例数指标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具备下钻查看住院患者人数、中央血管导管使用人数明细功能。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VAP（呼吸机相关肺炎）</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统计医院呼吸机相关肺炎功能，包括：住院患者人数、呼吸机使用人数、呼吸机使用人数明细、住院患者呼吸机使用天数、呼吸机使用率、呼吸机相关肺炎发病率、下呼吸道感染例数指标值。</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具备下钻查看住院患者人数、呼吸机使用人数明细功能。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现患率监测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现患率调查登记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具备根据调查日期当天的在院人数+出院/死亡人数-新入院人数，展示本次所有现患率调查病人列表（不包括入院不满 48 小时的患者）功能。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具备对本科室需现患率调查的患者进行登记功能。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现患率调查登记审核</w:t>
            </w:r>
          </w:p>
          <w:p>
            <w:pPr>
              <w:pStyle w:val="133"/>
              <w:widowControl/>
              <w:adjustRightInd w:val="0"/>
              <w:snapToGrid w:val="0"/>
              <w:spacing w:line="288" w:lineRule="auto"/>
              <w:rPr>
                <w:rFonts w:ascii="Arial" w:hAnsi="Arial" w:cs="Arial"/>
                <w:b/>
                <w:bCs/>
                <w:szCs w:val="21"/>
                <w:highlight w:val="none"/>
              </w:rPr>
            </w:pPr>
            <w:r>
              <w:rPr>
                <w:rFonts w:hint="eastAsia" w:ascii="Arial" w:hAnsi="Arial" w:cs="Arial"/>
                <w:b/>
                <w:bCs/>
                <w:szCs w:val="21"/>
                <w:highlight w:val="none"/>
              </w:rPr>
              <w:t>▲</w:t>
            </w:r>
            <w:r>
              <w:rPr>
                <w:rFonts w:ascii="Arial" w:hAnsi="Arial" w:cs="Arial"/>
                <w:b/>
                <w:bCs/>
                <w:szCs w:val="21"/>
                <w:highlight w:val="none"/>
              </w:rPr>
              <w:t>具备现患率调查多级审核功能，科主任或院感医生进行初审后由院感科进行复审。</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现患率调查登记患者详情</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具备通过调查日期、科室/病区、感染类型，查询现患率调查患者情况功能。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具备查看患者现患率个案登记表内容功能。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具备院感科医生可对科室上报的现患率个案调查表进行复审功能。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科室现患率及感染部位分布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具备通过调查日期、科室/病区、感染类型查询查看本次现患率调查科室现患率及感染部位分布情况功能。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具备下钻查看应查人数、实查人数、现患人数、现患例数明细功能。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现患率抗菌药物使用汇总</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具备根据调查日期，科室/病区、感染类型，统计查看本次调查科室现患率调查抗菌药物使用情况功能。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具备按照用药目的分类统计抗菌药物使用率、送检率、治疗前送检率、不同级别抗菌药物治疗前送检率等相关数据功能。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具备下钻查看实查人数、抗菌药物使用人数、手术人数明细功能。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现患病原体及感染部位分布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具备根据调查日期、科室/病区、感染类型，统计查看本次现患率调查病原体及感染部位分布情况功能。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具备下钻病原体数量、涉及的感染部位数明细功能。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抗菌药物使用监测</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抗菌药物使用率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具备根据日期段、科室/病区、在院/出院，统计抗菌药物使用率功能。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具备下钻查看住院患者人数、抗菌药物使用人数、一联用药、二联用药、三联用药、四联用药人数功能。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抗菌药物送检率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具备根据日期段、科室/病区、在院/出院统计抗菌药物送检率功能。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具备下钻查看住院患者人数、抗菌药物使用人数、抗菌药物送检人数、抗菌药物送检阳性人数、抗菌药物未送检人数功能。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抗菌药物使用目的汇总</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具备根据抗菌药物用药目的、送检情况，统计抗菌药物使用目的汇总功能。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应能按照治疗、预防两种不同用药目的，分类统计使用率、送检率、治疗前送检率、不同级别抗菌药物治疗前送检率等相关数据功能。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具备下钻查看住院患者人数、抗菌药物使用人数、抗菌药物预防使用人数、抗菌药物治疗使用人数、抗菌药物治疗使用病原学送检人数、非指向特定病原学送检人数明细功能。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抗菌药物治疗前使用抗菌药物分级送检率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具备根据日期段、科室/病区、在院/出院，统计不同级别抗菌药物治疗前使用送检率功能。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具备按照非限制级、限制级、特殊级抗菌药物统计抗菌药物使用人数、送检人数、送检率等相关数据功能。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具备下钻查看住院患者人数、抗菌药物使用人数、治疗使用抗菌药物人数、治疗使用送检人数、治疗使用血培养送检人数明细功能。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I类切口围手术期预防使用抗菌药物汇总</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具备根据日期段、科室/病区、出院/出院，统计全院I类切口围手术期预防用药情况功能。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 I 类切口手术例数、I 类切口抗菌药物使用例数、术前 0.5-2 小时给药例数、术后 24 小时停药例数、术后 28小时停药例数功能。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围手术期抗菌药物预防自查表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具备根据日期段、科室/病区、切口类别，统计全院围手术期抗菌药物使用自查表情况功能，包括：患者基本信息、手术信息、术（前、中、后）使用抗菌药物。</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医生治疗使用抗菌药物</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具备根据日期段、科室/病区、在院/出院，统计各个医生治疗使用抗菌药物功能。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具备下钻查看医生治疗使用抗菌药物人数、治疗使用抗菌药物送检人数、治疗使用（非限制级、限制级、特殊级）抗菌药物使用人数、治疗使用（非限制级、限制级、特殊级）抗菌药物送检人数功能。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抗菌药物综合情况查询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具备根据日期段、科室/病区、在院/出院，统计各个患者使用抗菌药物功能，包括是否非限制级、是否限制级、是否特殊级、是否手术、是否检出病原体。</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重点抗菌药物联用送检率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具备根据日期段、科室/病区、在院/出院，统计重点抗菌药物联用送检率情况功能，重点抗菌药物支持医院自定义配置。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具备下钻查看住院患者人数、抗菌药物使用人数、一联用药、二联用药、三联用药、四联及以上用药人数明细功能。</w:t>
            </w:r>
          </w:p>
          <w:p>
            <w:pPr>
              <w:pStyle w:val="6"/>
              <w:numPr>
                <w:ilvl w:val="4"/>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抗菌药物治疗前病原学送检率按医生统计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具备根据日期段、科室/病区、在院/出院，统计医生抗菌药物治疗前送检情况功能。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具备下钻查看抗菌药物、治疗前送检人数、治疗用药人数明细功能。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手卫生依从性调查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具备手卫生调查登记功能，调查内容应包括：调查日期、调查科室/病区、调查类型、调查对象、调查开始时间以及持续时长。</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具备对调查对象信息进行登记功能。登记内容应包括：登记调查对象每个时机所处的阶段、指征、手卫生措施、结果、存在问题、备注、是否提问、提问是否掌握等。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具备调查时机添加、删除功能。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具备通过调查时间、调查类型、科室、调查者查询历史手卫生调查登记信息功能。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具备通过日期段、科室/病区、调查类型对手卫生依从性进行统计功能。能够按照不同维度进行统计，包括：按科室统计、按月份统计、按岗位统计、按指征统计、按不正确原因统计。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具备下钻时机数、调查人数、调查人次数、手卫生次数、正确手卫生次数等数据明细功能。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防控督导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患者督导</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具备患者督导检查内容登记功能。应能记录患者的责任护士，并逐一对检查要素进行登记。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具备通过督导时间、患者类型、督导类型、科室/病区，查询已督导的数据功能。根据不同患者类型，展示不同患者督导记录数据。能够查看患者督导内容详情。</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日期段、督导类型对患者督导统计功能。能够按不同维度进行统计，包括手术患者督导执行率统计、多耐药患者督导执行率统计、导尿管患者督导执行率统计、中央血管患者督导执行率统计。能对查询结果数据导出、打印及图表展示。</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科室督导</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具备通过督导日期段、督导类型、反馈状态查询历史科室督导记录功能。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具备对手术室、ICU、临床、医技科、口腔科、内镜科等科室登记科室督导信息功能。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具备逐一对检查要素进行登记功能，确定检查内容是否执行，并可登记备注或证据信息。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具备登记督导科室的改进反馈信息及存在的问题功能。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患者荧光标记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具备院感专职人员新增、修改、删除患者荧光标记信息功能。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具备根据督导时间、科室/病区、患者信息查询荧光标记功能。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具备根据督导时间、科室/病区、切口类别统计各科室荧光标记完成率、荧光标记点完成率功能。能够查询结果数据导出、打印及图表展示。</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病原微生物及多重耐药菌监控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病原微生物监测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具备根据日期段统计病原体检出情况功能。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具备根据日期段、科室/病区、细菌类型、是否医院感染，统计细菌种类数量及构成比功能。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具备根据日期段、科室/病区，统计送检科室、送检标本阳性率功能，并能下钻查看送检份数、阳性份数明细。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具备根据日期段、科室/病区、是否医院感染，统计查询病原体耐药趋势功能，并能下钻查看药敏试验例数明细。</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细菌耐药性监测</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多重耐药预警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具备根据日期段、科室/病区、检出日期/送检日期、多耐药菌类型、处理状态、处理方式、是否入院48小时内送检，统计查询检出多耐药菌并进行预警功能。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具备通过药敏试验单号查看患者药敏实验数据功能。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具备对预警多耐药患者纳入多耐药患者督导清单功能。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具备对预警进行标记处理功能，标记内容应包括医院感染、社区感染、定植、污染。</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多重耐药菌送检率、感染发生率</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具备根据日期段、科室/病区，统计全院多重耐药菌送检率、感染发生率功能。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具备下钻查看住院患者人数、病原体总检出株数、多重耐药菌检出株数、多重耐药菌医院感染人数、多重耐药菌医院感染例次数、多重耐药菌定植例数功能。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检出多重耐药菌构成比</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具备根据日期段、科室/病区、医院感染等统计检出多重耐药菌构成比功能，多重耐药菌检出去重，并能下钻查看多重耐药菌检出数量明细。</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多重耐药菌耐药趋势</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具备根据日期段、科室/病区、医院感染统计多重耐药菌耐药趋势情况功能，并可下钻展示试验例数。</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多重耐药2小时内未下隔离医嘱预警</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具备通过日期段、科室/病区、送检时间/检出时间、耐药菌类型，统计出所有被检出多种耐药菌感染且2个小时内医生没有下隔离医嘱的患者功能。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具备通过药敏试验单号查看患者药敏实验数据功能。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具备对预警出来的患者纳入多耐药患者督导清单功能。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多重耐药隔离率统计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具备通过日期段、科室/病区、送检时间/检出时间，统计多重耐药隔离率功能。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多重耐药菌感染发生（例次）率</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具备通过送检日期段、科室/病区、菌种，统计多重耐药菌感染发生(例次)率功能。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手术目标监测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手术日报</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支持与手术麻醉系统或手术管理系统对接，实现根据手术日期段、科室/病区，查询医院每日手术情况功能。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具备针对手术患者进行随访信息登记功能，登记患者的联系方式、切口愈合情况以及回访情况说明等。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具备选择任一个手术患者纳入手术患者督导范围功能。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手术安排查询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具备根据手术安排日期段、科室/病区，查询手术安排情况功能，包括：患者基本信息、手术名称、手术地点、手术安排时间、手术等级、切口类别等。</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手术部位感染发病率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具备根据手术日期段、科室/病区、感染部位、切口类别，统计手术部位发病率功能，包括：手术人数、手术例数、手术部位感染发生率%、全院手术部位感染占比%。</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具备下钻查看手术例数、手术部位感染例数明细数据功能。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不同切口类别感染发病率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具备根据日期段、科室/病区/月份、感染诊断，统计各不同切口类别的手术例数、手术部位感染例数及手术部位感染例数功能。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具备下钻查看手术例数、手术部位感染例数指标值明细功能。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NNIS分级手术部位感染发病率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具备根据日期段、科室/病区/月份、切口类别，统计各NNIS分级手术部位感染发病率功能。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具备下钻查看手术例数、手术部位感染例数、表浅切口感染例数、深部切口感染例数、器官/腔隙感染例数指标值明细功能。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手术切口愈合率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具备根据日期段、科室/病区、切口类别，统计各科室手术切口愈合率功能。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具备下钻查看手术切口总例数、未归档手术例数、手术部位愈合例数指标值明细功能。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手术医生感染专率</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具备根据日期段、科室/病区、切口类别，统计各手术医生感染专率功能，包括医生手术例数、手术部位感染例数、医师感染发病专率、平均危险指数、医师调整感染发病专率功能。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具备下钻查看手术例数、手术部位感染例数明细功能。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ICU监测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具备根据选择月份，统计每一天ICU科室患者情况功能，可下钻查看住院人数、月报汇总统计明细。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具备按月份统计ICU患者危险等级评分完成情况功能，针对未评审的患者，可按照标准进行1-5分的危险等级评分。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具备按月份统计ICU科室患者危险等级评分情况功能，可能下钻查看每种危险评分等级明细。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具备根据日期段、住院/出院，统计ICU患者感染发病率功能，并能下钻查看每种危险评分等级明细。</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NICU监测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具备根据日期段，统计每一天 NICU科室患者情况功能，可下钻查看住在人数、月报汇总统计信息。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具备根据日期段、住院/出院，统计 NICU科室统计不同体重新生儿患者感染情况功能，可下钻查看住院患者人数、医院感染人数明细。</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手卫生用品领用信息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具备通过日期段、科室/病区，查看全院各科室关于手卫生用品领用数据功能。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具备根据科室床日数展示各用品的日使用量功能。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具备登记各科室针手卫生用品领用信息功能。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具备对用品清单进行配置功能，设置用品的厂商名称、规格系数等。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具备根据领用日期、科室/病区、领用人，查看手卫生相关物资领用详情功能，包括：所属科室/病区，用品名称、厂商名称、规格系数、数量、领用日期、领用人。</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具备维护不同类型的手卫生用品对应的商品名称、厂商、规格信息功能。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支持与院内物资管理系统对接，获取手卫生用品数据。</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哨点医院数据上报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具备导出由哨点医院要求上传国家院感质控平台的抗菌药物治疗病原学送检率数据文件包功能。</w:t>
            </w:r>
          </w:p>
          <w:p>
            <w:pPr>
              <w:pStyle w:val="2"/>
              <w:numPr>
                <w:ilvl w:val="0"/>
                <w:numId w:val="3"/>
              </w:numPr>
              <w:spacing w:before="0" w:after="0" w:line="288" w:lineRule="auto"/>
              <w:rPr>
                <w:rFonts w:ascii="Arial" w:hAnsi="Arial" w:cs="Arial"/>
                <w:sz w:val="21"/>
                <w:szCs w:val="21"/>
                <w:highlight w:val="none"/>
              </w:rPr>
            </w:pPr>
            <w:bookmarkStart w:id="88" w:name="_Toc560"/>
            <w:bookmarkStart w:id="89" w:name="_Toc31656"/>
            <w:r>
              <w:rPr>
                <w:rFonts w:ascii="Arial" w:hAnsi="Arial" w:cs="Arial"/>
                <w:sz w:val="21"/>
                <w:szCs w:val="21"/>
                <w:highlight w:val="none"/>
              </w:rPr>
              <w:t>医疗管理</w:t>
            </w:r>
            <w:bookmarkEnd w:id="88"/>
            <w:bookmarkEnd w:id="89"/>
          </w:p>
          <w:p>
            <w:pPr>
              <w:pStyle w:val="3"/>
              <w:numPr>
                <w:ilvl w:val="1"/>
                <w:numId w:val="3"/>
              </w:numPr>
              <w:spacing w:before="0" w:after="0" w:line="288" w:lineRule="auto"/>
              <w:rPr>
                <w:rFonts w:eastAsia="宋体" w:cs="Arial"/>
                <w:sz w:val="21"/>
                <w:szCs w:val="21"/>
                <w:highlight w:val="none"/>
              </w:rPr>
            </w:pPr>
            <w:bookmarkStart w:id="90" w:name="_Toc17285"/>
            <w:r>
              <w:rPr>
                <w:rFonts w:eastAsia="宋体" w:cs="Arial"/>
                <w:sz w:val="21"/>
                <w:szCs w:val="21"/>
                <w:highlight w:val="none"/>
              </w:rPr>
              <w:t>病案统计管理系统</w:t>
            </w:r>
            <w:bookmarkEnd w:id="90"/>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病案首页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病案首页录入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具备根据出院日期、医生提交日期、出院科室、逾期情况、标签、状态等条件查询出待录入的病案首页数据。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符合国家和各省卫生健康委员会最新发布的标准的中、西医病案首页信息的录入功能。病案首页内容按照基本信息、诊断信息、住院信息、手术信息、费用信息等模块划分的功能，可以通过点击通过选项卡切换的方式方便定位到对应模块的首页信息，也可以使用鼠标对整个首页进行滚动查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具备诊断、手术信息录入条目不受限制功能，可进行新增、插入、上移、下移、删除和手术复制操作。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具备病案首页删除功能，可以选择性删除未录入的首页或已录入的首页，删除后的病案首页可以查看删除记录进行恢复。</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具备首页录入规则配置功能，提供不少于800条内置质控规则，包括国家住院病案首页数据质量管理与控制指标（2016）、公立医院绩效考核上报、HQMS上报等，且规则可以进行编辑和添加。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具备根据不同科室以及中、西医首页类型，在不同的时间段内启用不同的评分项和规则，规则可选择为错误类或提示类功能。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校验功能，在首页录入保存时对首页数据的质量进行校验，返回所有错误问题列表。编码员可对问题进行忽略。点击具体的一个问题时，会自动定位到具体的首页录入框，且首页录入框会进行颜色标记并显示问题原因。</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首页录入模板配置功能，可通过拖拽新增首页模板中的各个字段，拖拽调整首页项位置，修改首页分类和展示的栅格布局等。同时可在首页录入模板中直接配置所有首页字段是否必填、录入约束、长度、默认值（固定值/字典、其他首页项）、备注、是否禁用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具备病案首页样式自定义配置功能，在病案首页录入时，可以自定义配置病案首页的标题、录入框、提示等字体大小和背景颜色，同时支持默认模式和护眼模式切换。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具备病案首页修改留痕功能，首页所有首页项的内容修改后都可以查询修改记录，包括修改前和修改后的数据对比，以及修改人和修改时间。</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具备在录入界面快捷切换到上/下一份待录入或检索病案号的首页数据继续进行录入功能。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具备医生病案首页与病案室首页数据对比功能，支持同时显示医生提交的完整病案首页数据和病案室录入完成的完整病案首页数据，通过颜色标记出不同。</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支持与住院医生站系统对接，接收病案首页数据和是否已提交等状态。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首页催交天数提醒功能，支持配置首页催交消息提醒时限，医生未提交病案首页，按配置的催交天数进行提醒。支持与住院医生站对接，病案室发起病案首页催交后，在住院医生站中可以查看到催交消息提醒，并点击消息直接进入病案首页编辑页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支持与住院医生站对接，在住院医生站中可以查看到消息提醒，并点击消息直接进入待办项，可以直接编辑病案首页。</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院信息系统对接，在首页录入时单份重新导入患者最新的费用信息。也支持批量首页费用重导，通过出院日期、首页状态、费用平衡状态等条件查询出病案信息，可以对病案首页的费用信息进行浏览、删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支持与病案无纸化系统对接，在首页录入时同一个界面右侧显示病案无纸化的患者PDF病历文件，方便对比查看。</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病案首页查询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具备多种病案首页查询功能，包括：按病案号、出院日期、录入时间、出院科室、手术诊断、手术医生、住院医生、主要诊断和次要诊断。</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具备自定义配置综合查询的查询条件功能，所有首页字段可作为查询条件，拖动首页项可任意组合成查询条件模板保存或者直接进行查询。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自定义配置综合查询的结果显示模板功能，所有病案首页字段可作为查询结果列，对于设置结果列时可以拖动排列显示顺序，可以设置哪些作为查询条件的排序列，可以设置按病人显示查询、按诊断多行显示查询、手术多行显示查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具备所有首页字段作为查询结果展示功能，选择首页自动可任意组合成查询结果模板。</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数据字典管理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具备标准字典查询和维护功能，包括诊断字典、手术字典、地址字典、付款方式字典、关系字典、麻醉方式字典等。自带多套标准字典版本，不同时间段可启用不同字典版本。</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具备权限科室维护功能，可维护人员对应菜单的权限科室、权限病区及工作科室。在首页录入、查询等有科室条件的菜单，只有权限科室才能选择，根据工作科室进行默认勾选。</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具备病案处理时效配置功能，包含病案首页录入、医生提交的及时、逾期天数维护。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具备在病案主页中显示病案待办项和用户自己的常用功能，待办项包括本期首页提交和首页录入的待办项和数量，点击数量跳转到对应的数据列表。</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纸质病案回收</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具备查询纸质病案回收情况、医生站病案首页是否提交状态功能。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具备通过查询条件查询病案进行批量回收或使用扫码枪扫描病案条码一键回收功能，本次回收和今日回收的病案能分别直观展示。</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支持与医院信息系统对接，查询出区/出院患者的基本信息。</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首页汇总分析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需提供对病案首页进行汇总分析功能，包括诊断编码汇总、录入工作量分析、首页录入对比查询、病案首页修改留痕查询、出院人数核对、医生提交首页分析、编码符合情况分析、病案回收录入概览。</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诊断编码汇总功能，对全院或者指定科室、诊断类型，按照章节、类目、亚目、细目等展示编码分布情况，提供排序图表和汇总表格展示。点击编码能够查看到下级编码的排名情况，点击人数则可以查看具体患者的明细。可以按照科室显示数据，也可以展示全院的分布情况。</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具备其他查询分析功能，比如录入工作量分析、首页录入对比查询、病案首页修改留痕查询、出院人数核对、医生提交首页分析、编码符合情况分析、病案回收录入概览。</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统计报表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日志管理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需提供对门诊工作日志、病房工作日志等进行导入、查询、修改和生成日报表的功能。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具备各种工作日志的录入和修改功能。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具备病案首页数据与病房动态日志数据间的平衡核查功能，可查看首页和日志的出院人数是否一致，可查看不一致数字差额的具体患者明细。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具备日志查询功能，可按照日期和科室条件进行日志数据查询。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支持与医院信息系统对接，实现自动导入门诊、住院工作日志数据功能，包括：门诊工作日志、病房工作日志等汇总和患者明细日志数据。支持每天固定时间自动导入，也支持选择时间段导入。</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门诊/住院报表统计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系统需提供基于门诊和病房日志数据以及病案首页数据进行报表设计、报表统计和报表管理功能，可对报表进行汇总、加锁、解锁、打印和导出等操作。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具备多种类型报表直接汇总功能，包括：日报、月报、季报、年报、台账、一览表、顺位表等报表。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具备日报、月报、季报、年报汇总后会自动保存汇总数据功能。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具备报表加锁、解锁功能，已加锁的报表只能查看，不能重新汇总。</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标准的报表指标和统计维度数据，并可添加、修改、配置指标口径。需提供满足基本统计要求的标准指标数据，包括：首页人数相关、手术相关、门诊日志相关、占比相关、病房日志相关、首页费用相关、医疗质量相关、中医相关等。需提供不少于20个标准的统计维度或维度组，包括：科室维度、手术维度、病种维度、切口愈合等级维度、性别维度、时间维度、科室+手术维度组、病种+科室维度组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定义新报表设计的功能。选择报表指标和统计维度拖拽生成新报表，可以修改报表表头名称和调整列宽、设置多表头显示、拖拽列进行排序、设置顺位表、设置固定值、添加序号列、设置排序列、添加总计行、添加冻结列等功能，同时可以查看到指标的算法说明。打印模板可根据报表内容自动生成，并同时支持定制修改打印模板功能。配置的报表可以进行汇总、导出和打印，导出所见即所得。</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病种管理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需提供对病种分类进行管理的功能，包括病种分类和具体病种条件维护，用于统计报表。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具备病种分类设置功能。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具备病种条件维护功能，包括：科室、住院天数、入院途径、年龄、住院次数、诊断信息、手术信息等条件组合而成，可添加诊断条件、手术条件组合成“且”“或”的单条件和条件组。</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具备病种报表的自定义设计和统计功能，可通过维护的各种病种分类自定义配置成各种病种分类统计报表。病种报表中的病种分类基础数据可随政策要求变更，用户可以自定义维护变动的病种信息。</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病案首页医院个性化附页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具备在标准病案首页的基础上修改或增加病案首页附页功能，如支医保、DIP/DRG首页单独进行诊断手术编码录入。</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国家网络直报系统 (卫统4表)上报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需提供满足卫统四首页上报要求的病案首页上报功能。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国家网络直报出院病人调查表上报要求对病案首页进行批量生成核查功能，将核查出的结果列在列表上，列表可以按日期进行汇总显示和按病案明细显示。病案明细包括首页基本信息、核查的提示类问题和错误类问题，可直接打开相应的病案首页进行编辑。</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具备按照日期生成上报数据，导出卫统4上报要求的文件，满足国家网络直报（卫统4表）的上报格式要求。</w:t>
            </w:r>
          </w:p>
          <w:p>
            <w:pPr>
              <w:pStyle w:val="133"/>
              <w:widowControl/>
              <w:autoSpaceDE w:val="0"/>
              <w:adjustRightInd w:val="0"/>
              <w:snapToGrid w:val="0"/>
              <w:spacing w:line="288" w:lineRule="auto"/>
              <w:rPr>
                <w:rFonts w:ascii="Arial" w:hAnsi="Arial" w:cs="Arial"/>
                <w:b/>
                <w:bCs/>
                <w:szCs w:val="21"/>
                <w:highlight w:val="none"/>
              </w:rPr>
            </w:pPr>
            <w:r>
              <w:rPr>
                <w:rFonts w:hint="eastAsia" w:ascii="Arial" w:hAnsi="Arial" w:cs="Arial"/>
                <w:b/>
                <w:bCs/>
                <w:szCs w:val="21"/>
                <w:highlight w:val="none"/>
              </w:rPr>
              <w:t>▲</w:t>
            </w:r>
            <w:r>
              <w:rPr>
                <w:rFonts w:ascii="Arial" w:hAnsi="Arial" w:cs="Arial"/>
                <w:b/>
                <w:bCs/>
                <w:szCs w:val="21"/>
                <w:highlight w:val="none"/>
              </w:rPr>
              <w:t>具备首页上报按照日期导出其他格式文件，包括CSV、Excel格式、Excel中文表头格式。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具备生成结果查看功能，可对病案生成值和原始值进行对比查看预览和导出。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具备字典对照功能，院内麻醉方式、科室、诊断、手术等首页所有字典都可和上报要求标准字典不同的字典进行对照设置，字典值名称相同，快速自动对照。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字段配置和上报字典配置功能，上报字段配置包括新增上报字段、修改上报字段对应的病案首页字段、对应的字典、是否必填、字段类型、长度和默认值等功能，上报字典配置包含导入字典、新增字典、关联病案首页字典等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公立医院绩效考核病案首页上报系统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需提供满足公立医院绩效考核首页上报要求的病案首页上报功能。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具备根据公立医院绩效考核首页上报要求对病案首页进行批量生成核查功能，并能将核查结果生成列表，按按日期进行汇总显示和按病案进行明细显示。病案明细可按错误类病案、提示问题类病案进行过滤显示。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具备字典对照功能，院内麻醉方式、科室、诊断、手术等首页所有字典都可和上报要求标准字典不同的字典进行对照设置，字典值名称相同，快速自动对照。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具备导出符合上报要求的病案首页采集表、疾病诊断映射表、手术操作映射表功能。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具备首页上报按照日期导出其他格式文件，包括CSV、Excel格式、Excel中文表头格式。具备生成结果查看功能，可对病案生成值和原始值进行对比查看预览和导出。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字段配置和上报字典配置功能，上报字段配置包括新增上报字段、修改上报字段对应的病案首页字段、对应的字典、是否必填、字段类型、长度和默认值等功能，上报字典配置包含导入字典、新增字典、关联病案首页字典等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具备公立医院绩效考核中病案首页相关的指标生成统计报表功能。</w:t>
            </w:r>
          </w:p>
          <w:p>
            <w:pPr>
              <w:pStyle w:val="3"/>
              <w:numPr>
                <w:ilvl w:val="1"/>
                <w:numId w:val="3"/>
              </w:numPr>
              <w:spacing w:before="0" w:after="0" w:line="288" w:lineRule="auto"/>
              <w:rPr>
                <w:rFonts w:eastAsia="宋体" w:cs="Arial"/>
                <w:sz w:val="21"/>
                <w:szCs w:val="21"/>
                <w:highlight w:val="none"/>
              </w:rPr>
            </w:pPr>
            <w:bookmarkStart w:id="91" w:name="_Toc15227"/>
            <w:r>
              <w:rPr>
                <w:rFonts w:eastAsia="宋体" w:cs="Arial"/>
                <w:sz w:val="21"/>
                <w:szCs w:val="21"/>
                <w:highlight w:val="none"/>
              </w:rPr>
              <w:t>HQMS数据上报系统</w:t>
            </w:r>
            <w:bookmarkEnd w:id="91"/>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HQMS首页数据上报系统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需提供满足HQMS首页上报要求的病案首页上报功能。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HQMS首页上报要求对病案首页进行批量生成核查功能，将核查出的结果列在列表上，列表可以按日期进行汇总显示和按病案明细显示。病案明细包括首页基本信息、核查的提示类问题和错误类问题，可直接打开相应的病案首页进行编辑。</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具备字典对照功能，院内麻醉方式、科室、诊断、手术等首页所有字典都可和上报要求标准字典不同的字典进行对照设置，字典值名称相同，快速自动对照。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具备生成满足HQMS上报格式要求的文件进行导出功能。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具备首页上报按照日期导出其他格式文件，包括CSV、Excel格式、Excel中文表头格式。具备生成结果查看功能，可对病案生成值和原始值进行对比查看预览和导出。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字段配置和上报字典配置功能，上报字段配置包括新增上报字段、修改上报字段对应的病案首页字段、对应的字典、是否必填、字段类型、长度和默认值等功能，上报字典配置包含导入字典、新增字典、关联病案首页字典等功能。</w:t>
            </w:r>
          </w:p>
          <w:p>
            <w:pPr>
              <w:pStyle w:val="3"/>
              <w:numPr>
                <w:ilvl w:val="1"/>
                <w:numId w:val="3"/>
              </w:numPr>
              <w:spacing w:before="0" w:after="0" w:line="288" w:lineRule="auto"/>
              <w:rPr>
                <w:rFonts w:eastAsia="宋体" w:cs="Arial"/>
                <w:sz w:val="21"/>
                <w:szCs w:val="21"/>
                <w:highlight w:val="none"/>
              </w:rPr>
            </w:pPr>
            <w:bookmarkStart w:id="92" w:name="_Toc29933"/>
            <w:r>
              <w:rPr>
                <w:rFonts w:eastAsia="宋体" w:cs="Arial"/>
                <w:sz w:val="21"/>
                <w:szCs w:val="21"/>
                <w:highlight w:val="none"/>
              </w:rPr>
              <w:t>医疗不良事件管理系统</w:t>
            </w:r>
            <w:bookmarkEnd w:id="92"/>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提供事件统一处理工作台，能快速进入上报事件，并进行待办事项实时提醒和处理。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流程的自定义管理功能，根据医院的实际情况提供灵活的事件处理流程配置工具，支持审批环节的添加、修改、删除等操作，支持为不同的科室、病区设置对应的审批负责人，方便不同科室为不良事件配置对应的处理流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 xml:space="preserve">具备自定义的权限管理功能，支持对用户进行账号授权、密码管理等，支持对用户进行角色的配置与授权，可以控制数据查询权限与审批权限，支持对角色的菜单进行授权，不同的角色有不同的菜单权限。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常用的数据与查询功能，支持全院的事件查询、提供多层级的事件查询报表，可以根据事件类别、事件级别、事件名称、事件发生的时间段、上报科室、患者年龄等上报的数据进行多方位的汇总，根据年、季度、月份的筛选，真实、全面、准确的了解事件的分布，为管理者提供数据分析支撑。</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具备科室目标设置功能，可设置各部门需要上报数量的目标，监测完成情况，有权限的人员可查看自己的科室上报任务达成情况。</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支持上报的奖励统计功能，可根据实际情况开启/关闭上报奖励机制开关，开启后支持自定义设置具体事件上报奖励金额。</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具备对超时未上报 / 未处理的事件进行超时上报提醒与统计功能，可根据医院的管理需要，开启/关闭超时上报提醒与统计功能，支持根据不同的事件等级对不良事件的上报时限进行管理。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具备超时处理统计功能，可根据医院的管理需要，开启/关闭超时处理统计功能，支持根据不同的事件等级对不良事件的处理时限进行管理。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表单的自定义管理功能，医院根据自身需求，可以定义事件类型及事件上报内容，支持对表单的排版格式、各类组件、文本内容、字典项等内容进行手动的添加、修改、删除等操作，满足医院对事件管理的多样性与全面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具备匿名/非匿名上报功能，可以为不同的表单分别开启或关闭匿名上报功能，开启匿名上报功能后，上报人的相关个人信息会在后续审核过程中被隐藏。</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具备跨级别上报功能，可以开启或关闭跨级别上报功能，上报人可以在审批环节中，任选其中一环节进行审核，该环节之后的审批流程正常进行。</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具备对事件进行审核、驳回、归档、作废、跟踪、分发、转送、分享、关注等操作。</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护理类不良事件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护理类不良事件的填报、处理、查询统计功能，包括烧烫伤事件、管路事件、跌倒/坠床事件、患者约束事件、误吸/误咽事件、营养与饮食事件、医疗安全事件、导管事件、标本事件、患者行为、压疮事件、输液不良反应、给药阶段错误、用血错误、病人财产事件、针刺伤事件、药品丢失、药物外渗、失禁相关性皮炎。</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支持与临床护理信息系统对接，实现自动获取压疮评分功能。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医疗类不良事件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疗类不良事件的填报、处理、查询统计功能，包括病人辨识事件、检查事件、手术事件、麻醉事件、医疗处置事件、非预期事件、医疗沟通事件、前术后诊断重大差异、信息传递错误事件、治疗错误事件、诊疗记录事件、方法/技术错误事件、手术相关并发症事件。</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药品类不良事件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药品类不良事件的填报、处理、查询统计功能，包括药品不良反应、化妆品不良反应、药物医嘱开立错误、药物调剂错误、传送过程错误、信息流转错误、药品召回事件、贵重药品丢失及损毁事件、特殊药品事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支持与医院管理信息系统对接，实现调阅用药信息功能。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输血类不良事件 </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具备输血类不良事件的填报、处理、查询统计功能，包括输血不良反应、输血不良事件。</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器械类不良事件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具备在不良事件管理工作台上，进行器械不良事件的填报、处理、查询统计功能。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支持与物资管理系统对接，实现调阅医疗设备/医用耗材信息功能。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院感类不良事件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具备院感类不良事件的填报、处理、查询统计功能，包括聚集性医院感染、特殊医院感染事件、医院感染防控隐患、多重耐药菌事件、医疗废物事件。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具备同时对多个患者、多个职工的感染情况进行上报功能。</w:t>
            </w:r>
          </w:p>
          <w:p>
            <w:pPr>
              <w:pStyle w:val="3"/>
              <w:numPr>
                <w:ilvl w:val="1"/>
                <w:numId w:val="3"/>
              </w:numPr>
              <w:spacing w:before="0" w:after="0" w:line="288" w:lineRule="auto"/>
              <w:rPr>
                <w:rFonts w:eastAsia="宋体" w:cs="Arial"/>
                <w:sz w:val="21"/>
                <w:szCs w:val="21"/>
                <w:highlight w:val="none"/>
              </w:rPr>
            </w:pPr>
            <w:bookmarkStart w:id="93" w:name="_Toc9477"/>
            <w:r>
              <w:rPr>
                <w:rFonts w:eastAsia="宋体" w:cs="Arial"/>
                <w:sz w:val="21"/>
                <w:szCs w:val="21"/>
                <w:highlight w:val="none"/>
              </w:rPr>
              <w:t>病案示踪管理系统</w:t>
            </w:r>
            <w:bookmarkEnd w:id="93"/>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病案流转示踪</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纸质病案移交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患者出院后，医护人员对本科室或病区纸质病案进行移交登记，同时在系统上记录病案的移交状态。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具备多种移交模式，包括医生移交→护士移交、护士移交→医生移交、护士直接移交、医生直接移交。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具备医生移交功能，通过出院日期、病案号、姓名、出院科室、出院病区查询待移交病案进行移交。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具备护士移交功能，通过出院日期、病案号、姓名、出院科室、出院病区查询未移交病案进行移交。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具备逾期未移交病案提醒，病案移交登记，已移交病案查询功能。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具备封面打印功能，能根据配置的模板打印病案封面。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支持与住院医生站系统、住院护士站系统对接，将病案签出界面嵌入到住院医生站系统、住院护士站系统，在医生站、护士站完成病案的签出操作。</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纸质病案回收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病案室对医护人员移交至病案室的纸质病案进行回收登记，系统记录病案的回收状态。同时能查询到期未回收的病案进行跟踪管理，确保所有出院患者纸质病案都能准确、及时回收。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具备对纸质病案回收登记功能，并能提供多种回收流程，包括护士移交→病案室回收、医生移交→病案室回收、病案室直接回收。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具备多条件查询待回收病案功能，包括出院日期、签出日期、病案号、姓名、出院科室、出院病区。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具备多种回收方式功能，包括通过查询条件查询病案批量回收或扫码枪扫码病案条码一键回收。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具备回收病案示踪轴查看功能，病案移交回收节点、操作人和操作时间能在示踪轴上直观展示。</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病案催缴</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查询医护人员未及时上交的纸质病案，对于逾期的发起催缴。系统能记录催缴人及催缴时间，便于跟踪管理。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具备对未及时移交病案催缴功能。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具备一键催缴所有逾期未移交病案功能。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具备催缴消息定向发送功能，只有住院医生或护士才能收到站内催缴消息提醒。</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支持与消息平台对接，实现催缴消息通过短信进行发送功能。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病案缺陷登记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需提供缺损的病案缺损登记功能，记录缺损内容。能发送整改通知给医生，医生能查看整改内容并进行回复。病案室对整改项进行确认。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具备缺损内容登记功能，登记内容包括缺损内容、病案未整理、病案未粘贴、打印不清晰。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具备按签收日期、病案号、姓名、科室、病区等条件查询需整改病案功能。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具备医生或护士查看需整改病案并对整改内容进行回复功能。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具备病案室对已回复的整改单进行整改确认功能。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支持与住院医生站、住院护士站对接，将病案缺损整改功能嵌入到医生站、护士站，在医生站护士站完成整改。</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病案内部流转</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具备病案室纸质病案的内部流转登记功能，包括回收、整理、质控、修订、上架、总检、录入节点。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具备病案室内部分组自定义维护功能。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具备病案内部签出后自动签入或内部签出后手动签入功能。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具备在内部签出时手动选择下一签收分组功能。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条码技术</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需提供条码生成功能，能根据规则生成条码并打印，打印样式支持自定义配置。能通过扫码抢扫码条码查询病案位置。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具备条码定位病案功能。能使用“扫描枪”扫描病案条码快速操作，包括护士签出、病案回收、病案内部流转、病案查询、借阅、复印。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具备病案条码打印功能，能根据病案号、姓名、次数、出院科室、出院日期自动生成条码。</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病案示踪轴</w:t>
            </w:r>
          </w:p>
          <w:p>
            <w:pPr>
              <w:pStyle w:val="133"/>
              <w:widowControl/>
              <w:adjustRightInd w:val="0"/>
              <w:snapToGrid w:val="0"/>
              <w:spacing w:line="288" w:lineRule="auto"/>
              <w:rPr>
                <w:rFonts w:ascii="Arial" w:hAnsi="Arial" w:cs="Arial"/>
                <w:b/>
                <w:bCs/>
                <w:szCs w:val="21"/>
                <w:highlight w:val="none"/>
              </w:rPr>
            </w:pPr>
            <w:r>
              <w:rPr>
                <w:rFonts w:hint="eastAsia" w:ascii="Arial" w:hAnsi="Arial" w:cs="Arial"/>
                <w:b/>
                <w:bCs/>
                <w:szCs w:val="21"/>
                <w:highlight w:val="none"/>
              </w:rPr>
              <w:t>▲</w:t>
            </w:r>
            <w:r>
              <w:rPr>
                <w:rFonts w:ascii="Arial" w:hAnsi="Arial" w:cs="Arial"/>
                <w:b/>
                <w:bCs/>
                <w:szCs w:val="21"/>
                <w:highlight w:val="none"/>
              </w:rPr>
              <w:t>需提供完整病案示踪时间轴查看功能，能在示踪轴上查看病案完整的流转状态，包括入院、入区、出区、出院、签出、签收、病案室内部流转、入库、借阅、复印、封存。</w:t>
            </w:r>
          </w:p>
          <w:p>
            <w:pPr>
              <w:pStyle w:val="5"/>
              <w:numPr>
                <w:ilvl w:val="3"/>
                <w:numId w:val="3"/>
              </w:numPr>
              <w:spacing w:before="0" w:after="0" w:line="288" w:lineRule="auto"/>
              <w:ind w:firstLine="40"/>
              <w:rPr>
                <w:rFonts w:eastAsia="宋体" w:cs="Arial"/>
                <w:b/>
                <w:bCs/>
                <w:sz w:val="21"/>
                <w:szCs w:val="21"/>
                <w:highlight w:val="none"/>
              </w:rPr>
            </w:pPr>
            <w:r>
              <w:rPr>
                <w:rFonts w:eastAsia="宋体" w:cs="Arial"/>
                <w:b/>
                <w:bCs/>
                <w:sz w:val="21"/>
                <w:szCs w:val="21"/>
                <w:highlight w:val="none"/>
              </w:rPr>
              <w:t>病案回收统计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需提供相关病案回收统计报表，包括病案回收率统计，内部工作量统计。统计时能自动排除节假日。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具备病案回收率统计功能，包括病案1日回收率、3日回收率、7日回收率；回收天数支持自定义维护。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具备回收统计时自动排除节假日的功能。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具备节假日自定义维护功能，系统内置通用节假日。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具备按科室、科室+医生、病区、住院医生、科主任多种维度统计病案回收率。</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具备病案示踪撤销工作量统计功能。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病案入库</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入库登记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需提供病案入库登记功能，能对已完成质控、编码的病案进行入库，并记录病案的入库位置。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具备根据库房、货架、箱号完成病案入库登记功能。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具备批量手动选择病案或扫码枪扫描条码快速完成病案入库登记功能。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具备已入库病案记录查询及数据导出功能。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移库登记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需提供病案移库功能，能对已入库病案批量移库至其它库房位置，并记录移库位置。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具备根据库房、货架、箱号完成病案移库登记功能。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具备通过批量选择病案或扫码病案条码快速完成病案迁库、移库功能。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具备根据病案号段查询批量移库功能。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库房维护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需提供库房自定义维护功能，包括库房、货架、箱号维护，且箱号绑定货架、货架绑定库房。</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具备箱号自动生成功能，可根据箱号前缀及位数自动生成，在入库时根据设置规则自动生成下一箱号。</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病案复印计费</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复印登记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需提供患者复印登记功能，可登记申请人信息及上传患者授权证件，支持通过高拍上传证件。提供多种申请类型，包括预收费，快递邮寄功能。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提供多种病案复印申请类型，包括个人申请、代理人申请、机构申请。</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提供多种取件方式，包括预约时间自取、快递。</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具备复印登记预收费功能。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具备患者复印需要医生授权申请才能复印或病案室直接复印登记功能。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具备患者身份证件读取、授权文件上传功能，授权文件能在线查看预览。</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复印收费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需提供病案复印收费功能，能根据申请的复印目的及页数自动计算应收金额，并支持多种支付方式，包括微信、支付宝。</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具备对已复印登记病案进行收费功能。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具备收费标准、复印目的、复印内容自定义维护功能，包括按页或按份收费，根据不同的目的设置不同的收费标准，配置目的下允许复印的病历内容。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具备复印人关系字典维护、复印机构类型自定义维护功能。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复印发件</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具备复印收费完成进行寄件登记功能，可登记快递单号、物流公司。</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具备已发件记录查询功能。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复印统计</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具备病案复印记录查询、复印费用、工作量统计功能。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病案借阅</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借阅申请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需提供病案借阅申请功能，医生可根据临床要求借阅病案。借阅天数自动带出，医生可在限制范围内调整。</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具备医护人员因不同目的借阅病案功能，包括科研、教学、晋升等，借阅目的能根据需求自定义配置。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具备多条件查询借阅病案功能，包括住院号、患者姓名、出院日期、出院科室、出院病区，查询病案能显示病案可借状态及预计可借时间。</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支持与医生站系统对接，将病案借阅申请功能嵌入到医生站系统，临床医生可以在医生站借阅病案。</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借阅审核</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具备借阅审核功能，审核人员能在系统上收到消息提醒，并支持批量审核。</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具备借阅多级审核、审核流程自定义配置功能，能根据借阅目的配置不同的审核流程，包括科主任审核、病案室审核、分管院长审核。</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病案借出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需提供病案借出功能，通过扫码快速借出，并打印借出登记表，方便跟踪管理。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具备对已审核通过的病案借阅登记功能。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具备多条件查询待借出病案功能，包括申请日期、科室、病案号、姓名、在库状态、借阅人。</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具备借阅病案位置打印功能，方便去库房查找。</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具备借阅人的借阅归还情况查询功能，包括借阅份数，未归还份数，按时归还率、逾期归还率。</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直接借出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具备病案直接借出功能，针对特殊人员无需提交借阅申请，可在系统查询病案直接借出，并记录借阅人及借阅天数。</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具备借出时登记借阅人、借阅天数功能。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具备借阅时查看病案状态功能，包括病案位置、借出状态及预计可借时间。</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病案归还</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需提供病案归还功能，通过扫码病案条码快速完成归还。针对逾期不归还的病案，可发起催还，并记录催还次数及明细。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具备对已借出病案进行归还登记功能。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具备多条件查询待归还病案功能，包括借阅日期、病案号、姓名、借阅人、借阅人科室。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具备在归还时显示借出病案状态的功能，包括病案借阅天数、病案超期情况。</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具备对借阅到期未及时归还病案进行催还的功能，催还支持发送站内消息提醒。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支持与消息平台对接，实现通过短信发送催还病案消息提醒功能。</w:t>
            </w:r>
          </w:p>
          <w:p>
            <w:pPr>
              <w:pStyle w:val="3"/>
              <w:numPr>
                <w:ilvl w:val="1"/>
                <w:numId w:val="3"/>
              </w:numPr>
              <w:spacing w:before="0" w:after="0" w:line="288" w:lineRule="auto"/>
              <w:rPr>
                <w:rFonts w:eastAsia="宋体" w:cs="Arial"/>
                <w:sz w:val="21"/>
                <w:szCs w:val="21"/>
                <w:highlight w:val="none"/>
              </w:rPr>
            </w:pPr>
            <w:bookmarkStart w:id="94" w:name="_Toc32286"/>
            <w:r>
              <w:rPr>
                <w:rFonts w:eastAsia="宋体" w:cs="Arial"/>
                <w:sz w:val="21"/>
                <w:szCs w:val="21"/>
                <w:highlight w:val="none"/>
              </w:rPr>
              <w:t>病案首页质控管理系统</w:t>
            </w:r>
            <w:bookmarkEnd w:id="94"/>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病案首页质控评分规则管理</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病案首页质控评分规则管理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系统需提供质控规则和评分标准维护功能，用于医生提交首页时调用质控规则进行自动质控和病案室人工质控时根据质控规则添加问题。要求如下：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质控场景维护功能，不同的时间段、不同科室、不同首页类型（中医、西医）和不同场景（包括医生提交首页、病案首页质控、首页编码抽查等）可启用质控体系下的不同评分项和评分规则，启用的规则包括人工质控规则和自动质控规则，自动质控规则可以设置成错误类或提示类。</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具备配置多套质控体系功能，每套质控体系包括不同的评分项、扣分组、评分规则。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具备评分项和扣分组维护功能，可多种扣分方式，包括评分项总扣分、评分项每项扣分、乙级/丙级单项否决、扣分组（多个评分项组成）最大扣分，评分项可关联到具体的首页项。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具备评分项下自动质控规则和人工质控规则维护功能，根据关联的首页项导入相关自动质控规则。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具备系统自带病案首页自动质控规则功能，包括卫统4上报、公立医院绩效考核上报、HQMS上报、DRGs上报。提供符合各省市要求的标准质控规则。同一质控规则可来源于不同的质控标准。</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数据字典管理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需提供对病案首页字典进行查询和维护的功能，不同时间段可启用不同字典版本。</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具备标准字典查询和维护功能，包括诊断字典、手术字典、地址字典、付款方式字典、关系字典、麻醉方式字典等。自带多套标准字典版本，不同时间段可启用不同字典版本。</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具备权限科室维护功能，包括操作人员在每个菜单下的权限科室、权限病区和工作科室，在首页录入、查询等有科室条件的菜单，只有权限科室才能选择，根据工作科室进行默认勾选。</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病案首页事前监控</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病案自动质控</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系统需提供根据不同质控场景的自动质控规则进行自动质控的服务和功能，要求如下：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临床信息系统对接，根据设置的质控规则，在医生站提交首页时进行医生提交场景的实时自动质控。质控不通过则提交不成功，并在医生站实时显示问题列表和得分情况。点击具体问题，会自动定位到具体的首页录入框，且首页录入框会进行颜色标记并显示问题原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室人工质控场景的自动质控功能，根据病案首页质控场景的自动质控规则，在病案室人工质控前进行自动质控，记录自动质控问题，质控得分、等级、问题类型。辅助病案室人工质控。可以人工添加问题。</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首页问题特批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系统需提供医生提交首页时质控不通过问题的特批功能，要求如下：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支持医生提交首页的质控问题，在特殊情况下无需解决时，医生进行质控问题的特批申请功能。病案室相关审核人员针对特批申请内容逐条进行驳回或通过审核功能。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具备特批审核通过后，医生再次提交该份病案首页特批通过的问题不再进行校验功能。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病案首页事中审核</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质控待办项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具备病案处理时效设置功能，设置医生提交首页和病案质控处理的及时处理、逾期处理时间限制，设置病案质控处理时段的本期出院日期和执行日期。</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具备设置质控员的工作科室和权限科室功能。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具备时段设置和工作科室设置功能，在主页中显示病案质控的待办项，包括本期首页提交和首页质控的待办项和数量（全部、未及时和逾期的数量），病案首页质控概览。</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病案人工质控</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系统需提供病案人工质控和质控相关流转功能，要求如下：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具备多种质控状态的流转功能，包括：未质控、医生已返修、复议、已打回医生、已完成、医生未提交。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按质控状态和查询条件显示各个状态每个科室的病案总数和具体病案列表功能。能用采用不同颜色显示病案逾期、不及时、及时不同状态的病案质控状态，能显示对应天数。查询条件和查询结果能勾选启用和拖拽排序。</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具备显示首页质控场景的自动质控问题，来辅助人工质控功能。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具备病案首页样式自定义配置功能，可以自定义配置病案首页的标题、录入框、提示等字体大小和背景颜色功能。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具备默认模式和护眼模式切换的功能。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具备在病案首页的首页项上添加人工质控问题，自动进行扣分，问题描述可快捷引用问题模板和诊断、手术编码功能。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具备在质控评分表中显示所有质控评分项功能，可在质控评分项上添加问题。</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具备对质控问题进行忽略、删除、修改、讨论、和标记为解决操作功能。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具备在病案室人工质控时忽略和编辑自动质控问题功能。点击具体的一个问题时，会自动定位到具体的首页录入框，且首页录入框会进行颜色标记并显示问题原因。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将存在自动质控问题和人工添加的质控问题打回给医生进行返修功能，医师对打回病案有异议可进行线上讨论。同时医生可以查询到病案首页质控各种状态，包括：待质控、医生已返修、复议、已打回、医生未提交、质控通过、强制完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具备在质控操作失误后可进行撤回操作功能。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具备质控记录时间轴展示和导出问题列表功能。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具备配置催交提醒天数功能。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具备根据配置的催交提醒天数自动进行催交或手工点击进行催交。</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具备查询催交状态和催交次数功能。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支持与住院医生站系统对接，临床医生在住院医生站中可以查看催交消息提醒，点击消息直接进入待办项，可直接编辑病案首页。</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对打回医生返修的病案首页，在住院医生站中可以查看到消息提醒，并点击消息直接进入待办项，可以直接查看病案首页和具体问题。点击具体的一个问题时，会自动定位到具体的首页录入框，且首页录入框会进行颜色标记并显示问题原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支持与病案无纸化系统对接，在病案首页质控时同一个界面右边显示病案无纸化的患者PDF病历文件，方便对比查看。</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质控问题回复</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系统需提供给医生查看病案首页质控情况和进行复议的功能，要求如下：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具备住院医生查询自己的病案质控情况功能，显示各个状态每个科室的病案总数和具体病案列表。</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具备医生在系统上对质控问题（包含未解决和全部问题）进行查看功能。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具备对已打回的质控问题与病案室进行讨论和提交复议功能。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具备导出全部未解决问题和全部问题功能。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支持与医生站做接口对接，将质控问题回复功能嵌入到医生站系统，在医生站系统即可查看和操作</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医生撤销首页</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系统需提供人工质控通过后医生撤销首页的流程，要求如下：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支持与医生站对接，实现在病案质控通过或首页录入后不允许医生直接撤销提交首页，如果需撤销必须进行申请的控制功能。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支持与医生站对接，实现在医生站系统完成医生撤销首页提交申请功能。病案室同意或驳回医生撤销首页申请，才允许医生修改和重新提交首页。</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特殊标记功能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具备特殊标记设置功能，维护标记类型，可以设置背景颜色，缩略字。</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具备在首页质控时对病案首页进行标记添加及查询功能。</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病案首页事后评价</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质控分析</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系统需提供各类质控分析功能，以方便进行针对性的培训和考核，具体要求如下：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具备首页分析功能，包括：质控问题汇总、质控排名分析、质控进度跟踪、质控工作量分析、质控趋势分析、质控问题分布。</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具备包含不同质控场景、不同质控维度（质控评分、问题、返修情况）、不同问题类型（累计问题和未解决问题）、不同项目（评分项、评分规则、问题、编码）、按科室汇总各类质控分析功能。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具备数据明细下钻到病案列表功能。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病案首页编码抽查</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系统需提供对已完成质控或编码的病案首页进行二次抽查质控的流程，要求如下：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具备新增抽查任务功能，通过查询条件（出院日期、住院医生、质控员、诊断、手术、首页特殊标记的标签等），指定抽查任务的具体执行人、执行时间、抽查范围和随机抽查数，来抽查需要二次质控的病案。</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具备展示所有抽查任务完成情况功能，查询每个抽查任务里面所有病案的抽查结果和整改情况。</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病案首页编码规则知识库</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系统需提供病案首页诊断、手术编码等自动质控规则知识库，以辅助病案室编码工作，具体要求如下：</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具备卫统4、绩效考核上报中的诊断手术编码规则。</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具备不能作为主要诊断、低风险死亡组、灰码的规则校验功能，并提供可供用户修改哪些诊断不能作为主要诊断、低风险死亡组、灰码的设置界面。</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具备诊断之间、诊断与肿瘤形态学编码、诊断与手术、手术与手术之间的规则校验功能。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具备诊断与首页其他字段的关联判断，包括诊断与年龄、性别、费用的规则校验功能。</w:t>
            </w:r>
          </w:p>
          <w:p>
            <w:pPr>
              <w:pStyle w:val="3"/>
              <w:numPr>
                <w:ilvl w:val="1"/>
                <w:numId w:val="3"/>
              </w:numPr>
              <w:spacing w:before="0" w:after="0" w:line="288" w:lineRule="auto"/>
              <w:rPr>
                <w:rFonts w:eastAsia="宋体" w:cs="Arial"/>
                <w:sz w:val="21"/>
                <w:szCs w:val="21"/>
                <w:highlight w:val="none"/>
              </w:rPr>
            </w:pPr>
            <w:bookmarkStart w:id="95" w:name="_Toc31396"/>
            <w:r>
              <w:rPr>
                <w:rFonts w:eastAsia="宋体" w:cs="Arial"/>
                <w:sz w:val="21"/>
                <w:szCs w:val="21"/>
                <w:highlight w:val="none"/>
              </w:rPr>
              <w:t>病案无纸化管理系统</w:t>
            </w:r>
            <w:bookmarkEnd w:id="95"/>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电子病案归档</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电子病案采集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业务系统对接，通过标准系统接口，自动将分布在各个业务系统（包括电子病历系统、电子医嘱系统、护理系统、手麻系统、ICU系统、检查系统、检验系统、用血系统、心电图系统）中的电子病案数据，在单个病历或报告完成时即可实时采集到无纸化病案系统中。采集后自动下载保存到文件存储服务器中。</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支持在院患者病历文书采集功能。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具备下载失败的文件自动重新下载功能。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具备电子病案目录和文件一致性校验功能，一致性校验不通过时自动通知各个业务系统重新生成，系统自动补传。</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完整性校验</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对归档电子病历的完整性进行校验，能根据自定规则对比校验业务系统上传的病历是否完整，并能直观显示校验问题，针对缺失的病历能自动发起补传。</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具备完整性校验功能，包括归档目录校验、文件一致性校验、文件名校验及条件规则校验。</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具备手动校验补传功能，针对缺失病历或未更新病历强制补传。</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支持与病案首页质控系统或病案统计系统对接，联动病案首页内容进行校验，能根据首页内容校验判断缺失的病历文件，比如做了手术必须要有手术记录。</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支持与医技系统对接，存在未出检查检验报告时，显示未出报告名称及预计出报告时间。</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电子病案存储</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提供电子病案文件存储功能，能对接收的电子病历文件进行加密存储，保存到文件存储服务器中，防止非法拷贝。</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具备电子病历文件分类存储功能，通过目录即可找到患者对应所有病历，防止因服务异常导致患者病历丢失。</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支持通过标准接口将保存电子病案文件提供给授权的第三方系统调用。</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电子病案归档</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具备电子病案归档功能，能自动对出院患者电子病案进行归档，并保障归档病历文件的准确性和一致性。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具备归档电子病案文件自动编目功能，能根据设置的病案目录自动归类、自动生成页码。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具备病案文件目录自定义配置功能，目录支持自定义排序并至少支持二级分类；每个目录支持单独配置打印、上传、翻拍、提前复印权限。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提供多种归档方式，包括多级归档确认、定时自动归档、手工补充归档。</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具备多级归档确认单独校验规则配置功能，比如护理归档确认校验护理文书是否有缺失，病历归档确认校验电子病历是否有缺失。</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具备自动归档时间自定义配置功能，能根据不同的患者类型配置不同的归档时间，比如一般患者出院3天归档，死亡患者7天归档；自动归档时间点支持控制是否包含节假日日、周末。</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具备自动补归档功能，病案归档后新增的病历（比如检验报告，迟归报告）系统自动补归档。</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具备归档明细查询功能，能详细记录每次归档内容。</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电子病案撤销归档</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具备业务系统提交撤销归档申请功能，撤销归档审核通过后才允许修改病历，修改后的病历提交后自动重新归档。</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具备指定文件撤销功能，只允许撤销申请的文件能修改。</w:t>
            </w:r>
          </w:p>
          <w:p>
            <w:pPr>
              <w:pStyle w:val="133"/>
              <w:widowControl/>
              <w:autoSpaceDE w:val="0"/>
              <w:adjustRightInd w:val="0"/>
              <w:snapToGrid w:val="0"/>
              <w:spacing w:line="288" w:lineRule="auto"/>
              <w:rPr>
                <w:rFonts w:ascii="Arial" w:hAnsi="Arial" w:cs="Arial"/>
                <w:b/>
                <w:bCs/>
                <w:szCs w:val="21"/>
                <w:highlight w:val="none"/>
              </w:rPr>
            </w:pPr>
            <w:r>
              <w:rPr>
                <w:rFonts w:hint="eastAsia" w:ascii="Arial" w:hAnsi="Arial" w:cs="Arial"/>
                <w:b/>
                <w:bCs/>
                <w:szCs w:val="21"/>
                <w:highlight w:val="none"/>
              </w:rPr>
              <w:t>▲</w:t>
            </w:r>
            <w:r>
              <w:rPr>
                <w:rFonts w:ascii="Arial" w:hAnsi="Arial" w:cs="Arial"/>
                <w:b/>
                <w:bCs/>
                <w:szCs w:val="21"/>
                <w:highlight w:val="none"/>
              </w:rPr>
              <w:t>具备撤销归档多级审核功能，能根据不同的业务系统配置不同的审核流程，比如医生提交申请，科主任、医务科、病案室进行审核。护士提交申请，护士长、分管院长、病案室进行审核。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具备特殊审批流程配置功能，可自定义配置特殊状态下才需要审核、特殊条件下可以自动审核通过。</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支持与业务系统对接，将撤销归档申请功能嵌入到各业务系统，在业务系统即可提交撤销归档申请。</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文件版本管理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需提供文件版本管理功能，能保留业务系统历次上传的病历，针对不同版本文件可对比并直观显示差异数据。提供历史版本文件定期清单功能。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具备病历文件版本管理功能，能浏览查看业务系统历次上传的病历。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具备pdf对比功能，能对不同版本的pdf文件进行差异对比，并直观显示差异数据，包括新增、修改及删除的内容。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具备采集文件数量增长和存储空间增长趋势分析功能，能直观展示增长趋势图，包括有效文件和或重复文件。针对历史版本文件，支持定期清理，清理时限范围支持自定义配置。</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病历上传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需提供病历文件上传功能，针对无法对接业务系统的病历，通过手动上传，将病历文件上传至患者指定分类中进行归档。</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具备手动上传病历文件到出院患者指定病案目录功能。</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具备上传分类自定义维护功能，只有配置的分类才允许上传。</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具备对已上传文件删除、重传或重分类操作。</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电子病案文件导出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具备电子病历文件导出功能，能根据导出套餐导出患者完整的病历，导出套餐及导出病历权限支持自定义配置。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提供多种类型导出功能，包括导出合并文件、按文件导出、按病案目录导出。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导出分类需要带书签，通过书签可快速定位到具体病历。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具备书签支持自定义维护功能。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运维管理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提供运维管理功能，能查看相关功能操作日志，当系统存在异常时，及时预警并通知运维人员进行处理。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具备校验失败、接口异常、归档异常时预警提醒功能，并能对异常问题进行跟踪处理。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提供系统日志查询功能，包括接口日志，下载日志，错误日志。</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配置管理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具备病案归档相关配置功能，包括病案文档目录设置、文档目录对照设置。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具备病案打印相关配置功能，包括收费标准设置、打印目的设置、机构设置、水印设置。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具备病案借阅相关配置功能，包括借阅目的设置、审批流程设置、借阅浏览IP限制、访问权限设置。</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具备系统参数相关配置功能，包括业务系统设置、系统接口配置。</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安全技术保障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提供安全技术保障，能保证归档病历的合法性，患者病历数据的安全性，能对用户进行分级授权。</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支持与电子签名系统对接，对归档病案进行CA电子签名、CA电子签章。</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具备存储电子病案异地灾备，永久保存功能。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具备用户分级授权管理功能。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具备病案浏览操作留痕功能，发生泄露时可追溯。</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病案无纸化归档审核</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归档病案审核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提供归档审核功能，能将病案室质控出的病历问题反馈给临床医生，医生修改后定时自动归档。能限制只有审核通过的病历才允许患者打印。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具备对已归档的病案人工审核功能，审核时能直观显示病案状态，包括校验状态、打印状态、封存状态、特殊病历状态。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具备人工添加病历问题功能，问题支持自定义配置。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具备病案打印控制功能，人工审核通过后才能允许患者打印病案。</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特殊病历标记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需提供特殊病历标记功能，能针对特殊病案进行人工标记，并能根据标记类型查询患者。标记类型支持自定义维护。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具备对病案进行特殊标记功能，包括死亡病历、VIP病历、艾滋病等，标记的病案在归档、借阅、审核时能直观显示。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具备特殊标记类型自定义配置功能，包括字体颜色、背景、缩略字。</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具备标记处置功能，能在打标记时添加问题项，并能对问题项进行跟踪处理。</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病案封存</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需提供病案封存功能，能对在院及出院病历进行封存，封存后锁定病历不允许修改。并限制封存后的病历不允许借阅浏览。</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 xml:space="preserve">具备在院电子病历封存功能，封存后控制病历不允许修改。封存只封存已完成的病历，新增病历可继续封存。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具备出院电子病案封存功能，封存后控制封存病历不允许修改。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具备封存清单打印功能，打印时自动获取患者信息及封存内容，打印模板支持自定义配置。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具备封存清单上传功能，支持多种上传方式，包括高拍上传或扫描文件上传。</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具备解封权限配置功能，有权限的人员才能进行解封。</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整体流程控制</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需提供病历流程控制功能，针对归档、打印、封存后的病历限制不允许修改；需提供标准接口供业务系统调用，提供多种对接方式供选择，包括实时控制和非实时控制。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各业务系统对接，通过标准接口，对各业务系统已归档病案、患者复印过的文件、封存过的文件进行统一锁定控制，锁定的病案业务系统不允许修改和删除。通过统一流程控制接口允许业务系统修改文件，包括撤销归档流程、解封流程、撤销打印流程。</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病案无纸化借阅</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病案借阅浏览</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提供电子病案浏览功能，医生可根据权限查阅患者电子病历。临床调阅时，显示浏览水印并记录浏览日志，可通过水印追踪病历浏览详情。</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具备病案浏览权限配置功能，包括本科室病案浏览，指定科室浏览，全院科室浏览，有权限的用户可直接浏览，浏览的内容支持自定义配置。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具备多重安全机制配置功能，包括浏览水印设置、浏览权限配置、用户IP访问权限配置，保证浏览病案的安全性。</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具备浏览病案完整日志追踪功能。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具备电子病案收藏并添加笔记功能。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具备电子病案浏览历史记录查看功能。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病案借阅申请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提供病案借阅申请功能，临床医生因科研或患者复诊可借阅申请患者电子病历，借阅目的支持自定义配置。并提供续借功能。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具备医护人员因不同目的借阅病案功能，包括科研、教学、晋升等，借阅目的能根据需求自定义配置。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具备多条件查询病案功能，包括住院号、患者姓名、出院日期、出院科室。</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具备借阅到期病案自动收回功能。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具备病案续借功能，审核通过后自动计算借阅到期时间。</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支持与医生站系统对接，将病案借阅申请功能嵌入到医生站系统，在医生站系统即可提交申请。</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病案借阅审核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需提供对医生申请的电子病案进行审核功能，通过后医生可直接线上浏览，到期后自动归还。</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具备对已提交借阅申请病案批量审核功能。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借阅审核流程自定义配置功能，能根据申请角色、借阅目的配置不同的审核流程，包括：医生借阅申请【病历所在科主任审批，出院科室主任审批，医务科审批，病案室审批】。护士借阅申请【病历所在科的护士长审批，护理部审批，病案室审批】。</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统计分析</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提供借阅相关统计分析功能，可统计借阅明细，病案浏览日志及用户浏览历史记录查询。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具备借阅记录查询、统计分析功能，包括借阅记录查询、病案浏览历史查询，病案浏览申请记录查询，科室借阅统计，人员借阅统计、病案分类借阅统计。</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病案无纸化患者打印</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患者打印登记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提供患者复印登记功能，可在系统登记申请人信息及上传患者授权证件，支持通过高拍上传证件，上传的证件可后期调阅。需提供多种申请类型，包括预收费，快递邮寄功能。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支持与身份证读卡器、高拍仪对接，抓取证件信息，并自动上传到文件存储服务器，并课提供调阅取证。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具备身份证照片自动抓取及其它授权证件高拍上传功能，证件自动上传文件存储服务器，并可供调阅取证。</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具备复印申请单打印功能，打印时自动带上上传的证件。</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提供多种复印申请人类型，包括个人申请、代理人申请、机构申请。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具备多种取件方式，包括预约时间自取、快递。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具备复印登记预收费功能。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支持与读卡设备对接，实现身份证读卡功能，能通过读取患者身份证查询病案。</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打印收费</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具备对已登记病案自动计费功能，能根据打印内容、份数及收费标准自动计算费用。</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病案打印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提供病案打印功能，对已登记、收费的电子病案一键打印，并记录病历的打印状态。已打印的病历限制医生不允许修改。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具备根据打印目的一键打印病案功能，打印目的及内容支持自定义配置，可根据需求设定医疗、医保、保险等打印目的。</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具备对已收费病案重打功能，并记录打印明细。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具备打印自动生成水印功能，水印支持自定义配置。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具备自动对患者已经打印的病案进行标记功能，并显示在病人列表中。</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具备根据打印用途自动选择默认的病案分类功能，也可根据患者需要选择对应目的中可选的病案分类。</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支持与业务系统对接，对已打印的病案文件控制业务系统不允许修改。</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提前复印标记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对还不满足打印条件的电子病案提前复印标记，标记后即允许复印登记。</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具备病历允许提前打印功能，对于需要提前打印的病历文件（比如检验、检查报告）可配置病历在下载保存后即可打印，不受归档及人工归档审核控制。</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病案复印统计</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提供复印统计功能，能统计复印工作量、收费金额及打印明细。</w:t>
            </w:r>
          </w:p>
          <w:p>
            <w:pPr>
              <w:pStyle w:val="133"/>
              <w:widowControl/>
              <w:adjustRightInd w:val="0"/>
              <w:snapToGrid w:val="0"/>
              <w:spacing w:line="288" w:lineRule="auto"/>
              <w:rPr>
                <w:rFonts w:ascii="Arial" w:hAnsi="Arial" w:cs="Arial"/>
                <w:szCs w:val="21"/>
                <w:highlight w:val="none"/>
              </w:rPr>
            </w:pPr>
            <w:r>
              <w:rPr>
                <w:rFonts w:ascii="Arial" w:hAnsi="Arial" w:cs="Arial"/>
                <w:szCs w:val="21"/>
                <w:highlight w:val="none"/>
              </w:rPr>
              <w:t>具备病案复印统计功能，包括病案打印日志查询、病案打印工作量统计、打印收费对账功能。</w:t>
            </w:r>
          </w:p>
          <w:p>
            <w:pPr>
              <w:pStyle w:val="3"/>
              <w:numPr>
                <w:ilvl w:val="1"/>
                <w:numId w:val="3"/>
              </w:numPr>
              <w:spacing w:before="0" w:after="0" w:line="288" w:lineRule="auto"/>
              <w:rPr>
                <w:rFonts w:eastAsia="宋体" w:cs="Arial"/>
                <w:sz w:val="21"/>
                <w:szCs w:val="21"/>
                <w:highlight w:val="none"/>
              </w:rPr>
            </w:pPr>
            <w:bookmarkStart w:id="96" w:name="_Toc25042"/>
            <w:r>
              <w:rPr>
                <w:rFonts w:eastAsia="宋体" w:cs="Arial"/>
                <w:sz w:val="21"/>
                <w:szCs w:val="21"/>
                <w:highlight w:val="none"/>
              </w:rPr>
              <w:t>电子签名系统（CA）</w:t>
            </w:r>
            <w:bookmarkEnd w:id="96"/>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CA通信平台</w:t>
            </w:r>
          </w:p>
          <w:p>
            <w:pPr>
              <w:pStyle w:val="133"/>
              <w:spacing w:line="288" w:lineRule="auto"/>
              <w:rPr>
                <w:rFonts w:ascii="Arial" w:hAnsi="Arial" w:cs="Arial"/>
                <w:szCs w:val="21"/>
                <w:highlight w:val="none"/>
              </w:rPr>
            </w:pPr>
            <w:r>
              <w:rPr>
                <w:rFonts w:ascii="Arial" w:hAnsi="Arial" w:cs="Arial"/>
                <w:szCs w:val="21"/>
                <w:highlight w:val="none"/>
              </w:rPr>
              <w:t>数据加密摆渡：提供医院内外网数据加密处理，加密数据摆渡功能。</w:t>
            </w:r>
          </w:p>
          <w:p>
            <w:pPr>
              <w:pStyle w:val="133"/>
              <w:spacing w:line="288" w:lineRule="auto"/>
              <w:rPr>
                <w:rFonts w:ascii="Arial" w:hAnsi="Arial" w:cs="Arial"/>
                <w:szCs w:val="21"/>
                <w:highlight w:val="none"/>
              </w:rPr>
            </w:pPr>
            <w:r>
              <w:rPr>
                <w:rFonts w:ascii="Arial" w:hAnsi="Arial" w:cs="Arial"/>
                <w:szCs w:val="21"/>
                <w:highlight w:val="none"/>
              </w:rPr>
              <w:t>断网补偿：提供断网补救措施，以便于在断网情况下发生的业务数据有记录并可在恢复网络时完成业务流程。</w:t>
            </w:r>
          </w:p>
          <w:p>
            <w:pPr>
              <w:pStyle w:val="133"/>
              <w:spacing w:line="288" w:lineRule="auto"/>
              <w:rPr>
                <w:rFonts w:ascii="Arial" w:hAnsi="Arial" w:cs="Arial"/>
                <w:szCs w:val="21"/>
                <w:highlight w:val="none"/>
              </w:rPr>
            </w:pPr>
            <w:r>
              <w:rPr>
                <w:rFonts w:ascii="Arial" w:hAnsi="Arial" w:cs="Arial"/>
                <w:szCs w:val="21"/>
                <w:highlight w:val="none"/>
              </w:rPr>
              <w:t>签名自动生成：满足用户手写签名自动生成和采集服务；应满足用户手写签章图片云端生成、云端下发、云端存储。</w:t>
            </w:r>
          </w:p>
          <w:p>
            <w:pPr>
              <w:pStyle w:val="133"/>
              <w:spacing w:line="288" w:lineRule="auto"/>
              <w:rPr>
                <w:rFonts w:ascii="Arial" w:hAnsi="Arial" w:cs="Arial"/>
                <w:szCs w:val="21"/>
                <w:highlight w:val="none"/>
              </w:rPr>
            </w:pPr>
            <w:r>
              <w:rPr>
                <w:rFonts w:ascii="Arial" w:hAnsi="Arial" w:cs="Arial"/>
                <w:szCs w:val="21"/>
                <w:highlight w:val="none"/>
              </w:rPr>
              <w:t>云端独立储存：满足签名数据、用户个人电子证书云端独立存储的功能。</w:t>
            </w:r>
          </w:p>
          <w:p>
            <w:pPr>
              <w:pStyle w:val="133"/>
              <w:spacing w:line="288" w:lineRule="auto"/>
              <w:rPr>
                <w:rFonts w:ascii="Arial" w:hAnsi="Arial" w:cs="Arial"/>
                <w:szCs w:val="21"/>
                <w:highlight w:val="none"/>
              </w:rPr>
            </w:pPr>
            <w:r>
              <w:rPr>
                <w:rFonts w:ascii="Arial" w:hAnsi="Arial" w:cs="Arial"/>
                <w:szCs w:val="21"/>
                <w:highlight w:val="none"/>
              </w:rPr>
              <w:t>多种部署方式：满足服务端在专有服务器和虚拟机等多种部署方式。</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CA管理平台</w:t>
            </w:r>
          </w:p>
          <w:p>
            <w:pPr>
              <w:pStyle w:val="133"/>
              <w:spacing w:line="288" w:lineRule="auto"/>
              <w:rPr>
                <w:rFonts w:ascii="Arial" w:hAnsi="Arial" w:cs="Arial"/>
                <w:szCs w:val="21"/>
                <w:highlight w:val="none"/>
              </w:rPr>
            </w:pPr>
            <w:r>
              <w:rPr>
                <w:rFonts w:ascii="Arial" w:hAnsi="Arial" w:cs="Arial"/>
                <w:szCs w:val="21"/>
                <w:highlight w:val="none"/>
              </w:rPr>
              <w:t>用户管理平台：提供平台用户管理模块，超级管理员可自行添加平台用户并分配权限。</w:t>
            </w:r>
          </w:p>
          <w:p>
            <w:pPr>
              <w:pStyle w:val="133"/>
              <w:spacing w:line="288" w:lineRule="auto"/>
              <w:rPr>
                <w:rFonts w:ascii="Arial" w:hAnsi="Arial" w:cs="Arial"/>
                <w:szCs w:val="21"/>
                <w:highlight w:val="none"/>
              </w:rPr>
            </w:pPr>
            <w:r>
              <w:rPr>
                <w:rFonts w:ascii="Arial" w:hAnsi="Arial" w:cs="Arial"/>
                <w:szCs w:val="21"/>
                <w:highlight w:val="none"/>
              </w:rPr>
              <w:t>用户自注册：提供用户自注册功能，便于医师用户自行进行注册申请。</w:t>
            </w:r>
          </w:p>
          <w:p>
            <w:pPr>
              <w:pStyle w:val="133"/>
              <w:spacing w:line="288" w:lineRule="auto"/>
              <w:rPr>
                <w:rFonts w:ascii="Arial" w:hAnsi="Arial" w:cs="Arial"/>
                <w:szCs w:val="21"/>
                <w:highlight w:val="none"/>
              </w:rPr>
            </w:pPr>
            <w:r>
              <w:rPr>
                <w:rFonts w:ascii="Arial" w:hAnsi="Arial" w:cs="Arial"/>
                <w:szCs w:val="21"/>
                <w:highlight w:val="none"/>
              </w:rPr>
              <w:t>批量同步：提供医生信息批量同步，支持对医生信息的查看、修改，支持签章功能停用/启用的功能。</w:t>
            </w:r>
          </w:p>
          <w:p>
            <w:pPr>
              <w:pStyle w:val="133"/>
              <w:spacing w:line="288" w:lineRule="auto"/>
              <w:rPr>
                <w:rFonts w:ascii="Arial" w:hAnsi="Arial" w:cs="Arial"/>
                <w:szCs w:val="21"/>
                <w:highlight w:val="none"/>
              </w:rPr>
            </w:pPr>
            <w:r>
              <w:rPr>
                <w:rFonts w:ascii="Arial" w:hAnsi="Arial" w:cs="Arial"/>
                <w:szCs w:val="21"/>
                <w:highlight w:val="none"/>
              </w:rPr>
              <w:t>基础功能配置：满足基础功能配置，支持对执业地点、科室的维护，支持自动签名时限规则的管理。</w:t>
            </w:r>
          </w:p>
          <w:p>
            <w:pPr>
              <w:pStyle w:val="133"/>
              <w:spacing w:line="288" w:lineRule="auto"/>
              <w:rPr>
                <w:rFonts w:ascii="Arial" w:hAnsi="Arial" w:cs="Arial"/>
                <w:szCs w:val="21"/>
                <w:highlight w:val="none"/>
              </w:rPr>
            </w:pPr>
            <w:r>
              <w:rPr>
                <w:rFonts w:ascii="Arial" w:hAnsi="Arial" w:cs="Arial"/>
                <w:szCs w:val="21"/>
                <w:highlight w:val="none"/>
              </w:rPr>
              <w:t>角色管理：根据工作需要自定义增加角色，支持不同角色具有不同的权限。</w:t>
            </w:r>
          </w:p>
          <w:p>
            <w:pPr>
              <w:pStyle w:val="133"/>
              <w:spacing w:line="288" w:lineRule="auto"/>
              <w:rPr>
                <w:rFonts w:ascii="Arial" w:hAnsi="Arial" w:cs="Arial"/>
                <w:szCs w:val="21"/>
                <w:highlight w:val="none"/>
              </w:rPr>
            </w:pPr>
            <w:r>
              <w:rPr>
                <w:rFonts w:ascii="Arial" w:hAnsi="Arial" w:cs="Arial"/>
                <w:szCs w:val="21"/>
                <w:highlight w:val="none"/>
              </w:rPr>
              <w:t>签名数据查询：支持按日期类型、起止时间、数据状态、签名人等内容进行查询。</w:t>
            </w:r>
          </w:p>
          <w:p>
            <w:pPr>
              <w:pStyle w:val="133"/>
              <w:spacing w:line="288" w:lineRule="auto"/>
              <w:rPr>
                <w:rFonts w:ascii="Arial" w:hAnsi="Arial" w:cs="Arial"/>
                <w:szCs w:val="21"/>
                <w:highlight w:val="none"/>
              </w:rPr>
            </w:pPr>
            <w:r>
              <w:rPr>
                <w:rFonts w:ascii="Arial" w:hAnsi="Arial" w:cs="Arial"/>
                <w:szCs w:val="21"/>
                <w:highlight w:val="none"/>
              </w:rPr>
              <w:t>数据状态展示：提供显示待审核、已审核、已退回、作废等数据状态。</w:t>
            </w:r>
          </w:p>
          <w:p>
            <w:pPr>
              <w:pStyle w:val="133"/>
              <w:spacing w:line="288" w:lineRule="auto"/>
              <w:rPr>
                <w:rFonts w:ascii="Arial" w:hAnsi="Arial" w:cs="Arial"/>
                <w:szCs w:val="21"/>
                <w:highlight w:val="none"/>
              </w:rPr>
            </w:pPr>
            <w:r>
              <w:rPr>
                <w:rFonts w:ascii="Arial" w:hAnsi="Arial" w:cs="Arial"/>
                <w:szCs w:val="21"/>
                <w:highlight w:val="none"/>
              </w:rPr>
              <w:t>用户签章管理：提供用户签章管理模块，支持签章的批量审核、签章查看、签章修改以及签章上传。</w:t>
            </w:r>
          </w:p>
          <w:p>
            <w:pPr>
              <w:pStyle w:val="133"/>
              <w:spacing w:line="288" w:lineRule="auto"/>
              <w:rPr>
                <w:rFonts w:ascii="Arial" w:hAnsi="Arial" w:cs="Arial"/>
                <w:szCs w:val="21"/>
                <w:highlight w:val="none"/>
              </w:rPr>
            </w:pPr>
            <w:r>
              <w:rPr>
                <w:rFonts w:ascii="Arial" w:hAnsi="Arial" w:cs="Arial"/>
                <w:szCs w:val="21"/>
                <w:highlight w:val="none"/>
              </w:rPr>
              <w:t>签名数据管理：提供签名数据管理模块，支持签名数据查询、查看等功能。</w:t>
            </w:r>
          </w:p>
          <w:p>
            <w:pPr>
              <w:pStyle w:val="133"/>
              <w:spacing w:line="288" w:lineRule="auto"/>
              <w:rPr>
                <w:rFonts w:ascii="Arial" w:hAnsi="Arial" w:cs="Arial"/>
                <w:szCs w:val="21"/>
                <w:highlight w:val="none"/>
              </w:rPr>
            </w:pPr>
            <w:r>
              <w:rPr>
                <w:rFonts w:ascii="Arial" w:hAnsi="Arial" w:cs="Arial"/>
                <w:szCs w:val="21"/>
                <w:highlight w:val="none"/>
              </w:rPr>
              <w:t>统计分析：提供统计分析模块，支持证书发放、下载、更新的统计，支持按科室、执业地点、医生等维度的业务量统计。</w:t>
            </w:r>
          </w:p>
          <w:p>
            <w:pPr>
              <w:pStyle w:val="133"/>
              <w:spacing w:line="288" w:lineRule="auto"/>
              <w:rPr>
                <w:rFonts w:ascii="Arial" w:hAnsi="Arial" w:cs="Arial"/>
                <w:szCs w:val="21"/>
                <w:highlight w:val="none"/>
              </w:rPr>
            </w:pPr>
            <w:r>
              <w:rPr>
                <w:rFonts w:ascii="Arial" w:hAnsi="Arial" w:cs="Arial"/>
                <w:szCs w:val="21"/>
                <w:highlight w:val="none"/>
              </w:rPr>
              <w:t>自动签名配置：支持自动签名时间可配置功能。</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时间戳服务</w:t>
            </w:r>
          </w:p>
          <w:p>
            <w:pPr>
              <w:pStyle w:val="133"/>
              <w:spacing w:line="288" w:lineRule="auto"/>
              <w:rPr>
                <w:rFonts w:ascii="Arial" w:hAnsi="Arial" w:cs="Arial"/>
                <w:szCs w:val="21"/>
                <w:highlight w:val="none"/>
              </w:rPr>
            </w:pPr>
            <w:r>
              <w:rPr>
                <w:rFonts w:ascii="Arial" w:hAnsi="Arial" w:cs="Arial"/>
                <w:szCs w:val="21"/>
                <w:highlight w:val="none"/>
              </w:rPr>
              <w:t>时间源接入：支持权威国家时间源接入。</w:t>
            </w:r>
          </w:p>
          <w:p>
            <w:pPr>
              <w:pStyle w:val="133"/>
              <w:spacing w:line="288" w:lineRule="auto"/>
              <w:rPr>
                <w:rFonts w:ascii="Arial" w:hAnsi="Arial" w:cs="Arial"/>
                <w:szCs w:val="21"/>
                <w:highlight w:val="none"/>
              </w:rPr>
            </w:pPr>
            <w:r>
              <w:rPr>
                <w:rFonts w:ascii="Arial" w:hAnsi="Arial" w:cs="Arial"/>
                <w:szCs w:val="21"/>
                <w:highlight w:val="none"/>
              </w:rPr>
              <w:t>可信时间：实现签名业务数据加盖时间戳进行固化，实现医疗数据的完整性保护、可信时间。</w:t>
            </w:r>
          </w:p>
          <w:p>
            <w:pPr>
              <w:pStyle w:val="4"/>
              <w:numPr>
                <w:ilvl w:val="2"/>
                <w:numId w:val="3"/>
              </w:numPr>
              <w:spacing w:before="0" w:after="0" w:line="288" w:lineRule="auto"/>
              <w:rPr>
                <w:rFonts w:ascii="Arial" w:hAnsi="Arial" w:cs="Arial"/>
                <w:sz w:val="21"/>
                <w:szCs w:val="21"/>
                <w:highlight w:val="none"/>
              </w:rPr>
            </w:pPr>
            <w:r>
              <w:rPr>
                <w:rFonts w:ascii="Arial" w:hAnsi="Arial" w:cs="Arial"/>
                <w:sz w:val="21"/>
                <w:szCs w:val="21"/>
                <w:highlight w:val="none"/>
              </w:rPr>
              <w:t>医生签名APP服务</w:t>
            </w:r>
          </w:p>
          <w:p>
            <w:pPr>
              <w:pStyle w:val="133"/>
              <w:spacing w:line="288" w:lineRule="auto"/>
              <w:rPr>
                <w:rFonts w:ascii="Arial" w:hAnsi="Arial" w:cs="Arial"/>
                <w:szCs w:val="21"/>
                <w:highlight w:val="none"/>
              </w:rPr>
            </w:pPr>
            <w:r>
              <w:rPr>
                <w:rFonts w:ascii="Arial" w:hAnsi="Arial" w:cs="Arial"/>
                <w:szCs w:val="21"/>
                <w:highlight w:val="none"/>
              </w:rPr>
              <w:t>移动签名：支持通过APP实现医务人员对各类业务系统电子签名功能，支持主流智能手机使用。</w:t>
            </w:r>
          </w:p>
          <w:p>
            <w:pPr>
              <w:pStyle w:val="133"/>
              <w:spacing w:line="288" w:lineRule="auto"/>
              <w:rPr>
                <w:rFonts w:ascii="Arial" w:hAnsi="Arial" w:cs="Arial"/>
                <w:szCs w:val="21"/>
                <w:highlight w:val="none"/>
              </w:rPr>
            </w:pPr>
            <w:r>
              <w:rPr>
                <w:rFonts w:ascii="Arial" w:hAnsi="Arial" w:cs="Arial"/>
                <w:szCs w:val="21"/>
                <w:highlight w:val="none"/>
              </w:rPr>
              <w:t>用户登陆：基于APP端提供用户登陆、人脸识别、证书下载、证书找回、密码修改等实用功能。</w:t>
            </w:r>
          </w:p>
          <w:p>
            <w:pPr>
              <w:pStyle w:val="133"/>
              <w:spacing w:line="288" w:lineRule="auto"/>
              <w:rPr>
                <w:rFonts w:ascii="Arial" w:hAnsi="Arial" w:cs="Arial"/>
                <w:szCs w:val="21"/>
                <w:highlight w:val="none"/>
              </w:rPr>
            </w:pPr>
            <w:r>
              <w:rPr>
                <w:rFonts w:ascii="Arial" w:hAnsi="Arial" w:cs="Arial"/>
                <w:szCs w:val="21"/>
                <w:highlight w:val="none"/>
              </w:rPr>
              <w:t>签名设置：支持手写签章的在线绘制、保存、上传，支持指纹签名，人脸识别签名。</w:t>
            </w:r>
          </w:p>
          <w:p>
            <w:pPr>
              <w:pStyle w:val="133"/>
              <w:spacing w:line="288" w:lineRule="auto"/>
              <w:rPr>
                <w:rFonts w:ascii="Arial" w:hAnsi="Arial" w:cs="Arial"/>
                <w:szCs w:val="21"/>
                <w:highlight w:val="none"/>
              </w:rPr>
            </w:pPr>
            <w:r>
              <w:rPr>
                <w:rFonts w:ascii="Arial" w:hAnsi="Arial" w:cs="Arial"/>
                <w:szCs w:val="21"/>
                <w:highlight w:val="none"/>
              </w:rPr>
              <w:t>证书更新：提供用户自助证书更新，证书到期前1个月主动提醒更新，按照指引可在线更新。</w:t>
            </w:r>
          </w:p>
          <w:p>
            <w:pPr>
              <w:pStyle w:val="133"/>
              <w:spacing w:line="288" w:lineRule="auto"/>
              <w:rPr>
                <w:rFonts w:ascii="Arial" w:hAnsi="Arial" w:cs="Arial"/>
                <w:szCs w:val="21"/>
                <w:highlight w:val="none"/>
              </w:rPr>
            </w:pPr>
            <w:r>
              <w:rPr>
                <w:rFonts w:ascii="Arial" w:hAnsi="Arial" w:cs="Arial"/>
                <w:szCs w:val="21"/>
                <w:highlight w:val="none"/>
              </w:rPr>
              <w:t>免密签名：支持免密码输入的签名功能，支持在免密时间内可进行签名，支持免密时间的自定义。</w:t>
            </w:r>
          </w:p>
          <w:p>
            <w:pPr>
              <w:pStyle w:val="133"/>
              <w:spacing w:line="288" w:lineRule="auto"/>
              <w:rPr>
                <w:rFonts w:ascii="Arial" w:hAnsi="Arial" w:cs="Arial"/>
                <w:szCs w:val="21"/>
                <w:highlight w:val="none"/>
              </w:rPr>
            </w:pPr>
            <w:r>
              <w:rPr>
                <w:rFonts w:ascii="Arial" w:hAnsi="Arial" w:cs="Arial"/>
                <w:szCs w:val="21"/>
                <w:highlight w:val="none"/>
              </w:rPr>
              <w:t>自动签名：提供自动签名的管理功能，支持自动签名使用个人证书进行开启、退出等。</w:t>
            </w:r>
          </w:p>
          <w:p>
            <w:pPr>
              <w:pStyle w:val="133"/>
              <w:spacing w:line="288" w:lineRule="auto"/>
              <w:rPr>
                <w:rFonts w:ascii="Arial" w:hAnsi="Arial" w:cs="Arial"/>
                <w:szCs w:val="21"/>
                <w:highlight w:val="none"/>
              </w:rPr>
            </w:pPr>
            <w:r>
              <w:rPr>
                <w:rFonts w:ascii="Arial" w:hAnsi="Arial" w:cs="Arial"/>
                <w:szCs w:val="21"/>
                <w:highlight w:val="none"/>
              </w:rPr>
              <w:t>签名管理：提供签名管理功能，支持针对签署数据摘要值、影像模板、病历模板、处方模板、会诊意见书文件进行查看、单次签名、批量签名、拒签、作废等。</w:t>
            </w:r>
          </w:p>
          <w:p>
            <w:pPr>
              <w:pStyle w:val="133"/>
              <w:spacing w:line="288" w:lineRule="auto"/>
              <w:rPr>
                <w:rFonts w:ascii="Arial" w:hAnsi="Arial" w:cs="Arial"/>
                <w:szCs w:val="21"/>
                <w:highlight w:val="none"/>
              </w:rPr>
            </w:pPr>
            <w:r>
              <w:rPr>
                <w:rFonts w:ascii="Arial" w:hAnsi="Arial" w:cs="Arial"/>
                <w:szCs w:val="21"/>
                <w:highlight w:val="none"/>
              </w:rPr>
              <w:t>签名垃圾箱：提供签名垃圾箱功能，支持展示拒签、作废、被删除的数据等。</w:t>
            </w:r>
          </w:p>
          <w:p>
            <w:pPr>
              <w:pStyle w:val="133"/>
              <w:spacing w:line="288" w:lineRule="auto"/>
              <w:rPr>
                <w:rFonts w:ascii="Arial" w:hAnsi="Arial" w:cs="Arial"/>
                <w:szCs w:val="21"/>
                <w:highlight w:val="none"/>
              </w:rPr>
            </w:pPr>
            <w:r>
              <w:rPr>
                <w:rFonts w:ascii="Arial" w:hAnsi="Arial" w:cs="Arial"/>
                <w:szCs w:val="21"/>
                <w:highlight w:val="none"/>
              </w:rPr>
              <w:t>病历原文展示：提供文书原文在APP中展示功能，文书内容与院内系统保持一致。</w:t>
            </w:r>
          </w:p>
          <w:p>
            <w:pPr>
              <w:pStyle w:val="133"/>
              <w:spacing w:line="288" w:lineRule="auto"/>
              <w:rPr>
                <w:rFonts w:ascii="Arial" w:hAnsi="Arial" w:cs="Arial"/>
                <w:szCs w:val="21"/>
                <w:highlight w:val="none"/>
              </w:rPr>
            </w:pPr>
            <w:r>
              <w:rPr>
                <w:rFonts w:ascii="Arial" w:hAnsi="Arial" w:cs="Arial"/>
                <w:szCs w:val="21"/>
                <w:highlight w:val="none"/>
              </w:rPr>
              <w:t>随访中心：提供科室/医生端对患者随访的管理应用工具。</w:t>
            </w:r>
          </w:p>
          <w:p>
            <w:pPr>
              <w:pStyle w:val="133"/>
              <w:spacing w:line="288" w:lineRule="auto"/>
              <w:rPr>
                <w:rFonts w:ascii="Arial" w:hAnsi="Arial" w:cs="Arial"/>
                <w:szCs w:val="21"/>
                <w:highlight w:val="none"/>
              </w:rPr>
            </w:pPr>
            <w:r>
              <w:rPr>
                <w:rFonts w:ascii="Arial" w:hAnsi="Arial" w:cs="Arial"/>
                <w:szCs w:val="21"/>
                <w:highlight w:val="none"/>
              </w:rPr>
              <w:t>专病课堂：提供专病专题系列讲座，支持讲座视频观看。</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性能要求</w:t>
            </w:r>
          </w:p>
          <w:p>
            <w:pPr>
              <w:pStyle w:val="133"/>
              <w:spacing w:line="288" w:lineRule="auto"/>
              <w:rPr>
                <w:rFonts w:ascii="Arial" w:hAnsi="Arial" w:cs="Arial"/>
                <w:szCs w:val="21"/>
                <w:highlight w:val="none"/>
              </w:rPr>
            </w:pPr>
            <w:r>
              <w:rPr>
                <w:rFonts w:ascii="Arial" w:hAnsi="Arial" w:cs="Arial"/>
                <w:szCs w:val="21"/>
                <w:highlight w:val="none"/>
              </w:rPr>
              <w:t>（1）系统的运行不应对当前运行的业务系统产生影响。</w:t>
            </w:r>
          </w:p>
          <w:p>
            <w:pPr>
              <w:pStyle w:val="133"/>
              <w:spacing w:line="288" w:lineRule="auto"/>
              <w:rPr>
                <w:rFonts w:ascii="Arial" w:hAnsi="Arial" w:cs="Arial"/>
                <w:szCs w:val="21"/>
                <w:highlight w:val="none"/>
              </w:rPr>
            </w:pPr>
            <w:r>
              <w:rPr>
                <w:rFonts w:ascii="Arial" w:hAnsi="Arial" w:cs="Arial"/>
                <w:szCs w:val="21"/>
                <w:highlight w:val="none"/>
              </w:rPr>
              <w:t>（2）在进行实时本地查询服务时，系统平均响应时间应≤5S。</w:t>
            </w:r>
          </w:p>
          <w:p>
            <w:pPr>
              <w:pStyle w:val="133"/>
              <w:spacing w:line="288" w:lineRule="auto"/>
              <w:rPr>
                <w:rFonts w:ascii="Arial" w:hAnsi="Arial" w:cs="Arial"/>
                <w:szCs w:val="21"/>
                <w:highlight w:val="none"/>
              </w:rPr>
            </w:pPr>
            <w:r>
              <w:rPr>
                <w:rFonts w:ascii="Arial" w:hAnsi="Arial" w:cs="Arial"/>
                <w:szCs w:val="21"/>
                <w:highlight w:val="none"/>
              </w:rPr>
              <w:t>（3）非实时服务在夜间业务低谷期进行，应能保障一次批量处理在当期完成。</w:t>
            </w:r>
          </w:p>
          <w:p>
            <w:pPr>
              <w:pStyle w:val="133"/>
              <w:spacing w:line="288" w:lineRule="auto"/>
              <w:rPr>
                <w:rFonts w:ascii="Arial" w:hAnsi="Arial" w:cs="Arial"/>
                <w:szCs w:val="21"/>
                <w:highlight w:val="none"/>
              </w:rPr>
            </w:pPr>
            <w:r>
              <w:rPr>
                <w:rFonts w:ascii="Arial" w:hAnsi="Arial" w:cs="Arial"/>
                <w:szCs w:val="21"/>
                <w:highlight w:val="none"/>
              </w:rPr>
              <w:t>（4）在操作方式、运行环境、软件接口或开发计划等发生变化时，系统应具有适应能力。</w:t>
            </w:r>
          </w:p>
          <w:p>
            <w:pPr>
              <w:pStyle w:val="133"/>
              <w:spacing w:line="288" w:lineRule="auto"/>
              <w:rPr>
                <w:rFonts w:ascii="Arial" w:hAnsi="Arial" w:cs="Arial"/>
                <w:szCs w:val="21"/>
                <w:highlight w:val="none"/>
              </w:rPr>
            </w:pPr>
            <w:r>
              <w:rPr>
                <w:rFonts w:ascii="Arial" w:hAnsi="Arial" w:cs="Arial"/>
                <w:szCs w:val="21"/>
                <w:highlight w:val="none"/>
              </w:rPr>
              <w:t>（5）操作界面简单明了，易于操作。</w:t>
            </w:r>
          </w:p>
          <w:p>
            <w:pPr>
              <w:pStyle w:val="133"/>
              <w:spacing w:line="288" w:lineRule="auto"/>
              <w:rPr>
                <w:rFonts w:ascii="Arial" w:hAnsi="Arial" w:cs="Arial"/>
                <w:szCs w:val="21"/>
                <w:highlight w:val="none"/>
              </w:rPr>
            </w:pPr>
            <w:r>
              <w:rPr>
                <w:rFonts w:ascii="Arial" w:hAnsi="Arial" w:cs="Arial"/>
                <w:szCs w:val="21"/>
                <w:highlight w:val="none"/>
              </w:rPr>
              <w:t>（6）保证只有合法用户才能登录使用系统，对每个用户都有权限设置。</w:t>
            </w:r>
          </w:p>
          <w:p>
            <w:pPr>
              <w:pStyle w:val="133"/>
              <w:spacing w:line="288" w:lineRule="auto"/>
              <w:rPr>
                <w:rFonts w:ascii="Arial" w:hAnsi="Arial" w:cs="Arial"/>
                <w:szCs w:val="21"/>
                <w:highlight w:val="none"/>
              </w:rPr>
            </w:pPr>
            <w:r>
              <w:rPr>
                <w:rFonts w:ascii="Arial" w:hAnsi="Arial" w:cs="Arial"/>
                <w:szCs w:val="21"/>
                <w:highlight w:val="none"/>
              </w:rPr>
              <w:t>（7）系统需要提供记录日志功能，用于记录用户的操作及故障信息。</w:t>
            </w:r>
          </w:p>
          <w:p>
            <w:pPr>
              <w:pStyle w:val="3"/>
              <w:numPr>
                <w:ilvl w:val="1"/>
                <w:numId w:val="3"/>
              </w:numPr>
              <w:spacing w:before="0" w:after="0" w:line="288" w:lineRule="auto"/>
              <w:rPr>
                <w:rFonts w:eastAsia="宋体" w:cs="Arial"/>
                <w:sz w:val="21"/>
                <w:szCs w:val="21"/>
                <w:highlight w:val="none"/>
              </w:rPr>
            </w:pPr>
            <w:bookmarkStart w:id="97" w:name="_Toc31090"/>
            <w:r>
              <w:rPr>
                <w:rFonts w:eastAsia="宋体" w:cs="Arial"/>
                <w:sz w:val="21"/>
                <w:szCs w:val="21"/>
                <w:highlight w:val="none"/>
              </w:rPr>
              <w:t>DRG医保支付运营监管系统</w:t>
            </w:r>
            <w:bookmarkEnd w:id="97"/>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DRG</w:t>
            </w:r>
            <w:r>
              <w:rPr>
                <w:rFonts w:ascii="Arial" w:hAnsi="Arial" w:cs="Arial"/>
                <w:sz w:val="21"/>
                <w:szCs w:val="21"/>
                <w:highlight w:val="none"/>
                <w:lang w:eastAsia="zh-Hans"/>
              </w:rPr>
              <w:t>医生</w:t>
            </w:r>
            <w:r>
              <w:rPr>
                <w:rFonts w:ascii="Arial" w:hAnsi="Arial" w:cs="Arial"/>
                <w:sz w:val="21"/>
                <w:szCs w:val="21"/>
                <w:highlight w:val="none"/>
              </w:rPr>
              <w:t>嵌入</w:t>
            </w:r>
            <w:r>
              <w:rPr>
                <w:rFonts w:ascii="Arial" w:hAnsi="Arial" w:cs="Arial"/>
                <w:sz w:val="21"/>
                <w:szCs w:val="21"/>
                <w:highlight w:val="none"/>
                <w:lang w:eastAsia="zh-Hans"/>
              </w:rPr>
              <w:t>助手</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支持</w:t>
            </w:r>
            <w:r>
              <w:rPr>
                <w:rFonts w:ascii="Arial" w:hAnsi="Arial" w:cs="Arial"/>
                <w:szCs w:val="21"/>
                <w:highlight w:val="none"/>
              </w:rPr>
              <w:t>嵌入HIS/EMR等第三方系统使用，</w:t>
            </w:r>
            <w:r>
              <w:rPr>
                <w:rFonts w:ascii="Arial" w:hAnsi="Arial" w:cs="Arial"/>
                <w:szCs w:val="21"/>
                <w:highlight w:val="none"/>
                <w:lang w:eastAsia="zh-Hans"/>
              </w:rPr>
              <w:t>为</w:t>
            </w:r>
            <w:r>
              <w:rPr>
                <w:rFonts w:ascii="Arial" w:hAnsi="Arial" w:cs="Arial"/>
                <w:szCs w:val="21"/>
                <w:highlight w:val="none"/>
              </w:rPr>
              <w:t>临床医师</w:t>
            </w:r>
            <w:r>
              <w:rPr>
                <w:rFonts w:ascii="Arial" w:hAnsi="Arial" w:cs="Arial"/>
                <w:szCs w:val="21"/>
                <w:highlight w:val="none"/>
                <w:lang w:eastAsia="zh-Hans"/>
              </w:rPr>
              <w:t>提供实时</w:t>
            </w:r>
            <w:r>
              <w:rPr>
                <w:rFonts w:ascii="Arial" w:hAnsi="Arial" w:cs="Arial"/>
                <w:szCs w:val="21"/>
                <w:highlight w:val="none"/>
              </w:rPr>
              <w:t>DRG</w:t>
            </w:r>
            <w:r>
              <w:rPr>
                <w:rFonts w:ascii="Arial" w:hAnsi="Arial" w:cs="Arial"/>
                <w:szCs w:val="21"/>
                <w:highlight w:val="none"/>
                <w:lang w:eastAsia="zh-Hans"/>
              </w:rPr>
              <w:t>预分组信息和费用消耗情况</w:t>
            </w:r>
            <w:r>
              <w:rPr>
                <w:rFonts w:ascii="Arial" w:hAnsi="Arial" w:cs="Arial"/>
                <w:szCs w:val="21"/>
                <w:highlight w:val="none"/>
              </w:rPr>
              <w:t>。</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DRG预分组：通过本地化分组器</w:t>
            </w:r>
            <w:r>
              <w:rPr>
                <w:rFonts w:ascii="Arial" w:hAnsi="Arial" w:cs="Arial"/>
                <w:szCs w:val="21"/>
                <w:highlight w:val="none"/>
                <w:lang w:eastAsia="zh-Hans"/>
              </w:rPr>
              <w:t>预先</w:t>
            </w:r>
            <w:r>
              <w:rPr>
                <w:rFonts w:ascii="Arial" w:hAnsi="Arial" w:cs="Arial"/>
                <w:szCs w:val="21"/>
                <w:highlight w:val="none"/>
              </w:rPr>
              <w:t>分组，模拟</w:t>
            </w:r>
            <w:r>
              <w:rPr>
                <w:rFonts w:ascii="Arial" w:hAnsi="Arial" w:cs="Arial"/>
                <w:szCs w:val="21"/>
                <w:highlight w:val="none"/>
                <w:lang w:eastAsia="zh-Hans"/>
              </w:rPr>
              <w:t>实际</w:t>
            </w:r>
            <w:r>
              <w:rPr>
                <w:rFonts w:ascii="Arial" w:hAnsi="Arial" w:cs="Arial"/>
                <w:szCs w:val="21"/>
                <w:highlight w:val="none"/>
              </w:rPr>
              <w:t>付费</w:t>
            </w:r>
            <w:r>
              <w:rPr>
                <w:rFonts w:ascii="Arial" w:hAnsi="Arial" w:cs="Arial"/>
                <w:szCs w:val="21"/>
                <w:highlight w:val="none"/>
                <w:lang w:eastAsia="zh-Hans"/>
              </w:rPr>
              <w:t>，</w:t>
            </w:r>
            <w:r>
              <w:rPr>
                <w:rFonts w:ascii="Arial" w:hAnsi="Arial" w:cs="Arial"/>
                <w:szCs w:val="21"/>
                <w:highlight w:val="none"/>
              </w:rPr>
              <w:t>实时预算结余，图形化展示费用</w:t>
            </w:r>
            <w:r>
              <w:rPr>
                <w:rFonts w:ascii="Arial" w:hAnsi="Arial" w:cs="Arial"/>
                <w:szCs w:val="21"/>
                <w:highlight w:val="none"/>
                <w:lang w:eastAsia="zh-Hans"/>
              </w:rPr>
              <w:t>消耗情况及</w:t>
            </w:r>
            <w:r>
              <w:rPr>
                <w:rFonts w:ascii="Arial" w:hAnsi="Arial" w:cs="Arial"/>
                <w:szCs w:val="21"/>
                <w:highlight w:val="none"/>
              </w:rPr>
              <w:t>高低倍率</w:t>
            </w:r>
            <w:r>
              <w:rPr>
                <w:rFonts w:ascii="Arial" w:hAnsi="Arial" w:cs="Arial"/>
                <w:szCs w:val="21"/>
                <w:highlight w:val="none"/>
                <w:lang w:eastAsia="zh-Hans"/>
              </w:rPr>
              <w:t>分布</w:t>
            </w:r>
            <w:r>
              <w:rPr>
                <w:rFonts w:ascii="Arial" w:hAnsi="Arial" w:cs="Arial"/>
                <w:szCs w:val="21"/>
                <w:highlight w:val="none"/>
              </w:rPr>
              <w:t>情况</w:t>
            </w:r>
            <w:r>
              <w:rPr>
                <w:rFonts w:ascii="Arial" w:hAnsi="Arial" w:cs="Arial"/>
                <w:szCs w:val="21"/>
                <w:highlight w:val="none"/>
                <w:lang w:eastAsia="zh-Hans"/>
              </w:rPr>
              <w:t>。</w:t>
            </w:r>
          </w:p>
          <w:p>
            <w:pPr>
              <w:pStyle w:val="133"/>
              <w:spacing w:line="288" w:lineRule="auto"/>
              <w:rPr>
                <w:rFonts w:ascii="Arial" w:hAnsi="Arial" w:cs="Arial"/>
                <w:szCs w:val="21"/>
                <w:highlight w:val="none"/>
                <w:lang w:eastAsia="zh-Hans"/>
              </w:rPr>
            </w:pPr>
            <w:r>
              <w:rPr>
                <w:rFonts w:ascii="Arial" w:hAnsi="Arial" w:cs="Arial"/>
                <w:szCs w:val="21"/>
                <w:highlight w:val="none"/>
              </w:rPr>
              <w:t>自动转码：</w:t>
            </w:r>
            <w:r>
              <w:rPr>
                <w:rFonts w:ascii="Arial" w:hAnsi="Arial" w:cs="Arial"/>
                <w:szCs w:val="21"/>
                <w:highlight w:val="none"/>
                <w:lang w:eastAsia="zh-Hans"/>
              </w:rPr>
              <w:t>根据患者诊断/手术数据变更同步更新，对三四级及微创手术标记显示，</w:t>
            </w:r>
            <w:r>
              <w:rPr>
                <w:rFonts w:ascii="Arial" w:hAnsi="Arial" w:cs="Arial"/>
                <w:szCs w:val="21"/>
                <w:highlight w:val="none"/>
              </w:rPr>
              <w:t>支持对医院编码进行自动转码</w:t>
            </w:r>
            <w:r>
              <w:rPr>
                <w:rFonts w:ascii="Arial" w:hAnsi="Arial" w:cs="Arial"/>
                <w:szCs w:val="21"/>
                <w:highlight w:val="none"/>
                <w:lang w:eastAsia="zh-Hans"/>
              </w:rPr>
              <w:t>为医保版编码。</w:t>
            </w:r>
          </w:p>
          <w:p>
            <w:pPr>
              <w:pStyle w:val="133"/>
              <w:spacing w:line="288" w:lineRule="auto"/>
              <w:rPr>
                <w:rFonts w:ascii="Arial" w:hAnsi="Arial" w:cs="Arial"/>
                <w:szCs w:val="21"/>
                <w:highlight w:val="none"/>
                <w:lang w:eastAsia="zh-Hans"/>
              </w:rPr>
            </w:pPr>
            <w:r>
              <w:rPr>
                <w:rFonts w:ascii="Arial" w:hAnsi="Arial" w:cs="Arial"/>
                <w:szCs w:val="21"/>
                <w:highlight w:val="none"/>
              </w:rPr>
              <w:t>临床路径：</w:t>
            </w:r>
            <w:r>
              <w:rPr>
                <w:rFonts w:ascii="Arial" w:hAnsi="Arial" w:cs="Arial"/>
                <w:szCs w:val="21"/>
                <w:highlight w:val="none"/>
                <w:lang w:eastAsia="zh-Hans"/>
              </w:rPr>
              <w:t>根据患者主诊断进行关联临床路径自动匹配与查询。</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目标</w:t>
            </w:r>
            <w:r>
              <w:rPr>
                <w:rFonts w:ascii="Arial" w:hAnsi="Arial" w:cs="Arial"/>
                <w:szCs w:val="21"/>
                <w:highlight w:val="none"/>
              </w:rPr>
              <w:t>分组：</w:t>
            </w:r>
            <w:r>
              <w:rPr>
                <w:rFonts w:ascii="Arial" w:hAnsi="Arial" w:cs="Arial"/>
                <w:szCs w:val="21"/>
                <w:highlight w:val="none"/>
                <w:lang w:eastAsia="zh-Hans"/>
              </w:rPr>
              <w:t>支持通过调整</w:t>
            </w:r>
            <w:r>
              <w:rPr>
                <w:rFonts w:ascii="Arial" w:hAnsi="Arial" w:cs="Arial"/>
                <w:szCs w:val="21"/>
                <w:highlight w:val="none"/>
              </w:rPr>
              <w:t>诊断</w:t>
            </w:r>
            <w:r>
              <w:rPr>
                <w:rFonts w:ascii="Arial" w:hAnsi="Arial" w:cs="Arial"/>
                <w:szCs w:val="21"/>
                <w:highlight w:val="none"/>
                <w:lang w:eastAsia="zh-Hans"/>
              </w:rPr>
              <w:t>、</w:t>
            </w:r>
            <w:r>
              <w:rPr>
                <w:rFonts w:ascii="Arial" w:hAnsi="Arial" w:cs="Arial"/>
                <w:szCs w:val="21"/>
                <w:highlight w:val="none"/>
              </w:rPr>
              <w:t>手术进行模拟</w:t>
            </w:r>
            <w:r>
              <w:rPr>
                <w:rFonts w:ascii="Arial" w:hAnsi="Arial" w:cs="Arial"/>
                <w:szCs w:val="21"/>
                <w:highlight w:val="none"/>
                <w:lang w:eastAsia="zh-Hans"/>
              </w:rPr>
              <w:t>分组</w:t>
            </w:r>
            <w:r>
              <w:rPr>
                <w:rFonts w:ascii="Arial" w:hAnsi="Arial" w:cs="Arial"/>
                <w:szCs w:val="21"/>
                <w:highlight w:val="none"/>
              </w:rPr>
              <w:t>，</w:t>
            </w:r>
            <w:r>
              <w:rPr>
                <w:rFonts w:ascii="Arial" w:hAnsi="Arial" w:cs="Arial"/>
                <w:szCs w:val="21"/>
                <w:highlight w:val="none"/>
                <w:lang w:eastAsia="zh-Hans"/>
              </w:rPr>
              <w:t>对比</w:t>
            </w:r>
            <w:r>
              <w:rPr>
                <w:rFonts w:ascii="Arial" w:hAnsi="Arial" w:cs="Arial"/>
                <w:szCs w:val="21"/>
                <w:highlight w:val="none"/>
              </w:rPr>
              <w:t>模拟前后预分组结果，诊断/手术输入支持动态模糊搜索，</w:t>
            </w:r>
            <w:r>
              <w:rPr>
                <w:rFonts w:ascii="Arial" w:hAnsi="Arial" w:cs="Arial"/>
                <w:szCs w:val="21"/>
                <w:highlight w:val="none"/>
                <w:lang w:eastAsia="zh-Hans"/>
              </w:rPr>
              <w:t>支持拖动调整顺序</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 xml:space="preserve"> 智能入组推荐：根据填写的诊断、手术等信息</w:t>
            </w:r>
            <w:r>
              <w:rPr>
                <w:rFonts w:ascii="Arial" w:hAnsi="Arial" w:cs="Arial"/>
                <w:szCs w:val="21"/>
                <w:highlight w:val="none"/>
                <w:lang w:eastAsia="zh-Hans"/>
              </w:rPr>
              <w:t>进行其他</w:t>
            </w:r>
            <w:r>
              <w:rPr>
                <w:rFonts w:ascii="Arial" w:hAnsi="Arial" w:cs="Arial"/>
                <w:szCs w:val="21"/>
                <w:highlight w:val="none"/>
              </w:rPr>
              <w:t>入组情况</w:t>
            </w:r>
            <w:r>
              <w:rPr>
                <w:rFonts w:ascii="Arial" w:hAnsi="Arial" w:cs="Arial"/>
                <w:szCs w:val="21"/>
                <w:highlight w:val="none"/>
                <w:lang w:eastAsia="zh-Hans"/>
              </w:rPr>
              <w:t>推荐</w:t>
            </w:r>
            <w:r>
              <w:rPr>
                <w:rFonts w:ascii="Arial" w:hAnsi="Arial" w:cs="Arial"/>
                <w:szCs w:val="21"/>
                <w:highlight w:val="none"/>
              </w:rPr>
              <w:t>及</w:t>
            </w:r>
            <w:r>
              <w:rPr>
                <w:rFonts w:ascii="Arial" w:hAnsi="Arial" w:cs="Arial"/>
                <w:szCs w:val="21"/>
                <w:highlight w:val="none"/>
                <w:lang w:eastAsia="zh-Hans"/>
              </w:rPr>
              <w:t>相关</w:t>
            </w:r>
            <w:r>
              <w:rPr>
                <w:rFonts w:ascii="Arial" w:hAnsi="Arial" w:cs="Arial"/>
                <w:szCs w:val="21"/>
                <w:highlight w:val="none"/>
              </w:rPr>
              <w:t>综合病组</w:t>
            </w:r>
            <w:r>
              <w:rPr>
                <w:rFonts w:ascii="Arial" w:hAnsi="Arial" w:cs="Arial"/>
                <w:szCs w:val="21"/>
                <w:highlight w:val="none"/>
                <w:lang w:eastAsia="zh-Hans"/>
              </w:rPr>
              <w:t>的展示，可筛查手术缺漏情况</w:t>
            </w:r>
            <w:r>
              <w:rPr>
                <w:rFonts w:ascii="Arial" w:hAnsi="Arial" w:cs="Arial"/>
                <w:szCs w:val="21"/>
                <w:highlight w:val="none"/>
              </w:rPr>
              <w:t>。</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入组记录：记录患者在每个诊断及手术变化的节点的</w:t>
            </w:r>
            <w:r>
              <w:rPr>
                <w:rFonts w:ascii="Arial" w:hAnsi="Arial" w:cs="Arial"/>
                <w:szCs w:val="21"/>
                <w:highlight w:val="none"/>
              </w:rPr>
              <w:t>DRG</w:t>
            </w:r>
            <w:r>
              <w:rPr>
                <w:rFonts w:ascii="Arial" w:hAnsi="Arial" w:cs="Arial"/>
                <w:szCs w:val="21"/>
                <w:highlight w:val="none"/>
                <w:lang w:eastAsia="zh-Hans"/>
              </w:rPr>
              <w:t>入组结果，支持数据追溯功能。</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费用分析：提供当前病例费用分类与预分组标杆数据的对比，</w:t>
            </w:r>
            <w:r>
              <w:rPr>
                <w:rFonts w:ascii="Arial" w:hAnsi="Arial" w:cs="Arial"/>
                <w:szCs w:val="21"/>
                <w:highlight w:val="none"/>
              </w:rPr>
              <w:t>展示费用分类</w:t>
            </w:r>
            <w:r>
              <w:rPr>
                <w:rFonts w:ascii="Arial" w:hAnsi="Arial" w:cs="Arial"/>
                <w:szCs w:val="21"/>
                <w:highlight w:val="none"/>
                <w:lang w:eastAsia="zh-Hans"/>
              </w:rPr>
              <w:t>费用、</w:t>
            </w:r>
            <w:r>
              <w:rPr>
                <w:rFonts w:ascii="Arial" w:hAnsi="Arial" w:cs="Arial"/>
                <w:szCs w:val="21"/>
                <w:highlight w:val="none"/>
              </w:rPr>
              <w:t>占比</w:t>
            </w:r>
            <w:r>
              <w:rPr>
                <w:rFonts w:ascii="Arial" w:hAnsi="Arial" w:cs="Arial"/>
                <w:szCs w:val="21"/>
                <w:highlight w:val="none"/>
                <w:lang w:eastAsia="zh-Hans"/>
              </w:rPr>
              <w:t>，支持下钻查看各项费用明细，支持查看每日费用消耗趋势及费用明细。药品费支持显示国家药品分类、国谈药、集采药等。</w:t>
            </w:r>
          </w:p>
          <w:p>
            <w:pPr>
              <w:pStyle w:val="133"/>
              <w:spacing w:line="288" w:lineRule="auto"/>
              <w:rPr>
                <w:rFonts w:ascii="Arial" w:hAnsi="Arial" w:cs="Arial"/>
                <w:szCs w:val="21"/>
                <w:highlight w:val="none"/>
              </w:rPr>
            </w:pPr>
            <w:r>
              <w:rPr>
                <w:rFonts w:ascii="Arial" w:hAnsi="Arial" w:cs="Arial"/>
                <w:szCs w:val="21"/>
                <w:highlight w:val="none"/>
                <w:lang w:eastAsia="zh-Hans"/>
              </w:rPr>
              <w:t>同组病例：支持查询时间段内相同分组的其他病例，选择标杆病例进行诊疗信息和费用消耗对比。</w:t>
            </w:r>
          </w:p>
          <w:p>
            <w:pPr>
              <w:pStyle w:val="133"/>
              <w:spacing w:line="288" w:lineRule="auto"/>
              <w:rPr>
                <w:rFonts w:ascii="Arial" w:hAnsi="Arial" w:cs="Arial"/>
                <w:szCs w:val="21"/>
                <w:highlight w:val="none"/>
              </w:rPr>
            </w:pPr>
            <w:r>
              <w:rPr>
                <w:rFonts w:ascii="Arial" w:hAnsi="Arial" w:cs="Arial"/>
                <w:szCs w:val="21"/>
                <w:highlight w:val="none"/>
                <w:lang w:eastAsia="zh-Hans"/>
              </w:rPr>
              <w:t>历史住院：支持查看当前患者历史住院的</w:t>
            </w:r>
            <w:r>
              <w:rPr>
                <w:rFonts w:ascii="Arial" w:hAnsi="Arial" w:cs="Arial"/>
                <w:szCs w:val="21"/>
                <w:highlight w:val="none"/>
              </w:rPr>
              <w:t>DRG</w:t>
            </w:r>
            <w:r>
              <w:rPr>
                <w:rFonts w:ascii="Arial" w:hAnsi="Arial" w:cs="Arial"/>
                <w:szCs w:val="21"/>
                <w:highlight w:val="none"/>
                <w:lang w:eastAsia="zh-Hans"/>
              </w:rPr>
              <w:t>分组和诊断、手术信息。</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DRG驾驶舱</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rPr>
              <w:t>医保基金监管</w:t>
            </w:r>
            <w:r>
              <w:rPr>
                <w:rFonts w:eastAsia="宋体" w:cs="Arial"/>
                <w:sz w:val="21"/>
                <w:szCs w:val="21"/>
                <w:highlight w:val="none"/>
                <w:lang w:eastAsia="zh-Hans"/>
              </w:rPr>
              <w:t>首页</w:t>
            </w:r>
          </w:p>
          <w:p>
            <w:pPr>
              <w:pStyle w:val="133"/>
              <w:spacing w:line="288" w:lineRule="auto"/>
              <w:rPr>
                <w:rFonts w:ascii="Arial" w:hAnsi="Arial" w:cs="Arial"/>
                <w:szCs w:val="21"/>
                <w:highlight w:val="none"/>
              </w:rPr>
            </w:pPr>
            <w:r>
              <w:rPr>
                <w:rFonts w:ascii="Arial" w:hAnsi="Arial" w:cs="Arial"/>
                <w:szCs w:val="21"/>
                <w:highlight w:val="none"/>
              </w:rPr>
              <w:t>展示时间段内全院</w:t>
            </w:r>
            <w:r>
              <w:rPr>
                <w:rFonts w:ascii="Arial" w:hAnsi="Arial" w:cs="Arial"/>
                <w:szCs w:val="21"/>
                <w:highlight w:val="none"/>
                <w:lang w:eastAsia="zh-Hans"/>
              </w:rPr>
              <w:t>预计</w:t>
            </w:r>
            <w:r>
              <w:rPr>
                <w:rFonts w:ascii="Arial" w:hAnsi="Arial" w:cs="Arial"/>
                <w:szCs w:val="21"/>
                <w:highlight w:val="none"/>
              </w:rPr>
              <w:t>盈亏、医疗总费用、药占比、耗材占比、结余/超支病例数等。</w:t>
            </w:r>
          </w:p>
          <w:p>
            <w:pPr>
              <w:pStyle w:val="133"/>
              <w:spacing w:line="288" w:lineRule="auto"/>
              <w:rPr>
                <w:rFonts w:ascii="Arial" w:hAnsi="Arial" w:cs="Arial"/>
                <w:szCs w:val="21"/>
                <w:highlight w:val="none"/>
              </w:rPr>
            </w:pPr>
            <w:r>
              <w:rPr>
                <w:rFonts w:ascii="Arial" w:hAnsi="Arial" w:cs="Arial"/>
                <w:szCs w:val="21"/>
                <w:highlight w:val="none"/>
              </w:rPr>
              <w:t xml:space="preserve"> </w:t>
            </w:r>
            <w:r>
              <w:rPr>
                <w:rFonts w:ascii="Arial" w:hAnsi="Arial" w:cs="Arial"/>
                <w:szCs w:val="21"/>
                <w:highlight w:val="none"/>
                <w:lang w:eastAsia="zh-Hans"/>
              </w:rPr>
              <w:t>支持查看</w:t>
            </w:r>
            <w:r>
              <w:rPr>
                <w:rFonts w:ascii="Arial" w:hAnsi="Arial" w:cs="Arial"/>
                <w:szCs w:val="21"/>
                <w:highlight w:val="none"/>
              </w:rPr>
              <w:t>筛选时间段内的DRG组数、入组率、CMI、时间/费用消耗指数等DRG</w:t>
            </w:r>
            <w:r>
              <w:rPr>
                <w:rFonts w:ascii="Arial" w:hAnsi="Arial" w:cs="Arial"/>
                <w:szCs w:val="21"/>
                <w:highlight w:val="none"/>
                <w:lang w:eastAsia="zh-Hans"/>
              </w:rPr>
              <w:t>核心运行</w:t>
            </w:r>
            <w:r>
              <w:rPr>
                <w:rFonts w:ascii="Arial" w:hAnsi="Arial" w:cs="Arial"/>
                <w:szCs w:val="21"/>
                <w:highlight w:val="none"/>
              </w:rPr>
              <w:t>指标，支持查看同比。</w:t>
            </w:r>
            <w:r>
              <w:rPr>
                <w:rFonts w:ascii="Arial" w:hAnsi="Arial" w:cs="Arial"/>
                <w:szCs w:val="21"/>
                <w:highlight w:val="none"/>
                <w:lang w:eastAsia="zh-Hans"/>
              </w:rPr>
              <w:t>运行指标支持</w:t>
            </w:r>
            <w:r>
              <w:rPr>
                <w:rFonts w:ascii="Arial" w:hAnsi="Arial" w:cs="Arial"/>
                <w:szCs w:val="21"/>
                <w:highlight w:val="none"/>
              </w:rPr>
              <w:t>钻取指标详细报告。</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支持查看时间段内高低倍率病例的科室、病组分布情况，病组人数分布前十。</w:t>
            </w:r>
          </w:p>
          <w:p>
            <w:pPr>
              <w:pStyle w:val="133"/>
              <w:spacing w:line="288" w:lineRule="auto"/>
              <w:rPr>
                <w:rFonts w:ascii="Arial" w:hAnsi="Arial" w:cs="Arial"/>
                <w:szCs w:val="21"/>
                <w:highlight w:val="none"/>
              </w:rPr>
            </w:pPr>
            <w:r>
              <w:rPr>
                <w:rFonts w:ascii="Arial" w:hAnsi="Arial" w:cs="Arial"/>
                <w:szCs w:val="21"/>
                <w:highlight w:val="none"/>
                <w:lang w:eastAsia="zh-Hans"/>
              </w:rPr>
              <w:t>支持查看时间段内科室盈亏统计及排名，病组盈亏分布前十。</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全局搜索</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rPr>
              <w:t>搜索</w:t>
            </w:r>
          </w:p>
          <w:p>
            <w:pPr>
              <w:pStyle w:val="133"/>
              <w:spacing w:line="288" w:lineRule="auto"/>
              <w:rPr>
                <w:rFonts w:ascii="Arial" w:hAnsi="Arial" w:cs="Arial"/>
                <w:szCs w:val="21"/>
                <w:highlight w:val="none"/>
              </w:rPr>
            </w:pPr>
            <w:r>
              <w:rPr>
                <w:rFonts w:ascii="Arial" w:hAnsi="Arial" w:cs="Arial"/>
                <w:szCs w:val="21"/>
                <w:highlight w:val="none"/>
              </w:rPr>
              <w:t>支持</w:t>
            </w:r>
            <w:r>
              <w:rPr>
                <w:rFonts w:ascii="Arial" w:hAnsi="Arial" w:cs="Arial"/>
                <w:szCs w:val="21"/>
                <w:highlight w:val="none"/>
                <w:lang w:eastAsia="zh-Hans"/>
              </w:rPr>
              <w:t>通过患者姓名、病案号、住院号进行多场景搜索，包括</w:t>
            </w:r>
            <w:r>
              <w:rPr>
                <w:rFonts w:ascii="Arial" w:hAnsi="Arial" w:cs="Arial"/>
                <w:szCs w:val="21"/>
                <w:highlight w:val="none"/>
              </w:rPr>
              <w:t>在院、离院未结算、离院已结算、医保已结算的数据，便于快速查找患者。</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lang w:eastAsia="zh-Hans"/>
              </w:rPr>
              <w:t>工具箱</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编码查询</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支持疾病诊断编码、手术编码、医保版本编码对照关系查询。</w:t>
            </w:r>
          </w:p>
          <w:p>
            <w:pPr>
              <w:pStyle w:val="133"/>
              <w:spacing w:line="288" w:lineRule="auto"/>
              <w:rPr>
                <w:rFonts w:ascii="Arial" w:hAnsi="Arial" w:cs="Arial"/>
                <w:szCs w:val="21"/>
                <w:highlight w:val="none"/>
              </w:rPr>
            </w:pPr>
            <w:r>
              <w:rPr>
                <w:rFonts w:ascii="Arial" w:hAnsi="Arial" w:cs="Arial"/>
                <w:szCs w:val="21"/>
                <w:highlight w:val="none"/>
                <w:lang w:eastAsia="zh-Hans"/>
              </w:rPr>
              <w:t>提供分组工具，支持通过输入诊断、手术等信息进行单条分组</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在院运行监管</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lang w:eastAsia="zh-Hans"/>
              </w:rPr>
              <w:t>在院总览</w:t>
            </w:r>
          </w:p>
          <w:p>
            <w:pPr>
              <w:pStyle w:val="133"/>
              <w:spacing w:line="288" w:lineRule="auto"/>
              <w:rPr>
                <w:rFonts w:ascii="Arial" w:hAnsi="Arial" w:cs="Arial"/>
                <w:szCs w:val="21"/>
                <w:highlight w:val="none"/>
              </w:rPr>
            </w:pPr>
            <w:r>
              <w:rPr>
                <w:rFonts w:ascii="Arial" w:hAnsi="Arial" w:cs="Arial"/>
                <w:szCs w:val="21"/>
                <w:highlight w:val="none"/>
              </w:rPr>
              <w:t>对【在院患者】的数据进行监控，包括在院人数、DRG关键数据、盈亏预测、</w:t>
            </w:r>
            <w:r>
              <w:rPr>
                <w:rFonts w:ascii="Arial" w:hAnsi="Arial" w:cs="Arial"/>
                <w:szCs w:val="21"/>
                <w:highlight w:val="none"/>
                <w:lang w:eastAsia="zh-Hans"/>
              </w:rPr>
              <w:t>在院</w:t>
            </w:r>
            <w:r>
              <w:rPr>
                <w:rFonts w:ascii="Arial" w:hAnsi="Arial" w:cs="Arial"/>
                <w:szCs w:val="21"/>
                <w:highlight w:val="none"/>
              </w:rPr>
              <w:t>预警</w:t>
            </w:r>
            <w:r>
              <w:rPr>
                <w:rFonts w:ascii="Arial" w:hAnsi="Arial" w:cs="Arial"/>
                <w:szCs w:val="21"/>
                <w:highlight w:val="none"/>
                <w:lang w:eastAsia="zh-Hans"/>
              </w:rPr>
              <w:t>分布</w:t>
            </w:r>
            <w:r>
              <w:rPr>
                <w:rFonts w:ascii="Arial" w:hAnsi="Arial" w:cs="Arial"/>
                <w:szCs w:val="21"/>
                <w:highlight w:val="none"/>
              </w:rPr>
              <w:t>、</w:t>
            </w:r>
            <w:r>
              <w:rPr>
                <w:rFonts w:ascii="Arial" w:hAnsi="Arial" w:cs="Arial"/>
                <w:szCs w:val="21"/>
                <w:highlight w:val="none"/>
                <w:lang w:eastAsia="zh-Hans"/>
              </w:rPr>
              <w:t>病种及费用</w:t>
            </w:r>
            <w:r>
              <w:rPr>
                <w:rFonts w:ascii="Arial" w:hAnsi="Arial" w:cs="Arial"/>
                <w:szCs w:val="21"/>
                <w:highlight w:val="none"/>
              </w:rPr>
              <w:t>分布</w:t>
            </w:r>
            <w:r>
              <w:rPr>
                <w:rFonts w:ascii="Arial" w:hAnsi="Arial" w:cs="Arial"/>
                <w:szCs w:val="21"/>
                <w:highlight w:val="none"/>
                <w:lang w:eastAsia="zh-Hans"/>
              </w:rPr>
              <w:t>等</w:t>
            </w:r>
            <w:r>
              <w:rPr>
                <w:rFonts w:ascii="Arial" w:hAnsi="Arial" w:cs="Arial"/>
                <w:szCs w:val="21"/>
                <w:highlight w:val="none"/>
              </w:rPr>
              <w:t>。</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对离院未结算的病例进行数据汇总。</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lang w:eastAsia="zh-Hans"/>
              </w:rPr>
              <w:t>在院运行监管</w:t>
            </w:r>
          </w:p>
          <w:p>
            <w:pPr>
              <w:pStyle w:val="133"/>
              <w:spacing w:line="288" w:lineRule="auto"/>
              <w:rPr>
                <w:rFonts w:ascii="Arial" w:hAnsi="Arial" w:cs="Arial"/>
                <w:szCs w:val="21"/>
                <w:highlight w:val="none"/>
              </w:rPr>
            </w:pPr>
            <w:r>
              <w:rPr>
                <w:rFonts w:ascii="Arial" w:hAnsi="Arial" w:cs="Arial"/>
                <w:szCs w:val="21"/>
                <w:highlight w:val="none"/>
              </w:rPr>
              <w:t>对【在院患者】进行DRG相关监测，实时监测各种风险病例。</w:t>
            </w:r>
          </w:p>
          <w:p>
            <w:pPr>
              <w:pStyle w:val="133"/>
              <w:spacing w:line="288" w:lineRule="auto"/>
              <w:rPr>
                <w:rFonts w:ascii="Arial" w:hAnsi="Arial" w:cs="Arial"/>
                <w:szCs w:val="21"/>
                <w:highlight w:val="none"/>
              </w:rPr>
            </w:pPr>
            <w:r>
              <w:rPr>
                <w:rFonts w:ascii="Arial" w:hAnsi="Arial" w:cs="Arial"/>
                <w:szCs w:val="21"/>
                <w:highlight w:val="none"/>
              </w:rPr>
              <w:t>在院患者</w:t>
            </w:r>
            <w:r>
              <w:rPr>
                <w:rFonts w:ascii="Arial" w:hAnsi="Arial" w:cs="Arial"/>
                <w:szCs w:val="21"/>
                <w:highlight w:val="none"/>
                <w:lang w:eastAsia="zh-Hans"/>
              </w:rPr>
              <w:t>列表</w:t>
            </w:r>
            <w:r>
              <w:rPr>
                <w:rFonts w:ascii="Arial" w:hAnsi="Arial" w:cs="Arial"/>
                <w:szCs w:val="21"/>
                <w:highlight w:val="none"/>
              </w:rPr>
              <w:t>：</w:t>
            </w:r>
            <w:r>
              <w:rPr>
                <w:rFonts w:ascii="Arial" w:hAnsi="Arial" w:cs="Arial"/>
                <w:szCs w:val="21"/>
                <w:highlight w:val="none"/>
                <w:lang w:eastAsia="zh-Hans"/>
              </w:rPr>
              <w:t>同步当前在院患者信息，进行</w:t>
            </w:r>
            <w:r>
              <w:rPr>
                <w:rFonts w:ascii="Arial" w:hAnsi="Arial" w:cs="Arial"/>
                <w:szCs w:val="21"/>
                <w:highlight w:val="none"/>
              </w:rPr>
              <w:t>DRG</w:t>
            </w:r>
            <w:r>
              <w:rPr>
                <w:rFonts w:ascii="Arial" w:hAnsi="Arial" w:cs="Arial"/>
                <w:szCs w:val="21"/>
                <w:highlight w:val="none"/>
                <w:lang w:eastAsia="zh-Hans"/>
              </w:rPr>
              <w:t>预分组和预警判定。</w:t>
            </w:r>
          </w:p>
          <w:p>
            <w:pPr>
              <w:pStyle w:val="133"/>
              <w:spacing w:line="288" w:lineRule="auto"/>
              <w:rPr>
                <w:rFonts w:ascii="Arial" w:hAnsi="Arial" w:cs="Arial"/>
                <w:szCs w:val="21"/>
                <w:highlight w:val="none"/>
                <w:lang w:eastAsia="zh-Hans"/>
              </w:rPr>
            </w:pPr>
            <w:r>
              <w:rPr>
                <w:rFonts w:ascii="Arial" w:hAnsi="Arial" w:cs="Arial"/>
                <w:szCs w:val="21"/>
                <w:highlight w:val="none"/>
              </w:rPr>
              <w:t>条件查询：</w:t>
            </w:r>
            <w:r>
              <w:rPr>
                <w:rFonts w:ascii="Arial" w:hAnsi="Arial" w:cs="Arial"/>
                <w:szCs w:val="21"/>
                <w:highlight w:val="none"/>
                <w:lang w:eastAsia="zh-Hans"/>
              </w:rPr>
              <w:t>支持按照科室、医疗组、医生、医保类型、医疗类别、诊断、手术等条件筛选数据。支持按照按预警规则筛选病例。</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DRG预分组：通过本地化分组器</w:t>
            </w:r>
            <w:r>
              <w:rPr>
                <w:rFonts w:ascii="Arial" w:hAnsi="Arial" w:cs="Arial"/>
                <w:szCs w:val="21"/>
                <w:highlight w:val="none"/>
                <w:lang w:eastAsia="zh-Hans"/>
              </w:rPr>
              <w:t>预先</w:t>
            </w:r>
            <w:r>
              <w:rPr>
                <w:rFonts w:ascii="Arial" w:hAnsi="Arial" w:cs="Arial"/>
                <w:szCs w:val="21"/>
                <w:highlight w:val="none"/>
              </w:rPr>
              <w:t>分组，模拟</w:t>
            </w:r>
            <w:r>
              <w:rPr>
                <w:rFonts w:ascii="Arial" w:hAnsi="Arial" w:cs="Arial"/>
                <w:szCs w:val="21"/>
                <w:highlight w:val="none"/>
                <w:lang w:eastAsia="zh-Hans"/>
              </w:rPr>
              <w:t>实际</w:t>
            </w:r>
            <w:r>
              <w:rPr>
                <w:rFonts w:ascii="Arial" w:hAnsi="Arial" w:cs="Arial"/>
                <w:szCs w:val="21"/>
                <w:highlight w:val="none"/>
              </w:rPr>
              <w:t>付费</w:t>
            </w:r>
            <w:r>
              <w:rPr>
                <w:rFonts w:ascii="Arial" w:hAnsi="Arial" w:cs="Arial"/>
                <w:szCs w:val="21"/>
                <w:highlight w:val="none"/>
                <w:lang w:eastAsia="zh-Hans"/>
              </w:rPr>
              <w:t>，</w:t>
            </w:r>
            <w:r>
              <w:rPr>
                <w:rFonts w:ascii="Arial" w:hAnsi="Arial" w:cs="Arial"/>
                <w:szCs w:val="21"/>
                <w:highlight w:val="none"/>
              </w:rPr>
              <w:t>实时预算结余，图形化展示费用</w:t>
            </w:r>
            <w:r>
              <w:rPr>
                <w:rFonts w:ascii="Arial" w:hAnsi="Arial" w:cs="Arial"/>
                <w:szCs w:val="21"/>
                <w:highlight w:val="none"/>
                <w:lang w:eastAsia="zh-Hans"/>
              </w:rPr>
              <w:t>消耗情况及</w:t>
            </w:r>
            <w:r>
              <w:rPr>
                <w:rFonts w:ascii="Arial" w:hAnsi="Arial" w:cs="Arial"/>
                <w:szCs w:val="21"/>
                <w:highlight w:val="none"/>
              </w:rPr>
              <w:t>高低倍率</w:t>
            </w:r>
            <w:r>
              <w:rPr>
                <w:rFonts w:ascii="Arial" w:hAnsi="Arial" w:cs="Arial"/>
                <w:szCs w:val="21"/>
                <w:highlight w:val="none"/>
                <w:lang w:eastAsia="zh-Hans"/>
              </w:rPr>
              <w:t>分布</w:t>
            </w:r>
            <w:r>
              <w:rPr>
                <w:rFonts w:ascii="Arial" w:hAnsi="Arial" w:cs="Arial"/>
                <w:szCs w:val="21"/>
                <w:highlight w:val="none"/>
              </w:rPr>
              <w:t>情况</w:t>
            </w:r>
            <w:r>
              <w:rPr>
                <w:rFonts w:ascii="Arial" w:hAnsi="Arial" w:cs="Arial"/>
                <w:szCs w:val="21"/>
                <w:highlight w:val="none"/>
                <w:lang w:eastAsia="zh-Hans"/>
              </w:rPr>
              <w:t>。</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智能预警监测</w:t>
            </w:r>
            <w:r>
              <w:rPr>
                <w:rFonts w:ascii="Arial" w:hAnsi="Arial" w:cs="Arial"/>
                <w:szCs w:val="21"/>
                <w:highlight w:val="none"/>
              </w:rPr>
              <w:t>：</w:t>
            </w:r>
            <w:r>
              <w:rPr>
                <w:rFonts w:ascii="Arial" w:hAnsi="Arial" w:cs="Arial"/>
                <w:szCs w:val="21"/>
                <w:highlight w:val="none"/>
                <w:lang w:eastAsia="zh-Hans"/>
              </w:rPr>
              <w:t>支持高低倍率</w:t>
            </w:r>
            <w:r>
              <w:rPr>
                <w:rFonts w:ascii="Arial" w:hAnsi="Arial" w:cs="Arial"/>
                <w:szCs w:val="21"/>
                <w:highlight w:val="none"/>
              </w:rPr>
              <w:t>、再入院、入组异常</w:t>
            </w:r>
            <w:r>
              <w:rPr>
                <w:rFonts w:ascii="Arial" w:hAnsi="Arial" w:cs="Arial"/>
                <w:szCs w:val="21"/>
                <w:highlight w:val="none"/>
                <w:lang w:eastAsia="zh-Hans"/>
              </w:rPr>
              <w:t>、费用结构异常</w:t>
            </w:r>
            <w:r>
              <w:rPr>
                <w:rFonts w:ascii="Arial" w:hAnsi="Arial" w:cs="Arial"/>
                <w:szCs w:val="21"/>
                <w:highlight w:val="none"/>
              </w:rPr>
              <w:t>等</w:t>
            </w:r>
            <w:r>
              <w:rPr>
                <w:rFonts w:ascii="Arial" w:hAnsi="Arial" w:cs="Arial"/>
                <w:szCs w:val="21"/>
                <w:highlight w:val="none"/>
                <w:lang w:eastAsia="zh-Hans"/>
              </w:rPr>
              <w:t>方面</w:t>
            </w:r>
            <w:r>
              <w:rPr>
                <w:rFonts w:ascii="Arial" w:hAnsi="Arial" w:cs="Arial"/>
                <w:szCs w:val="21"/>
                <w:highlight w:val="none"/>
              </w:rPr>
              <w:t>预警</w:t>
            </w:r>
            <w:r>
              <w:rPr>
                <w:rFonts w:ascii="Arial" w:hAnsi="Arial" w:cs="Arial"/>
                <w:szCs w:val="21"/>
                <w:highlight w:val="none"/>
                <w:lang w:eastAsia="zh-Hans"/>
              </w:rPr>
              <w:t>及特病单议提示，</w:t>
            </w:r>
            <w:r>
              <w:rPr>
                <w:rFonts w:ascii="Arial" w:hAnsi="Arial" w:cs="Arial"/>
                <w:szCs w:val="21"/>
                <w:highlight w:val="none"/>
              </w:rPr>
              <w:t>预警条件支持自定义。</w:t>
            </w:r>
          </w:p>
          <w:p>
            <w:pPr>
              <w:pStyle w:val="133"/>
              <w:spacing w:line="288" w:lineRule="auto"/>
              <w:rPr>
                <w:rFonts w:ascii="Arial" w:hAnsi="Arial" w:cs="Arial"/>
                <w:szCs w:val="21"/>
                <w:highlight w:val="none"/>
                <w:lang w:eastAsia="zh-Hans"/>
              </w:rPr>
            </w:pPr>
            <w:r>
              <w:rPr>
                <w:rFonts w:ascii="Arial" w:hAnsi="Arial" w:cs="Arial"/>
                <w:szCs w:val="21"/>
                <w:highlight w:val="none"/>
              </w:rPr>
              <w:t>自动转码：</w:t>
            </w:r>
            <w:r>
              <w:rPr>
                <w:rFonts w:ascii="Arial" w:hAnsi="Arial" w:cs="Arial"/>
                <w:szCs w:val="21"/>
                <w:highlight w:val="none"/>
                <w:lang w:eastAsia="zh-Hans"/>
              </w:rPr>
              <w:t>根据患者诊断/手术数据变更同步更新，对三四级及微创手术标记显示，</w:t>
            </w:r>
            <w:r>
              <w:rPr>
                <w:rFonts w:ascii="Arial" w:hAnsi="Arial" w:cs="Arial"/>
                <w:szCs w:val="21"/>
                <w:highlight w:val="none"/>
              </w:rPr>
              <w:t>支持对医院编码进行自动转码</w:t>
            </w:r>
            <w:r>
              <w:rPr>
                <w:rFonts w:ascii="Arial" w:hAnsi="Arial" w:cs="Arial"/>
                <w:szCs w:val="21"/>
                <w:highlight w:val="none"/>
                <w:lang w:eastAsia="zh-Hans"/>
              </w:rPr>
              <w:t>为医保版编码。</w:t>
            </w:r>
          </w:p>
          <w:p>
            <w:pPr>
              <w:pStyle w:val="133"/>
              <w:spacing w:line="288" w:lineRule="auto"/>
              <w:rPr>
                <w:rFonts w:ascii="Arial" w:hAnsi="Arial" w:cs="Arial"/>
                <w:szCs w:val="21"/>
                <w:highlight w:val="none"/>
                <w:lang w:eastAsia="zh-Hans"/>
              </w:rPr>
            </w:pPr>
            <w:r>
              <w:rPr>
                <w:rFonts w:ascii="Arial" w:hAnsi="Arial" w:cs="Arial"/>
                <w:szCs w:val="21"/>
                <w:highlight w:val="none"/>
              </w:rPr>
              <w:t>临床路径：</w:t>
            </w:r>
            <w:r>
              <w:rPr>
                <w:rFonts w:ascii="Arial" w:hAnsi="Arial" w:cs="Arial"/>
                <w:szCs w:val="21"/>
                <w:highlight w:val="none"/>
                <w:lang w:eastAsia="zh-Hans"/>
              </w:rPr>
              <w:t>根据患者主诊断进行关联临床路径自动匹配与查询。</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目标</w:t>
            </w:r>
            <w:r>
              <w:rPr>
                <w:rFonts w:ascii="Arial" w:hAnsi="Arial" w:cs="Arial"/>
                <w:szCs w:val="21"/>
                <w:highlight w:val="none"/>
              </w:rPr>
              <w:t>分组：</w:t>
            </w:r>
            <w:r>
              <w:rPr>
                <w:rFonts w:ascii="Arial" w:hAnsi="Arial" w:cs="Arial"/>
                <w:szCs w:val="21"/>
                <w:highlight w:val="none"/>
                <w:lang w:eastAsia="zh-Hans"/>
              </w:rPr>
              <w:t>支持通过调整</w:t>
            </w:r>
            <w:r>
              <w:rPr>
                <w:rFonts w:ascii="Arial" w:hAnsi="Arial" w:cs="Arial"/>
                <w:szCs w:val="21"/>
                <w:highlight w:val="none"/>
              </w:rPr>
              <w:t>诊断</w:t>
            </w:r>
            <w:r>
              <w:rPr>
                <w:rFonts w:ascii="Arial" w:hAnsi="Arial" w:cs="Arial"/>
                <w:szCs w:val="21"/>
                <w:highlight w:val="none"/>
                <w:lang w:eastAsia="zh-Hans"/>
              </w:rPr>
              <w:t>、</w:t>
            </w:r>
            <w:r>
              <w:rPr>
                <w:rFonts w:ascii="Arial" w:hAnsi="Arial" w:cs="Arial"/>
                <w:szCs w:val="21"/>
                <w:highlight w:val="none"/>
              </w:rPr>
              <w:t>手术进行模拟</w:t>
            </w:r>
            <w:r>
              <w:rPr>
                <w:rFonts w:ascii="Arial" w:hAnsi="Arial" w:cs="Arial"/>
                <w:szCs w:val="21"/>
                <w:highlight w:val="none"/>
                <w:lang w:eastAsia="zh-Hans"/>
              </w:rPr>
              <w:t>分组</w:t>
            </w:r>
            <w:r>
              <w:rPr>
                <w:rFonts w:ascii="Arial" w:hAnsi="Arial" w:cs="Arial"/>
                <w:szCs w:val="21"/>
                <w:highlight w:val="none"/>
              </w:rPr>
              <w:t>功能，</w:t>
            </w:r>
            <w:r>
              <w:rPr>
                <w:rFonts w:ascii="Arial" w:hAnsi="Arial" w:cs="Arial"/>
                <w:szCs w:val="21"/>
                <w:highlight w:val="none"/>
                <w:lang w:eastAsia="zh-Hans"/>
              </w:rPr>
              <w:t>支持对比</w:t>
            </w:r>
            <w:r>
              <w:rPr>
                <w:rFonts w:ascii="Arial" w:hAnsi="Arial" w:cs="Arial"/>
                <w:szCs w:val="21"/>
                <w:highlight w:val="none"/>
              </w:rPr>
              <w:t>模拟前后预分组结果，诊断/手术输入支持动态模糊搜索，</w:t>
            </w:r>
            <w:r>
              <w:rPr>
                <w:rFonts w:ascii="Arial" w:hAnsi="Arial" w:cs="Arial"/>
                <w:szCs w:val="21"/>
                <w:highlight w:val="none"/>
                <w:lang w:eastAsia="zh-Hans"/>
              </w:rPr>
              <w:t>支持拖动调整顺序</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 xml:space="preserve"> 智能入组推荐：根据填写的诊断、手术等信息</w:t>
            </w:r>
            <w:r>
              <w:rPr>
                <w:rFonts w:ascii="Arial" w:hAnsi="Arial" w:cs="Arial"/>
                <w:szCs w:val="21"/>
                <w:highlight w:val="none"/>
                <w:lang w:eastAsia="zh-Hans"/>
              </w:rPr>
              <w:t>进行其他</w:t>
            </w:r>
            <w:r>
              <w:rPr>
                <w:rFonts w:ascii="Arial" w:hAnsi="Arial" w:cs="Arial"/>
                <w:szCs w:val="21"/>
                <w:highlight w:val="none"/>
              </w:rPr>
              <w:t>入组情况</w:t>
            </w:r>
            <w:r>
              <w:rPr>
                <w:rFonts w:ascii="Arial" w:hAnsi="Arial" w:cs="Arial"/>
                <w:szCs w:val="21"/>
                <w:highlight w:val="none"/>
                <w:lang w:eastAsia="zh-Hans"/>
              </w:rPr>
              <w:t>推荐</w:t>
            </w:r>
            <w:r>
              <w:rPr>
                <w:rFonts w:ascii="Arial" w:hAnsi="Arial" w:cs="Arial"/>
                <w:szCs w:val="21"/>
                <w:highlight w:val="none"/>
              </w:rPr>
              <w:t>及手术相关入组</w:t>
            </w:r>
            <w:r>
              <w:rPr>
                <w:rFonts w:ascii="Arial" w:hAnsi="Arial" w:cs="Arial"/>
                <w:szCs w:val="21"/>
                <w:highlight w:val="none"/>
                <w:lang w:eastAsia="zh-Hans"/>
              </w:rPr>
              <w:t>的展示</w:t>
            </w:r>
            <w:r>
              <w:rPr>
                <w:rFonts w:ascii="Arial" w:hAnsi="Arial" w:cs="Arial"/>
                <w:szCs w:val="21"/>
                <w:highlight w:val="none"/>
              </w:rPr>
              <w:t>。</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入组记录：记录患者在每个诊断及手术变化的节点的</w:t>
            </w:r>
            <w:r>
              <w:rPr>
                <w:rFonts w:ascii="Arial" w:hAnsi="Arial" w:cs="Arial"/>
                <w:szCs w:val="21"/>
                <w:highlight w:val="none"/>
              </w:rPr>
              <w:t>DRG</w:t>
            </w:r>
            <w:r>
              <w:rPr>
                <w:rFonts w:ascii="Arial" w:hAnsi="Arial" w:cs="Arial"/>
                <w:szCs w:val="21"/>
                <w:highlight w:val="none"/>
                <w:lang w:eastAsia="zh-Hans"/>
              </w:rPr>
              <w:t>入组结果，支持数据追溯功能。</w:t>
            </w:r>
          </w:p>
          <w:p>
            <w:pPr>
              <w:pStyle w:val="133"/>
              <w:spacing w:line="288" w:lineRule="auto"/>
              <w:rPr>
                <w:rFonts w:ascii="Arial" w:hAnsi="Arial" w:cs="Arial"/>
                <w:szCs w:val="21"/>
                <w:highlight w:val="none"/>
              </w:rPr>
            </w:pPr>
            <w:r>
              <w:rPr>
                <w:rFonts w:ascii="Arial" w:hAnsi="Arial" w:cs="Arial"/>
                <w:szCs w:val="21"/>
                <w:highlight w:val="none"/>
              </w:rPr>
              <w:t xml:space="preserve"> </w:t>
            </w:r>
            <w:r>
              <w:rPr>
                <w:rFonts w:ascii="Arial" w:hAnsi="Arial" w:cs="Arial"/>
                <w:szCs w:val="21"/>
                <w:highlight w:val="none"/>
                <w:lang w:eastAsia="zh-Hans"/>
              </w:rPr>
              <w:t>费用分析：供当前病例费用分类与预分组标杆数据的对比，</w:t>
            </w:r>
            <w:r>
              <w:rPr>
                <w:rFonts w:ascii="Arial" w:hAnsi="Arial" w:cs="Arial"/>
                <w:szCs w:val="21"/>
                <w:highlight w:val="none"/>
              </w:rPr>
              <w:t>展示费用分类</w:t>
            </w:r>
            <w:r>
              <w:rPr>
                <w:rFonts w:ascii="Arial" w:hAnsi="Arial" w:cs="Arial"/>
                <w:szCs w:val="21"/>
                <w:highlight w:val="none"/>
                <w:lang w:eastAsia="zh-Hans"/>
              </w:rPr>
              <w:t>费用、</w:t>
            </w:r>
            <w:r>
              <w:rPr>
                <w:rFonts w:ascii="Arial" w:hAnsi="Arial" w:cs="Arial"/>
                <w:szCs w:val="21"/>
                <w:highlight w:val="none"/>
              </w:rPr>
              <w:t>占比及累计占比</w:t>
            </w:r>
            <w:r>
              <w:rPr>
                <w:rFonts w:ascii="Arial" w:hAnsi="Arial" w:cs="Arial"/>
                <w:szCs w:val="21"/>
                <w:highlight w:val="none"/>
                <w:lang w:eastAsia="zh-Hans"/>
              </w:rPr>
              <w:t>，支持下钻查看各项费用明细，支持查看每日费用消耗趋势及费用明细。药品费支持显示国家药品分类、国谈药、集采药等。</w:t>
            </w:r>
          </w:p>
          <w:p>
            <w:pPr>
              <w:pStyle w:val="133"/>
              <w:spacing w:line="288" w:lineRule="auto"/>
              <w:rPr>
                <w:rFonts w:ascii="Arial" w:hAnsi="Arial" w:cs="Arial"/>
                <w:szCs w:val="21"/>
                <w:highlight w:val="none"/>
              </w:rPr>
            </w:pPr>
            <w:r>
              <w:rPr>
                <w:rFonts w:ascii="Arial" w:hAnsi="Arial" w:cs="Arial"/>
                <w:szCs w:val="21"/>
                <w:highlight w:val="none"/>
              </w:rPr>
              <w:t xml:space="preserve"> 费用消耗情况分析</w:t>
            </w:r>
            <w:r>
              <w:rPr>
                <w:rFonts w:ascii="Arial" w:hAnsi="Arial" w:cs="Arial"/>
                <w:szCs w:val="21"/>
                <w:highlight w:val="none"/>
                <w:lang w:eastAsia="zh-Hans"/>
              </w:rPr>
              <w:t>：将</w:t>
            </w:r>
            <w:r>
              <w:rPr>
                <w:rFonts w:ascii="Arial" w:hAnsi="Arial" w:cs="Arial"/>
                <w:szCs w:val="21"/>
                <w:highlight w:val="none"/>
              </w:rPr>
              <w:t>住院各阶段</w:t>
            </w:r>
            <w:r>
              <w:rPr>
                <w:rFonts w:ascii="Arial" w:hAnsi="Arial" w:cs="Arial"/>
                <w:szCs w:val="21"/>
                <w:highlight w:val="none"/>
                <w:lang w:eastAsia="zh-Hans"/>
              </w:rPr>
              <w:t>产生的</w:t>
            </w:r>
            <w:r>
              <w:rPr>
                <w:rFonts w:ascii="Arial" w:hAnsi="Arial" w:cs="Arial"/>
                <w:szCs w:val="21"/>
                <w:highlight w:val="none"/>
              </w:rPr>
              <w:t>费用与均值的趋势对比。</w:t>
            </w:r>
          </w:p>
          <w:p>
            <w:pPr>
              <w:pStyle w:val="133"/>
              <w:spacing w:line="288" w:lineRule="auto"/>
              <w:rPr>
                <w:rFonts w:ascii="Arial" w:hAnsi="Arial" w:cs="Arial"/>
                <w:szCs w:val="21"/>
                <w:highlight w:val="none"/>
              </w:rPr>
            </w:pPr>
            <w:r>
              <w:rPr>
                <w:rFonts w:ascii="Arial" w:hAnsi="Arial" w:cs="Arial"/>
                <w:szCs w:val="21"/>
                <w:highlight w:val="none"/>
                <w:lang w:eastAsia="zh-Hans"/>
              </w:rPr>
              <w:t>同组病例：支持查询时间段内相同病组的其他病例，选择标杆病例进行诊疗信息和费用消耗趋势对比。</w:t>
            </w:r>
          </w:p>
          <w:p>
            <w:pPr>
              <w:pStyle w:val="133"/>
              <w:spacing w:line="288" w:lineRule="auto"/>
              <w:rPr>
                <w:rFonts w:ascii="Arial" w:hAnsi="Arial" w:cs="Arial"/>
                <w:szCs w:val="21"/>
                <w:highlight w:val="none"/>
              </w:rPr>
            </w:pPr>
            <w:r>
              <w:rPr>
                <w:rFonts w:ascii="Arial" w:hAnsi="Arial" w:cs="Arial"/>
                <w:szCs w:val="21"/>
                <w:highlight w:val="none"/>
                <w:lang w:eastAsia="zh-Hans"/>
              </w:rPr>
              <w:t>历史住院：支持查看当前患者历史住院的</w:t>
            </w:r>
            <w:r>
              <w:rPr>
                <w:rFonts w:ascii="Arial" w:hAnsi="Arial" w:cs="Arial"/>
                <w:szCs w:val="21"/>
                <w:highlight w:val="none"/>
              </w:rPr>
              <w:t>DRG</w:t>
            </w:r>
            <w:r>
              <w:rPr>
                <w:rFonts w:ascii="Arial" w:hAnsi="Arial" w:cs="Arial"/>
                <w:szCs w:val="21"/>
                <w:highlight w:val="none"/>
                <w:lang w:eastAsia="zh-Hans"/>
              </w:rPr>
              <w:t>分组和诊断、手术信息。</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lang w:eastAsia="zh-Hans"/>
              </w:rPr>
              <w:t>医保</w:t>
            </w:r>
            <w:r>
              <w:rPr>
                <w:rFonts w:ascii="Arial" w:hAnsi="Arial" w:cs="Arial"/>
                <w:sz w:val="21"/>
                <w:szCs w:val="21"/>
                <w:highlight w:val="none"/>
              </w:rPr>
              <w:t>结算管理</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rPr>
              <w:t>结算数据</w:t>
            </w:r>
            <w:r>
              <w:rPr>
                <w:rFonts w:eastAsia="宋体" w:cs="Arial"/>
                <w:sz w:val="21"/>
                <w:szCs w:val="21"/>
                <w:highlight w:val="none"/>
                <w:lang w:eastAsia="zh-Hans"/>
              </w:rPr>
              <w:t>导入</w:t>
            </w:r>
          </w:p>
          <w:p>
            <w:pPr>
              <w:pStyle w:val="133"/>
              <w:spacing w:line="288" w:lineRule="auto"/>
              <w:rPr>
                <w:rFonts w:ascii="Arial" w:hAnsi="Arial" w:cs="Arial"/>
                <w:szCs w:val="21"/>
                <w:highlight w:val="none"/>
              </w:rPr>
            </w:pPr>
            <w:r>
              <w:rPr>
                <w:rFonts w:ascii="Arial" w:hAnsi="Arial" w:cs="Arial"/>
                <w:szCs w:val="21"/>
                <w:highlight w:val="none"/>
              </w:rPr>
              <w:t xml:space="preserve"> </w:t>
            </w:r>
            <w:r>
              <w:rPr>
                <w:rFonts w:ascii="Arial" w:hAnsi="Arial" w:cs="Arial"/>
                <w:szCs w:val="21"/>
                <w:highlight w:val="none"/>
                <w:lang w:eastAsia="zh-Hans"/>
              </w:rPr>
              <w:t>医保结算单导入：</w:t>
            </w:r>
            <w:r>
              <w:rPr>
                <w:rFonts w:ascii="Arial" w:hAnsi="Arial" w:cs="Arial"/>
                <w:szCs w:val="21"/>
                <w:highlight w:val="none"/>
              </w:rPr>
              <w:t>支持手动导入医保返回的月度结算单，支持本地预分组与医保返回的分组结算单数据进行对比，包括分组一致性、诊断/手术、费用等相关情况，支持按分组一致性、病例类型等进行快捷筛选。</w:t>
            </w:r>
          </w:p>
          <w:p>
            <w:pPr>
              <w:pStyle w:val="133"/>
              <w:spacing w:line="288" w:lineRule="auto"/>
              <w:rPr>
                <w:rFonts w:ascii="Arial" w:hAnsi="Arial" w:cs="Arial"/>
                <w:szCs w:val="21"/>
                <w:highlight w:val="none"/>
              </w:rPr>
            </w:pPr>
            <w:r>
              <w:rPr>
                <w:rFonts w:ascii="Arial" w:hAnsi="Arial" w:cs="Arial"/>
                <w:szCs w:val="21"/>
                <w:highlight w:val="none"/>
                <w:lang w:eastAsia="zh-Hans"/>
              </w:rPr>
              <w:t>匹配规则：</w:t>
            </w:r>
            <w:r>
              <w:rPr>
                <w:rFonts w:ascii="Arial" w:hAnsi="Arial" w:cs="Arial"/>
                <w:szCs w:val="21"/>
                <w:highlight w:val="none"/>
              </w:rPr>
              <w:t>实现将医保返回结算单表头字段与系统数据表字段进行手动对照功能，设置匹配条件，导入医保结算单数据。支持自定义匹配数据源的配置。</w:t>
            </w:r>
          </w:p>
          <w:p>
            <w:pPr>
              <w:pStyle w:val="133"/>
              <w:spacing w:line="288" w:lineRule="auto"/>
              <w:rPr>
                <w:rFonts w:ascii="Arial" w:hAnsi="Arial" w:cs="Arial"/>
                <w:szCs w:val="21"/>
                <w:highlight w:val="none"/>
              </w:rPr>
            </w:pPr>
            <w:r>
              <w:rPr>
                <w:rFonts w:ascii="Arial" w:hAnsi="Arial" w:cs="Arial"/>
                <w:szCs w:val="21"/>
                <w:highlight w:val="none"/>
              </w:rPr>
              <w:t>支持对导入数据的概览查看，包括医保局返回点值的维护，已导入数据的病例数、职工数、居民数、出院时间分布等信息的概览查看。</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盈亏</w:t>
            </w:r>
            <w:r>
              <w:rPr>
                <w:rFonts w:eastAsia="宋体" w:cs="Arial"/>
                <w:sz w:val="21"/>
                <w:szCs w:val="21"/>
                <w:highlight w:val="none"/>
                <w:lang w:eastAsia="zh-Hans"/>
              </w:rPr>
              <w:t>统计</w:t>
            </w:r>
            <w:r>
              <w:rPr>
                <w:rFonts w:eastAsia="宋体" w:cs="Arial"/>
                <w:sz w:val="21"/>
                <w:szCs w:val="21"/>
                <w:highlight w:val="none"/>
              </w:rPr>
              <w:t>分析</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根据医保局返回的结算单数据进行数据统计</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提供时间段内的医保结算概况：病种分布、医保类型分布、病例类型分布、入组情况等及对应的盈亏情况。</w:t>
            </w:r>
          </w:p>
          <w:p>
            <w:pPr>
              <w:pStyle w:val="133"/>
              <w:spacing w:line="288" w:lineRule="auto"/>
              <w:rPr>
                <w:rFonts w:ascii="Arial" w:hAnsi="Arial" w:cs="Arial"/>
                <w:szCs w:val="21"/>
                <w:highlight w:val="none"/>
              </w:rPr>
            </w:pPr>
            <w:r>
              <w:rPr>
                <w:rFonts w:ascii="Arial" w:hAnsi="Arial" w:cs="Arial"/>
                <w:szCs w:val="21"/>
                <w:highlight w:val="none"/>
              </w:rPr>
              <w:t>提供结算金额及结算人数的结算统计趋势图</w:t>
            </w:r>
            <w:r>
              <w:rPr>
                <w:rFonts w:ascii="Arial" w:hAnsi="Arial" w:cs="Arial"/>
                <w:szCs w:val="21"/>
                <w:highlight w:val="none"/>
                <w:lang w:eastAsia="zh-Hans"/>
              </w:rPr>
              <w:t>。</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提供各种倍率病例的例数、占比、结算费用等。</w:t>
            </w:r>
          </w:p>
          <w:p>
            <w:pPr>
              <w:pStyle w:val="133"/>
              <w:spacing w:line="288" w:lineRule="auto"/>
              <w:rPr>
                <w:rFonts w:ascii="Arial" w:hAnsi="Arial" w:cs="Arial"/>
                <w:szCs w:val="21"/>
                <w:highlight w:val="none"/>
              </w:rPr>
            </w:pPr>
            <w:r>
              <w:rPr>
                <w:rFonts w:ascii="Arial" w:hAnsi="Arial" w:cs="Arial"/>
                <w:szCs w:val="21"/>
                <w:highlight w:val="none"/>
              </w:rPr>
              <w:t>列表统计各科室的结算明细</w:t>
            </w:r>
            <w:r>
              <w:rPr>
                <w:rFonts w:ascii="Arial" w:hAnsi="Arial" w:cs="Arial"/>
                <w:szCs w:val="21"/>
                <w:highlight w:val="none"/>
                <w:lang w:eastAsia="zh-Hans"/>
              </w:rPr>
              <w:t>，横向对比</w:t>
            </w:r>
            <w:r>
              <w:rPr>
                <w:rFonts w:ascii="Arial" w:hAnsi="Arial" w:cs="Arial"/>
                <w:szCs w:val="21"/>
                <w:highlight w:val="none"/>
              </w:rPr>
              <w:t>。</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运营指标分析</w:t>
            </w:r>
          </w:p>
          <w:p>
            <w:pPr>
              <w:pStyle w:val="133"/>
              <w:spacing w:line="288" w:lineRule="auto"/>
              <w:rPr>
                <w:rFonts w:ascii="Arial" w:hAnsi="Arial" w:cs="Arial"/>
                <w:szCs w:val="21"/>
                <w:highlight w:val="none"/>
              </w:rPr>
            </w:pPr>
            <w:r>
              <w:rPr>
                <w:rFonts w:ascii="Arial" w:hAnsi="Arial" w:cs="Arial"/>
                <w:szCs w:val="21"/>
                <w:highlight w:val="none"/>
                <w:lang w:eastAsia="zh-Hans"/>
              </w:rPr>
              <w:t>对全院维度</w:t>
            </w:r>
            <w:r>
              <w:rPr>
                <w:rFonts w:ascii="Arial" w:hAnsi="Arial" w:cs="Arial"/>
                <w:szCs w:val="21"/>
                <w:highlight w:val="none"/>
              </w:rPr>
              <w:t>DRG</w:t>
            </w:r>
            <w:r>
              <w:rPr>
                <w:rFonts w:ascii="Arial" w:hAnsi="Arial" w:cs="Arial"/>
                <w:szCs w:val="21"/>
                <w:highlight w:val="none"/>
                <w:lang w:eastAsia="zh-Hans"/>
              </w:rPr>
              <w:t>运营指标进行汇总。</w:t>
            </w:r>
          </w:p>
          <w:p>
            <w:pPr>
              <w:pStyle w:val="133"/>
              <w:spacing w:line="288" w:lineRule="auto"/>
              <w:rPr>
                <w:rFonts w:ascii="Arial" w:hAnsi="Arial" w:cs="Arial"/>
                <w:szCs w:val="21"/>
                <w:highlight w:val="none"/>
              </w:rPr>
            </w:pPr>
            <w:r>
              <w:rPr>
                <w:rFonts w:ascii="Arial" w:hAnsi="Arial" w:cs="Arial"/>
                <w:szCs w:val="21"/>
                <w:highlight w:val="none"/>
              </w:rPr>
              <w:t>支持出院日期/出院结算日期、医保类型的数据筛选。</w:t>
            </w:r>
          </w:p>
          <w:p>
            <w:pPr>
              <w:pStyle w:val="133"/>
              <w:spacing w:line="288" w:lineRule="auto"/>
              <w:rPr>
                <w:rFonts w:ascii="Arial" w:hAnsi="Arial" w:cs="Arial"/>
                <w:szCs w:val="21"/>
                <w:highlight w:val="none"/>
              </w:rPr>
            </w:pPr>
            <w:r>
              <w:rPr>
                <w:rFonts w:ascii="Arial" w:hAnsi="Arial" w:cs="Arial"/>
                <w:szCs w:val="21"/>
                <w:highlight w:val="none"/>
              </w:rPr>
              <w:t>支持指标的概览查看，包括产能、效率、医疗行为安全等</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支持从科室维度进行CMI-结余分析、时间-费用消耗指数的矩阵分析，并给出建议。</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支持横向对比各科室之间的指标横向对比</w:t>
            </w:r>
            <w:r>
              <w:rPr>
                <w:rFonts w:ascii="Arial" w:hAnsi="Arial" w:cs="Arial"/>
                <w:szCs w:val="21"/>
                <w:highlight w:val="none"/>
              </w:rPr>
              <w:t>。</w:t>
            </w:r>
          </w:p>
          <w:p>
            <w:pPr>
              <w:pStyle w:val="133"/>
              <w:spacing w:line="288" w:lineRule="auto"/>
              <w:rPr>
                <w:rFonts w:ascii="Arial" w:hAnsi="Arial" w:cs="Arial"/>
                <w:szCs w:val="21"/>
                <w:highlight w:val="none"/>
                <w:lang w:eastAsia="zh-Hans"/>
              </w:rPr>
            </w:pPr>
            <w:r>
              <w:rPr>
                <w:rFonts w:ascii="Arial" w:hAnsi="Arial" w:cs="Arial"/>
                <w:szCs w:val="21"/>
                <w:highlight w:val="none"/>
              </w:rPr>
              <w:t>支持医疗服务能力指标数据的详细分析，包括病例数、入组率、DRG组数、CMI等，各指标支持详细的数据分析，包括科室、医疗组、医生等维度，</w:t>
            </w:r>
            <w:r>
              <w:rPr>
                <w:rFonts w:ascii="Arial" w:hAnsi="Arial" w:cs="Arial"/>
                <w:szCs w:val="21"/>
                <w:highlight w:val="none"/>
                <w:lang w:eastAsia="zh-Hans"/>
              </w:rPr>
              <w:t>可查看趋势并支持趋势</w:t>
            </w:r>
            <w:r>
              <w:rPr>
                <w:rFonts w:ascii="Arial" w:hAnsi="Arial" w:cs="Arial"/>
                <w:szCs w:val="21"/>
                <w:highlight w:val="none"/>
              </w:rPr>
              <w:t>对比</w:t>
            </w:r>
            <w:r>
              <w:rPr>
                <w:rFonts w:ascii="Arial" w:hAnsi="Arial" w:cs="Arial"/>
                <w:szCs w:val="21"/>
                <w:highlight w:val="none"/>
                <w:lang w:eastAsia="zh-Hans"/>
              </w:rPr>
              <w:t>。</w:t>
            </w:r>
          </w:p>
          <w:p>
            <w:pPr>
              <w:pStyle w:val="133"/>
              <w:spacing w:line="288" w:lineRule="auto"/>
              <w:rPr>
                <w:rFonts w:ascii="Arial" w:hAnsi="Arial" w:cs="Arial"/>
                <w:szCs w:val="21"/>
                <w:highlight w:val="none"/>
                <w:lang w:eastAsia="zh-Hans"/>
              </w:rPr>
            </w:pPr>
            <w:r>
              <w:rPr>
                <w:rFonts w:ascii="Arial" w:hAnsi="Arial" w:cs="Arial"/>
                <w:szCs w:val="21"/>
                <w:highlight w:val="none"/>
              </w:rPr>
              <w:t>支持医疗服务效率指标数据的详细分析，包括时间消耗指数、费用消耗指数、药品费用、耗材费用等，各指标支持详细d数据分析，包括科室、医疗组、医生等维度，支持数据的对比分析</w:t>
            </w:r>
            <w:r>
              <w:rPr>
                <w:rFonts w:ascii="Arial" w:hAnsi="Arial" w:cs="Arial"/>
                <w:szCs w:val="21"/>
                <w:highlight w:val="none"/>
                <w:lang w:eastAsia="zh-Hans"/>
              </w:rPr>
              <w:t>。</w:t>
            </w:r>
          </w:p>
          <w:p>
            <w:pPr>
              <w:pStyle w:val="133"/>
              <w:spacing w:line="288" w:lineRule="auto"/>
              <w:rPr>
                <w:rFonts w:ascii="Arial" w:hAnsi="Arial" w:cs="Arial"/>
                <w:szCs w:val="21"/>
                <w:highlight w:val="none"/>
              </w:rPr>
            </w:pPr>
            <w:r>
              <w:rPr>
                <w:rFonts w:ascii="Arial" w:hAnsi="Arial" w:cs="Arial"/>
                <w:szCs w:val="21"/>
                <w:highlight w:val="none"/>
                <w:lang w:eastAsia="zh-Hans"/>
              </w:rPr>
              <w:t>对</w:t>
            </w:r>
            <w:r>
              <w:rPr>
                <w:rFonts w:ascii="Arial" w:hAnsi="Arial" w:cs="Arial"/>
                <w:szCs w:val="21"/>
                <w:highlight w:val="none"/>
              </w:rPr>
              <w:t>所选</w:t>
            </w:r>
            <w:r>
              <w:rPr>
                <w:rFonts w:ascii="Arial" w:hAnsi="Arial" w:cs="Arial"/>
                <w:szCs w:val="21"/>
                <w:highlight w:val="none"/>
                <w:lang w:eastAsia="zh-Hans"/>
              </w:rPr>
              <w:t>时间段内医疗行为安全数据进行汇总。</w:t>
            </w:r>
            <w:r>
              <w:rPr>
                <w:rFonts w:ascii="Arial" w:hAnsi="Arial" w:cs="Arial"/>
                <w:szCs w:val="21"/>
                <w:highlight w:val="none"/>
              </w:rPr>
              <w:t>展示全院整体死亡率及各级死亡率数据统计及同期对比、住院人次分布与死亡率变化趋势分析图、DRG结</w:t>
            </w:r>
            <w:r>
              <w:rPr>
                <w:rFonts w:ascii="Arial" w:hAnsi="Arial" w:cs="Arial"/>
                <w:szCs w:val="21"/>
                <w:highlight w:val="none"/>
                <w:lang w:eastAsia="zh-Hans"/>
              </w:rPr>
              <w:t>算病例的</w:t>
            </w:r>
            <w:r>
              <w:rPr>
                <w:rFonts w:ascii="Arial" w:hAnsi="Arial" w:cs="Arial"/>
                <w:szCs w:val="21"/>
                <w:highlight w:val="none"/>
              </w:rPr>
              <w:t>各风险等级死亡</w:t>
            </w:r>
            <w:r>
              <w:rPr>
                <w:rFonts w:ascii="Arial" w:hAnsi="Arial" w:cs="Arial"/>
                <w:szCs w:val="21"/>
                <w:highlight w:val="none"/>
                <w:lang w:eastAsia="zh-Hans"/>
              </w:rPr>
              <w:t>数据汇总</w:t>
            </w:r>
            <w:r>
              <w:rPr>
                <w:rFonts w:ascii="Arial" w:hAnsi="Arial" w:cs="Arial"/>
                <w:szCs w:val="21"/>
                <w:highlight w:val="none"/>
              </w:rPr>
              <w:t>。</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结算差异分析</w:t>
            </w:r>
          </w:p>
          <w:p>
            <w:pPr>
              <w:pStyle w:val="133"/>
              <w:spacing w:line="288" w:lineRule="auto"/>
              <w:rPr>
                <w:rFonts w:ascii="Arial" w:hAnsi="Arial" w:cs="Arial"/>
                <w:szCs w:val="21"/>
                <w:highlight w:val="none"/>
              </w:rPr>
            </w:pPr>
            <w:r>
              <w:rPr>
                <w:rFonts w:ascii="Arial" w:hAnsi="Arial" w:cs="Arial"/>
                <w:szCs w:val="21"/>
                <w:highlight w:val="none"/>
                <w:lang w:eastAsia="zh-Hans"/>
              </w:rPr>
              <w:t>对</w:t>
            </w:r>
            <w:r>
              <w:rPr>
                <w:rFonts w:ascii="Arial" w:hAnsi="Arial" w:cs="Arial"/>
                <w:szCs w:val="21"/>
                <w:highlight w:val="none"/>
              </w:rPr>
              <w:t>医保局实际返回的病例与系统预测病例结算差异的分析。</w:t>
            </w:r>
          </w:p>
          <w:p>
            <w:pPr>
              <w:pStyle w:val="133"/>
              <w:spacing w:line="288" w:lineRule="auto"/>
              <w:rPr>
                <w:rFonts w:ascii="Arial" w:hAnsi="Arial" w:cs="Arial"/>
                <w:szCs w:val="21"/>
                <w:highlight w:val="none"/>
              </w:rPr>
            </w:pPr>
            <w:r>
              <w:rPr>
                <w:rFonts w:ascii="Arial" w:hAnsi="Arial" w:cs="Arial"/>
                <w:szCs w:val="21"/>
                <w:highlight w:val="none"/>
              </w:rPr>
              <w:t>支持结算日期、科室、医保类型的数据筛选。</w:t>
            </w:r>
          </w:p>
          <w:p>
            <w:pPr>
              <w:pStyle w:val="133"/>
              <w:spacing w:line="288" w:lineRule="auto"/>
              <w:rPr>
                <w:rFonts w:ascii="Arial" w:hAnsi="Arial" w:cs="Arial"/>
                <w:szCs w:val="21"/>
                <w:highlight w:val="none"/>
              </w:rPr>
            </w:pPr>
            <w:r>
              <w:rPr>
                <w:rFonts w:ascii="Arial" w:hAnsi="Arial" w:cs="Arial"/>
                <w:szCs w:val="21"/>
                <w:highlight w:val="none"/>
              </w:rPr>
              <w:t>支持对入组一致率、盈亏金额差异等关键数据的对比分析。</w:t>
            </w:r>
          </w:p>
          <w:p>
            <w:pPr>
              <w:pStyle w:val="133"/>
              <w:spacing w:line="288" w:lineRule="auto"/>
              <w:rPr>
                <w:rFonts w:ascii="Arial" w:hAnsi="Arial" w:cs="Arial"/>
                <w:szCs w:val="21"/>
                <w:highlight w:val="none"/>
              </w:rPr>
            </w:pPr>
            <w:r>
              <w:rPr>
                <w:rFonts w:ascii="Arial" w:hAnsi="Arial" w:cs="Arial"/>
                <w:szCs w:val="21"/>
                <w:highlight w:val="none"/>
                <w:lang w:eastAsia="zh-Hans"/>
              </w:rPr>
              <w:t>支持对比</w:t>
            </w:r>
            <w:r>
              <w:rPr>
                <w:rFonts w:ascii="Arial" w:hAnsi="Arial" w:cs="Arial"/>
                <w:szCs w:val="21"/>
                <w:highlight w:val="none"/>
              </w:rPr>
              <w:t>医保结算</w:t>
            </w:r>
            <w:r>
              <w:rPr>
                <w:rFonts w:ascii="Arial" w:hAnsi="Arial" w:cs="Arial"/>
                <w:szCs w:val="21"/>
                <w:highlight w:val="none"/>
                <w:lang w:eastAsia="zh-Hans"/>
              </w:rPr>
              <w:t>和</w:t>
            </w:r>
            <w:r>
              <w:rPr>
                <w:rFonts w:ascii="Arial" w:hAnsi="Arial" w:cs="Arial"/>
                <w:szCs w:val="21"/>
                <w:highlight w:val="none"/>
              </w:rPr>
              <w:t>系统预测</w:t>
            </w:r>
            <w:r>
              <w:rPr>
                <w:rFonts w:ascii="Arial" w:hAnsi="Arial" w:cs="Arial"/>
                <w:szCs w:val="21"/>
                <w:highlight w:val="none"/>
                <w:lang w:eastAsia="zh-Hans"/>
              </w:rPr>
              <w:t>的</w:t>
            </w:r>
            <w:r>
              <w:rPr>
                <w:rFonts w:ascii="Arial" w:hAnsi="Arial" w:cs="Arial"/>
                <w:szCs w:val="21"/>
                <w:highlight w:val="none"/>
              </w:rPr>
              <w:t>DRG相关关键指标，支持高低倍率的差异对比查看，可查看患者的差异明细分析。</w:t>
            </w:r>
          </w:p>
          <w:p>
            <w:pPr>
              <w:pStyle w:val="133"/>
              <w:spacing w:line="288" w:lineRule="auto"/>
              <w:rPr>
                <w:rFonts w:ascii="Arial" w:hAnsi="Arial" w:cs="Arial"/>
                <w:szCs w:val="21"/>
                <w:highlight w:val="none"/>
              </w:rPr>
            </w:pPr>
            <w:r>
              <w:rPr>
                <w:rFonts w:ascii="Arial" w:hAnsi="Arial" w:cs="Arial"/>
                <w:szCs w:val="21"/>
                <w:highlight w:val="none"/>
              </w:rPr>
              <w:t>支持差异趋势的分析查看，包括结余差异、结算率、分组差异、病例类型差异，可按月份查看差异详情。</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医保申诉管理（院内申诉）</w:t>
            </w:r>
          </w:p>
          <w:p>
            <w:pPr>
              <w:pStyle w:val="133"/>
              <w:spacing w:line="288" w:lineRule="auto"/>
              <w:rPr>
                <w:rFonts w:ascii="Arial" w:hAnsi="Arial" w:cs="Arial"/>
                <w:szCs w:val="21"/>
                <w:highlight w:val="none"/>
              </w:rPr>
            </w:pPr>
            <w:r>
              <w:rPr>
                <w:rFonts w:ascii="Arial" w:hAnsi="Arial" w:cs="Arial"/>
                <w:szCs w:val="21"/>
                <w:highlight w:val="none"/>
              </w:rPr>
              <w:t>支持院内医保申诉功能，集中管理需申诉的病例列表。</w:t>
            </w:r>
          </w:p>
          <w:p>
            <w:pPr>
              <w:pStyle w:val="133"/>
              <w:spacing w:line="288" w:lineRule="auto"/>
              <w:rPr>
                <w:rFonts w:ascii="Arial" w:hAnsi="Arial" w:cs="Arial"/>
                <w:szCs w:val="21"/>
                <w:highlight w:val="none"/>
              </w:rPr>
            </w:pPr>
            <w:r>
              <w:rPr>
                <w:rFonts w:ascii="Arial" w:hAnsi="Arial" w:cs="Arial"/>
                <w:szCs w:val="21"/>
                <w:highlight w:val="none"/>
              </w:rPr>
              <w:t>支持搜索指定病例进行申诉，提交申诉理由及申诉材料。</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支持医保申诉与特病单议。</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问题病例分析</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科室质量分析</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 xml:space="preserve"> 提供无效病例类型及例数、整体入组情况分析图表。</w:t>
            </w:r>
          </w:p>
          <w:p>
            <w:pPr>
              <w:pStyle w:val="133"/>
              <w:spacing w:line="288" w:lineRule="auto"/>
              <w:rPr>
                <w:rFonts w:ascii="Arial" w:hAnsi="Arial" w:cs="Arial"/>
                <w:szCs w:val="21"/>
                <w:highlight w:val="none"/>
              </w:rPr>
            </w:pPr>
            <w:r>
              <w:rPr>
                <w:rFonts w:ascii="Arial" w:hAnsi="Arial" w:cs="Arial"/>
                <w:szCs w:val="21"/>
                <w:highlight w:val="none"/>
                <w:lang w:eastAsia="zh-Hans"/>
              </w:rPr>
              <w:t>提供各入组情况同期对比、未入组患者明细列表，报表支持下载。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未入组分析</w:t>
            </w:r>
          </w:p>
          <w:p>
            <w:pPr>
              <w:pStyle w:val="133"/>
              <w:spacing w:line="288" w:lineRule="auto"/>
              <w:rPr>
                <w:rFonts w:ascii="Arial" w:hAnsi="Arial" w:cs="Arial"/>
                <w:szCs w:val="21"/>
                <w:highlight w:val="none"/>
              </w:rPr>
            </w:pPr>
            <w:r>
              <w:rPr>
                <w:rFonts w:ascii="Arial" w:hAnsi="Arial" w:cs="Arial"/>
                <w:szCs w:val="21"/>
                <w:highlight w:val="none"/>
                <w:lang w:eastAsia="zh-Hans"/>
              </w:rPr>
              <w:t>按科室、未入组原因等统计未入组病例，支持查看未入组病例列表及病例详情。统计报表支持排序、下载。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有疑问主诊断</w:t>
            </w:r>
          </w:p>
          <w:p>
            <w:pPr>
              <w:pStyle w:val="133"/>
              <w:spacing w:line="288" w:lineRule="auto"/>
              <w:rPr>
                <w:rFonts w:ascii="Arial" w:hAnsi="Arial" w:cs="Arial"/>
                <w:szCs w:val="21"/>
                <w:highlight w:val="none"/>
              </w:rPr>
            </w:pPr>
            <w:r>
              <w:rPr>
                <w:rFonts w:ascii="Arial" w:hAnsi="Arial" w:cs="Arial"/>
                <w:szCs w:val="21"/>
                <w:highlight w:val="none"/>
                <w:lang w:eastAsia="zh-Hans"/>
              </w:rPr>
              <w:t>系统提供按例数统计占比较高的有疑问住诊断；提供有疑问住诊断例数同期对比；支持多级钻取。统计报表支持排序、下载。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住院超60天</w:t>
            </w:r>
          </w:p>
          <w:p>
            <w:pPr>
              <w:pStyle w:val="133"/>
              <w:spacing w:line="288" w:lineRule="auto"/>
              <w:rPr>
                <w:rFonts w:ascii="Arial" w:hAnsi="Arial" w:cs="Arial"/>
                <w:szCs w:val="21"/>
                <w:highlight w:val="none"/>
              </w:rPr>
            </w:pPr>
            <w:r>
              <w:rPr>
                <w:rFonts w:ascii="Arial" w:hAnsi="Arial" w:cs="Arial"/>
                <w:szCs w:val="21"/>
                <w:highlight w:val="none"/>
                <w:lang w:eastAsia="zh-Hans"/>
              </w:rPr>
              <w:t>提供住院超60天例数同期对比；提供各科室分布情况；提供住院超60天科室统计指标列表，并支持钻取患者列表及明细。统计报表支持排序、下载。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住院小于2天</w:t>
            </w:r>
          </w:p>
          <w:p>
            <w:pPr>
              <w:pStyle w:val="133"/>
              <w:spacing w:line="288" w:lineRule="auto"/>
              <w:rPr>
                <w:rFonts w:ascii="Arial" w:hAnsi="Arial" w:cs="Arial"/>
                <w:szCs w:val="21"/>
                <w:highlight w:val="none"/>
              </w:rPr>
            </w:pPr>
            <w:r>
              <w:rPr>
                <w:rFonts w:ascii="Arial" w:hAnsi="Arial" w:cs="Arial"/>
                <w:szCs w:val="21"/>
                <w:highlight w:val="none"/>
                <w:lang w:eastAsia="zh-Hans"/>
              </w:rPr>
              <w:t>提供住院小于2天例数同期对比；提供各科室分布情况；提供住院小于2天科室统计指标列表，并支持钻取患者列表及明细。统计报表支持排序、下载。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分组效率分析</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支持按月、季、年筛选时间范围。</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提供查看不同类型的问题病例汇总信息，包括未入组、费用小于5、住院小于2天、住院超60天、QY病例、有疑问主诊断、再入院病例。</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支持查看问题病例变化趋势。</w:t>
            </w:r>
          </w:p>
          <w:p>
            <w:pPr>
              <w:pStyle w:val="133"/>
              <w:spacing w:line="288" w:lineRule="auto"/>
              <w:rPr>
                <w:rFonts w:ascii="Arial" w:hAnsi="Arial" w:cs="Arial"/>
                <w:szCs w:val="21"/>
                <w:highlight w:val="none"/>
              </w:rPr>
            </w:pPr>
            <w:r>
              <w:rPr>
                <w:rFonts w:ascii="Arial" w:hAnsi="Arial" w:cs="Arial"/>
                <w:szCs w:val="21"/>
                <w:highlight w:val="none"/>
                <w:lang w:eastAsia="zh-Hans"/>
              </w:rPr>
              <w:t>可按科室、医疗组、医生、病组查看问题病例信息。统计报表支持排序、下载。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数据质量分析</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支持按月、季、年筛选时间范围。</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提供本期、同期数据质量对比分析查看的对比图表。</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提供入组情况的树形图图表，包括有效病案、无效病案等信息。</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提供入组情况本期与同期的汇报分析。</w:t>
            </w:r>
          </w:p>
          <w:p>
            <w:pPr>
              <w:pStyle w:val="133"/>
              <w:spacing w:line="288" w:lineRule="auto"/>
              <w:rPr>
                <w:rFonts w:ascii="Arial" w:hAnsi="Arial" w:cs="Arial"/>
                <w:szCs w:val="21"/>
                <w:highlight w:val="none"/>
              </w:rPr>
            </w:pPr>
            <w:r>
              <w:rPr>
                <w:rFonts w:ascii="Arial" w:hAnsi="Arial" w:cs="Arial"/>
                <w:szCs w:val="21"/>
                <w:highlight w:val="none"/>
                <w:lang w:eastAsia="zh-Hans"/>
              </w:rPr>
              <w:t>提供未入组患者详情的统计报表，统计报表支持排序、下载。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费用小于5分析</w:t>
            </w:r>
          </w:p>
          <w:p>
            <w:pPr>
              <w:pStyle w:val="133"/>
              <w:spacing w:line="288" w:lineRule="auto"/>
              <w:rPr>
                <w:rFonts w:ascii="Arial" w:hAnsi="Arial" w:cs="Arial"/>
                <w:szCs w:val="21"/>
                <w:highlight w:val="none"/>
              </w:rPr>
            </w:pPr>
            <w:r>
              <w:rPr>
                <w:rFonts w:ascii="Arial" w:hAnsi="Arial" w:cs="Arial"/>
                <w:szCs w:val="21"/>
                <w:highlight w:val="none"/>
                <w:lang w:eastAsia="zh-Hans"/>
              </w:rPr>
              <w:t>提供住院小于5例数同期对比；提供各病区分布情况；提供费用小于5科室统计及病区统计的分析报表。</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死亡情况分析</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提供各风险等级死亡病例数同期对比及各科室死亡病例分布情况对比。</w:t>
            </w:r>
          </w:p>
          <w:p>
            <w:pPr>
              <w:pStyle w:val="133"/>
              <w:spacing w:line="288" w:lineRule="auto"/>
              <w:rPr>
                <w:rFonts w:ascii="Arial" w:hAnsi="Arial" w:cs="Arial"/>
                <w:szCs w:val="21"/>
                <w:highlight w:val="none"/>
              </w:rPr>
            </w:pPr>
            <w:r>
              <w:rPr>
                <w:rFonts w:ascii="Arial" w:hAnsi="Arial" w:cs="Arial"/>
                <w:szCs w:val="21"/>
                <w:highlight w:val="none"/>
                <w:lang w:eastAsia="zh-Hans"/>
              </w:rPr>
              <w:t>提供各风险风机死亡情况对比功能，分别对低风险组、中低风险组、中高风险组、高风险组死亡病例数进行同期对比及在各个科室中的分布统计。</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歧义病例分析</w:t>
            </w:r>
          </w:p>
          <w:p>
            <w:pPr>
              <w:pStyle w:val="133"/>
              <w:spacing w:line="288" w:lineRule="auto"/>
              <w:rPr>
                <w:rFonts w:ascii="Arial" w:hAnsi="Arial" w:cs="Arial"/>
                <w:szCs w:val="21"/>
                <w:highlight w:val="none"/>
              </w:rPr>
            </w:pPr>
            <w:r>
              <w:rPr>
                <w:rFonts w:ascii="Arial" w:hAnsi="Arial" w:cs="Arial"/>
                <w:szCs w:val="21"/>
                <w:highlight w:val="none"/>
              </w:rPr>
              <w:t>提供QY病例病例分布、QY病例分类、各科室QY病例分布情况统计分析。</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lang w:eastAsia="zh-Hans"/>
              </w:rPr>
              <w:t>专项</w:t>
            </w:r>
            <w:r>
              <w:rPr>
                <w:rFonts w:ascii="Arial" w:hAnsi="Arial" w:cs="Arial"/>
                <w:sz w:val="21"/>
                <w:szCs w:val="21"/>
                <w:highlight w:val="none"/>
              </w:rPr>
              <w:t>分析</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高倍率病例</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对时间范围内的高倍率病例相关数据进行监测。</w:t>
            </w:r>
          </w:p>
          <w:p>
            <w:pPr>
              <w:pStyle w:val="133"/>
              <w:spacing w:line="288" w:lineRule="auto"/>
              <w:rPr>
                <w:rFonts w:ascii="Arial" w:hAnsi="Arial" w:cs="Arial"/>
                <w:szCs w:val="21"/>
                <w:highlight w:val="none"/>
              </w:rPr>
            </w:pPr>
            <w:r>
              <w:rPr>
                <w:rFonts w:ascii="Arial" w:hAnsi="Arial" w:cs="Arial"/>
                <w:szCs w:val="21"/>
                <w:highlight w:val="none"/>
              </w:rPr>
              <w:t>支持按出院时间、结算时间、医保类型、科室/医疗组/主治医师等条件设置查询范围。</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支持离院数据与医保结算返回数据切换。</w:t>
            </w:r>
          </w:p>
          <w:p>
            <w:pPr>
              <w:pStyle w:val="133"/>
              <w:spacing w:line="288" w:lineRule="auto"/>
              <w:rPr>
                <w:rFonts w:ascii="Arial" w:hAnsi="Arial" w:cs="Arial"/>
                <w:szCs w:val="21"/>
                <w:highlight w:val="none"/>
              </w:rPr>
            </w:pPr>
            <w:r>
              <w:rPr>
                <w:rFonts w:ascii="Arial" w:hAnsi="Arial" w:cs="Arial"/>
                <w:szCs w:val="21"/>
                <w:highlight w:val="none"/>
                <w:lang w:eastAsia="zh-Hans"/>
              </w:rPr>
              <w:t>支持</w:t>
            </w:r>
            <w:r>
              <w:rPr>
                <w:rFonts w:ascii="Arial" w:hAnsi="Arial" w:cs="Arial"/>
                <w:szCs w:val="21"/>
                <w:highlight w:val="none"/>
              </w:rPr>
              <w:t>统计所选时间段内高倍率病例发生例数</w:t>
            </w:r>
            <w:r>
              <w:rPr>
                <w:rFonts w:ascii="Arial" w:hAnsi="Arial" w:cs="Arial"/>
                <w:szCs w:val="21"/>
                <w:highlight w:val="none"/>
                <w:lang w:eastAsia="zh-Hans"/>
              </w:rPr>
              <w:t>及占比</w:t>
            </w:r>
            <w:r>
              <w:rPr>
                <w:rFonts w:ascii="Arial" w:hAnsi="Arial" w:cs="Arial"/>
                <w:szCs w:val="21"/>
                <w:highlight w:val="none"/>
              </w:rPr>
              <w:t>、</w:t>
            </w:r>
            <w:r>
              <w:rPr>
                <w:rFonts w:ascii="Arial" w:hAnsi="Arial" w:cs="Arial"/>
                <w:szCs w:val="21"/>
                <w:highlight w:val="none"/>
                <w:lang w:eastAsia="zh-Hans"/>
              </w:rPr>
              <w:t>总费用、</w:t>
            </w:r>
            <w:r>
              <w:rPr>
                <w:rFonts w:ascii="Arial" w:hAnsi="Arial" w:cs="Arial"/>
                <w:szCs w:val="21"/>
                <w:highlight w:val="none"/>
              </w:rPr>
              <w:t>DRG结算费用及</w:t>
            </w:r>
            <w:r>
              <w:rPr>
                <w:rFonts w:ascii="Arial" w:hAnsi="Arial" w:cs="Arial"/>
                <w:szCs w:val="21"/>
                <w:highlight w:val="none"/>
                <w:lang w:eastAsia="zh-Hans"/>
              </w:rPr>
              <w:t>预计</w:t>
            </w:r>
            <w:r>
              <w:rPr>
                <w:rFonts w:ascii="Arial" w:hAnsi="Arial" w:cs="Arial"/>
                <w:szCs w:val="21"/>
                <w:highlight w:val="none"/>
              </w:rPr>
              <w:t>盈亏金额</w:t>
            </w:r>
            <w:r>
              <w:rPr>
                <w:rFonts w:ascii="Arial" w:hAnsi="Arial" w:cs="Arial"/>
                <w:szCs w:val="21"/>
                <w:highlight w:val="none"/>
                <w:lang w:eastAsia="zh-Hans"/>
              </w:rPr>
              <w:t>等指标</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支持高倍率病例数/占比趋势</w:t>
            </w:r>
            <w:r>
              <w:rPr>
                <w:rFonts w:ascii="Arial" w:hAnsi="Arial" w:cs="Arial"/>
                <w:szCs w:val="21"/>
                <w:highlight w:val="none"/>
                <w:lang w:eastAsia="zh-Hans"/>
              </w:rPr>
              <w:t>与病组分布分析</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支持查看高倍率的患者明细列表，</w:t>
            </w:r>
            <w:r>
              <w:rPr>
                <w:rFonts w:ascii="Arial" w:hAnsi="Arial" w:cs="Arial"/>
                <w:szCs w:val="21"/>
                <w:highlight w:val="none"/>
                <w:lang w:eastAsia="zh-Hans"/>
              </w:rPr>
              <w:t>提供疑似高倍率原因归类</w:t>
            </w:r>
            <w:r>
              <w:rPr>
                <w:rFonts w:ascii="Arial" w:hAnsi="Arial" w:cs="Arial"/>
                <w:szCs w:val="21"/>
                <w:highlight w:val="none"/>
              </w:rPr>
              <w:t>。</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低倍率病例</w:t>
            </w:r>
          </w:p>
          <w:p>
            <w:pPr>
              <w:pStyle w:val="133"/>
              <w:spacing w:line="288" w:lineRule="auto"/>
              <w:rPr>
                <w:rFonts w:ascii="Arial" w:hAnsi="Arial" w:cs="Arial"/>
                <w:szCs w:val="21"/>
                <w:highlight w:val="none"/>
              </w:rPr>
            </w:pPr>
            <w:r>
              <w:rPr>
                <w:rFonts w:ascii="Arial" w:hAnsi="Arial" w:cs="Arial"/>
                <w:szCs w:val="21"/>
                <w:highlight w:val="none"/>
                <w:lang w:eastAsia="zh-Hans"/>
              </w:rPr>
              <w:t>对时间范围内的低倍率病例相关数据进行监测。</w:t>
            </w:r>
          </w:p>
          <w:p>
            <w:pPr>
              <w:pStyle w:val="133"/>
              <w:spacing w:line="288" w:lineRule="auto"/>
              <w:rPr>
                <w:rFonts w:ascii="Arial" w:hAnsi="Arial" w:cs="Arial"/>
                <w:szCs w:val="21"/>
                <w:highlight w:val="none"/>
              </w:rPr>
            </w:pPr>
            <w:r>
              <w:rPr>
                <w:rFonts w:ascii="Arial" w:hAnsi="Arial" w:cs="Arial"/>
                <w:szCs w:val="21"/>
                <w:highlight w:val="none"/>
              </w:rPr>
              <w:t>支持按出院时间、结算时间、医保类型、科室/医疗组/主治医师等条件设置查询范围。</w:t>
            </w:r>
          </w:p>
          <w:p>
            <w:pPr>
              <w:pStyle w:val="133"/>
              <w:spacing w:line="288" w:lineRule="auto"/>
              <w:rPr>
                <w:rFonts w:ascii="Arial" w:hAnsi="Arial" w:cs="Arial"/>
                <w:szCs w:val="21"/>
                <w:highlight w:val="none"/>
              </w:rPr>
            </w:pPr>
            <w:r>
              <w:rPr>
                <w:rFonts w:ascii="Arial" w:hAnsi="Arial" w:cs="Arial"/>
                <w:szCs w:val="21"/>
                <w:highlight w:val="none"/>
                <w:lang w:eastAsia="zh-Hans"/>
              </w:rPr>
              <w:t>支持离院数据与医保结算返回数据切换。</w:t>
            </w:r>
          </w:p>
          <w:p>
            <w:pPr>
              <w:pStyle w:val="133"/>
              <w:spacing w:line="288" w:lineRule="auto"/>
              <w:rPr>
                <w:rFonts w:ascii="Arial" w:hAnsi="Arial" w:cs="Arial"/>
                <w:szCs w:val="21"/>
                <w:highlight w:val="none"/>
              </w:rPr>
            </w:pPr>
            <w:r>
              <w:rPr>
                <w:rFonts w:ascii="Arial" w:hAnsi="Arial" w:cs="Arial"/>
                <w:szCs w:val="21"/>
                <w:highlight w:val="none"/>
              </w:rPr>
              <w:t>统计所选时间段内低倍率病例发生例数</w:t>
            </w:r>
            <w:r>
              <w:rPr>
                <w:rFonts w:ascii="Arial" w:hAnsi="Arial" w:cs="Arial"/>
                <w:szCs w:val="21"/>
                <w:highlight w:val="none"/>
                <w:lang w:eastAsia="zh-Hans"/>
              </w:rPr>
              <w:t>及占比</w:t>
            </w:r>
            <w:r>
              <w:rPr>
                <w:rFonts w:ascii="Arial" w:hAnsi="Arial" w:cs="Arial"/>
                <w:szCs w:val="21"/>
                <w:highlight w:val="none"/>
              </w:rPr>
              <w:t>、总费用、DRG结算费用及盈亏金额。</w:t>
            </w:r>
          </w:p>
          <w:p>
            <w:pPr>
              <w:pStyle w:val="133"/>
              <w:spacing w:line="288" w:lineRule="auto"/>
              <w:rPr>
                <w:rFonts w:ascii="Arial" w:hAnsi="Arial" w:cs="Arial"/>
                <w:szCs w:val="21"/>
                <w:highlight w:val="none"/>
              </w:rPr>
            </w:pPr>
            <w:r>
              <w:rPr>
                <w:rFonts w:ascii="Arial" w:hAnsi="Arial" w:cs="Arial"/>
                <w:szCs w:val="21"/>
                <w:highlight w:val="none"/>
              </w:rPr>
              <w:t>支持低倍率病例数/占比趋势</w:t>
            </w:r>
            <w:r>
              <w:rPr>
                <w:rFonts w:ascii="Arial" w:hAnsi="Arial" w:cs="Arial"/>
                <w:szCs w:val="21"/>
                <w:highlight w:val="none"/>
                <w:lang w:eastAsia="zh-Hans"/>
              </w:rPr>
              <w:t>和病组分布分析</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支持查看低倍率的患者明细列表，</w:t>
            </w:r>
            <w:r>
              <w:rPr>
                <w:rFonts w:ascii="Arial" w:hAnsi="Arial" w:cs="Arial"/>
                <w:szCs w:val="21"/>
                <w:highlight w:val="none"/>
                <w:lang w:eastAsia="zh-Hans"/>
              </w:rPr>
              <w:t>提供疑似低倍率原因归类</w:t>
            </w:r>
            <w:r>
              <w:rPr>
                <w:rFonts w:ascii="Arial" w:hAnsi="Arial" w:cs="Arial"/>
                <w:szCs w:val="21"/>
                <w:highlight w:val="none"/>
              </w:rPr>
              <w:t>。</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再入院监测</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对时间段内再入院患者数据进行监测。</w:t>
            </w:r>
          </w:p>
          <w:p>
            <w:pPr>
              <w:pStyle w:val="133"/>
              <w:spacing w:line="288" w:lineRule="auto"/>
              <w:rPr>
                <w:rFonts w:ascii="Arial" w:hAnsi="Arial" w:cs="Arial"/>
                <w:szCs w:val="21"/>
                <w:highlight w:val="none"/>
              </w:rPr>
            </w:pPr>
            <w:r>
              <w:rPr>
                <w:rFonts w:ascii="Arial" w:hAnsi="Arial" w:cs="Arial"/>
                <w:szCs w:val="21"/>
                <w:highlight w:val="none"/>
              </w:rPr>
              <w:t>支持3/7/15/31</w:t>
            </w:r>
            <w:r>
              <w:rPr>
                <w:rFonts w:ascii="Arial" w:hAnsi="Arial" w:cs="Arial"/>
                <w:szCs w:val="21"/>
                <w:highlight w:val="none"/>
                <w:lang w:eastAsia="zh-Hans"/>
              </w:rPr>
              <w:t>日内</w:t>
            </w:r>
            <w:r>
              <w:rPr>
                <w:rFonts w:ascii="Arial" w:hAnsi="Arial" w:cs="Arial"/>
                <w:szCs w:val="21"/>
                <w:highlight w:val="none"/>
              </w:rPr>
              <w:t>再入院患者的历次住院信息列表及科室分布情况，支持钻取到患者明细信息。</w:t>
            </w:r>
          </w:p>
          <w:p>
            <w:pPr>
              <w:pStyle w:val="133"/>
              <w:spacing w:line="288" w:lineRule="auto"/>
              <w:rPr>
                <w:rFonts w:ascii="Arial" w:hAnsi="Arial" w:cs="Arial"/>
                <w:szCs w:val="21"/>
                <w:highlight w:val="none"/>
              </w:rPr>
            </w:pPr>
            <w:r>
              <w:rPr>
                <w:rFonts w:ascii="Arial" w:hAnsi="Arial" w:cs="Arial"/>
                <w:szCs w:val="21"/>
                <w:highlight w:val="none"/>
              </w:rPr>
              <w:t>支持以不同离院方式、不同出院情况离院后再入院的病例分布统计。</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支持再入院科室排名，支持再入院主诊断排名。</w:t>
            </w:r>
          </w:p>
          <w:p>
            <w:pPr>
              <w:pStyle w:val="133"/>
              <w:spacing w:line="288" w:lineRule="auto"/>
              <w:rPr>
                <w:rFonts w:ascii="Arial" w:hAnsi="Arial" w:cs="Arial"/>
                <w:szCs w:val="21"/>
                <w:highlight w:val="none"/>
                <w:lang w:eastAsia="zh-Hans"/>
              </w:rPr>
            </w:pPr>
            <w:r>
              <w:rPr>
                <w:rFonts w:ascii="Arial" w:hAnsi="Arial" w:cs="Arial"/>
                <w:szCs w:val="21"/>
                <w:highlight w:val="none"/>
              </w:rPr>
              <w:t>支持全部再入院患者列表，支持按照同一诊断、同一分组进行筛选</w:t>
            </w:r>
            <w:r>
              <w:rPr>
                <w:rFonts w:ascii="Arial" w:hAnsi="Arial" w:cs="Arial"/>
                <w:szCs w:val="21"/>
                <w:highlight w:val="none"/>
                <w:lang w:eastAsia="zh-Hans"/>
              </w:rPr>
              <w:t>。</w:t>
            </w:r>
          </w:p>
          <w:p>
            <w:pPr>
              <w:pStyle w:val="133"/>
              <w:spacing w:line="288" w:lineRule="auto"/>
              <w:rPr>
                <w:rFonts w:ascii="Arial" w:hAnsi="Arial" w:cs="Arial"/>
                <w:szCs w:val="21"/>
                <w:highlight w:val="none"/>
              </w:rPr>
            </w:pPr>
            <w:r>
              <w:rPr>
                <w:rFonts w:ascii="Arial" w:hAnsi="Arial" w:cs="Arial"/>
                <w:szCs w:val="21"/>
                <w:highlight w:val="none"/>
              </w:rPr>
              <w:t>横向统计对比各科室再入院患者情况，包括同一诊断、同一分组、不同离院情况等维度。</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病例入组分析</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对时间段内病例入组结果进行多维度分析。</w:t>
            </w:r>
          </w:p>
          <w:p>
            <w:pPr>
              <w:pStyle w:val="133"/>
              <w:spacing w:line="288" w:lineRule="auto"/>
              <w:rPr>
                <w:rFonts w:ascii="Arial" w:hAnsi="Arial" w:cs="Arial"/>
                <w:szCs w:val="21"/>
                <w:highlight w:val="none"/>
              </w:rPr>
            </w:pPr>
            <w:r>
              <w:rPr>
                <w:rFonts w:ascii="Arial" w:hAnsi="Arial" w:cs="Arial"/>
                <w:szCs w:val="21"/>
                <w:highlight w:val="none"/>
              </w:rPr>
              <w:t>支持离院病例及医保返回病例的数据源切换。</w:t>
            </w:r>
          </w:p>
          <w:p>
            <w:pPr>
              <w:pStyle w:val="133"/>
              <w:spacing w:line="288" w:lineRule="auto"/>
              <w:rPr>
                <w:rFonts w:ascii="Arial" w:hAnsi="Arial" w:cs="Arial"/>
                <w:szCs w:val="21"/>
                <w:highlight w:val="none"/>
              </w:rPr>
            </w:pPr>
            <w:r>
              <w:rPr>
                <w:rFonts w:ascii="Arial" w:hAnsi="Arial" w:cs="Arial"/>
                <w:szCs w:val="21"/>
                <w:highlight w:val="none"/>
              </w:rPr>
              <w:t>支持按结算方式的数据分析查看，包括人数分布、入组情况、病例数趋势。</w:t>
            </w:r>
          </w:p>
          <w:p>
            <w:pPr>
              <w:pStyle w:val="133"/>
              <w:spacing w:line="288" w:lineRule="auto"/>
              <w:rPr>
                <w:rFonts w:ascii="Arial" w:hAnsi="Arial" w:cs="Arial"/>
                <w:szCs w:val="21"/>
                <w:highlight w:val="none"/>
              </w:rPr>
            </w:pPr>
            <w:r>
              <w:rPr>
                <w:rFonts w:ascii="Arial" w:hAnsi="Arial" w:cs="Arial"/>
                <w:szCs w:val="21"/>
                <w:highlight w:val="none"/>
              </w:rPr>
              <w:t>支持按</w:t>
            </w:r>
            <w:r>
              <w:rPr>
                <w:rFonts w:ascii="Arial" w:hAnsi="Arial" w:cs="Arial"/>
                <w:szCs w:val="21"/>
                <w:highlight w:val="none"/>
                <w:lang w:eastAsia="zh-Hans"/>
              </w:rPr>
              <w:t>病组属性</w:t>
            </w:r>
            <w:r>
              <w:rPr>
                <w:rFonts w:ascii="Arial" w:hAnsi="Arial" w:cs="Arial"/>
                <w:szCs w:val="21"/>
                <w:highlight w:val="none"/>
              </w:rPr>
              <w:t>的数据分析查看，包括</w:t>
            </w:r>
            <w:r>
              <w:rPr>
                <w:rFonts w:ascii="Arial" w:hAnsi="Arial" w:cs="Arial"/>
                <w:szCs w:val="21"/>
                <w:highlight w:val="none"/>
                <w:lang w:eastAsia="zh-Hans"/>
              </w:rPr>
              <w:t>核心组/综合组病组分布、病例分布</w:t>
            </w:r>
            <w:r>
              <w:rPr>
                <w:rFonts w:ascii="Arial" w:hAnsi="Arial" w:cs="Arial"/>
                <w:szCs w:val="21"/>
                <w:highlight w:val="none"/>
              </w:rPr>
              <w:t>、趋势分析。</w:t>
            </w:r>
          </w:p>
          <w:p>
            <w:pPr>
              <w:pStyle w:val="133"/>
              <w:spacing w:line="288" w:lineRule="auto"/>
              <w:rPr>
                <w:rFonts w:ascii="Arial" w:hAnsi="Arial" w:cs="Arial"/>
                <w:szCs w:val="21"/>
                <w:highlight w:val="none"/>
              </w:rPr>
            </w:pPr>
            <w:r>
              <w:rPr>
                <w:rFonts w:ascii="Arial" w:hAnsi="Arial" w:cs="Arial"/>
                <w:szCs w:val="21"/>
                <w:highlight w:val="none"/>
              </w:rPr>
              <w:t>支持按治疗方式的数据分析查看，包括内外科的人数分布、趋势分析。</w:t>
            </w:r>
          </w:p>
          <w:p>
            <w:pPr>
              <w:pStyle w:val="133"/>
              <w:spacing w:line="288" w:lineRule="auto"/>
              <w:rPr>
                <w:rFonts w:ascii="Arial" w:hAnsi="Arial" w:cs="Arial"/>
                <w:szCs w:val="21"/>
                <w:highlight w:val="none"/>
              </w:rPr>
            </w:pPr>
            <w:r>
              <w:rPr>
                <w:rFonts w:ascii="Arial" w:hAnsi="Arial" w:cs="Arial"/>
                <w:szCs w:val="21"/>
                <w:highlight w:val="none"/>
              </w:rPr>
              <w:t>支持按病组性质的数据分析查看，包括基础病组、正常病组人数分布、趋势分析。</w:t>
            </w:r>
          </w:p>
          <w:p>
            <w:pPr>
              <w:pStyle w:val="133"/>
              <w:spacing w:line="288" w:lineRule="auto"/>
              <w:rPr>
                <w:rFonts w:ascii="Arial" w:hAnsi="Arial" w:cs="Arial"/>
                <w:szCs w:val="21"/>
                <w:highlight w:val="none"/>
              </w:rPr>
            </w:pPr>
            <w:r>
              <w:rPr>
                <w:rFonts w:ascii="Arial" w:hAnsi="Arial" w:cs="Arial"/>
                <w:szCs w:val="21"/>
                <w:highlight w:val="none"/>
              </w:rPr>
              <w:t>支持按科室</w:t>
            </w:r>
            <w:r>
              <w:rPr>
                <w:rFonts w:ascii="Arial" w:hAnsi="Arial" w:cs="Arial"/>
                <w:szCs w:val="21"/>
                <w:highlight w:val="none"/>
                <w:lang w:eastAsia="zh-Hans"/>
              </w:rPr>
              <w:t>间的横向入组分析指标对比</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支持基础病组的数据</w:t>
            </w:r>
            <w:r>
              <w:rPr>
                <w:rFonts w:ascii="Arial" w:hAnsi="Arial" w:cs="Arial"/>
                <w:szCs w:val="21"/>
                <w:highlight w:val="none"/>
                <w:lang w:eastAsia="zh-Hans"/>
              </w:rPr>
              <w:t>统计</w:t>
            </w:r>
            <w:r>
              <w:rPr>
                <w:rFonts w:ascii="Arial" w:hAnsi="Arial" w:cs="Arial"/>
                <w:szCs w:val="21"/>
                <w:highlight w:val="none"/>
              </w:rPr>
              <w:t>。</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lang w:eastAsia="zh-Hans"/>
              </w:rPr>
              <w:t>费用结构分析</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w:t>
            </w:r>
            <w:r>
              <w:rPr>
                <w:rFonts w:ascii="Arial" w:hAnsi="Arial" w:cs="Arial"/>
                <w:szCs w:val="21"/>
                <w:highlight w:val="none"/>
                <w:lang w:eastAsia="zh-Hans"/>
              </w:rPr>
              <w:t>支持时间范围内费用结构分布，包括药品费、耗材费扥各项费用。</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支持药占比、耗占比趋势图。</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支持费用结构异常病例数趋势。</w:t>
            </w:r>
          </w:p>
          <w:p>
            <w:pPr>
              <w:pStyle w:val="133"/>
              <w:spacing w:line="288" w:lineRule="auto"/>
              <w:rPr>
                <w:rFonts w:ascii="Arial" w:hAnsi="Arial" w:cs="Arial"/>
                <w:szCs w:val="21"/>
                <w:highlight w:val="none"/>
                <w:lang w:eastAsia="zh-Hans"/>
              </w:rPr>
            </w:pPr>
            <w:r>
              <w:rPr>
                <w:rFonts w:ascii="Arial" w:hAnsi="Arial" w:cs="Arial"/>
                <w:szCs w:val="21"/>
                <w:highlight w:val="none"/>
                <w:lang w:eastAsia="zh-Hans"/>
              </w:rPr>
              <w:t>横向对比各科室费用结构异常分类数量，及费用结构异常的病例列表。</w:t>
            </w:r>
          </w:p>
          <w:p>
            <w:pPr>
              <w:pStyle w:val="133"/>
              <w:spacing w:line="288" w:lineRule="auto"/>
              <w:rPr>
                <w:rFonts w:ascii="Arial" w:hAnsi="Arial" w:cs="Arial"/>
                <w:szCs w:val="21"/>
                <w:highlight w:val="none"/>
              </w:rPr>
            </w:pPr>
            <w:r>
              <w:rPr>
                <w:rFonts w:ascii="Arial" w:hAnsi="Arial" w:cs="Arial"/>
                <w:szCs w:val="21"/>
                <w:highlight w:val="none"/>
                <w:lang w:eastAsia="zh-Hans"/>
              </w:rPr>
              <w:t>支持切换科室/医疗组/医生维度。</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重点病组分析</w:t>
            </w:r>
          </w:p>
          <w:p>
            <w:pPr>
              <w:pStyle w:val="133"/>
              <w:spacing w:line="288" w:lineRule="auto"/>
              <w:rPr>
                <w:rFonts w:ascii="Arial" w:hAnsi="Arial" w:cs="Arial"/>
                <w:szCs w:val="21"/>
                <w:highlight w:val="none"/>
              </w:rPr>
            </w:pPr>
            <w:r>
              <w:rPr>
                <w:rFonts w:ascii="Arial" w:hAnsi="Arial" w:cs="Arial"/>
                <w:szCs w:val="21"/>
                <w:highlight w:val="none"/>
              </w:rPr>
              <w:t xml:space="preserve"> 从人次、费用、高低难度、亏损和结余等五个维度进行病组数据监测</w:t>
            </w:r>
            <w:r>
              <w:rPr>
                <w:rFonts w:ascii="Arial" w:hAnsi="Arial" w:cs="Arial"/>
                <w:szCs w:val="21"/>
                <w:highlight w:val="none"/>
                <w:lang w:eastAsia="zh-Hans"/>
              </w:rPr>
              <w:t>，自动筛查需要重点关注的病组</w:t>
            </w:r>
            <w:r>
              <w:rPr>
                <w:rFonts w:ascii="Arial" w:hAnsi="Arial" w:cs="Arial"/>
                <w:szCs w:val="21"/>
                <w:highlight w:val="none"/>
              </w:rPr>
              <w:t>，为医院发展决策、经营分析支持数据支持。</w:t>
            </w:r>
          </w:p>
          <w:p>
            <w:pPr>
              <w:pStyle w:val="4"/>
              <w:numPr>
                <w:ilvl w:val="2"/>
                <w:numId w:val="3"/>
              </w:numPr>
              <w:spacing w:before="0" w:after="0" w:line="288" w:lineRule="auto"/>
              <w:ind w:firstLine="40"/>
              <w:rPr>
                <w:rFonts w:ascii="Arial" w:hAnsi="Arial" w:cs="Arial"/>
                <w:sz w:val="21"/>
                <w:szCs w:val="21"/>
                <w:highlight w:val="none"/>
                <w:lang w:eastAsia="zh-Hans"/>
              </w:rPr>
            </w:pPr>
            <w:r>
              <w:rPr>
                <w:rFonts w:ascii="Arial" w:hAnsi="Arial" w:cs="Arial"/>
                <w:sz w:val="21"/>
                <w:szCs w:val="21"/>
                <w:highlight w:val="none"/>
              </w:rPr>
              <w:t>学科发展</w:t>
            </w:r>
            <w:r>
              <w:rPr>
                <w:rFonts w:ascii="Arial" w:hAnsi="Arial" w:cs="Arial"/>
                <w:sz w:val="21"/>
                <w:szCs w:val="21"/>
                <w:highlight w:val="none"/>
                <w:lang w:eastAsia="zh-Hans"/>
              </w:rPr>
              <w:t>分析</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MDC发展均衡</w:t>
            </w:r>
          </w:p>
          <w:p>
            <w:pPr>
              <w:pStyle w:val="133"/>
              <w:spacing w:line="288" w:lineRule="auto"/>
              <w:rPr>
                <w:rFonts w:ascii="Arial" w:hAnsi="Arial" w:cs="Arial"/>
                <w:szCs w:val="21"/>
                <w:highlight w:val="none"/>
              </w:rPr>
            </w:pPr>
            <w:r>
              <w:rPr>
                <w:rFonts w:ascii="Arial" w:hAnsi="Arial" w:cs="Arial"/>
                <w:szCs w:val="21"/>
                <w:highlight w:val="none"/>
              </w:rPr>
              <w:t>DRG病组学科覆盖情况分析，统计各维度入组病例数、医疗总费用及占比，分析各学科发展情况。</w:t>
            </w:r>
          </w:p>
          <w:p>
            <w:pPr>
              <w:pStyle w:val="133"/>
              <w:spacing w:line="288" w:lineRule="auto"/>
              <w:rPr>
                <w:rFonts w:ascii="Arial" w:hAnsi="Arial" w:cs="Arial"/>
                <w:szCs w:val="21"/>
                <w:highlight w:val="none"/>
              </w:rPr>
            </w:pPr>
            <w:r>
              <w:rPr>
                <w:rFonts w:ascii="Arial" w:hAnsi="Arial" w:cs="Arial"/>
                <w:szCs w:val="21"/>
                <w:highlight w:val="none"/>
              </w:rPr>
              <w:t>以气泡图方式展示不同MDC的病例数、CMI及医疗费用间关系，提供MDC发展情况及DRG组覆盖率统计。</w:t>
            </w:r>
          </w:p>
          <w:p>
            <w:pPr>
              <w:pStyle w:val="133"/>
              <w:spacing w:line="288" w:lineRule="auto"/>
              <w:rPr>
                <w:rFonts w:ascii="Arial" w:hAnsi="Arial" w:cs="Arial"/>
                <w:szCs w:val="21"/>
                <w:highlight w:val="none"/>
              </w:rPr>
            </w:pPr>
            <w:r>
              <w:rPr>
                <w:rFonts w:ascii="Arial" w:hAnsi="Arial" w:cs="Arial"/>
                <w:szCs w:val="21"/>
                <w:highlight w:val="none"/>
              </w:rPr>
              <w:t>提供各个MDC的DRG核心数据对比分析，支持钻取各MDC下的ADRG到DRG的覆盖情况，报表展示各ADRG资源消耗及医疗服务能力、效率相关数据，并支持联动展示各DRG资源消耗及医疗服务效率相关数据。</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lang w:eastAsia="zh-Hans"/>
              </w:rPr>
              <w:t>指标查询</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指标</w:t>
            </w:r>
            <w:r>
              <w:rPr>
                <w:rFonts w:eastAsia="宋体" w:cs="Arial"/>
                <w:sz w:val="21"/>
                <w:szCs w:val="21"/>
                <w:highlight w:val="none"/>
              </w:rPr>
              <w:t>分析</w:t>
            </w:r>
          </w:p>
          <w:p>
            <w:pPr>
              <w:pStyle w:val="133"/>
              <w:spacing w:line="288" w:lineRule="auto"/>
              <w:rPr>
                <w:rFonts w:ascii="Arial" w:hAnsi="Arial" w:cs="Arial"/>
                <w:szCs w:val="21"/>
                <w:highlight w:val="none"/>
              </w:rPr>
            </w:pPr>
            <w:r>
              <w:rPr>
                <w:rFonts w:ascii="Arial" w:hAnsi="Arial" w:cs="Arial"/>
                <w:szCs w:val="21"/>
                <w:highlight w:val="none"/>
              </w:rPr>
              <w:t xml:space="preserve"> </w:t>
            </w:r>
            <w:r>
              <w:rPr>
                <w:rFonts w:ascii="Arial" w:hAnsi="Arial" w:cs="Arial"/>
                <w:szCs w:val="21"/>
                <w:highlight w:val="none"/>
                <w:lang w:eastAsia="zh-Hans"/>
              </w:rPr>
              <w:t>支持</w:t>
            </w:r>
            <w:r>
              <w:rPr>
                <w:rFonts w:ascii="Arial" w:hAnsi="Arial" w:cs="Arial"/>
                <w:szCs w:val="21"/>
                <w:highlight w:val="none"/>
              </w:rPr>
              <w:t>DRG关键指标</w:t>
            </w:r>
            <w:r>
              <w:rPr>
                <w:rFonts w:ascii="Arial" w:hAnsi="Arial" w:cs="Arial"/>
                <w:szCs w:val="21"/>
                <w:highlight w:val="none"/>
                <w:lang w:eastAsia="zh-Hans"/>
              </w:rPr>
              <w:t>的自定义组合查询和导出</w:t>
            </w:r>
            <w:r>
              <w:rPr>
                <w:rFonts w:ascii="Arial" w:hAnsi="Arial" w:cs="Arial"/>
                <w:szCs w:val="21"/>
                <w:highlight w:val="none"/>
              </w:rPr>
              <w:t>，支持自选维度、时间范围进行数据查询并导出报表，支持将查询指标及条件保存为自定义查询方案。</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lang w:eastAsia="zh-Hans"/>
              </w:rPr>
              <w:t>重点指标监测</w:t>
            </w:r>
          </w:p>
          <w:p>
            <w:pPr>
              <w:pStyle w:val="133"/>
              <w:spacing w:line="288" w:lineRule="auto"/>
              <w:rPr>
                <w:rFonts w:ascii="Arial" w:hAnsi="Arial" w:cs="Arial"/>
                <w:szCs w:val="21"/>
                <w:highlight w:val="none"/>
              </w:rPr>
            </w:pPr>
            <w:r>
              <w:rPr>
                <w:rFonts w:ascii="Arial" w:hAnsi="Arial" w:cs="Arial"/>
                <w:szCs w:val="21"/>
                <w:highlight w:val="none"/>
              </w:rPr>
              <w:t xml:space="preserve"> 展示包括费用发生情况、医疗服务质量与能力、入组情况、病组病例异常变化情况等相关指标统计报表。统计报表支持下载。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运营报告</w:t>
            </w:r>
          </w:p>
          <w:p>
            <w:pPr>
              <w:pStyle w:val="133"/>
              <w:spacing w:line="288" w:lineRule="auto"/>
              <w:rPr>
                <w:rFonts w:ascii="Arial" w:hAnsi="Arial" w:cs="Arial"/>
                <w:szCs w:val="21"/>
                <w:highlight w:val="none"/>
              </w:rPr>
            </w:pPr>
            <w:r>
              <w:rPr>
                <w:rFonts w:ascii="Arial" w:hAnsi="Arial" w:cs="Arial"/>
                <w:szCs w:val="21"/>
                <w:highlight w:val="none"/>
                <w:lang w:eastAsia="zh-Hans"/>
              </w:rPr>
              <w:t>支持查看基于</w:t>
            </w:r>
            <w:r>
              <w:rPr>
                <w:rFonts w:ascii="Arial" w:hAnsi="Arial" w:cs="Arial"/>
                <w:szCs w:val="21"/>
                <w:highlight w:val="none"/>
              </w:rPr>
              <w:t>DRG</w:t>
            </w:r>
            <w:r>
              <w:rPr>
                <w:rFonts w:ascii="Arial" w:hAnsi="Arial" w:cs="Arial"/>
                <w:szCs w:val="21"/>
                <w:highlight w:val="none"/>
                <w:lang w:eastAsia="zh-Hans"/>
              </w:rPr>
              <w:t>核心指标的</w:t>
            </w:r>
            <w:r>
              <w:rPr>
                <w:rFonts w:ascii="Arial" w:hAnsi="Arial" w:cs="Arial"/>
                <w:szCs w:val="21"/>
                <w:highlight w:val="none"/>
              </w:rPr>
              <w:t>详细报告，</w:t>
            </w:r>
            <w:r>
              <w:rPr>
                <w:rFonts w:ascii="Arial" w:hAnsi="Arial" w:cs="Arial"/>
                <w:szCs w:val="21"/>
                <w:highlight w:val="none"/>
                <w:lang w:eastAsia="zh-Hans"/>
              </w:rPr>
              <w:t>包括基本情况、结算概况、入组分析、CMI与</w:t>
            </w:r>
            <w:r>
              <w:rPr>
                <w:rFonts w:ascii="Arial" w:hAnsi="Arial" w:cs="Arial"/>
                <w:szCs w:val="21"/>
                <w:highlight w:val="none"/>
              </w:rPr>
              <w:t>权重</w:t>
            </w:r>
            <w:r>
              <w:rPr>
                <w:rFonts w:ascii="Arial" w:hAnsi="Arial" w:cs="Arial"/>
                <w:szCs w:val="21"/>
                <w:highlight w:val="none"/>
                <w:lang w:eastAsia="zh-Hans"/>
              </w:rPr>
              <w:t>、资源消耗、高低倍率、医疗质量等章节</w:t>
            </w:r>
            <w:r>
              <w:rPr>
                <w:rFonts w:ascii="Arial" w:hAnsi="Arial" w:cs="Arial"/>
                <w:szCs w:val="21"/>
                <w:highlight w:val="none"/>
              </w:rPr>
              <w:t>。</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lang w:eastAsia="zh-Hans"/>
              </w:rPr>
              <w:t>象限分析</w:t>
            </w:r>
          </w:p>
          <w:p>
            <w:pPr>
              <w:pStyle w:val="133"/>
              <w:spacing w:line="288" w:lineRule="auto"/>
              <w:rPr>
                <w:rFonts w:ascii="Arial" w:hAnsi="Arial" w:cs="Arial"/>
                <w:szCs w:val="21"/>
                <w:highlight w:val="none"/>
              </w:rPr>
            </w:pPr>
            <w:r>
              <w:rPr>
                <w:rFonts w:ascii="Arial" w:hAnsi="Arial" w:cs="Arial"/>
                <w:szCs w:val="21"/>
                <w:highlight w:val="none"/>
              </w:rPr>
              <w:t xml:space="preserve"> 支持象限图进行科室、病组优劣势分析，支持指标组合维度切换与自定义。</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配置中心</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系统基础配置</w:t>
            </w:r>
          </w:p>
          <w:p>
            <w:pPr>
              <w:pStyle w:val="133"/>
              <w:spacing w:line="288" w:lineRule="auto"/>
              <w:rPr>
                <w:rFonts w:ascii="Arial" w:hAnsi="Arial" w:cs="Arial"/>
                <w:szCs w:val="21"/>
                <w:highlight w:val="none"/>
              </w:rPr>
            </w:pPr>
            <w:r>
              <w:rPr>
                <w:rFonts w:ascii="Arial" w:hAnsi="Arial" w:cs="Arial"/>
                <w:szCs w:val="21"/>
                <w:highlight w:val="none"/>
              </w:rPr>
              <w:t>系统参数：系统相关运行参数的维护，医院基本信息、结算等级系数、分组器URL等。</w:t>
            </w:r>
          </w:p>
          <w:p>
            <w:pPr>
              <w:pStyle w:val="133"/>
              <w:spacing w:line="288" w:lineRule="auto"/>
              <w:rPr>
                <w:rFonts w:ascii="Arial" w:hAnsi="Arial" w:cs="Arial"/>
                <w:szCs w:val="21"/>
                <w:highlight w:val="none"/>
              </w:rPr>
            </w:pPr>
            <w:r>
              <w:rPr>
                <w:rFonts w:ascii="Arial" w:hAnsi="Arial" w:cs="Arial"/>
                <w:szCs w:val="21"/>
                <w:highlight w:val="none"/>
              </w:rPr>
              <w:t>数据源配置：支持数据源统一配置管理</w:t>
            </w:r>
            <w:r>
              <w:rPr>
                <w:rFonts w:ascii="Arial" w:hAnsi="Arial" w:cs="Arial"/>
                <w:szCs w:val="21"/>
                <w:highlight w:val="none"/>
                <w:lang w:eastAsia="zh-Hans"/>
              </w:rPr>
              <w:t>功能</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数据同步配置：支持各个数据接口同步的前端配置页面。</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医保配置</w:t>
            </w:r>
          </w:p>
          <w:p>
            <w:pPr>
              <w:pStyle w:val="133"/>
              <w:spacing w:line="288" w:lineRule="auto"/>
              <w:rPr>
                <w:rFonts w:ascii="Arial" w:hAnsi="Arial" w:cs="Arial"/>
                <w:szCs w:val="21"/>
                <w:highlight w:val="none"/>
              </w:rPr>
            </w:pPr>
            <w:r>
              <w:rPr>
                <w:rFonts w:ascii="Arial" w:hAnsi="Arial" w:cs="Arial"/>
                <w:szCs w:val="21"/>
                <w:highlight w:val="none"/>
              </w:rPr>
              <w:t xml:space="preserve"> 分组器版本管理：</w:t>
            </w:r>
            <w:r>
              <w:rPr>
                <w:rFonts w:ascii="Arial" w:hAnsi="Arial" w:cs="Arial"/>
                <w:szCs w:val="21"/>
                <w:highlight w:val="none"/>
                <w:lang w:eastAsia="zh-Hans"/>
              </w:rPr>
              <w:t>支持</w:t>
            </w:r>
            <w:r>
              <w:rPr>
                <w:rFonts w:ascii="Arial" w:hAnsi="Arial" w:cs="Arial"/>
                <w:szCs w:val="21"/>
                <w:highlight w:val="none"/>
              </w:rPr>
              <w:t>国家DRG分组</w:t>
            </w:r>
            <w:r>
              <w:rPr>
                <w:rFonts w:ascii="Arial" w:hAnsi="Arial" w:cs="Arial"/>
                <w:szCs w:val="21"/>
                <w:highlight w:val="none"/>
                <w:lang w:eastAsia="zh-Hans"/>
              </w:rPr>
              <w:t>规则</w:t>
            </w:r>
            <w:r>
              <w:rPr>
                <w:rFonts w:ascii="Arial" w:hAnsi="Arial" w:cs="Arial"/>
                <w:szCs w:val="21"/>
                <w:highlight w:val="none"/>
              </w:rPr>
              <w:t>，支持导入本地化分组器规则，支持按年度维护管理分组器。</w:t>
            </w:r>
          </w:p>
          <w:p>
            <w:pPr>
              <w:pStyle w:val="133"/>
              <w:spacing w:line="288" w:lineRule="auto"/>
              <w:rPr>
                <w:rFonts w:ascii="Arial" w:hAnsi="Arial" w:cs="Arial"/>
                <w:szCs w:val="21"/>
                <w:highlight w:val="none"/>
              </w:rPr>
            </w:pPr>
            <w:r>
              <w:rPr>
                <w:rFonts w:ascii="Arial" w:hAnsi="Arial" w:cs="Arial"/>
                <w:szCs w:val="21"/>
                <w:highlight w:val="none"/>
              </w:rPr>
              <w:t>病组管理：</w:t>
            </w:r>
          </w:p>
          <w:p>
            <w:pPr>
              <w:pStyle w:val="133"/>
              <w:spacing w:line="288" w:lineRule="auto"/>
              <w:rPr>
                <w:rFonts w:ascii="Arial" w:hAnsi="Arial" w:cs="Arial"/>
                <w:szCs w:val="21"/>
                <w:highlight w:val="none"/>
              </w:rPr>
            </w:pPr>
            <w:r>
              <w:rPr>
                <w:rFonts w:ascii="Arial" w:hAnsi="Arial" w:cs="Arial"/>
                <w:szCs w:val="21"/>
                <w:highlight w:val="none"/>
              </w:rPr>
              <w:t>支持按分组器版本维护各病组参数，包括病种结算类型、分值、死亡风险等级、平均费用、结算标准、病种分值等。</w:t>
            </w:r>
          </w:p>
          <w:p>
            <w:pPr>
              <w:pStyle w:val="133"/>
              <w:spacing w:line="288" w:lineRule="auto"/>
              <w:rPr>
                <w:rFonts w:ascii="Arial" w:hAnsi="Arial" w:cs="Arial"/>
                <w:szCs w:val="21"/>
                <w:highlight w:val="none"/>
                <w:lang w:eastAsia="zh-Hans"/>
              </w:rPr>
            </w:pPr>
            <w:r>
              <w:rPr>
                <w:rFonts w:ascii="Arial" w:hAnsi="Arial" w:cs="Arial"/>
                <w:szCs w:val="21"/>
                <w:highlight w:val="none"/>
              </w:rPr>
              <w:t>支持基于院内历史数据测算DRG各项费用标杆参考值</w:t>
            </w:r>
            <w:r>
              <w:rPr>
                <w:rFonts w:ascii="Arial" w:hAnsi="Arial" w:cs="Arial"/>
                <w:szCs w:val="21"/>
                <w:highlight w:val="none"/>
                <w:lang w:eastAsia="zh-Hans"/>
              </w:rPr>
              <w:t>。</w:t>
            </w:r>
          </w:p>
          <w:p>
            <w:pPr>
              <w:pStyle w:val="133"/>
              <w:spacing w:line="288" w:lineRule="auto"/>
              <w:rPr>
                <w:rFonts w:ascii="Arial" w:hAnsi="Arial" w:cs="Arial"/>
                <w:szCs w:val="21"/>
                <w:highlight w:val="none"/>
                <w:lang w:eastAsia="zh-Hans"/>
              </w:rPr>
            </w:pPr>
            <w:r>
              <w:rPr>
                <w:rFonts w:ascii="Arial" w:hAnsi="Arial" w:cs="Arial"/>
                <w:szCs w:val="21"/>
                <w:highlight w:val="none"/>
              </w:rPr>
              <w:t xml:space="preserve"> 支持通过参数化配置当地医保结算方案的变化，无需修改代码。</w:t>
            </w:r>
            <w:r>
              <w:rPr>
                <w:rFonts w:ascii="Arial" w:hAnsi="Arial" w:cs="Arial"/>
                <w:szCs w:val="21"/>
                <w:highlight w:val="none"/>
                <w:lang w:eastAsia="zh-Hans"/>
              </w:rPr>
              <w:t>高低倍率结算办法配置。</w:t>
            </w:r>
          </w:p>
          <w:p>
            <w:pPr>
              <w:pStyle w:val="133"/>
              <w:spacing w:line="288" w:lineRule="auto"/>
              <w:rPr>
                <w:rFonts w:ascii="Arial" w:hAnsi="Arial" w:cs="Arial"/>
                <w:szCs w:val="21"/>
                <w:highlight w:val="none"/>
              </w:rPr>
            </w:pPr>
            <w:r>
              <w:rPr>
                <w:rFonts w:ascii="Arial" w:hAnsi="Arial" w:cs="Arial"/>
                <w:szCs w:val="21"/>
                <w:highlight w:val="none"/>
              </w:rPr>
              <w:t>病组类型支持设置正常病组、基础病组、重点监测病组、中医优势病组及激励病组等。</w:t>
            </w:r>
          </w:p>
          <w:p>
            <w:pPr>
              <w:pStyle w:val="133"/>
              <w:spacing w:line="288" w:lineRule="auto"/>
              <w:rPr>
                <w:rFonts w:ascii="Arial" w:hAnsi="Arial" w:cs="Arial"/>
                <w:szCs w:val="21"/>
                <w:highlight w:val="none"/>
              </w:rPr>
            </w:pPr>
            <w:r>
              <w:rPr>
                <w:rFonts w:ascii="Arial" w:hAnsi="Arial" w:cs="Arial"/>
                <w:szCs w:val="21"/>
                <w:highlight w:val="none"/>
              </w:rPr>
              <w:t>字典对照：通过字典配置，依据当地DRG付费体系，建立符合医院需求的DRG付费预测规则。</w:t>
            </w:r>
          </w:p>
          <w:p>
            <w:pPr>
              <w:pStyle w:val="133"/>
              <w:spacing w:line="288" w:lineRule="auto"/>
              <w:rPr>
                <w:rFonts w:ascii="Arial" w:hAnsi="Arial" w:cs="Arial"/>
                <w:szCs w:val="21"/>
                <w:highlight w:val="none"/>
              </w:rPr>
            </w:pPr>
            <w:r>
              <w:rPr>
                <w:rFonts w:ascii="Arial" w:hAnsi="Arial" w:cs="Arial"/>
                <w:szCs w:val="21"/>
                <w:highlight w:val="none"/>
              </w:rPr>
              <w:t>预警</w:t>
            </w:r>
            <w:r>
              <w:rPr>
                <w:rFonts w:ascii="Arial" w:hAnsi="Arial" w:cs="Arial"/>
                <w:szCs w:val="21"/>
                <w:highlight w:val="none"/>
                <w:lang w:eastAsia="zh-Hans"/>
              </w:rPr>
              <w:t>规则</w:t>
            </w:r>
            <w:r>
              <w:rPr>
                <w:rFonts w:ascii="Arial" w:hAnsi="Arial" w:cs="Arial"/>
                <w:szCs w:val="21"/>
                <w:highlight w:val="none"/>
              </w:rPr>
              <w:t>配置</w:t>
            </w:r>
          </w:p>
          <w:p>
            <w:pPr>
              <w:pStyle w:val="133"/>
              <w:spacing w:line="288" w:lineRule="auto"/>
              <w:rPr>
                <w:rFonts w:ascii="Arial" w:hAnsi="Arial" w:cs="Arial"/>
                <w:szCs w:val="21"/>
                <w:highlight w:val="none"/>
              </w:rPr>
            </w:pPr>
            <w:r>
              <w:rPr>
                <w:rFonts w:ascii="Arial" w:hAnsi="Arial" w:cs="Arial"/>
                <w:szCs w:val="21"/>
                <w:highlight w:val="none"/>
              </w:rPr>
              <w:t xml:space="preserve"> 支持预警条件自定义配置模块。内置规则包括住院日异常、费用异常、入组异常</w:t>
            </w:r>
            <w:r>
              <w:rPr>
                <w:rFonts w:ascii="Arial" w:hAnsi="Arial" w:cs="Arial"/>
                <w:szCs w:val="21"/>
                <w:highlight w:val="none"/>
                <w:lang w:eastAsia="zh-Hans"/>
              </w:rPr>
              <w:t>、费用结构异常、再入院</w:t>
            </w:r>
            <w:r>
              <w:rPr>
                <w:rFonts w:ascii="Arial" w:hAnsi="Arial" w:cs="Arial"/>
                <w:szCs w:val="21"/>
                <w:highlight w:val="none"/>
              </w:rPr>
              <w:t>等。</w:t>
            </w:r>
          </w:p>
          <w:p>
            <w:pPr>
              <w:pStyle w:val="133"/>
              <w:spacing w:line="288" w:lineRule="auto"/>
              <w:rPr>
                <w:rFonts w:ascii="Arial" w:hAnsi="Arial" w:cs="Arial"/>
                <w:szCs w:val="21"/>
                <w:highlight w:val="none"/>
              </w:rPr>
            </w:pPr>
            <w:r>
              <w:rPr>
                <w:rFonts w:ascii="Arial" w:hAnsi="Arial" w:cs="Arial"/>
                <w:szCs w:val="21"/>
                <w:highlight w:val="none"/>
                <w:lang w:eastAsia="zh-Hans"/>
              </w:rPr>
              <w:t>支持区域医保单议规则维护</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rPr>
              <w:t>费用结构配置</w:t>
            </w:r>
          </w:p>
          <w:p>
            <w:pPr>
              <w:pStyle w:val="133"/>
              <w:spacing w:line="288" w:lineRule="auto"/>
              <w:rPr>
                <w:rFonts w:ascii="Arial" w:hAnsi="Arial" w:cs="Arial"/>
                <w:szCs w:val="21"/>
                <w:highlight w:val="none"/>
              </w:rPr>
            </w:pPr>
            <w:r>
              <w:rPr>
                <w:rFonts w:ascii="Arial" w:hAnsi="Arial" w:cs="Arial"/>
                <w:szCs w:val="21"/>
                <w:highlight w:val="none"/>
              </w:rPr>
              <w:t xml:space="preserve"> 支持自定义费用结构，系统根据该结构进行费用统计及分析。</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调度中心</w:t>
            </w:r>
          </w:p>
          <w:p>
            <w:pPr>
              <w:pStyle w:val="133"/>
              <w:spacing w:line="288" w:lineRule="auto"/>
              <w:rPr>
                <w:rFonts w:ascii="Arial" w:hAnsi="Arial" w:cs="Arial"/>
                <w:szCs w:val="21"/>
                <w:highlight w:val="none"/>
              </w:rPr>
            </w:pPr>
            <w:r>
              <w:rPr>
                <w:rFonts w:ascii="Arial" w:hAnsi="Arial" w:cs="Arial"/>
                <w:szCs w:val="21"/>
                <w:highlight w:val="none"/>
              </w:rPr>
              <w:t>调度作业：统一管理系统各项作业的名称，可设置运行参数、执行频率等参数。</w:t>
            </w:r>
          </w:p>
          <w:p>
            <w:pPr>
              <w:pStyle w:val="133"/>
              <w:spacing w:line="288" w:lineRule="auto"/>
              <w:rPr>
                <w:rFonts w:ascii="Arial" w:hAnsi="Arial" w:cs="Arial"/>
                <w:szCs w:val="21"/>
                <w:highlight w:val="none"/>
              </w:rPr>
            </w:pPr>
            <w:r>
              <w:rPr>
                <w:rFonts w:ascii="Arial" w:hAnsi="Arial" w:cs="Arial"/>
                <w:szCs w:val="21"/>
                <w:highlight w:val="none"/>
              </w:rPr>
              <w:t>操作日志：支持系统参数配置日志，数据采集作业日志。</w:t>
            </w:r>
          </w:p>
          <w:p>
            <w:pPr>
              <w:pStyle w:val="133"/>
              <w:spacing w:line="288" w:lineRule="auto"/>
              <w:rPr>
                <w:rFonts w:ascii="Arial" w:hAnsi="Arial" w:cs="Arial"/>
                <w:szCs w:val="21"/>
                <w:highlight w:val="none"/>
              </w:rPr>
            </w:pPr>
            <w:r>
              <w:rPr>
                <w:rFonts w:ascii="Arial" w:hAnsi="Arial" w:cs="Arial"/>
                <w:szCs w:val="21"/>
                <w:highlight w:val="none"/>
              </w:rPr>
              <w:t>任务监控：系统各项任务作业执行的实时仪表走势监控和历史走势监控。</w:t>
            </w:r>
          </w:p>
          <w:p>
            <w:pPr>
              <w:pStyle w:val="133"/>
              <w:spacing w:line="288" w:lineRule="auto"/>
              <w:rPr>
                <w:rFonts w:ascii="Arial" w:hAnsi="Arial" w:cs="Arial"/>
                <w:szCs w:val="21"/>
                <w:highlight w:val="none"/>
              </w:rPr>
            </w:pPr>
            <w:r>
              <w:rPr>
                <w:rFonts w:ascii="Arial" w:hAnsi="Arial" w:cs="Arial"/>
                <w:szCs w:val="21"/>
                <w:highlight w:val="none"/>
              </w:rPr>
              <w:t>定时作业：统一管理系统所有需要定时执行的作业，监控执行状态，可设置执行频率。</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组织管理</w:t>
            </w:r>
          </w:p>
          <w:p>
            <w:pPr>
              <w:pStyle w:val="133"/>
              <w:spacing w:line="288" w:lineRule="auto"/>
              <w:rPr>
                <w:rFonts w:ascii="Arial" w:hAnsi="Arial" w:cs="Arial"/>
                <w:szCs w:val="21"/>
                <w:highlight w:val="none"/>
              </w:rPr>
            </w:pPr>
            <w:r>
              <w:rPr>
                <w:rFonts w:ascii="Arial" w:hAnsi="Arial" w:cs="Arial"/>
                <w:szCs w:val="21"/>
                <w:highlight w:val="none"/>
              </w:rPr>
              <w:t>科室管理：管理医院的科室、科室对照、标准科室等科室相关信息。</w:t>
            </w:r>
          </w:p>
          <w:p>
            <w:pPr>
              <w:pStyle w:val="133"/>
              <w:spacing w:line="288" w:lineRule="auto"/>
              <w:rPr>
                <w:rFonts w:ascii="Arial" w:hAnsi="Arial" w:cs="Arial"/>
                <w:szCs w:val="21"/>
                <w:highlight w:val="none"/>
              </w:rPr>
            </w:pPr>
            <w:r>
              <w:rPr>
                <w:rFonts w:ascii="Arial" w:hAnsi="Arial" w:cs="Arial"/>
                <w:szCs w:val="21"/>
                <w:highlight w:val="none"/>
              </w:rPr>
              <w:t>角色管理：管理院内角色及系统使用权限。</w:t>
            </w:r>
          </w:p>
          <w:p>
            <w:pPr>
              <w:pStyle w:val="133"/>
              <w:spacing w:line="288" w:lineRule="auto"/>
              <w:rPr>
                <w:rFonts w:ascii="Arial" w:hAnsi="Arial" w:cs="Arial"/>
                <w:szCs w:val="21"/>
                <w:highlight w:val="none"/>
              </w:rPr>
            </w:pPr>
            <w:r>
              <w:rPr>
                <w:rFonts w:ascii="Arial" w:hAnsi="Arial" w:cs="Arial"/>
                <w:szCs w:val="21"/>
                <w:highlight w:val="none"/>
              </w:rPr>
              <w:t>用户管理：管理院内用户及系统使用权限，可对用户进行编辑、重置密码和禁用等操作。</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rPr>
              <w:t>医保三目管理</w:t>
            </w:r>
          </w:p>
          <w:p>
            <w:pPr>
              <w:pStyle w:val="133"/>
              <w:spacing w:line="288" w:lineRule="auto"/>
              <w:rPr>
                <w:rFonts w:ascii="Arial" w:hAnsi="Arial" w:cs="Arial"/>
                <w:szCs w:val="21"/>
                <w:highlight w:val="none"/>
                <w:lang w:eastAsia="zh-Hans"/>
              </w:rPr>
            </w:pPr>
            <w:r>
              <w:rPr>
                <w:rFonts w:ascii="Arial" w:hAnsi="Arial" w:cs="Arial"/>
                <w:szCs w:val="21"/>
                <w:highlight w:val="none"/>
              </w:rPr>
              <w:t>西药中成药库：支持西药中成药库的目录查看，支持按药品代码、药品名称等条件的筛选查看。</w:t>
            </w:r>
          </w:p>
          <w:p>
            <w:pPr>
              <w:pStyle w:val="133"/>
              <w:spacing w:line="288" w:lineRule="auto"/>
              <w:rPr>
                <w:rFonts w:ascii="Arial" w:hAnsi="Arial" w:cs="Arial"/>
                <w:szCs w:val="21"/>
                <w:highlight w:val="none"/>
                <w:lang w:eastAsia="zh-Hans"/>
              </w:rPr>
            </w:pPr>
            <w:r>
              <w:rPr>
                <w:rFonts w:ascii="Arial" w:hAnsi="Arial" w:cs="Arial"/>
                <w:szCs w:val="21"/>
                <w:highlight w:val="none"/>
              </w:rPr>
              <w:t>西药目录：支持西药目录的查看，支持按药品编码、药品名称等条件的筛选查看。</w:t>
            </w:r>
          </w:p>
          <w:p>
            <w:pPr>
              <w:pStyle w:val="133"/>
              <w:spacing w:line="288" w:lineRule="auto"/>
              <w:rPr>
                <w:rFonts w:ascii="Arial" w:hAnsi="Arial" w:cs="Arial"/>
                <w:szCs w:val="21"/>
                <w:highlight w:val="none"/>
                <w:lang w:eastAsia="zh-Hans"/>
              </w:rPr>
            </w:pPr>
            <w:r>
              <w:rPr>
                <w:rFonts w:ascii="Arial" w:hAnsi="Arial" w:cs="Arial"/>
                <w:szCs w:val="21"/>
                <w:highlight w:val="none"/>
              </w:rPr>
              <w:t>西药库对照：支持西药库对照的查看，支持按药品代码、药品名称等条件的筛选查看。</w:t>
            </w:r>
          </w:p>
          <w:p>
            <w:pPr>
              <w:pStyle w:val="133"/>
              <w:spacing w:line="288" w:lineRule="auto"/>
              <w:rPr>
                <w:rFonts w:ascii="Arial" w:hAnsi="Arial" w:cs="Arial"/>
                <w:szCs w:val="21"/>
                <w:highlight w:val="none"/>
                <w:lang w:eastAsia="zh-Hans"/>
              </w:rPr>
            </w:pPr>
            <w:r>
              <w:rPr>
                <w:rFonts w:ascii="Arial" w:hAnsi="Arial" w:cs="Arial"/>
                <w:szCs w:val="21"/>
                <w:highlight w:val="none"/>
              </w:rPr>
              <w:t>中药库：支持中药库的查看，支持按中药编码、中药名称等的筛选查看。</w:t>
            </w:r>
          </w:p>
          <w:p>
            <w:pPr>
              <w:pStyle w:val="133"/>
              <w:spacing w:line="288" w:lineRule="auto"/>
              <w:rPr>
                <w:rFonts w:ascii="Arial" w:hAnsi="Arial" w:cs="Arial"/>
                <w:szCs w:val="21"/>
                <w:highlight w:val="none"/>
                <w:lang w:eastAsia="zh-Hans"/>
              </w:rPr>
            </w:pPr>
            <w:r>
              <w:rPr>
                <w:rFonts w:ascii="Arial" w:hAnsi="Arial" w:cs="Arial"/>
                <w:szCs w:val="21"/>
                <w:highlight w:val="none"/>
              </w:rPr>
              <w:t>耗材库：支持耗材库的查看，支持按国家耗材代码、国家耗材名称等的筛选查看。</w:t>
            </w:r>
          </w:p>
          <w:p>
            <w:pPr>
              <w:pStyle w:val="5"/>
              <w:numPr>
                <w:ilvl w:val="3"/>
                <w:numId w:val="3"/>
              </w:numPr>
              <w:spacing w:before="0" w:after="0" w:line="288" w:lineRule="auto"/>
              <w:ind w:firstLine="40"/>
              <w:rPr>
                <w:rFonts w:eastAsia="宋体" w:cs="Arial"/>
                <w:sz w:val="21"/>
                <w:szCs w:val="21"/>
                <w:highlight w:val="none"/>
                <w:lang w:eastAsia="zh-Hans"/>
              </w:rPr>
            </w:pPr>
            <w:r>
              <w:rPr>
                <w:rFonts w:eastAsia="宋体" w:cs="Arial"/>
                <w:sz w:val="21"/>
                <w:szCs w:val="21"/>
                <w:highlight w:val="none"/>
                <w:lang w:eastAsia="zh-Hans"/>
              </w:rPr>
              <w:t>编码字典管理</w:t>
            </w:r>
          </w:p>
          <w:p>
            <w:pPr>
              <w:pStyle w:val="133"/>
              <w:spacing w:line="288" w:lineRule="auto"/>
              <w:rPr>
                <w:rFonts w:ascii="Arial" w:hAnsi="Arial" w:cs="Arial"/>
                <w:szCs w:val="21"/>
                <w:highlight w:val="none"/>
              </w:rPr>
            </w:pPr>
            <w:r>
              <w:rPr>
                <w:rFonts w:ascii="Arial" w:hAnsi="Arial" w:cs="Arial"/>
                <w:szCs w:val="21"/>
                <w:highlight w:val="none"/>
                <w:lang w:eastAsia="zh-Hans"/>
              </w:rPr>
              <w:t>诊断编码查询</w:t>
            </w:r>
            <w:r>
              <w:rPr>
                <w:rFonts w:ascii="Arial" w:hAnsi="Arial" w:cs="Arial"/>
                <w:szCs w:val="21"/>
                <w:highlight w:val="none"/>
              </w:rPr>
              <w:t>：支持</w:t>
            </w:r>
            <w:r>
              <w:rPr>
                <w:rFonts w:ascii="Arial" w:hAnsi="Arial" w:cs="Arial"/>
                <w:szCs w:val="21"/>
                <w:highlight w:val="none"/>
                <w:lang w:eastAsia="zh-Hans"/>
              </w:rPr>
              <w:t>多版本</w:t>
            </w:r>
            <w:r>
              <w:rPr>
                <w:rFonts w:ascii="Arial" w:hAnsi="Arial" w:cs="Arial"/>
                <w:szCs w:val="21"/>
                <w:highlight w:val="none"/>
              </w:rPr>
              <w:t>疾病诊断编码检索与维护。</w:t>
            </w:r>
          </w:p>
          <w:p>
            <w:pPr>
              <w:pStyle w:val="133"/>
              <w:spacing w:line="288" w:lineRule="auto"/>
              <w:rPr>
                <w:rFonts w:ascii="Arial" w:hAnsi="Arial" w:cs="Arial"/>
                <w:szCs w:val="21"/>
                <w:highlight w:val="none"/>
              </w:rPr>
            </w:pPr>
            <w:r>
              <w:rPr>
                <w:rFonts w:ascii="Arial" w:hAnsi="Arial" w:cs="Arial"/>
                <w:szCs w:val="21"/>
                <w:highlight w:val="none"/>
                <w:lang w:eastAsia="zh-Hans"/>
              </w:rPr>
              <w:t>手术编码查询</w:t>
            </w:r>
            <w:r>
              <w:rPr>
                <w:rFonts w:ascii="Arial" w:hAnsi="Arial" w:cs="Arial"/>
                <w:szCs w:val="21"/>
                <w:highlight w:val="none"/>
              </w:rPr>
              <w:t>：支持</w:t>
            </w:r>
            <w:r>
              <w:rPr>
                <w:rFonts w:ascii="Arial" w:hAnsi="Arial" w:cs="Arial"/>
                <w:szCs w:val="21"/>
                <w:highlight w:val="none"/>
                <w:lang w:eastAsia="zh-Hans"/>
              </w:rPr>
              <w:t>多版本手术操作</w:t>
            </w:r>
            <w:r>
              <w:rPr>
                <w:rFonts w:ascii="Arial" w:hAnsi="Arial" w:cs="Arial"/>
                <w:szCs w:val="21"/>
                <w:highlight w:val="none"/>
              </w:rPr>
              <w:t>编码检索与维护。</w:t>
            </w:r>
          </w:p>
          <w:p>
            <w:pPr>
              <w:pStyle w:val="133"/>
              <w:spacing w:line="288" w:lineRule="auto"/>
              <w:rPr>
                <w:rFonts w:ascii="Arial" w:hAnsi="Arial" w:cs="Arial"/>
                <w:szCs w:val="21"/>
                <w:highlight w:val="none"/>
              </w:rPr>
            </w:pPr>
            <w:r>
              <w:rPr>
                <w:rFonts w:ascii="Arial" w:hAnsi="Arial" w:cs="Arial"/>
                <w:szCs w:val="21"/>
                <w:highlight w:val="none"/>
                <w:lang w:eastAsia="zh-Hans"/>
              </w:rPr>
              <w:t>诊断编码对照</w:t>
            </w:r>
            <w:r>
              <w:rPr>
                <w:rFonts w:ascii="Arial" w:hAnsi="Arial" w:cs="Arial"/>
                <w:szCs w:val="21"/>
                <w:highlight w:val="none"/>
              </w:rPr>
              <w:t>：支持</w:t>
            </w:r>
            <w:r>
              <w:rPr>
                <w:rFonts w:ascii="Arial" w:hAnsi="Arial" w:cs="Arial"/>
                <w:szCs w:val="21"/>
                <w:highlight w:val="none"/>
                <w:lang w:eastAsia="zh-Hans"/>
              </w:rPr>
              <w:t>临床版疾病诊断编码与</w:t>
            </w:r>
            <w:r>
              <w:rPr>
                <w:rFonts w:ascii="Arial" w:hAnsi="Arial" w:cs="Arial"/>
                <w:szCs w:val="21"/>
                <w:highlight w:val="none"/>
              </w:rPr>
              <w:t>医保</w:t>
            </w:r>
            <w:r>
              <w:rPr>
                <w:rFonts w:ascii="Arial" w:hAnsi="Arial" w:cs="Arial"/>
                <w:szCs w:val="21"/>
                <w:highlight w:val="none"/>
                <w:lang w:eastAsia="zh-Hans"/>
              </w:rPr>
              <w:t>版疾病</w:t>
            </w:r>
            <w:r>
              <w:rPr>
                <w:rFonts w:ascii="Arial" w:hAnsi="Arial" w:cs="Arial"/>
                <w:szCs w:val="21"/>
                <w:highlight w:val="none"/>
              </w:rPr>
              <w:t>诊断编码对照</w:t>
            </w:r>
            <w:r>
              <w:rPr>
                <w:rFonts w:ascii="Arial" w:hAnsi="Arial" w:cs="Arial"/>
                <w:szCs w:val="21"/>
                <w:highlight w:val="none"/>
                <w:lang w:eastAsia="zh-Hans"/>
              </w:rPr>
              <w:t>关系的维护与查询</w:t>
            </w:r>
            <w:r>
              <w:rPr>
                <w:rFonts w:ascii="Arial" w:hAnsi="Arial" w:cs="Arial"/>
                <w:szCs w:val="21"/>
                <w:highlight w:val="none"/>
              </w:rPr>
              <w:t>。</w:t>
            </w:r>
          </w:p>
          <w:p>
            <w:pPr>
              <w:pStyle w:val="133"/>
              <w:spacing w:line="288" w:lineRule="auto"/>
              <w:rPr>
                <w:rFonts w:ascii="Arial" w:hAnsi="Arial" w:cs="Arial"/>
                <w:szCs w:val="21"/>
                <w:highlight w:val="none"/>
              </w:rPr>
            </w:pPr>
            <w:r>
              <w:rPr>
                <w:rFonts w:ascii="Arial" w:hAnsi="Arial" w:cs="Arial"/>
                <w:szCs w:val="21"/>
                <w:highlight w:val="none"/>
                <w:lang w:eastAsia="zh-Hans"/>
              </w:rPr>
              <w:t>手术编码对照</w:t>
            </w:r>
            <w:r>
              <w:rPr>
                <w:rFonts w:ascii="Arial" w:hAnsi="Arial" w:cs="Arial"/>
                <w:szCs w:val="21"/>
                <w:highlight w:val="none"/>
              </w:rPr>
              <w:t>：支持</w:t>
            </w:r>
            <w:r>
              <w:rPr>
                <w:rFonts w:ascii="Arial" w:hAnsi="Arial" w:cs="Arial"/>
                <w:szCs w:val="21"/>
                <w:highlight w:val="none"/>
                <w:lang w:eastAsia="zh-Hans"/>
              </w:rPr>
              <w:t>临床版手术编码与</w:t>
            </w:r>
            <w:r>
              <w:rPr>
                <w:rFonts w:ascii="Arial" w:hAnsi="Arial" w:cs="Arial"/>
                <w:szCs w:val="21"/>
                <w:highlight w:val="none"/>
              </w:rPr>
              <w:t>医保</w:t>
            </w:r>
            <w:r>
              <w:rPr>
                <w:rFonts w:ascii="Arial" w:hAnsi="Arial" w:cs="Arial"/>
                <w:szCs w:val="21"/>
                <w:highlight w:val="none"/>
                <w:lang w:eastAsia="zh-Hans"/>
              </w:rPr>
              <w:t>版手术操作</w:t>
            </w:r>
            <w:r>
              <w:rPr>
                <w:rFonts w:ascii="Arial" w:hAnsi="Arial" w:cs="Arial"/>
                <w:szCs w:val="21"/>
                <w:highlight w:val="none"/>
              </w:rPr>
              <w:t>编码对照</w:t>
            </w:r>
            <w:r>
              <w:rPr>
                <w:rFonts w:ascii="Arial" w:hAnsi="Arial" w:cs="Arial"/>
                <w:szCs w:val="21"/>
                <w:highlight w:val="none"/>
                <w:lang w:eastAsia="zh-Hans"/>
              </w:rPr>
              <w:t>关系的维护与查询</w:t>
            </w:r>
            <w:r>
              <w:rPr>
                <w:rFonts w:ascii="Arial" w:hAnsi="Arial" w:cs="Arial"/>
                <w:szCs w:val="21"/>
                <w:highlight w:val="none"/>
              </w:rPr>
              <w:t>。</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工具箱</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编码查询</w:t>
            </w:r>
          </w:p>
          <w:p>
            <w:pPr>
              <w:pStyle w:val="133"/>
              <w:spacing w:line="288" w:lineRule="auto"/>
              <w:rPr>
                <w:rFonts w:ascii="Arial" w:hAnsi="Arial" w:cs="Arial"/>
                <w:szCs w:val="21"/>
                <w:highlight w:val="none"/>
              </w:rPr>
            </w:pPr>
            <w:r>
              <w:rPr>
                <w:rFonts w:ascii="Arial" w:hAnsi="Arial" w:cs="Arial"/>
                <w:szCs w:val="21"/>
                <w:highlight w:val="none"/>
              </w:rPr>
              <w:t>系统支持提供单独工具箱</w:t>
            </w:r>
            <w:r>
              <w:rPr>
                <w:rFonts w:ascii="Arial" w:hAnsi="Arial" w:cs="Arial"/>
                <w:szCs w:val="21"/>
                <w:highlight w:val="none"/>
                <w:lang w:eastAsia="zh-Hans"/>
              </w:rPr>
              <w:t>，进行各版本疾病诊断编码、手术操作编码的查询</w:t>
            </w:r>
          </w:p>
          <w:p>
            <w:pPr>
              <w:pStyle w:val="3"/>
              <w:numPr>
                <w:ilvl w:val="1"/>
                <w:numId w:val="3"/>
              </w:numPr>
              <w:spacing w:before="0" w:after="0" w:line="288" w:lineRule="auto"/>
              <w:rPr>
                <w:rFonts w:eastAsia="宋体" w:cs="Arial"/>
                <w:sz w:val="21"/>
                <w:szCs w:val="21"/>
                <w:highlight w:val="none"/>
              </w:rPr>
            </w:pPr>
            <w:bookmarkStart w:id="98" w:name="_Toc24774"/>
            <w:r>
              <w:rPr>
                <w:rFonts w:eastAsia="宋体" w:cs="Arial"/>
                <w:sz w:val="21"/>
                <w:szCs w:val="21"/>
                <w:highlight w:val="none"/>
              </w:rPr>
              <w:t>单病种管理系统</w:t>
            </w:r>
            <w:bookmarkEnd w:id="98"/>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单病种质量指标填报及审核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单病种概览</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提供单病种概览工作台，支持面向医生、审核员、上报员等不同角色展示待完成及已完成工作内容数据，支持数据下钻至列表页面。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具备上报工作过程可视化追溯功能，通过过程流程图展示待填报、已填报、已审核、已驳回、已上报、已退回等数据。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具备上报工作统计分析功能，支持面向科主任、医务处等的上报工作统计工作图表展示，包括上报完成情况、上报趋势、病种占比等。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提供本周工作快报，展示本周填报完成情况、上报审核情况以及上报完成率等数据。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具有消息通知功能，支持院内通知公告的编辑及发布。</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单病种纳入及除外</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自动入组：具备根据病人诊断、手术医嘱自动校验诊断是否符合单病种，诊断、手术符合时提示纳入功能。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除外管理：具备纳入单病种时自动校验单病种除外规则，当病例满足自动除外条件，如入院24h内出院等，则自动除外病例无需上报，同时支持医生发起除外申请，并由上级进行审核。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入组提醒：支持与临床信息系统对接，临床医生在医生站保存诊断、手术、医嘱、提交病案首页等场景时自动校验是否单病种病人，并在医生站内进行弹窗纳入提醒。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出组提醒：具备根据患者临床诊疗信息（诊断、手术、患者基本信息）对已入组病种填报的患者满足排除条件时，在临床实时并自动提醒病种上报出组功能。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病人标识：具备通过住院医生站的床位卡标识区分单病种病人与非单病种病人功能。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纳入控制：具备控制非单病种病人不允许填报单病种信息功能。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单病种填报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支持临床诊疗过程中对15个病种入组患者进行表单填报。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具备填报数据清空、删除、撤销、提交等功能。支持用户病种上报数据项目多次修订、保存。支持对必填信息项进行特殊标记提醒。</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具备多病种触发选择功能，入组多病种患者（上报患者）进行页签提示，医生可选择同时触发某一病种进行填报。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系统自带评分工具，用户可通过勾选评分项弹出对应的评分工具，自动计算获得评分。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具备提交前逻辑校验功能，医生对数据进行补录后提交时系统自动校验有无未完成的指标或者指标是否符合填报规范，并对不符合规范的指标进行提醒。支持对数据进行数据格式、数据范围校验及提示。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具备填报指标自动导航功能，医生在病种补录界面快速定位到待完成指标的位置，提高填报效率。</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具备病例完成率结果进度展示功能，对未完成填报的病例进行定位，辅助实现病例补录上报。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具备单病种患者人工除外功能，支持将除外原因进行结构化内容的设定，方便医生在除外操作时进行项目勾选。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支持对接临床集成视图，方便医生快速溯源填报信息项。</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具备审核状态查看功能，以时间轴方式展示填报表单的流程的流转明细。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具备单病种被退回的病例列表查询功能，医生按照提交日期、审核日期、入院日期或出院日期、病种名称、病人状态、住院病区、住院科室、主管医生等信息查询被退回单病种信息的患者</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具备退回表单审核意见展示功能，支持审核流程节点查看，医生可以修改表单并再次提交或发起除外申请。</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具备按照提交日期、审核日期、入院日期或出院日期、病种名称、病人状态、住院病区、住院科室、主管医生等信息查询已报单病种信息的患者功能。支持查询条件的重置以及查出数据的excel表单导出。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已上报数据，支持在未审核状态下的撤回提交操作。</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支持单病种手工上报，医生可根据门诊就诊日期、入院日期或出院日期查询所病人状态、病区、科室等信息查询待报患者，并选择所属病种进行上报。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具备查询列表的自定义配置功能，包括列显示名称自定配置、列是否显示配置、日期时间列显示格式配置、列先后排序配置等。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具备根据当前登录医生或登录医生所属科室，自动分配填报任务功能。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具备管理科室对医生提交的单病种数据进行审核功能，可按科室、单病种名称、医生等多个维度对提交数据进行检索查询并审核。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具备审核及撤销审核功能，可单个、批量审核，支持审核通过与驳回。</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具备除外申请审核功能，对于医生发起的除外申请，由上级（科主任或医务科）进行审核。</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具备审核流程配置功能，通过参数配置可满足医院一级或两级审核需要。</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数据汇总查询</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具备查询结果按不同上报状态汇总展示功能，包括：待填报、审核中、除外中、审核通过、除外通过、自动除外、已上报、审核驳回、除外驳回、上报退回等。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具备数据汇总查询列表的动态配置功能，包括列名显示名称自定、列是否显示、日期时间列显示格式配置、列先后排序配置等。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具备数据汇总查询结果的导出功能。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单病种系统管理</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具备病种标准诊断、手术字典与院内字典自动映射及手动映射功能。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具备纳入范围的手动配置功能，包括触发条件、诊断范围、手术范围、病人范围、年龄范围等。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具备病种的启用与关闭功能。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支持不同院区流程设置、不同院区数据权限设置等。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具备系统水印的设置功能，包括水印内容、水印样式等，支持水印的开启与关闭。</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国家平台单病种上传接口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支持通过医院前置机直接对接国家单病种中心数据接口服务，实现15个病种数据直接上报。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支持按照待上报、已上报、上报退回等上报状态进行数据查询、数据导出。</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支持单个病例数据的上报及多个病例数据的批量上报。</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具备上报人员对国家平台退回的单病种表单一键退回至填报医生，并可对后续填报情况进行追踪。</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单病种质量指标基础分析 </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病种上报概览</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具备按照月度、季度、年及手动设置的时间段对单病种上报情况进行统计功能。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具备对各病种上报数量的统计、排序以及对统计结果进行可视化展示功能。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具备针对单个病种分析上报趋势、年龄分布、性别比例、平均住院天数、平均住院费并以可视化图表方式进行展示功能。</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单病种质量监测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具备单病种质量管理指标的统计报表展示功能，至少包括：上报例数、实际纳入人数、已除外人数、漏报人数、治愈率、好转率、未愈率、死亡率等。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具备手动设置时间段，按照不同科室、计算比率维度（按实际纳入人数、按已上报人数）对单病种质量管理指标进行统计查询功能，并按照病种、科室、病区、医生进行报表展示。</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单病种经济效益监测</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病种资源消耗情况多维度统计分析功能，至少包括：单病种实际纳入人数、已除外人数、平均住院费用(元）、平均药品费（元）、药费占总费用比、平均检查费、检查费占总费用比、平均治疗费（元）、治疗费占总费用比、平均手术费、手术费占总费用比、平均材料费、材料费占总费用比。</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具备手动设置时间段，按照不同科室、计算比率维度（按实际纳入人数、按已上报人数）对单病种经济效益进行统计查询功能，查询结果可按照病种、科室、病区、医生进行展示。</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单病种诊疗规范依从性统计分析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具备按照国家发布的单病种质量监测信息项要求根据填报内容进行每个单病种的指标分析、同比分析功能。</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具备单病种精细化单项指标分析功能，根据风险、并发症、药物使用等方面提供每个病种的专项指标分析。</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单病种质量指标采集及自动填充 </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15个单病种上报数据自动获取功能，系统可实现单病种质量指标的自动采集并自动填充到单病种相关质量指标中，包括患者基本信息、住院信息、诊断信息、检验检查报告信息、医嘱信息、治疗信息及其他信息。</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字典映射：具备数据字典映射及转换管理功能，支持院内字段与国家单病种表单数据进行转换处理，支持映射关系可视化配置。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数据源配置：具备多数据源配置管理功能，包括数据库、接口等，支持数据源属性字段的编辑、接口配置管理、sql脚本编辑等。</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具备病种采集管理功能，每个病种采集内容可单独维护，单独配置。</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支持通过人工智能自然语言处理技术对非结构化文本的处理，实现诊疗数据的自动提取。</w:t>
            </w:r>
          </w:p>
          <w:p>
            <w:pPr>
              <w:pStyle w:val="133"/>
              <w:widowControl/>
              <w:autoSpaceDE w:val="0"/>
              <w:adjustRightInd w:val="0"/>
              <w:snapToGrid w:val="0"/>
              <w:spacing w:line="288" w:lineRule="auto"/>
              <w:rPr>
                <w:rFonts w:ascii="Arial" w:hAnsi="Arial" w:cs="Arial"/>
                <w:szCs w:val="21"/>
                <w:highlight w:val="none"/>
              </w:rPr>
            </w:pPr>
            <w:r>
              <w:rPr>
                <w:rFonts w:ascii="Arial" w:hAnsi="Arial" w:cs="Arial"/>
                <w:szCs w:val="21"/>
                <w:highlight w:val="none"/>
              </w:rPr>
              <w:t>具备上报数据默认项设置功能。</w:t>
            </w:r>
          </w:p>
          <w:p>
            <w:pPr>
              <w:pStyle w:val="2"/>
              <w:numPr>
                <w:ilvl w:val="0"/>
                <w:numId w:val="3"/>
              </w:numPr>
              <w:spacing w:before="0" w:after="0" w:line="288" w:lineRule="auto"/>
              <w:rPr>
                <w:rFonts w:ascii="Arial" w:hAnsi="Arial" w:cs="Arial"/>
                <w:sz w:val="21"/>
                <w:szCs w:val="21"/>
                <w:highlight w:val="none"/>
              </w:rPr>
            </w:pPr>
            <w:bookmarkStart w:id="99" w:name="_Toc19258"/>
            <w:bookmarkStart w:id="100" w:name="_Toc7969"/>
            <w:r>
              <w:rPr>
                <w:rFonts w:ascii="Arial" w:hAnsi="Arial" w:cs="Arial"/>
                <w:sz w:val="21"/>
                <w:szCs w:val="21"/>
                <w:highlight w:val="none"/>
              </w:rPr>
              <w:t>接口</w:t>
            </w:r>
            <w:bookmarkEnd w:id="99"/>
            <w:bookmarkEnd w:id="100"/>
          </w:p>
          <w:p>
            <w:pPr>
              <w:spacing w:line="288" w:lineRule="auto"/>
              <w:rPr>
                <w:rFonts w:ascii="Arial" w:hAnsi="Arial" w:cs="Arial"/>
                <w:szCs w:val="21"/>
                <w:highlight w:val="none"/>
              </w:rPr>
            </w:pPr>
            <w:r>
              <w:rPr>
                <w:rFonts w:ascii="Arial" w:hAnsi="Arial" w:cs="Arial"/>
                <w:szCs w:val="21"/>
                <w:highlight w:val="none"/>
              </w:rPr>
              <w:t>包含系统上线前的政策性接口及利旧的第三方系统接口；</w:t>
            </w:r>
          </w:p>
          <w:p>
            <w:pPr>
              <w:spacing w:line="288" w:lineRule="auto"/>
              <w:rPr>
                <w:rFonts w:ascii="Arial" w:hAnsi="Arial" w:cs="Arial"/>
                <w:szCs w:val="21"/>
                <w:highlight w:val="none"/>
              </w:rPr>
            </w:pPr>
          </w:p>
          <w:p>
            <w:pPr>
              <w:pStyle w:val="2"/>
              <w:numPr>
                <w:ilvl w:val="0"/>
                <w:numId w:val="3"/>
              </w:numPr>
              <w:spacing w:before="0" w:after="0" w:line="288" w:lineRule="auto"/>
              <w:rPr>
                <w:rFonts w:ascii="Arial" w:hAnsi="Arial" w:cs="Arial"/>
                <w:sz w:val="21"/>
                <w:szCs w:val="21"/>
                <w:highlight w:val="none"/>
              </w:rPr>
            </w:pPr>
            <w:bookmarkStart w:id="101" w:name="_Toc19004"/>
            <w:bookmarkStart w:id="102" w:name="_Toc25744"/>
            <w:r>
              <w:rPr>
                <w:rFonts w:ascii="Arial" w:hAnsi="Arial" w:cs="Arial"/>
                <w:sz w:val="21"/>
                <w:szCs w:val="21"/>
                <w:highlight w:val="none"/>
              </w:rPr>
              <w:t>评级评审</w:t>
            </w:r>
            <w:bookmarkEnd w:id="101"/>
            <w:bookmarkEnd w:id="102"/>
          </w:p>
          <w:p>
            <w:pPr>
              <w:pStyle w:val="3"/>
              <w:numPr>
                <w:ilvl w:val="1"/>
                <w:numId w:val="3"/>
              </w:numPr>
              <w:spacing w:before="0" w:after="0" w:line="288" w:lineRule="auto"/>
              <w:rPr>
                <w:rFonts w:eastAsia="宋体" w:cs="Arial"/>
                <w:sz w:val="21"/>
                <w:szCs w:val="21"/>
                <w:highlight w:val="none"/>
              </w:rPr>
            </w:pPr>
            <w:bookmarkStart w:id="103" w:name="_Toc3289"/>
            <w:r>
              <w:rPr>
                <w:rFonts w:eastAsia="宋体" w:cs="Arial"/>
                <w:sz w:val="21"/>
                <w:szCs w:val="21"/>
                <w:highlight w:val="none"/>
              </w:rPr>
              <w:t>电子病历评级支持服务</w:t>
            </w:r>
            <w:bookmarkEnd w:id="103"/>
          </w:p>
          <w:p>
            <w:pPr>
              <w:pStyle w:val="133"/>
              <w:spacing w:line="288" w:lineRule="auto"/>
              <w:rPr>
                <w:rFonts w:ascii="Arial" w:hAnsi="Arial" w:cs="Arial"/>
                <w:szCs w:val="21"/>
                <w:highlight w:val="none"/>
              </w:rPr>
            </w:pPr>
            <w:r>
              <w:rPr>
                <w:rFonts w:ascii="Arial" w:hAnsi="Arial" w:cs="Arial"/>
                <w:szCs w:val="21"/>
                <w:highlight w:val="none"/>
              </w:rPr>
              <w:t>支撑医院顺利通过国家电子病历系统功能应用水平分级4级评价，要确保本项目系统建设、数据质量符合评审标准，提供材料准备及现场评审等环节的协助服务。</w:t>
            </w:r>
          </w:p>
          <w:p>
            <w:pPr>
              <w:pStyle w:val="133"/>
              <w:spacing w:line="288" w:lineRule="auto"/>
              <w:rPr>
                <w:rFonts w:ascii="Arial" w:hAnsi="Arial" w:cs="Arial"/>
                <w:szCs w:val="21"/>
                <w:highlight w:val="none"/>
              </w:rPr>
            </w:pPr>
            <w:r>
              <w:rPr>
                <w:rFonts w:ascii="Arial" w:hAnsi="Arial" w:cs="Arial"/>
                <w:szCs w:val="21"/>
                <w:highlight w:val="none"/>
              </w:rPr>
              <w:t>具体要求：</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数据质量监管服务</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现状调研与差距分析</w:t>
            </w:r>
          </w:p>
          <w:p>
            <w:pPr>
              <w:pStyle w:val="133"/>
              <w:spacing w:line="288" w:lineRule="auto"/>
              <w:rPr>
                <w:rFonts w:ascii="Arial" w:hAnsi="Arial" w:cs="Arial"/>
                <w:szCs w:val="21"/>
                <w:highlight w:val="none"/>
              </w:rPr>
            </w:pPr>
            <w:r>
              <w:rPr>
                <w:rFonts w:ascii="Arial" w:hAnsi="Arial" w:cs="Arial"/>
                <w:szCs w:val="21"/>
                <w:highlight w:val="none"/>
              </w:rPr>
              <w:t>协助医院组建专项调研小组，依据国家电子病历评级标准对医院现有信息系统及业务流程开展全面评估。</w:t>
            </w:r>
          </w:p>
          <w:p>
            <w:pPr>
              <w:pStyle w:val="133"/>
              <w:spacing w:line="288" w:lineRule="auto"/>
              <w:rPr>
                <w:rFonts w:ascii="Arial" w:hAnsi="Arial" w:cs="Arial"/>
                <w:szCs w:val="21"/>
                <w:highlight w:val="none"/>
              </w:rPr>
            </w:pPr>
            <w:r>
              <w:rPr>
                <w:rFonts w:ascii="Arial" w:hAnsi="Arial" w:cs="Arial"/>
                <w:szCs w:val="21"/>
                <w:highlight w:val="none"/>
              </w:rPr>
              <w:t>针对评级指标逐项核查系统功能覆盖情况、数据完整性、系统集成度及应用实效性，形成详实的现状调研报告。</w:t>
            </w:r>
          </w:p>
          <w:p>
            <w:pPr>
              <w:pStyle w:val="133"/>
              <w:spacing w:line="288" w:lineRule="auto"/>
              <w:rPr>
                <w:rFonts w:ascii="Arial" w:hAnsi="Arial" w:cs="Arial"/>
                <w:szCs w:val="21"/>
                <w:highlight w:val="none"/>
              </w:rPr>
            </w:pPr>
            <w:r>
              <w:rPr>
                <w:rFonts w:ascii="Arial" w:hAnsi="Arial" w:cs="Arial"/>
                <w:szCs w:val="21"/>
                <w:highlight w:val="none"/>
              </w:rPr>
              <w:t>基于调研结果，出具与目标评级等级之间的差距分析报告，明确关键短板与改进方向。</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整改计划制定</w:t>
            </w:r>
          </w:p>
          <w:p>
            <w:pPr>
              <w:pStyle w:val="133"/>
              <w:spacing w:line="288" w:lineRule="auto"/>
              <w:rPr>
                <w:rFonts w:ascii="Arial" w:hAnsi="Arial" w:cs="Arial"/>
                <w:szCs w:val="21"/>
                <w:highlight w:val="none"/>
              </w:rPr>
            </w:pPr>
            <w:r>
              <w:rPr>
                <w:rFonts w:ascii="Arial" w:hAnsi="Arial" w:cs="Arial"/>
                <w:szCs w:val="21"/>
                <w:highlight w:val="none"/>
              </w:rPr>
              <w:t>结合医院发展目标与评级要求，制定切实可行的整改实施方案，涵盖：</w:t>
            </w:r>
          </w:p>
          <w:p>
            <w:pPr>
              <w:pStyle w:val="133"/>
              <w:spacing w:line="288" w:lineRule="auto"/>
              <w:rPr>
                <w:rFonts w:ascii="Arial" w:hAnsi="Arial" w:cs="Arial"/>
                <w:szCs w:val="21"/>
                <w:highlight w:val="none"/>
              </w:rPr>
            </w:pPr>
            <w:r>
              <w:rPr>
                <w:rFonts w:ascii="Arial" w:hAnsi="Arial" w:cs="Arial"/>
                <w:szCs w:val="21"/>
                <w:highlight w:val="none"/>
              </w:rPr>
              <w:t>业务流程优化建议；</w:t>
            </w:r>
          </w:p>
          <w:p>
            <w:pPr>
              <w:pStyle w:val="133"/>
              <w:spacing w:line="288" w:lineRule="auto"/>
              <w:rPr>
                <w:rFonts w:ascii="Arial" w:hAnsi="Arial" w:cs="Arial"/>
                <w:szCs w:val="21"/>
                <w:highlight w:val="none"/>
              </w:rPr>
            </w:pPr>
            <w:r>
              <w:rPr>
                <w:rFonts w:ascii="Arial" w:hAnsi="Arial" w:cs="Arial"/>
                <w:szCs w:val="21"/>
                <w:highlight w:val="none"/>
              </w:rPr>
              <w:t>信息系统功能改造与升级路径；</w:t>
            </w:r>
          </w:p>
          <w:p>
            <w:pPr>
              <w:pStyle w:val="133"/>
              <w:spacing w:line="288" w:lineRule="auto"/>
              <w:rPr>
                <w:rFonts w:ascii="Arial" w:hAnsi="Arial" w:cs="Arial"/>
                <w:szCs w:val="21"/>
                <w:highlight w:val="none"/>
              </w:rPr>
            </w:pPr>
            <w:r>
              <w:rPr>
                <w:rFonts w:ascii="Arial" w:hAnsi="Arial" w:cs="Arial"/>
                <w:szCs w:val="21"/>
                <w:highlight w:val="none"/>
              </w:rPr>
              <w:t>数据采集、存储、调用及共享机制完善措施。</w:t>
            </w:r>
          </w:p>
          <w:p>
            <w:pPr>
              <w:pStyle w:val="133"/>
              <w:spacing w:line="288" w:lineRule="auto"/>
              <w:rPr>
                <w:rFonts w:ascii="Arial" w:hAnsi="Arial" w:cs="Arial"/>
                <w:szCs w:val="21"/>
                <w:highlight w:val="none"/>
              </w:rPr>
            </w:pPr>
            <w:r>
              <w:rPr>
                <w:rFonts w:ascii="Arial" w:hAnsi="Arial" w:cs="Arial"/>
                <w:szCs w:val="21"/>
                <w:highlight w:val="none"/>
              </w:rPr>
              <w:t>提供阶段性实施路线图，明确责任部门、时间节点与验收标准。</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应用推广监管</w:t>
            </w:r>
          </w:p>
          <w:p>
            <w:pPr>
              <w:pStyle w:val="133"/>
              <w:spacing w:line="288" w:lineRule="auto"/>
              <w:rPr>
                <w:rFonts w:ascii="Arial" w:hAnsi="Arial" w:cs="Arial"/>
                <w:szCs w:val="21"/>
                <w:highlight w:val="none"/>
              </w:rPr>
            </w:pPr>
            <w:r>
              <w:rPr>
                <w:rFonts w:ascii="Arial" w:hAnsi="Arial" w:cs="Arial"/>
                <w:szCs w:val="21"/>
                <w:highlight w:val="none"/>
              </w:rPr>
              <w:t>本项目所建系统要求满足电子病历4级功能要求，确保各项功能开发符合评级标准。</w:t>
            </w:r>
          </w:p>
          <w:p>
            <w:pPr>
              <w:pStyle w:val="133"/>
              <w:spacing w:line="288" w:lineRule="auto"/>
              <w:rPr>
                <w:rFonts w:ascii="Arial" w:hAnsi="Arial" w:cs="Arial"/>
                <w:szCs w:val="21"/>
                <w:highlight w:val="none"/>
              </w:rPr>
            </w:pPr>
            <w:r>
              <w:rPr>
                <w:rFonts w:ascii="Arial" w:hAnsi="Arial" w:cs="Arial"/>
                <w:szCs w:val="21"/>
                <w:highlight w:val="none"/>
              </w:rPr>
              <w:t>监督系统上线后的实际应用情况，推动临床科室规范使用相关功能模块。</w:t>
            </w:r>
          </w:p>
          <w:p>
            <w:pPr>
              <w:pStyle w:val="133"/>
              <w:spacing w:line="288" w:lineRule="auto"/>
              <w:rPr>
                <w:rFonts w:ascii="Arial" w:hAnsi="Arial" w:cs="Arial"/>
                <w:szCs w:val="21"/>
                <w:highlight w:val="none"/>
              </w:rPr>
            </w:pPr>
            <w:r>
              <w:rPr>
                <w:rFonts w:ascii="Arial" w:hAnsi="Arial" w:cs="Arial"/>
                <w:szCs w:val="21"/>
                <w:highlight w:val="none"/>
              </w:rPr>
              <w:t>定期开展阶段性评估，为医院落实有效应用提供抓手，需向医院提出持续优化建议。</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在线申报支持</w:t>
            </w:r>
          </w:p>
          <w:p>
            <w:pPr>
              <w:pStyle w:val="133"/>
              <w:spacing w:line="288" w:lineRule="auto"/>
              <w:rPr>
                <w:rFonts w:ascii="Arial" w:hAnsi="Arial" w:cs="Arial"/>
                <w:szCs w:val="21"/>
                <w:highlight w:val="none"/>
              </w:rPr>
            </w:pPr>
            <w:r>
              <w:rPr>
                <w:rFonts w:ascii="Arial" w:hAnsi="Arial" w:cs="Arial"/>
                <w:szCs w:val="21"/>
                <w:highlight w:val="none"/>
              </w:rPr>
              <w:t>协助医院完成国家卫生健康委指定平台的在线申报工作，包括信息填报、资料上传、系统对接测试等。</w:t>
            </w:r>
          </w:p>
          <w:p>
            <w:pPr>
              <w:pStyle w:val="133"/>
              <w:spacing w:line="288" w:lineRule="auto"/>
              <w:rPr>
                <w:rFonts w:ascii="Arial" w:hAnsi="Arial" w:cs="Arial"/>
                <w:szCs w:val="21"/>
                <w:highlight w:val="none"/>
              </w:rPr>
            </w:pPr>
            <w:r>
              <w:rPr>
                <w:rFonts w:ascii="Arial" w:hAnsi="Arial" w:cs="Arial"/>
                <w:szCs w:val="21"/>
                <w:highlight w:val="none"/>
              </w:rPr>
              <w:t>确保申报内容真实、完整、逻辑一致，符合评审平台的技术与格式要求。</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测评材料准备与监管服务</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实证材料收集与整理</w:t>
            </w:r>
          </w:p>
          <w:p>
            <w:pPr>
              <w:pStyle w:val="133"/>
              <w:spacing w:line="288" w:lineRule="auto"/>
              <w:rPr>
                <w:rFonts w:ascii="Arial" w:hAnsi="Arial" w:cs="Arial"/>
                <w:szCs w:val="21"/>
                <w:highlight w:val="none"/>
              </w:rPr>
            </w:pPr>
            <w:r>
              <w:rPr>
                <w:rFonts w:ascii="Arial" w:hAnsi="Arial" w:cs="Arial"/>
                <w:szCs w:val="21"/>
                <w:highlight w:val="none"/>
              </w:rPr>
              <w:t>根据电子病历评级标准中对实证材料的要求，协助医院收集并整理相关系统截图、操作日志、数据调阅记录等功能使用证据。</w:t>
            </w:r>
          </w:p>
          <w:p>
            <w:pPr>
              <w:pStyle w:val="133"/>
              <w:spacing w:line="288" w:lineRule="auto"/>
              <w:rPr>
                <w:rFonts w:ascii="Arial" w:hAnsi="Arial" w:cs="Arial"/>
                <w:szCs w:val="21"/>
                <w:highlight w:val="none"/>
              </w:rPr>
            </w:pPr>
            <w:r>
              <w:rPr>
                <w:rFonts w:ascii="Arial" w:hAnsi="Arial" w:cs="Arial"/>
                <w:szCs w:val="21"/>
                <w:highlight w:val="none"/>
              </w:rPr>
              <w:t>确保截图清晰、标注明确、场景完整，能有效支撑对应功能点的评分依据。</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材料审核与整改建议</w:t>
            </w:r>
          </w:p>
          <w:p>
            <w:pPr>
              <w:pStyle w:val="133"/>
              <w:spacing w:line="288" w:lineRule="auto"/>
              <w:rPr>
                <w:rFonts w:ascii="Arial" w:hAnsi="Arial" w:cs="Arial"/>
                <w:szCs w:val="21"/>
                <w:highlight w:val="none"/>
              </w:rPr>
            </w:pPr>
            <w:r>
              <w:rPr>
                <w:rFonts w:ascii="Arial" w:hAnsi="Arial" w:cs="Arial"/>
                <w:szCs w:val="21"/>
                <w:highlight w:val="none"/>
              </w:rPr>
              <w:t>对医院自行编制的实证说明文档进行逐项审核，检查其内容完整性、逻辑合理性与标准符合性。</w:t>
            </w:r>
          </w:p>
          <w:p>
            <w:pPr>
              <w:pStyle w:val="133"/>
              <w:spacing w:line="288" w:lineRule="auto"/>
              <w:rPr>
                <w:rFonts w:ascii="Arial" w:hAnsi="Arial" w:cs="Arial"/>
                <w:szCs w:val="21"/>
                <w:highlight w:val="none"/>
              </w:rPr>
            </w:pPr>
            <w:r>
              <w:rPr>
                <w:rFonts w:ascii="Arial" w:hAnsi="Arial" w:cs="Arial"/>
                <w:szCs w:val="21"/>
                <w:highlight w:val="none"/>
              </w:rPr>
              <w:t>针对不符合评审要求的部分提出具体修改意见，并指导医院完成修订。</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材料定稿与迭代提交</w:t>
            </w:r>
          </w:p>
          <w:p>
            <w:pPr>
              <w:pStyle w:val="133"/>
              <w:spacing w:line="288" w:lineRule="auto"/>
              <w:rPr>
                <w:rFonts w:ascii="Arial" w:hAnsi="Arial" w:cs="Arial"/>
                <w:szCs w:val="21"/>
                <w:highlight w:val="none"/>
              </w:rPr>
            </w:pPr>
            <w:r>
              <w:rPr>
                <w:rFonts w:ascii="Arial" w:hAnsi="Arial" w:cs="Arial"/>
                <w:szCs w:val="21"/>
                <w:highlight w:val="none"/>
              </w:rPr>
              <w:t>协助完成最终版实证材料的汇编与归档，确保格式统一、目录清晰、便于查阅。</w:t>
            </w:r>
          </w:p>
          <w:p>
            <w:pPr>
              <w:pStyle w:val="133"/>
              <w:spacing w:line="288" w:lineRule="auto"/>
              <w:rPr>
                <w:rFonts w:ascii="Arial" w:hAnsi="Arial" w:cs="Arial"/>
                <w:szCs w:val="21"/>
                <w:highlight w:val="none"/>
              </w:rPr>
            </w:pPr>
            <w:r>
              <w:rPr>
                <w:rFonts w:ascii="Arial" w:hAnsi="Arial" w:cs="Arial"/>
                <w:szCs w:val="21"/>
                <w:highlight w:val="none"/>
              </w:rPr>
              <w:t>若收到专家初审反馈意见，协助医院分析问题原因，组织材料修改与补充，并配合完成复审材料的重新提交。</w:t>
            </w:r>
          </w:p>
          <w:p>
            <w:pPr>
              <w:pStyle w:val="4"/>
              <w:numPr>
                <w:ilvl w:val="2"/>
                <w:numId w:val="3"/>
              </w:numPr>
              <w:spacing w:before="0" w:after="0" w:line="288" w:lineRule="auto"/>
              <w:ind w:firstLine="40"/>
              <w:rPr>
                <w:rFonts w:ascii="Arial" w:hAnsi="Arial" w:cs="Arial"/>
                <w:sz w:val="21"/>
                <w:szCs w:val="21"/>
                <w:highlight w:val="none"/>
              </w:rPr>
            </w:pPr>
            <w:r>
              <w:rPr>
                <w:rFonts w:ascii="Arial" w:hAnsi="Arial" w:cs="Arial"/>
                <w:sz w:val="21"/>
                <w:szCs w:val="21"/>
                <w:highlight w:val="none"/>
              </w:rPr>
              <w:t xml:space="preserve"> 专家现场评审支持服务</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应用数据统计支持</w:t>
            </w:r>
          </w:p>
          <w:p>
            <w:pPr>
              <w:pStyle w:val="133"/>
              <w:spacing w:line="288" w:lineRule="auto"/>
              <w:rPr>
                <w:rFonts w:ascii="Arial" w:hAnsi="Arial" w:cs="Arial"/>
                <w:szCs w:val="21"/>
                <w:highlight w:val="none"/>
              </w:rPr>
            </w:pPr>
            <w:r>
              <w:rPr>
                <w:rFonts w:ascii="Arial" w:hAnsi="Arial" w:cs="Arial"/>
                <w:szCs w:val="21"/>
                <w:highlight w:val="none"/>
              </w:rPr>
              <w:t>在专家现场评审期间，安排技术人员驻场支持，协助专家从医院信息系统后台提取与验证各项功能的应用数据（如调阅频次、使用覆盖率、响应时间等），确保数据真实、可追溯、符合评分要求。</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评审汇报支持</w:t>
            </w:r>
          </w:p>
          <w:p>
            <w:pPr>
              <w:pStyle w:val="133"/>
              <w:spacing w:line="288" w:lineRule="auto"/>
              <w:rPr>
                <w:rFonts w:ascii="Arial" w:hAnsi="Arial" w:cs="Arial"/>
                <w:szCs w:val="21"/>
                <w:highlight w:val="none"/>
              </w:rPr>
            </w:pPr>
            <w:r>
              <w:rPr>
                <w:rFonts w:ascii="Arial" w:hAnsi="Arial" w:cs="Arial"/>
                <w:szCs w:val="21"/>
                <w:highlight w:val="none"/>
              </w:rPr>
              <w:t>提供历次成功通过高等级评审的PPT汇报模板作为参考范例。</w:t>
            </w:r>
          </w:p>
          <w:p>
            <w:pPr>
              <w:pStyle w:val="133"/>
              <w:spacing w:line="288" w:lineRule="auto"/>
              <w:rPr>
                <w:rFonts w:ascii="Arial" w:hAnsi="Arial" w:cs="Arial"/>
                <w:szCs w:val="21"/>
                <w:highlight w:val="none"/>
              </w:rPr>
            </w:pPr>
            <w:r>
              <w:rPr>
                <w:rFonts w:ascii="Arial" w:hAnsi="Arial" w:cs="Arial"/>
                <w:szCs w:val="21"/>
                <w:highlight w:val="none"/>
              </w:rPr>
              <w:t>协助医院汇报人员整理汇报所需的数据统计结果、系统截图、流程图及相关佐证资料。</w:t>
            </w:r>
          </w:p>
          <w:p>
            <w:pPr>
              <w:pStyle w:val="133"/>
              <w:spacing w:line="288" w:lineRule="auto"/>
              <w:rPr>
                <w:rFonts w:ascii="Arial" w:hAnsi="Arial" w:cs="Arial"/>
                <w:szCs w:val="21"/>
                <w:highlight w:val="none"/>
              </w:rPr>
            </w:pPr>
            <w:r>
              <w:rPr>
                <w:rFonts w:ascii="Arial" w:hAnsi="Arial" w:cs="Arial"/>
                <w:szCs w:val="21"/>
                <w:highlight w:val="none"/>
              </w:rPr>
              <w:t>对汇报PPT的内容结构、逻辑表达、重点突出程度及格式规范性进行审核，确保符合评审专家组的审阅习惯与评分关注点。</w:t>
            </w:r>
          </w:p>
          <w:p>
            <w:pPr>
              <w:pStyle w:val="133"/>
              <w:spacing w:line="288" w:lineRule="auto"/>
              <w:rPr>
                <w:rFonts w:ascii="Arial" w:hAnsi="Arial" w:cs="Arial"/>
                <w:szCs w:val="21"/>
                <w:highlight w:val="none"/>
              </w:rPr>
            </w:pPr>
            <w:r>
              <w:rPr>
                <w:rFonts w:ascii="Arial" w:hAnsi="Arial" w:cs="Arial"/>
                <w:szCs w:val="21"/>
                <w:highlight w:val="none"/>
              </w:rPr>
              <w:t>组织模拟汇报演练，对汇报人员的语言表达、时间控制、应答技巧等进行指导，提升现场表现力与专业度。</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迎评培训与演练指导</w:t>
            </w:r>
          </w:p>
          <w:p>
            <w:pPr>
              <w:pStyle w:val="133"/>
              <w:spacing w:line="288" w:lineRule="auto"/>
              <w:rPr>
                <w:rFonts w:ascii="Arial" w:hAnsi="Arial" w:cs="Arial"/>
                <w:szCs w:val="21"/>
                <w:highlight w:val="none"/>
              </w:rPr>
            </w:pPr>
            <w:r>
              <w:rPr>
                <w:rFonts w:ascii="Arial" w:hAnsi="Arial" w:cs="Arial"/>
                <w:szCs w:val="21"/>
                <w:highlight w:val="none"/>
              </w:rPr>
              <w:t>结合既往评审经验与医院实际情况，编制迎评培训资料包，包括但不限于：</w:t>
            </w:r>
          </w:p>
          <w:p>
            <w:pPr>
              <w:pStyle w:val="133"/>
              <w:spacing w:line="288" w:lineRule="auto"/>
              <w:rPr>
                <w:rFonts w:ascii="Arial" w:hAnsi="Arial" w:cs="Arial"/>
                <w:szCs w:val="21"/>
                <w:highlight w:val="none"/>
              </w:rPr>
            </w:pPr>
            <w:r>
              <w:rPr>
                <w:rFonts w:ascii="Arial" w:hAnsi="Arial" w:cs="Arial"/>
                <w:szCs w:val="21"/>
                <w:highlight w:val="none"/>
              </w:rPr>
              <w:t>各功能点演示操作指南；</w:t>
            </w:r>
          </w:p>
          <w:p>
            <w:pPr>
              <w:pStyle w:val="133"/>
              <w:spacing w:line="288" w:lineRule="auto"/>
              <w:rPr>
                <w:rFonts w:ascii="Arial" w:hAnsi="Arial" w:cs="Arial"/>
                <w:szCs w:val="21"/>
                <w:highlight w:val="none"/>
              </w:rPr>
            </w:pPr>
            <w:r>
              <w:rPr>
                <w:rFonts w:ascii="Arial" w:hAnsi="Arial" w:cs="Arial"/>
                <w:szCs w:val="21"/>
                <w:highlight w:val="none"/>
              </w:rPr>
              <w:t>典型知识库案例与患者全周期诊疗路径示例；</w:t>
            </w:r>
          </w:p>
          <w:p>
            <w:pPr>
              <w:pStyle w:val="133"/>
              <w:spacing w:line="288" w:lineRule="auto"/>
              <w:rPr>
                <w:rFonts w:ascii="Arial" w:hAnsi="Arial" w:cs="Arial"/>
                <w:szCs w:val="21"/>
                <w:highlight w:val="none"/>
              </w:rPr>
            </w:pPr>
            <w:r>
              <w:rPr>
                <w:rFonts w:ascii="Arial" w:hAnsi="Arial" w:cs="Arial"/>
                <w:szCs w:val="21"/>
                <w:highlight w:val="none"/>
              </w:rPr>
              <w:t>常见专家提问清单及标准应答口径。</w:t>
            </w:r>
          </w:p>
          <w:p>
            <w:pPr>
              <w:pStyle w:val="133"/>
              <w:spacing w:line="288" w:lineRule="auto"/>
              <w:rPr>
                <w:rFonts w:ascii="Arial" w:hAnsi="Arial" w:cs="Arial"/>
                <w:szCs w:val="21"/>
                <w:highlight w:val="none"/>
              </w:rPr>
            </w:pPr>
            <w:r>
              <w:rPr>
                <w:rFonts w:ascii="Arial" w:hAnsi="Arial" w:cs="Arial"/>
                <w:szCs w:val="21"/>
                <w:highlight w:val="none"/>
              </w:rPr>
              <w:t>面向全院相关系统操作人员开展多轮集中培训，确保其掌握系统功能操作与演示要点。</w:t>
            </w:r>
          </w:p>
          <w:p>
            <w:pPr>
              <w:pStyle w:val="133"/>
              <w:spacing w:line="288" w:lineRule="auto"/>
              <w:rPr>
                <w:rFonts w:ascii="Arial" w:hAnsi="Arial" w:cs="Arial"/>
                <w:szCs w:val="21"/>
                <w:highlight w:val="none"/>
              </w:rPr>
            </w:pPr>
            <w:r>
              <w:rPr>
                <w:rFonts w:ascii="Arial" w:hAnsi="Arial" w:cs="Arial"/>
                <w:szCs w:val="21"/>
                <w:highlight w:val="none"/>
              </w:rPr>
              <w:t>对预估参与现场检查的重点科室及医务人员进行专项强化培训，提升其对评审指标的理解能力与现场应答准确性。</w:t>
            </w:r>
          </w:p>
          <w:p>
            <w:pPr>
              <w:pStyle w:val="133"/>
              <w:spacing w:line="288" w:lineRule="auto"/>
              <w:rPr>
                <w:rFonts w:ascii="Arial" w:hAnsi="Arial" w:cs="Arial"/>
                <w:szCs w:val="21"/>
                <w:highlight w:val="none"/>
              </w:rPr>
            </w:pPr>
            <w:r>
              <w:rPr>
                <w:rFonts w:ascii="Arial" w:hAnsi="Arial" w:cs="Arial"/>
                <w:szCs w:val="21"/>
                <w:highlight w:val="none"/>
              </w:rPr>
              <w:t>指导医院按照真实评审环境配置演示终端设备、网络环境、备用系统及操作人员，确保演示过程稳定流畅。</w:t>
            </w:r>
          </w:p>
          <w:p>
            <w:pPr>
              <w:pStyle w:val="133"/>
              <w:spacing w:line="288" w:lineRule="auto"/>
              <w:rPr>
                <w:rFonts w:ascii="Arial" w:hAnsi="Arial" w:cs="Arial"/>
                <w:szCs w:val="21"/>
                <w:highlight w:val="none"/>
              </w:rPr>
            </w:pPr>
            <w:r>
              <w:rPr>
                <w:rFonts w:ascii="Arial" w:hAnsi="Arial" w:cs="Arial"/>
                <w:szCs w:val="21"/>
                <w:highlight w:val="none"/>
              </w:rPr>
              <w:t>组织模拟评审场景演练，对参演人员的操作流程、语言表达、问题回应等进行点评与优化建议。</w:t>
            </w:r>
          </w:p>
          <w:p>
            <w:pPr>
              <w:pStyle w:val="133"/>
              <w:spacing w:line="288" w:lineRule="auto"/>
              <w:rPr>
                <w:rFonts w:ascii="Arial" w:hAnsi="Arial" w:cs="Arial"/>
                <w:szCs w:val="21"/>
                <w:highlight w:val="none"/>
              </w:rPr>
            </w:pPr>
            <w:r>
              <w:rPr>
                <w:rFonts w:ascii="Arial" w:hAnsi="Arial" w:cs="Arial"/>
                <w:szCs w:val="21"/>
                <w:highlight w:val="none"/>
              </w:rPr>
              <w:t>协助医院科学规划专家现场巡查路线，合理安排科室参评顺序与时间分布，保障评审高效有序进行。</w:t>
            </w:r>
          </w:p>
          <w:p>
            <w:pPr>
              <w:pStyle w:val="133"/>
              <w:spacing w:line="288" w:lineRule="auto"/>
              <w:rPr>
                <w:rFonts w:ascii="Arial" w:hAnsi="Arial" w:cs="Arial"/>
                <w:szCs w:val="21"/>
                <w:highlight w:val="none"/>
              </w:rPr>
            </w:pPr>
            <w:r>
              <w:rPr>
                <w:rFonts w:ascii="Arial" w:hAnsi="Arial" w:cs="Arial"/>
                <w:szCs w:val="21"/>
                <w:highlight w:val="none"/>
              </w:rPr>
              <w:t>编制迎评注意事项指南，涵盖迎评礼仪、沟通技巧、应急处理等内容，提升整体迎评专业水平。</w:t>
            </w:r>
          </w:p>
          <w:p>
            <w:pPr>
              <w:pStyle w:val="5"/>
              <w:numPr>
                <w:ilvl w:val="3"/>
                <w:numId w:val="3"/>
              </w:numPr>
              <w:spacing w:before="0" w:after="0" w:line="288" w:lineRule="auto"/>
              <w:ind w:firstLine="40"/>
              <w:rPr>
                <w:rFonts w:eastAsia="宋体" w:cs="Arial"/>
                <w:sz w:val="21"/>
                <w:szCs w:val="21"/>
                <w:highlight w:val="none"/>
              </w:rPr>
            </w:pPr>
            <w:r>
              <w:rPr>
                <w:rFonts w:eastAsia="宋体" w:cs="Arial"/>
                <w:sz w:val="21"/>
                <w:szCs w:val="21"/>
                <w:highlight w:val="none"/>
              </w:rPr>
              <w:t xml:space="preserve"> 现场评审技术支持</w:t>
            </w:r>
          </w:p>
          <w:p>
            <w:pPr>
              <w:pStyle w:val="133"/>
              <w:spacing w:line="288" w:lineRule="auto"/>
              <w:rPr>
                <w:rFonts w:ascii="Arial" w:hAnsi="Arial" w:cs="Arial"/>
                <w:szCs w:val="21"/>
                <w:highlight w:val="none"/>
              </w:rPr>
            </w:pPr>
            <w:r>
              <w:rPr>
                <w:rFonts w:ascii="Arial" w:hAnsi="Arial" w:cs="Arial"/>
                <w:szCs w:val="21"/>
                <w:highlight w:val="none"/>
              </w:rPr>
              <w:t>在专家现场评审期间，派驻具备电子病历评级经验的技术工程师全程驻场，提供即时技术支持。</w:t>
            </w:r>
          </w:p>
          <w:p>
            <w:pPr>
              <w:pStyle w:val="133"/>
              <w:spacing w:line="288" w:lineRule="auto"/>
              <w:rPr>
                <w:rFonts w:ascii="Arial" w:hAnsi="Arial" w:cs="Arial"/>
                <w:szCs w:val="21"/>
                <w:highlight w:val="none"/>
              </w:rPr>
            </w:pPr>
            <w:r>
              <w:rPr>
                <w:rFonts w:ascii="Arial" w:hAnsi="Arial" w:cs="Arial"/>
                <w:szCs w:val="21"/>
                <w:highlight w:val="none"/>
              </w:rPr>
              <w:t>负责协调医院信息部门与临床科室之间的联动响应，快速解决系统访问、数据调取、功能演示等突发问题，确保评审过程顺利推进。</w:t>
            </w:r>
          </w:p>
        </w:tc>
      </w:tr>
    </w:tbl>
    <w:p>
      <w:pPr>
        <w:rPr>
          <w:rFonts w:hint="eastAsia" w:ascii="Arial" w:hAnsi="Arial" w:cs="Arial"/>
          <w:b/>
          <w:bCs/>
          <w:highlight w:val="none"/>
        </w:rPr>
      </w:pPr>
      <w:r>
        <w:rPr>
          <w:rFonts w:hint="eastAsia" w:ascii="Arial" w:hAnsi="Arial" w:cs="Arial"/>
          <w:b/>
          <w:bCs/>
          <w:highlight w:val="none"/>
        </w:rPr>
        <w:br w:type="page"/>
      </w:r>
    </w:p>
    <w:p>
      <w:pPr>
        <w:spacing w:line="360" w:lineRule="auto"/>
        <w:rPr>
          <w:rFonts w:ascii="Arial" w:hAnsi="Arial" w:cs="Arial"/>
          <w:b/>
          <w:bCs/>
          <w:highlight w:val="none"/>
        </w:rPr>
      </w:pPr>
      <w:r>
        <w:rPr>
          <w:rFonts w:hint="eastAsia" w:ascii="Arial" w:hAnsi="Arial" w:cs="Arial"/>
          <w:b/>
          <w:bCs/>
          <w:highlight w:val="none"/>
          <w:lang w:val="en-US" w:eastAsia="zh-CN"/>
        </w:rPr>
        <w:t>6</w:t>
      </w:r>
      <w:r>
        <w:rPr>
          <w:rFonts w:ascii="Arial" w:hAnsi="Arial" w:cs="Arial"/>
          <w:b/>
          <w:bCs/>
          <w:highlight w:val="none"/>
        </w:rPr>
        <w:t>、商务要求</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ascii="Arial" w:hAnsi="Arial" w:cs="Arial"/>
                <w:b/>
                <w:bCs/>
                <w:highlight w:val="none"/>
              </w:rPr>
            </w:pPr>
            <w:r>
              <w:rPr>
                <w:rFonts w:ascii="Arial" w:hAnsi="Arial" w:cs="Arial"/>
                <w:b/>
                <w:bCs/>
                <w:highlight w:val="none"/>
              </w:rPr>
              <w:t>类型</w:t>
            </w:r>
          </w:p>
        </w:tc>
        <w:tc>
          <w:tcPr>
            <w:tcW w:w="8269" w:type="dxa"/>
          </w:tcPr>
          <w:p>
            <w:pPr>
              <w:jc w:val="center"/>
              <w:rPr>
                <w:rFonts w:ascii="Arial" w:hAnsi="Arial" w:cs="Arial"/>
                <w:b/>
                <w:bCs/>
                <w:highlight w:val="none"/>
              </w:rPr>
            </w:pPr>
            <w:r>
              <w:rPr>
                <w:rFonts w:ascii="Arial" w:hAnsi="Arial" w:cs="Arial"/>
                <w:b/>
                <w:bCs/>
                <w:sz w:val="24"/>
                <w:highlight w:val="none"/>
                <w:lang w:bidi="ar"/>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ascii="Arial" w:hAnsi="Arial" w:cs="Arial"/>
                <w:highlight w:val="none"/>
              </w:rPr>
            </w:pPr>
            <w:r>
              <w:rPr>
                <w:rFonts w:ascii="Arial" w:hAnsi="Arial" w:cs="Arial"/>
                <w:highlight w:val="none"/>
              </w:rPr>
              <w:t>实施服务要求</w:t>
            </w:r>
          </w:p>
        </w:tc>
        <w:tc>
          <w:tcPr>
            <w:tcW w:w="8269" w:type="dxa"/>
          </w:tcPr>
          <w:p>
            <w:pPr>
              <w:pStyle w:val="133"/>
              <w:spacing w:line="288" w:lineRule="auto"/>
              <w:ind w:firstLine="0"/>
              <w:jc w:val="left"/>
              <w:rPr>
                <w:rFonts w:ascii="Arial" w:hAnsi="Arial" w:cs="Arial"/>
                <w:b/>
                <w:bCs/>
                <w:highlight w:val="none"/>
              </w:rPr>
            </w:pPr>
            <w:r>
              <w:rPr>
                <w:rFonts w:ascii="Arial" w:hAnsi="Arial" w:cs="Arial"/>
                <w:b/>
                <w:bCs/>
                <w:highlight w:val="none"/>
              </w:rPr>
              <w:t>1.实施基本要求</w:t>
            </w:r>
          </w:p>
          <w:p>
            <w:pPr>
              <w:pStyle w:val="133"/>
              <w:spacing w:line="288" w:lineRule="auto"/>
              <w:jc w:val="left"/>
              <w:rPr>
                <w:rFonts w:ascii="Arial" w:hAnsi="Arial" w:cs="Arial"/>
                <w:highlight w:val="none"/>
              </w:rPr>
            </w:pPr>
            <w:r>
              <w:rPr>
                <w:rFonts w:ascii="Arial" w:hAnsi="Arial" w:cs="Arial"/>
                <w:highlight w:val="none"/>
              </w:rPr>
              <w:t xml:space="preserve">（1）应用推广：提高应用率满足评审所需要的应用数要求，配合医院推广业务系统使用；如指定推广计划，提供推广应用案例和方法，尤其是临床病历的使用。 </w:t>
            </w:r>
          </w:p>
          <w:p>
            <w:pPr>
              <w:pStyle w:val="133"/>
              <w:spacing w:line="288" w:lineRule="auto"/>
              <w:jc w:val="left"/>
              <w:rPr>
                <w:rFonts w:ascii="Arial" w:hAnsi="Arial" w:cs="Arial"/>
                <w:highlight w:val="none"/>
              </w:rPr>
            </w:pPr>
            <w:r>
              <w:rPr>
                <w:rFonts w:ascii="Arial" w:hAnsi="Arial" w:cs="Arial"/>
                <w:highlight w:val="none"/>
              </w:rPr>
              <w:t xml:space="preserve">（2）核查数据：提高数据质量满足评审要求的数据及时性、完整性、整合性、一致性。对不同的界面数据一致性进行核查，如患者年龄：不同系统算法不同（实岁、虚岁），需统一算法。 </w:t>
            </w:r>
          </w:p>
          <w:p>
            <w:pPr>
              <w:pStyle w:val="133"/>
              <w:spacing w:line="288" w:lineRule="auto"/>
              <w:jc w:val="left"/>
              <w:rPr>
                <w:rFonts w:ascii="Arial" w:hAnsi="Arial" w:cs="Arial"/>
                <w:highlight w:val="none"/>
              </w:rPr>
            </w:pPr>
            <w:r>
              <w:rPr>
                <w:rFonts w:ascii="Arial" w:hAnsi="Arial" w:cs="Arial"/>
                <w:highlight w:val="none"/>
              </w:rPr>
              <w:t xml:space="preserve">（3）流程再造：满足评审要求对于医院的临床流程进行再造，例如危急值管理流程再造。 </w:t>
            </w:r>
          </w:p>
          <w:p>
            <w:pPr>
              <w:pStyle w:val="133"/>
              <w:spacing w:line="288" w:lineRule="auto"/>
              <w:ind w:firstLine="0"/>
              <w:jc w:val="left"/>
              <w:rPr>
                <w:rFonts w:ascii="Arial" w:hAnsi="Arial" w:cs="Arial"/>
                <w:b/>
                <w:bCs/>
                <w:highlight w:val="none"/>
              </w:rPr>
            </w:pPr>
            <w:r>
              <w:rPr>
                <w:rFonts w:ascii="Arial" w:hAnsi="Arial" w:cs="Arial"/>
                <w:b/>
                <w:bCs/>
                <w:highlight w:val="none"/>
              </w:rPr>
              <w:t>2.项目完成时间、地点及计划</w:t>
            </w:r>
          </w:p>
          <w:p>
            <w:pPr>
              <w:pStyle w:val="133"/>
              <w:spacing w:line="288" w:lineRule="auto"/>
              <w:jc w:val="left"/>
              <w:rPr>
                <w:rFonts w:ascii="Arial" w:hAnsi="Arial" w:cs="Arial"/>
                <w:highlight w:val="none"/>
              </w:rPr>
            </w:pPr>
            <w:r>
              <w:rPr>
                <w:rFonts w:ascii="Arial" w:hAnsi="Arial" w:cs="Arial"/>
                <w:highlight w:val="none"/>
              </w:rPr>
              <w:t>（1）项目完成时间：合同签订后，</w:t>
            </w:r>
            <w:r>
              <w:rPr>
                <w:rFonts w:hint="eastAsia" w:ascii="Arial" w:hAnsi="Arial" w:cs="Arial"/>
                <w:highlight w:val="none"/>
                <w:lang w:val="en-US" w:eastAsia="zh-CN"/>
              </w:rPr>
              <w:t>采购人提供</w:t>
            </w:r>
            <w:r>
              <w:rPr>
                <w:rFonts w:hint="eastAsia" w:ascii="Arial" w:hAnsi="Arial" w:cs="Arial"/>
                <w:highlight w:val="none"/>
              </w:rPr>
              <w:t>硬件环境部署</w:t>
            </w:r>
            <w:r>
              <w:rPr>
                <w:rFonts w:hint="eastAsia" w:ascii="Arial" w:hAnsi="Arial" w:cs="Arial"/>
                <w:highlight w:val="none"/>
                <w:lang w:val="en-US" w:eastAsia="zh-CN"/>
              </w:rPr>
              <w:t>条件，</w:t>
            </w:r>
            <w:r>
              <w:rPr>
                <w:rFonts w:ascii="Arial" w:hAnsi="Arial" w:cs="Arial"/>
                <w:highlight w:val="none"/>
              </w:rPr>
              <w:t>具备实施条件后，</w:t>
            </w:r>
            <w:r>
              <w:rPr>
                <w:rFonts w:hint="eastAsia" w:ascii="Arial" w:hAnsi="Arial" w:cs="Arial"/>
                <w:highlight w:val="none"/>
              </w:rPr>
              <w:t>中标供应商</w:t>
            </w:r>
            <w:r>
              <w:rPr>
                <w:rFonts w:ascii="Arial" w:hAnsi="Arial" w:cs="Arial"/>
                <w:highlight w:val="none"/>
              </w:rPr>
              <w:t>应按照项目进度入场实施，6个月内</w:t>
            </w:r>
            <w:r>
              <w:rPr>
                <w:rFonts w:ascii="Arial" w:hAnsi="Arial" w:cs="Arial"/>
                <w:highlight w:val="none"/>
              </w:rPr>
              <w:t>完成项目实施与交付上线。</w:t>
            </w:r>
          </w:p>
          <w:p>
            <w:pPr>
              <w:pStyle w:val="133"/>
              <w:spacing w:line="288" w:lineRule="auto"/>
              <w:jc w:val="left"/>
              <w:rPr>
                <w:rFonts w:ascii="Arial" w:hAnsi="Arial" w:cs="Arial"/>
                <w:highlight w:val="none"/>
              </w:rPr>
            </w:pPr>
            <w:r>
              <w:rPr>
                <w:rFonts w:ascii="Arial" w:hAnsi="Arial" w:cs="Arial"/>
                <w:highlight w:val="none"/>
              </w:rPr>
              <w:t>（2）实施地点：兴安县人民医院。</w:t>
            </w:r>
          </w:p>
          <w:p>
            <w:pPr>
              <w:pStyle w:val="133"/>
              <w:spacing w:line="288" w:lineRule="auto"/>
              <w:jc w:val="left"/>
              <w:rPr>
                <w:rFonts w:ascii="Arial" w:hAnsi="Arial" w:cs="Arial"/>
                <w:highlight w:val="none"/>
              </w:rPr>
            </w:pPr>
            <w:r>
              <w:rPr>
                <w:rFonts w:ascii="Arial" w:hAnsi="Arial" w:cs="Arial"/>
                <w:highlight w:val="none"/>
              </w:rPr>
              <w:t>（3）实施计划要求：结合我院实际情况，拟定详细的系统实施计划，含客户化修改、测试、试运行、培训及上线计划，需承诺保证在合同规定时间内上线及上线系统的基本平稳。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ascii="Arial" w:hAnsi="Arial" w:cs="Arial"/>
                <w:highlight w:val="none"/>
              </w:rPr>
            </w:pPr>
            <w:r>
              <w:rPr>
                <w:rFonts w:ascii="Arial" w:hAnsi="Arial" w:cs="Arial"/>
                <w:highlight w:val="none"/>
              </w:rPr>
              <w:t>验收要求</w:t>
            </w:r>
          </w:p>
        </w:tc>
        <w:tc>
          <w:tcPr>
            <w:tcW w:w="8269" w:type="dxa"/>
          </w:tcPr>
          <w:p>
            <w:pPr>
              <w:pStyle w:val="133"/>
              <w:spacing w:line="288" w:lineRule="auto"/>
              <w:jc w:val="left"/>
              <w:rPr>
                <w:rFonts w:ascii="Arial" w:hAnsi="Arial" w:cs="Arial"/>
                <w:highlight w:val="none"/>
              </w:rPr>
            </w:pPr>
            <w:r>
              <w:rPr>
                <w:rFonts w:ascii="Arial" w:hAnsi="Arial" w:cs="Arial"/>
                <w:highlight w:val="none"/>
              </w:rPr>
              <w:t>本项目需按照以下验收标准要求：</w:t>
            </w:r>
          </w:p>
          <w:p>
            <w:pPr>
              <w:pStyle w:val="133"/>
              <w:numPr>
                <w:ilvl w:val="0"/>
                <w:numId w:val="4"/>
              </w:numPr>
              <w:spacing w:line="288" w:lineRule="auto"/>
              <w:jc w:val="left"/>
              <w:rPr>
                <w:rFonts w:ascii="Arial" w:hAnsi="Arial" w:cs="Arial"/>
                <w:highlight w:val="none"/>
              </w:rPr>
            </w:pPr>
            <w:r>
              <w:rPr>
                <w:rFonts w:ascii="Arial" w:hAnsi="Arial" w:cs="Arial"/>
                <w:highlight w:val="none"/>
              </w:rPr>
              <w:t>本期所有系统正式投入运</w:t>
            </w:r>
            <w:r>
              <w:rPr>
                <w:rFonts w:hint="eastAsia" w:ascii="Arial" w:hAnsi="Arial" w:cs="Arial"/>
                <w:highlight w:val="none"/>
              </w:rPr>
              <w:t>行</w:t>
            </w:r>
            <w:r>
              <w:rPr>
                <w:rFonts w:ascii="Arial" w:hAnsi="Arial" w:cs="Arial"/>
                <w:highlight w:val="none"/>
              </w:rPr>
              <w:t>一个月</w:t>
            </w:r>
            <w:r>
              <w:rPr>
                <w:rFonts w:ascii="Arial" w:hAnsi="Arial" w:cs="Arial"/>
                <w:highlight w:val="none"/>
              </w:rPr>
              <w:t>后进行软件系统验收；</w:t>
            </w:r>
          </w:p>
          <w:p>
            <w:pPr>
              <w:pStyle w:val="133"/>
              <w:numPr>
                <w:ilvl w:val="0"/>
                <w:numId w:val="4"/>
              </w:numPr>
              <w:spacing w:line="288" w:lineRule="auto"/>
              <w:jc w:val="left"/>
              <w:rPr>
                <w:rFonts w:ascii="Arial" w:hAnsi="Arial" w:cs="Arial"/>
                <w:highlight w:val="none"/>
              </w:rPr>
            </w:pPr>
            <w:r>
              <w:rPr>
                <w:rFonts w:ascii="Arial" w:hAnsi="Arial" w:cs="Arial"/>
                <w:highlight w:val="none"/>
              </w:rPr>
              <w:t>所有建设项目按照合同要求全部建成，并满足使用要求；</w:t>
            </w:r>
          </w:p>
          <w:p>
            <w:pPr>
              <w:pStyle w:val="133"/>
              <w:numPr>
                <w:ilvl w:val="0"/>
                <w:numId w:val="4"/>
              </w:numPr>
              <w:spacing w:line="288" w:lineRule="auto"/>
              <w:jc w:val="left"/>
              <w:rPr>
                <w:rFonts w:ascii="Arial" w:hAnsi="Arial" w:cs="Arial"/>
                <w:highlight w:val="none"/>
              </w:rPr>
            </w:pPr>
            <w:r>
              <w:rPr>
                <w:rFonts w:ascii="Arial" w:hAnsi="Arial" w:cs="Arial"/>
                <w:highlight w:val="none"/>
              </w:rPr>
              <w:t>交付验收时，验收人员根据《广西壮族自治区政府采购项目履约验收管理办法》及国家有关强制性标准的规定，由采购人及中标供应商等共同组成；</w:t>
            </w:r>
          </w:p>
          <w:p>
            <w:pPr>
              <w:pStyle w:val="133"/>
              <w:numPr>
                <w:ilvl w:val="0"/>
                <w:numId w:val="4"/>
              </w:numPr>
              <w:spacing w:line="288" w:lineRule="auto"/>
              <w:jc w:val="left"/>
              <w:rPr>
                <w:rFonts w:ascii="Arial" w:hAnsi="Arial" w:cs="Arial"/>
                <w:highlight w:val="none"/>
              </w:rPr>
            </w:pPr>
            <w:r>
              <w:rPr>
                <w:rFonts w:ascii="Arial" w:hAnsi="Arial" w:cs="Arial"/>
                <w:highlight w:val="none"/>
              </w:rPr>
              <w:t>验收结果双方主管人员签字认可，存档留作验收时参考；</w:t>
            </w:r>
          </w:p>
          <w:p>
            <w:pPr>
              <w:pStyle w:val="133"/>
              <w:numPr>
                <w:ilvl w:val="0"/>
                <w:numId w:val="4"/>
              </w:numPr>
              <w:spacing w:line="288" w:lineRule="auto"/>
              <w:jc w:val="left"/>
              <w:rPr>
                <w:rFonts w:ascii="Arial" w:hAnsi="Arial" w:cs="Arial"/>
                <w:highlight w:val="none"/>
              </w:rPr>
            </w:pPr>
            <w:r>
              <w:rPr>
                <w:rFonts w:hint="eastAsia" w:ascii="Arial" w:hAnsi="Arial" w:cs="Arial"/>
                <w:highlight w:val="none"/>
              </w:rPr>
              <w:t>中标供应商</w:t>
            </w:r>
            <w:r>
              <w:rPr>
                <w:rFonts w:ascii="Arial" w:hAnsi="Arial" w:cs="Arial"/>
                <w:highlight w:val="none"/>
              </w:rPr>
              <w:t>提供的所有投标产品必须是合规合法，各种技术文档</w:t>
            </w:r>
            <w:r>
              <w:rPr>
                <w:rFonts w:hint="eastAsia" w:ascii="Arial" w:hAnsi="Arial" w:cs="Arial"/>
                <w:highlight w:val="none"/>
                <w:lang w:eastAsia="zh-CN"/>
              </w:rPr>
              <w:t>、</w:t>
            </w:r>
            <w:r>
              <w:rPr>
                <w:rFonts w:ascii="Arial" w:hAnsi="Arial" w:cs="Arial"/>
                <w:highlight w:val="none"/>
              </w:rPr>
              <w:t>验收资料</w:t>
            </w:r>
            <w:r>
              <w:rPr>
                <w:rFonts w:hint="eastAsia" w:ascii="Arial" w:hAnsi="Arial" w:cs="Arial"/>
                <w:highlight w:val="none"/>
                <w:lang w:eastAsia="zh-CN"/>
              </w:rPr>
              <w:t>、</w:t>
            </w:r>
            <w:r>
              <w:rPr>
                <w:rFonts w:hint="eastAsia" w:ascii="Arial" w:hAnsi="Arial" w:cs="Arial"/>
                <w:highlight w:val="none"/>
                <w:lang w:val="en-US" w:eastAsia="zh-CN"/>
              </w:rPr>
              <w:t>产品授权</w:t>
            </w:r>
            <w:r>
              <w:rPr>
                <w:rFonts w:ascii="Arial" w:hAnsi="Arial" w:cs="Arial"/>
                <w:highlight w:val="none"/>
              </w:rPr>
              <w:t>完备，符合合同的内容，否则视为产品验收不合格，采购单位有权不予验收。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ascii="Arial" w:hAnsi="Arial" w:cs="Arial"/>
                <w:highlight w:val="none"/>
              </w:rPr>
            </w:pPr>
            <w:r>
              <w:rPr>
                <w:rFonts w:ascii="Arial" w:hAnsi="Arial" w:cs="Arial"/>
                <w:highlight w:val="none"/>
              </w:rPr>
              <w:t>售后服务要求</w:t>
            </w:r>
          </w:p>
        </w:tc>
        <w:tc>
          <w:tcPr>
            <w:tcW w:w="8269" w:type="dxa"/>
          </w:tcPr>
          <w:p>
            <w:pPr>
              <w:pStyle w:val="133"/>
              <w:spacing w:line="288" w:lineRule="auto"/>
              <w:ind w:firstLine="420" w:firstLineChars="200"/>
              <w:jc w:val="left"/>
              <w:rPr>
                <w:rFonts w:ascii="Arial" w:hAnsi="Arial" w:cs="Arial"/>
                <w:highlight w:val="none"/>
              </w:rPr>
            </w:pPr>
            <w:r>
              <w:rPr>
                <w:rFonts w:ascii="Arial" w:hAnsi="Arial" w:cs="Arial"/>
                <w:highlight w:val="none"/>
              </w:rPr>
              <w:t>1.质保期限</w:t>
            </w:r>
          </w:p>
          <w:p>
            <w:pPr>
              <w:pStyle w:val="133"/>
              <w:spacing w:line="288" w:lineRule="auto"/>
              <w:jc w:val="left"/>
              <w:rPr>
                <w:rFonts w:ascii="Arial" w:hAnsi="Arial" w:cs="Arial"/>
                <w:highlight w:val="none"/>
              </w:rPr>
            </w:pPr>
            <w:r>
              <w:rPr>
                <w:rFonts w:hint="eastAsia" w:ascii="Arial" w:hAnsi="Arial" w:cs="Arial"/>
                <w:highlight w:val="none"/>
              </w:rPr>
              <w:t>系统软件上线</w:t>
            </w:r>
            <w:r>
              <w:rPr>
                <w:rFonts w:ascii="Arial" w:hAnsi="Arial" w:cs="Arial"/>
                <w:highlight w:val="none"/>
              </w:rPr>
              <w:t>调试完毕，</w:t>
            </w:r>
            <w:r>
              <w:rPr>
                <w:rFonts w:hint="eastAsia" w:ascii="Arial" w:hAnsi="Arial" w:cs="Arial"/>
                <w:highlight w:val="none"/>
              </w:rPr>
              <w:t>自</w:t>
            </w:r>
            <w:r>
              <w:rPr>
                <w:rFonts w:ascii="Arial" w:hAnsi="Arial" w:cs="Arial"/>
                <w:highlight w:val="none"/>
              </w:rPr>
              <w:t>验收合格之日起，软件提供壹年质保</w:t>
            </w:r>
            <w:r>
              <w:rPr>
                <w:rFonts w:hint="eastAsia" w:ascii="Arial" w:hAnsi="Arial" w:cs="Arial"/>
                <w:highlight w:val="none"/>
              </w:rPr>
              <w:t>服务</w:t>
            </w:r>
            <w:r>
              <w:rPr>
                <w:rFonts w:ascii="Arial" w:hAnsi="Arial" w:cs="Arial"/>
                <w:highlight w:val="none"/>
              </w:rPr>
              <w:t>。</w:t>
            </w:r>
          </w:p>
          <w:p>
            <w:pPr>
              <w:pStyle w:val="133"/>
              <w:spacing w:line="288" w:lineRule="auto"/>
              <w:jc w:val="left"/>
              <w:rPr>
                <w:rFonts w:ascii="Arial" w:hAnsi="Arial" w:cs="Arial"/>
                <w:highlight w:val="none"/>
              </w:rPr>
            </w:pPr>
            <w:r>
              <w:rPr>
                <w:rFonts w:ascii="Arial" w:hAnsi="Arial" w:cs="Arial"/>
                <w:highlight w:val="none"/>
              </w:rPr>
              <w:t>2.售后服务</w:t>
            </w:r>
          </w:p>
          <w:p>
            <w:pPr>
              <w:pStyle w:val="133"/>
              <w:spacing w:line="288" w:lineRule="auto"/>
              <w:jc w:val="left"/>
              <w:rPr>
                <w:rFonts w:ascii="Arial" w:hAnsi="Arial" w:cs="Arial"/>
                <w:highlight w:val="none"/>
              </w:rPr>
            </w:pPr>
            <w:r>
              <w:rPr>
                <w:rFonts w:ascii="Arial" w:hAnsi="Arial" w:cs="Arial"/>
                <w:highlight w:val="none"/>
              </w:rPr>
              <w:t>（1）投标人应提供7×24小时热</w:t>
            </w:r>
            <w:bookmarkStart w:id="216" w:name="_GoBack"/>
            <w:bookmarkEnd w:id="216"/>
            <w:r>
              <w:rPr>
                <w:rFonts w:ascii="Arial" w:hAnsi="Arial" w:cs="Arial"/>
                <w:highlight w:val="none"/>
              </w:rPr>
              <w:t>线电话、远程网络、现场等服务方式。热线电话和远程网络应在30分钟内响应，整体系统修复时间不超过12小时。</w:t>
            </w:r>
          </w:p>
          <w:p>
            <w:pPr>
              <w:pStyle w:val="133"/>
              <w:spacing w:line="288" w:lineRule="auto"/>
              <w:jc w:val="left"/>
              <w:rPr>
                <w:rFonts w:hint="eastAsia" w:ascii="Arial" w:hAnsi="Arial" w:cs="Arial"/>
                <w:highlight w:val="none"/>
                <w:lang w:eastAsia="zh-CN"/>
              </w:rPr>
            </w:pPr>
            <w:r>
              <w:rPr>
                <w:rFonts w:hint="eastAsia" w:ascii="Arial" w:hAnsi="Arial" w:cs="Arial"/>
                <w:highlight w:val="none"/>
                <w:lang w:eastAsia="zh-CN"/>
              </w:rPr>
              <w:t>（</w:t>
            </w:r>
            <w:r>
              <w:rPr>
                <w:rFonts w:hint="eastAsia" w:ascii="Arial" w:hAnsi="Arial" w:cs="Arial"/>
                <w:highlight w:val="none"/>
                <w:lang w:val="en-US" w:eastAsia="zh-CN"/>
              </w:rPr>
              <w:t>2</w:t>
            </w:r>
            <w:r>
              <w:rPr>
                <w:rFonts w:hint="eastAsia" w:ascii="Arial" w:hAnsi="Arial" w:cs="Arial"/>
                <w:highlight w:val="none"/>
                <w:lang w:eastAsia="zh-CN"/>
              </w:rPr>
              <w:t>）</w:t>
            </w:r>
            <w:r>
              <w:rPr>
                <w:rFonts w:hint="eastAsia" w:ascii="Arial" w:hAnsi="Arial" w:cs="Arial"/>
                <w:highlight w:val="none"/>
                <w:lang w:val="en-US" w:eastAsia="zh-CN"/>
              </w:rPr>
              <w:t>质保期内，供应商应提供</w:t>
            </w:r>
            <w:r>
              <w:rPr>
                <w:rFonts w:hint="eastAsia" w:ascii="Arial" w:hAnsi="Arial" w:cs="Arial"/>
                <w:highlight w:val="none"/>
              </w:rPr>
              <w:t>软件安装、操作员培训、业务咨询、事件处理、系统Bug修改、常用报表核对与纠错、软件</w:t>
            </w:r>
            <w:r>
              <w:rPr>
                <w:rFonts w:hint="eastAsia" w:ascii="Arial" w:hAnsi="Arial" w:cs="Arial"/>
                <w:highlight w:val="none"/>
                <w:lang w:val="en-US" w:eastAsia="zh-CN"/>
              </w:rPr>
              <w:t>版本内</w:t>
            </w:r>
            <w:r>
              <w:rPr>
                <w:rFonts w:hint="eastAsia" w:ascii="Arial" w:hAnsi="Arial" w:cs="Arial"/>
                <w:highlight w:val="none"/>
              </w:rPr>
              <w:t>局部升级</w:t>
            </w:r>
            <w:r>
              <w:rPr>
                <w:rFonts w:hint="eastAsia" w:ascii="Arial" w:hAnsi="Arial" w:cs="Arial"/>
                <w:highlight w:val="none"/>
                <w:lang w:val="en-US" w:eastAsia="zh-CN"/>
              </w:rPr>
              <w:t>更新</w:t>
            </w:r>
            <w:r>
              <w:rPr>
                <w:rFonts w:hint="eastAsia" w:ascii="Arial" w:hAnsi="Arial" w:cs="Arial"/>
                <w:highlight w:val="none"/>
              </w:rPr>
              <w:t>、</w:t>
            </w:r>
            <w:r>
              <w:rPr>
                <w:rFonts w:hint="eastAsia" w:ascii="Arial" w:hAnsi="Arial" w:cs="Arial"/>
                <w:highlight w:val="none"/>
                <w:lang w:val="en-US" w:eastAsia="zh-CN"/>
              </w:rPr>
              <w:t>用户</w:t>
            </w:r>
            <w:r>
              <w:rPr>
                <w:rFonts w:hint="eastAsia" w:ascii="Arial" w:hAnsi="Arial" w:cs="Arial"/>
                <w:highlight w:val="none"/>
              </w:rPr>
              <w:t>操作性错误导致的问题</w:t>
            </w:r>
            <w:r>
              <w:rPr>
                <w:rFonts w:hint="eastAsia" w:ascii="Arial" w:hAnsi="Arial" w:cs="Arial"/>
                <w:highlight w:val="none"/>
                <w:lang w:val="en-US" w:eastAsia="zh-CN"/>
              </w:rPr>
              <w:t>等质保服务</w:t>
            </w:r>
            <w:r>
              <w:rPr>
                <w:rFonts w:hint="eastAsia" w:ascii="Arial" w:hAnsi="Arial" w:cs="Arial"/>
                <w:highlight w:val="none"/>
                <w:lang w:eastAsia="zh-CN"/>
              </w:rPr>
              <w:t>。</w:t>
            </w:r>
          </w:p>
          <w:p>
            <w:pPr>
              <w:pStyle w:val="133"/>
              <w:spacing w:line="288" w:lineRule="auto"/>
              <w:jc w:val="left"/>
              <w:rPr>
                <w:rFonts w:hint="eastAsia" w:ascii="Arial" w:hAnsi="Arial" w:eastAsia="宋体" w:cs="Arial"/>
                <w:highlight w:val="none"/>
                <w:lang w:val="en-US" w:eastAsia="zh-CN"/>
              </w:rPr>
            </w:pPr>
            <w:r>
              <w:rPr>
                <w:rFonts w:hint="eastAsia" w:ascii="Arial" w:hAnsi="Arial" w:cs="Arial"/>
                <w:highlight w:val="none"/>
                <w:lang w:val="en-US" w:eastAsia="zh-CN"/>
              </w:rPr>
              <w:t>▲</w:t>
            </w:r>
            <w:r>
              <w:rPr>
                <w:rFonts w:hint="eastAsia" w:ascii="Arial" w:hAnsi="Arial" w:cs="Arial"/>
                <w:highlight w:val="none"/>
                <w:lang w:eastAsia="zh-CN"/>
              </w:rPr>
              <w:t>（</w:t>
            </w:r>
            <w:r>
              <w:rPr>
                <w:rFonts w:hint="eastAsia" w:ascii="Arial" w:hAnsi="Arial" w:cs="Arial"/>
                <w:highlight w:val="none"/>
                <w:lang w:val="en-US" w:eastAsia="zh-CN"/>
              </w:rPr>
              <w:t>3</w:t>
            </w:r>
            <w:r>
              <w:rPr>
                <w:rFonts w:hint="eastAsia" w:ascii="Arial" w:hAnsi="Arial" w:cs="Arial"/>
                <w:highlight w:val="none"/>
                <w:lang w:eastAsia="zh-CN"/>
              </w:rPr>
              <w:t>）</w:t>
            </w:r>
            <w:r>
              <w:rPr>
                <w:rFonts w:hint="eastAsia" w:ascii="Arial" w:hAnsi="Arial" w:cs="Arial"/>
                <w:highlight w:val="none"/>
                <w:lang w:val="en-US" w:eastAsia="zh-CN"/>
              </w:rPr>
              <w:t>供应商所投产品，要求所投产品提供</w:t>
            </w:r>
            <w:r>
              <w:rPr>
                <w:rFonts w:hint="eastAsia" w:ascii="Arial" w:hAnsi="Arial" w:cs="Arial"/>
                <w:highlight w:val="none"/>
              </w:rPr>
              <w:t>永久使用权</w:t>
            </w:r>
            <w:r>
              <w:rPr>
                <w:rFonts w:hint="eastAsia" w:ascii="Arial" w:hAnsi="Arial" w:cs="Arial"/>
                <w:highlight w:val="none"/>
                <w:lang w:eastAsia="zh-CN"/>
              </w:rPr>
              <w:t>，</w:t>
            </w:r>
            <w:r>
              <w:rPr>
                <w:rFonts w:hint="eastAsia" w:ascii="Arial" w:hAnsi="Arial" w:cs="Arial"/>
                <w:highlight w:val="none"/>
                <w:lang w:val="en-US" w:eastAsia="zh-CN"/>
              </w:rPr>
              <w:t>不得以任何理由及手段限制医院使用（提供承诺函，格式自拟）</w:t>
            </w:r>
            <w:r>
              <w:rPr>
                <w:rFonts w:hint="eastAsia" w:ascii="Arial" w:hAnsi="Arial" w:cs="Arial"/>
                <w:highlight w:val="none"/>
                <w:lang w:eastAsia="zh-CN"/>
              </w:rPr>
              <w:t>。</w:t>
            </w:r>
          </w:p>
          <w:p>
            <w:pPr>
              <w:pStyle w:val="133"/>
              <w:spacing w:line="288" w:lineRule="auto"/>
              <w:jc w:val="left"/>
              <w:rPr>
                <w:rFonts w:ascii="Arial" w:hAnsi="Arial" w:cs="Arial"/>
                <w:highlight w:val="none"/>
              </w:rPr>
            </w:pPr>
            <w:r>
              <w:rPr>
                <w:rFonts w:ascii="Arial" w:hAnsi="Arial" w:cs="Arial"/>
                <w:highlight w:val="none"/>
              </w:rPr>
              <w:t>3.培训要求</w:t>
            </w:r>
          </w:p>
          <w:p>
            <w:pPr>
              <w:pStyle w:val="133"/>
              <w:spacing w:line="288" w:lineRule="auto"/>
              <w:jc w:val="left"/>
              <w:rPr>
                <w:rFonts w:ascii="Arial" w:hAnsi="Arial" w:cs="Arial"/>
                <w:highlight w:val="none"/>
              </w:rPr>
            </w:pPr>
            <w:r>
              <w:rPr>
                <w:rFonts w:ascii="Arial" w:hAnsi="Arial" w:cs="Arial"/>
                <w:highlight w:val="none"/>
              </w:rPr>
              <w:t>（1）投标人须根据系统软件的功能和特点，充分考虑到系统使用人员的实际水平，提出详细的系统培训方案。培训对象包括系统管理员、管理人员、操作员，系统管理人员培训内容为系统中涉及的相关技术内容；管理人员培训内容为系统流程和相关管理思想；操作员为系统的操作培训。</w:t>
            </w:r>
          </w:p>
          <w:p>
            <w:pPr>
              <w:pStyle w:val="133"/>
              <w:rPr>
                <w:rFonts w:ascii="Arial" w:hAnsi="Arial" w:cs="Arial"/>
                <w:highlight w:val="none"/>
              </w:rPr>
            </w:pPr>
            <w:r>
              <w:rPr>
                <w:rFonts w:ascii="Arial" w:hAnsi="Arial" w:cs="Arial"/>
                <w:highlight w:val="none"/>
              </w:rPr>
              <w:t>（2）培训要求提供线下实操、结合线上远程教学回顾服务。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ascii="Arial" w:hAnsi="Arial" w:cs="Arial"/>
                <w:highlight w:val="none"/>
              </w:rPr>
            </w:pPr>
            <w:r>
              <w:rPr>
                <w:rFonts w:ascii="Arial" w:hAnsi="Arial" w:cs="Arial"/>
                <w:highlight w:val="none"/>
              </w:rPr>
              <w:t>其他要求</w:t>
            </w:r>
          </w:p>
        </w:tc>
        <w:tc>
          <w:tcPr>
            <w:tcW w:w="8269" w:type="dxa"/>
          </w:tcPr>
          <w:p>
            <w:pPr>
              <w:pStyle w:val="133"/>
              <w:spacing w:line="288" w:lineRule="auto"/>
              <w:jc w:val="left"/>
              <w:rPr>
                <w:rFonts w:ascii="Arial" w:hAnsi="Arial" w:cs="Arial"/>
                <w:highlight w:val="none"/>
              </w:rPr>
            </w:pPr>
            <w:r>
              <w:rPr>
                <w:rFonts w:ascii="Arial" w:hAnsi="Arial" w:cs="Arial"/>
                <w:highlight w:val="none"/>
              </w:rPr>
              <w:t>1.最高限价</w:t>
            </w:r>
          </w:p>
          <w:p>
            <w:pPr>
              <w:pStyle w:val="133"/>
              <w:spacing w:line="288" w:lineRule="auto"/>
              <w:jc w:val="left"/>
              <w:rPr>
                <w:rFonts w:ascii="Arial" w:hAnsi="Arial" w:cs="Arial"/>
                <w:highlight w:val="none"/>
              </w:rPr>
            </w:pPr>
            <w:r>
              <w:rPr>
                <w:rFonts w:ascii="Arial" w:hAnsi="Arial" w:cs="Arial"/>
                <w:highlight w:val="none"/>
              </w:rPr>
              <w:t>本项目最高限价：</w:t>
            </w:r>
            <w:r>
              <w:rPr>
                <w:rFonts w:hint="eastAsia" w:ascii="Arial" w:hAnsi="Arial" w:cs="Arial"/>
                <w:highlight w:val="none"/>
              </w:rPr>
              <w:t>捌佰</w:t>
            </w:r>
            <w:r>
              <w:rPr>
                <w:rFonts w:ascii="Arial" w:hAnsi="Arial" w:cs="Arial"/>
                <w:highlight w:val="none"/>
              </w:rPr>
              <w:t>万元整（￥</w:t>
            </w:r>
            <w:r>
              <w:rPr>
                <w:rFonts w:hint="eastAsia" w:ascii="Arial" w:hAnsi="Arial" w:cs="Arial"/>
                <w:highlight w:val="none"/>
              </w:rPr>
              <w:t>800</w:t>
            </w:r>
            <w:r>
              <w:rPr>
                <w:rFonts w:ascii="Arial" w:hAnsi="Arial" w:cs="Arial"/>
                <w:highlight w:val="none"/>
              </w:rPr>
              <w:t>0000.00），超过最高限价的投标报价无效</w:t>
            </w:r>
          </w:p>
          <w:p>
            <w:pPr>
              <w:pStyle w:val="133"/>
              <w:spacing w:line="288" w:lineRule="auto"/>
              <w:jc w:val="left"/>
              <w:rPr>
                <w:rFonts w:ascii="Arial" w:hAnsi="Arial" w:cs="Arial"/>
                <w:highlight w:val="none"/>
              </w:rPr>
            </w:pPr>
            <w:r>
              <w:rPr>
                <w:rFonts w:ascii="Arial" w:hAnsi="Arial" w:cs="Arial"/>
                <w:highlight w:val="none"/>
              </w:rPr>
              <w:t>2.报价要求</w:t>
            </w:r>
          </w:p>
          <w:p>
            <w:pPr>
              <w:pStyle w:val="133"/>
              <w:spacing w:line="288" w:lineRule="auto"/>
              <w:jc w:val="left"/>
              <w:rPr>
                <w:rFonts w:ascii="Arial" w:hAnsi="Arial" w:cs="Arial"/>
                <w:highlight w:val="none"/>
              </w:rPr>
            </w:pPr>
            <w:r>
              <w:rPr>
                <w:rFonts w:ascii="Arial" w:hAnsi="Arial" w:cs="Arial"/>
                <w:highlight w:val="none"/>
              </w:rPr>
              <w:t>投标人应根据项目实际情况进行报价，包含投标人完成本项目所需的所有费用，包括人工费、交通费、差旅费、售后服务、税金、等一切费用。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rFonts w:ascii="Arial" w:hAnsi="Arial" w:cs="Arial"/>
                <w:highlight w:val="none"/>
              </w:rPr>
            </w:pPr>
            <w:r>
              <w:rPr>
                <w:rFonts w:ascii="Arial" w:hAnsi="Arial" w:cs="Arial"/>
                <w:highlight w:val="none"/>
              </w:rPr>
              <w:t>付款方式</w:t>
            </w:r>
          </w:p>
        </w:tc>
        <w:tc>
          <w:tcPr>
            <w:tcW w:w="8269" w:type="dxa"/>
          </w:tcPr>
          <w:p>
            <w:pPr>
              <w:pStyle w:val="133"/>
              <w:spacing w:line="288" w:lineRule="auto"/>
              <w:jc w:val="left"/>
              <w:rPr>
                <w:rFonts w:ascii="Arial" w:hAnsi="Arial" w:cs="Arial"/>
                <w:highlight w:val="none"/>
              </w:rPr>
            </w:pPr>
            <w:r>
              <w:rPr>
                <w:rFonts w:ascii="Arial" w:hAnsi="Arial" w:cs="Arial"/>
                <w:highlight w:val="none"/>
              </w:rPr>
              <w:t>第1期为(首付款)：支付比例40%，本项目合同签订后，采购人在收到</w:t>
            </w:r>
            <w:r>
              <w:rPr>
                <w:rFonts w:hint="eastAsia" w:ascii="Arial" w:hAnsi="Arial" w:cs="Arial"/>
                <w:highlight w:val="none"/>
              </w:rPr>
              <w:t>中标供应商</w:t>
            </w:r>
            <w:r>
              <w:rPr>
                <w:rFonts w:ascii="Arial" w:hAnsi="Arial" w:cs="Arial"/>
                <w:highlight w:val="none"/>
              </w:rPr>
              <w:t>的相应金额</w:t>
            </w:r>
            <w:r>
              <w:rPr>
                <w:rFonts w:hint="eastAsia" w:ascii="Arial" w:hAnsi="Arial" w:cs="Arial"/>
                <w:highlight w:val="none"/>
                <w:lang w:eastAsia="zh-CN"/>
              </w:rPr>
              <w:t>增值税普通发票</w:t>
            </w:r>
            <w:r>
              <w:rPr>
                <w:rFonts w:ascii="Arial" w:hAnsi="Arial" w:cs="Arial"/>
                <w:highlight w:val="none"/>
              </w:rPr>
              <w:t>后，在10个工作日内付</w:t>
            </w:r>
            <w:r>
              <w:rPr>
                <w:rFonts w:hint="eastAsia" w:ascii="Arial" w:hAnsi="Arial" w:cs="Arial"/>
                <w:highlight w:val="none"/>
              </w:rPr>
              <w:t>首付</w:t>
            </w:r>
            <w:r>
              <w:rPr>
                <w:rFonts w:ascii="Arial" w:hAnsi="Arial" w:cs="Arial"/>
                <w:highlight w:val="none"/>
              </w:rPr>
              <w:t>启动款，即合同总金额40%。</w:t>
            </w:r>
          </w:p>
          <w:p>
            <w:pPr>
              <w:pStyle w:val="133"/>
              <w:spacing w:line="288" w:lineRule="auto"/>
              <w:jc w:val="left"/>
              <w:rPr>
                <w:rFonts w:ascii="Arial" w:hAnsi="Arial" w:cs="Arial"/>
                <w:highlight w:val="none"/>
              </w:rPr>
            </w:pPr>
            <w:r>
              <w:rPr>
                <w:rFonts w:ascii="Arial" w:hAnsi="Arial" w:cs="Arial"/>
                <w:highlight w:val="none"/>
              </w:rPr>
              <w:t>第2期为(上线款)：支付比例30%，当子系统完成模拟网调试，并结束用户培训及上线正常使用10个工作日内，采购人收到</w:t>
            </w:r>
            <w:r>
              <w:rPr>
                <w:rFonts w:hint="eastAsia" w:ascii="Arial" w:hAnsi="Arial" w:cs="Arial"/>
                <w:highlight w:val="none"/>
              </w:rPr>
              <w:t>中标供应商</w:t>
            </w:r>
            <w:r>
              <w:rPr>
                <w:rFonts w:ascii="Arial" w:hAnsi="Arial" w:cs="Arial"/>
                <w:highlight w:val="none"/>
              </w:rPr>
              <w:t>的相应金额</w:t>
            </w:r>
            <w:r>
              <w:rPr>
                <w:rFonts w:hint="eastAsia" w:ascii="Arial" w:hAnsi="Arial" w:cs="Arial"/>
                <w:highlight w:val="none"/>
                <w:lang w:eastAsia="zh-CN"/>
              </w:rPr>
              <w:t>增值税普通发票</w:t>
            </w:r>
            <w:r>
              <w:rPr>
                <w:rFonts w:ascii="Arial" w:hAnsi="Arial" w:cs="Arial"/>
                <w:highlight w:val="none"/>
              </w:rPr>
              <w:t>后，支付合同总金额30%。</w:t>
            </w:r>
          </w:p>
          <w:p>
            <w:pPr>
              <w:pStyle w:val="133"/>
              <w:spacing w:line="288" w:lineRule="auto"/>
              <w:jc w:val="left"/>
              <w:rPr>
                <w:rFonts w:ascii="Arial" w:hAnsi="Arial" w:cs="Arial"/>
                <w:highlight w:val="none"/>
              </w:rPr>
            </w:pPr>
            <w:r>
              <w:rPr>
                <w:rFonts w:ascii="Arial" w:hAnsi="Arial" w:cs="Arial"/>
                <w:highlight w:val="none"/>
              </w:rPr>
              <w:t>第3期为(验收款)：支付比例25%，项目通过验收后，采购人收到</w:t>
            </w:r>
            <w:r>
              <w:rPr>
                <w:rFonts w:hint="eastAsia" w:ascii="Arial" w:hAnsi="Arial" w:cs="Arial"/>
                <w:highlight w:val="none"/>
              </w:rPr>
              <w:t>中标供应商</w:t>
            </w:r>
            <w:r>
              <w:rPr>
                <w:rFonts w:ascii="Arial" w:hAnsi="Arial" w:cs="Arial"/>
                <w:highlight w:val="none"/>
              </w:rPr>
              <w:t>的相应金额</w:t>
            </w:r>
            <w:r>
              <w:rPr>
                <w:rFonts w:hint="eastAsia" w:ascii="Arial" w:hAnsi="Arial" w:cs="Arial"/>
                <w:highlight w:val="none"/>
                <w:lang w:eastAsia="zh-CN"/>
              </w:rPr>
              <w:t>增值税普通发票</w:t>
            </w:r>
            <w:r>
              <w:rPr>
                <w:rFonts w:ascii="Arial" w:hAnsi="Arial" w:cs="Arial"/>
                <w:highlight w:val="none"/>
              </w:rPr>
              <w:t>后，在10个工作日内支付合同总金额25%。</w:t>
            </w:r>
          </w:p>
          <w:p>
            <w:pPr>
              <w:pStyle w:val="133"/>
              <w:spacing w:line="288" w:lineRule="auto"/>
              <w:jc w:val="left"/>
              <w:rPr>
                <w:rFonts w:ascii="Arial" w:hAnsi="Arial" w:cs="Arial"/>
                <w:highlight w:val="none"/>
              </w:rPr>
            </w:pPr>
            <w:r>
              <w:rPr>
                <w:rFonts w:ascii="Arial" w:hAnsi="Arial" w:cs="Arial"/>
                <w:highlight w:val="none"/>
              </w:rPr>
              <w:t>第4期为(尾款)：支付比例5%，项目通过验收1年后，采购人收到</w:t>
            </w:r>
            <w:r>
              <w:rPr>
                <w:rFonts w:hint="eastAsia" w:ascii="Arial" w:hAnsi="Arial" w:cs="Arial"/>
                <w:highlight w:val="none"/>
              </w:rPr>
              <w:t>中标供应商</w:t>
            </w:r>
            <w:r>
              <w:rPr>
                <w:rFonts w:ascii="Arial" w:hAnsi="Arial" w:cs="Arial"/>
                <w:highlight w:val="none"/>
              </w:rPr>
              <w:t>的相应金额</w:t>
            </w:r>
            <w:r>
              <w:rPr>
                <w:rFonts w:hint="eastAsia" w:ascii="Arial" w:hAnsi="Arial" w:cs="Arial"/>
                <w:highlight w:val="none"/>
                <w:lang w:eastAsia="zh-CN"/>
              </w:rPr>
              <w:t>增值税普通发票</w:t>
            </w:r>
            <w:r>
              <w:rPr>
                <w:rFonts w:ascii="Arial" w:hAnsi="Arial" w:cs="Arial"/>
                <w:highlight w:val="none"/>
              </w:rPr>
              <w:t>后，在10个工作日内支付合同总金额5%。</w:t>
            </w:r>
          </w:p>
        </w:tc>
      </w:tr>
    </w:tbl>
    <w:p>
      <w:pPr>
        <w:pStyle w:val="28"/>
        <w:snapToGrid w:val="0"/>
        <w:spacing w:before="120" w:after="120" w:line="360" w:lineRule="auto"/>
        <w:jc w:val="center"/>
        <w:outlineLvl w:val="0"/>
        <w:rPr>
          <w:rFonts w:ascii="Arial" w:hAnsi="Arial" w:cs="Arial"/>
          <w:sz w:val="32"/>
          <w:szCs w:val="32"/>
          <w:highlight w:val="none"/>
        </w:rPr>
      </w:pPr>
      <w:r>
        <w:rPr>
          <w:rFonts w:ascii="Arial" w:hAnsi="Arial" w:cs="Arial"/>
          <w:sz w:val="32"/>
          <w:szCs w:val="32"/>
          <w:highlight w:val="none"/>
        </w:rPr>
        <w:br w:type="page"/>
      </w:r>
      <w:bookmarkStart w:id="104" w:name="_Toc9052"/>
      <w:r>
        <w:rPr>
          <w:rFonts w:ascii="Arial" w:hAnsi="Arial" w:cs="Arial"/>
          <w:sz w:val="32"/>
          <w:szCs w:val="32"/>
          <w:highlight w:val="none"/>
        </w:rPr>
        <w:t>第三章  供应商须知</w:t>
      </w:r>
      <w:bookmarkEnd w:id="104"/>
      <w:bookmarkStart w:id="105" w:name="_Toc254970526"/>
      <w:bookmarkStart w:id="106" w:name="_Toc254970667"/>
    </w:p>
    <w:bookmarkEnd w:id="105"/>
    <w:bookmarkEnd w:id="106"/>
    <w:p>
      <w:pPr>
        <w:spacing w:line="360" w:lineRule="auto"/>
        <w:rPr>
          <w:rFonts w:ascii="Arial" w:hAnsi="Arial" w:cs="Arial"/>
          <w:highlight w:val="none"/>
        </w:rPr>
      </w:pPr>
      <w:bookmarkStart w:id="107" w:name="_投标人须知前附表"/>
      <w:bookmarkEnd w:id="107"/>
      <w:bookmarkStart w:id="108" w:name="_Hlk19048934"/>
    </w:p>
    <w:bookmarkEnd w:id="108"/>
    <w:p>
      <w:pPr>
        <w:jc w:val="center"/>
        <w:rPr>
          <w:rFonts w:ascii="Arial" w:hAnsi="Arial" w:cs="Arial"/>
          <w:sz w:val="28"/>
          <w:szCs w:val="36"/>
          <w:highlight w:val="none"/>
        </w:rPr>
      </w:pPr>
      <w:r>
        <w:rPr>
          <w:rFonts w:ascii="Arial" w:hAnsi="Arial" w:cs="Arial"/>
          <w:sz w:val="28"/>
          <w:szCs w:val="36"/>
          <w:highlight w:val="none"/>
        </w:rPr>
        <w:t>供应商须知前附表</w:t>
      </w:r>
    </w:p>
    <w:tbl>
      <w:tblPr>
        <w:tblStyle w:val="54"/>
        <w:tblW w:w="9618"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1300"/>
        <w:gridCol w:w="7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highlight w:val="none"/>
              </w:rPr>
            </w:pPr>
            <w:r>
              <w:rPr>
                <w:rFonts w:ascii="Arial" w:hAnsi="Arial" w:cs="Arial"/>
                <w:b/>
                <w:szCs w:val="21"/>
                <w:highlight w:val="none"/>
              </w:rPr>
              <w:t>条款号</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highlight w:val="none"/>
              </w:rPr>
            </w:pPr>
            <w:r>
              <w:rPr>
                <w:rFonts w:ascii="Arial" w:hAnsi="Arial" w:cs="Arial"/>
                <w:b/>
                <w:szCs w:val="21"/>
                <w:highlight w:val="none"/>
              </w:rPr>
              <w:t>要点</w:t>
            </w:r>
          </w:p>
        </w:tc>
        <w:tc>
          <w:tcPr>
            <w:tcW w:w="744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szCs w:val="21"/>
                <w:highlight w:val="none"/>
              </w:rPr>
            </w:pPr>
            <w:r>
              <w:rPr>
                <w:rFonts w:ascii="Arial" w:hAnsi="Arial" w:cs="Arial"/>
                <w:b/>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1.3.1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项目基本信息</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highlight w:val="none"/>
              </w:rPr>
            </w:pPr>
            <w:r>
              <w:rPr>
                <w:rFonts w:ascii="Arial" w:hAnsi="Arial" w:cs="Arial"/>
                <w:highlight w:val="none"/>
              </w:rPr>
              <w:t>项目名称：</w:t>
            </w:r>
            <w:r>
              <w:rPr>
                <w:rFonts w:hint="eastAsia" w:ascii="Arial" w:hAnsi="Arial" w:cs="Arial"/>
                <w:highlight w:val="none"/>
              </w:rPr>
              <w:t>兴安县人民医院智慧医院信息化建设项目（软件部分）</w:t>
            </w:r>
          </w:p>
          <w:p>
            <w:pPr>
              <w:spacing w:line="300" w:lineRule="exact"/>
              <w:jc w:val="left"/>
              <w:rPr>
                <w:rFonts w:hint="eastAsia" w:ascii="Arial" w:hAnsi="Arial" w:eastAsia="宋体" w:cs="Arial"/>
                <w:highlight w:val="none"/>
                <w:lang w:eastAsia="zh-CN"/>
              </w:rPr>
            </w:pPr>
            <w:r>
              <w:rPr>
                <w:rFonts w:ascii="Arial" w:hAnsi="Arial" w:cs="Arial"/>
                <w:highlight w:val="none"/>
              </w:rPr>
              <w:t>项目编号：</w:t>
            </w:r>
            <w:r>
              <w:rPr>
                <w:rFonts w:hint="eastAsia" w:ascii="Arial" w:hAnsi="Arial" w:cs="Arial"/>
                <w:highlight w:val="none"/>
                <w:lang w:eastAsia="zh-CN"/>
              </w:rPr>
              <w:t>GLZC2025-G3-250081-JDZB</w:t>
            </w:r>
          </w:p>
          <w:p>
            <w:pPr>
              <w:spacing w:line="300" w:lineRule="exact"/>
              <w:jc w:val="left"/>
              <w:rPr>
                <w:rFonts w:ascii="Arial" w:hAnsi="Arial" w:cs="Arial"/>
                <w:szCs w:val="21"/>
                <w:highlight w:val="none"/>
                <w:u w:val="single"/>
              </w:rPr>
            </w:pPr>
            <w:r>
              <w:rPr>
                <w:rFonts w:ascii="Arial" w:hAnsi="Arial" w:cs="Arial"/>
                <w:highlight w:val="none"/>
              </w:rPr>
              <w:t>采购计划文号：</w:t>
            </w:r>
            <w:r>
              <w:rPr>
                <w:rFonts w:hint="eastAsia" w:ascii="Arial" w:hAnsi="Arial" w:cs="Arial"/>
                <w:highlight w:val="none"/>
              </w:rPr>
              <w:t>XAZC2025-G3-00354</w:t>
            </w:r>
            <w:r>
              <w:rPr>
                <w:rFonts w:ascii="Arial" w:hAnsi="Arial" w:cs="Arial"/>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1.3.2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lang w:val="zh-CN"/>
              </w:rPr>
            </w:pPr>
            <w:r>
              <w:rPr>
                <w:rFonts w:ascii="Arial" w:hAnsi="Arial" w:cs="Arial"/>
                <w:szCs w:val="21"/>
                <w:highlight w:val="none"/>
                <w:lang w:val="zh-CN"/>
              </w:rPr>
              <w:t>采购方式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lang w:val="zh-CN"/>
              </w:rPr>
            </w:pPr>
            <w:r>
              <w:rPr>
                <w:rFonts w:ascii="Arial" w:hAnsi="Arial" w:cs="Arial"/>
                <w:szCs w:val="21"/>
                <w:highlight w:val="none"/>
                <w:lang w:val="zh-CN"/>
              </w:rPr>
              <w:t>促进中小企业发展措施</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kern w:val="0"/>
                <w:szCs w:val="21"/>
                <w:highlight w:val="none"/>
              </w:rPr>
              <w:t>本项目非专门面向中小微企业采购。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lang w:val="zh-CN"/>
              </w:rPr>
              <w:t>供应商资格条件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7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szCs w:val="21"/>
                <w:highlight w:val="none"/>
              </w:rPr>
            </w:pPr>
            <w:bookmarkStart w:id="109" w:name="_Hlk85555568"/>
            <w:r>
              <w:rPr>
                <w:rFonts w:ascii="Arial" w:hAnsi="Arial" w:cs="Arial"/>
                <w:b/>
                <w:szCs w:val="21"/>
                <w:highlight w:val="none"/>
              </w:rPr>
              <w:t>1.5.3</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联合体</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是否接受联合体详见招标公告</w:t>
            </w:r>
          </w:p>
        </w:tc>
      </w:tr>
      <w:bookmarkEnd w:id="10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1.6</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踏勘</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highlight w:val="none"/>
              </w:rPr>
              <w:t>不组织。</w:t>
            </w:r>
            <w:r>
              <w:rPr>
                <w:rFonts w:ascii="Arial" w:hAnsi="Arial" w:cs="Arial"/>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1.7.2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分包</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是否接受分包详见招标公告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招标文件澄清、修改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确认收到澄清、修改发布的方式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3.4.1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投标有效期</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投标保证金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szCs w:val="21"/>
                <w:highlight w:val="none"/>
              </w:rPr>
            </w:pPr>
            <w:r>
              <w:rPr>
                <w:rFonts w:ascii="Arial" w:hAnsi="Arial" w:cs="Arial"/>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75" w:type="dxa"/>
            <w:tcBorders>
              <w:left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3.6</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投标文件的编制</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投标文件应按第六章投标文件格式分别编制并使用下载的广西政府采购云平台新版客户端制作并上传。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3.7</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投标文件递交截止时间及开标时间</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kern w:val="0"/>
                <w:szCs w:val="21"/>
                <w:highlight w:val="none"/>
              </w:rPr>
              <w:t>见招标公告要求</w:t>
            </w:r>
            <w:r>
              <w:rPr>
                <w:rFonts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4.2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1"/>
                <w:highlight w:val="none"/>
              </w:rPr>
              <w:t>备份投标文件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ascii="Arial" w:hAnsi="Arial" w:cs="Arial"/>
                <w:szCs w:val="21"/>
                <w:highlight w:val="none"/>
              </w:rPr>
              <w:t>本项目</w:t>
            </w:r>
            <w:r>
              <w:rPr>
                <w:rFonts w:ascii="Arial" w:hAnsi="Arial" w:cs="Arial"/>
                <w:sz w:val="22"/>
                <w:szCs w:val="22"/>
                <w:highlight w:val="none"/>
              </w:rPr>
              <w:sym w:font="Wingdings 2" w:char="F052"/>
            </w:r>
            <w:r>
              <w:rPr>
                <w:rFonts w:ascii="Arial" w:hAnsi="Arial" w:cs="Arial"/>
                <w:szCs w:val="21"/>
                <w:highlight w:val="none"/>
              </w:rPr>
              <w:t>接受   □不接受备份投标文件</w:t>
            </w:r>
          </w:p>
          <w:p>
            <w:pPr>
              <w:spacing w:line="276" w:lineRule="auto"/>
              <w:rPr>
                <w:rFonts w:ascii="Arial" w:hAnsi="Arial" w:cs="Arial"/>
                <w:sz w:val="22"/>
                <w:szCs w:val="22"/>
                <w:highlight w:val="none"/>
              </w:rPr>
            </w:pPr>
            <w:r>
              <w:rPr>
                <w:rFonts w:ascii="Arial" w:hAnsi="Arial" w:cs="Arial"/>
                <w:szCs w:val="21"/>
                <w:highlight w:val="none"/>
              </w:rPr>
              <w:t>以</w:t>
            </w:r>
            <w:r>
              <w:rPr>
                <w:rFonts w:ascii="Arial" w:hAnsi="Arial" w:cs="Arial"/>
                <w:kern w:val="0"/>
                <w:szCs w:val="21"/>
                <w:highlight w:val="none"/>
              </w:rPr>
              <w:t>广西政府采购云平台</w:t>
            </w:r>
            <w:r>
              <w:rPr>
                <w:rFonts w:ascii="Arial" w:hAnsi="Arial" w:cs="Arial"/>
                <w:szCs w:val="21"/>
                <w:highlight w:val="none"/>
              </w:rPr>
              <w:t>自动生成的备份文件为依据，当项目允许接受备份响应文件时，供应商才可以按规定上传备份投标文件。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4.3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0"/>
                <w:highlight w:val="none"/>
              </w:rPr>
              <w:t>演示</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hint="eastAsia" w:ascii="Arial" w:hAnsi="Arial" w:cs="Arial"/>
                <w:szCs w:val="21"/>
                <w:highlight w:val="none"/>
              </w:rPr>
              <w:t>详见第四章评标方法及评标标准。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4.4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0"/>
                <w:highlight w:val="none"/>
              </w:rPr>
              <w:t>样品</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ascii="Arial" w:hAnsi="Arial" w:cs="Arial"/>
                <w:szCs w:val="21"/>
                <w:highlight w:val="none"/>
              </w:rPr>
              <w:t>本项目无需提供样品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相同品牌推荐方式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rPr>
            </w:pPr>
            <w:r>
              <w:rPr>
                <w:rFonts w:ascii="Arial" w:hAnsi="Arial" w:cs="Arial"/>
                <w:szCs w:val="21"/>
                <w:highlight w:val="none"/>
              </w:rPr>
              <w:t>采购人委托评审委员会确定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结果公告</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6.5.2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中标通知书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中标人到代理机构领取中标通知书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6.5.3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招标结果通知书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采购代理机构通过</w:t>
            </w:r>
            <w:r>
              <w:rPr>
                <w:rFonts w:ascii="Arial" w:hAnsi="Arial" w:cs="Arial"/>
                <w:kern w:val="0"/>
                <w:szCs w:val="21"/>
                <w:highlight w:val="none"/>
              </w:rPr>
              <w:t>广西政府采购云平台</w:t>
            </w:r>
            <w:r>
              <w:rPr>
                <w:rFonts w:ascii="Arial" w:hAnsi="Arial" w:cs="Arial"/>
                <w:szCs w:val="21"/>
                <w:highlight w:val="none"/>
              </w:rPr>
              <w:t>发出招标结果通知书</w:t>
            </w:r>
          </w:p>
          <w:p>
            <w:pPr>
              <w:spacing w:line="300" w:lineRule="exact"/>
              <w:jc w:val="left"/>
              <w:rPr>
                <w:rFonts w:ascii="Arial" w:hAnsi="Arial" w:cs="Arial"/>
                <w:szCs w:val="21"/>
                <w:highlight w:val="none"/>
              </w:rPr>
            </w:pPr>
            <w:r>
              <w:rPr>
                <w:rFonts w:ascii="Arial" w:hAnsi="Arial" w:cs="Arial"/>
                <w:szCs w:val="21"/>
                <w:highlight w:val="none"/>
              </w:rPr>
              <w:t>招标结果通知书在广西政府采购云平台推送之日起，视为中标人已收到，中标人自行承担未及时查收的后果。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8.1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1"/>
                <w:highlight w:val="none"/>
              </w:rPr>
              <w:t>质疑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szCs w:val="21"/>
                <w:highlight w:val="none"/>
              </w:rPr>
            </w:pPr>
            <w:r>
              <w:rPr>
                <w:rFonts w:ascii="Arial" w:hAnsi="Arial" w:cs="Arial"/>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Arial" w:hAnsi="Arial" w:cs="Arial"/>
                <w:szCs w:val="21"/>
                <w:highlight w:val="none"/>
              </w:rPr>
            </w:pPr>
            <w:r>
              <w:rPr>
                <w:rFonts w:ascii="Arial" w:hAnsi="Arial" w:cs="Arial"/>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1"/>
                <w:highlight w:val="none"/>
              </w:rPr>
            </w:pPr>
            <w:r>
              <w:rPr>
                <w:rFonts w:ascii="Arial" w:hAnsi="Arial" w:cs="Arial"/>
                <w:szCs w:val="20"/>
                <w:highlight w:val="none"/>
              </w:rPr>
              <w:t>代理服务费</w:t>
            </w:r>
          </w:p>
        </w:tc>
        <w:tc>
          <w:tcPr>
            <w:tcW w:w="7443" w:type="dxa"/>
            <w:tcBorders>
              <w:top w:val="single" w:color="auto" w:sz="4" w:space="0"/>
              <w:left w:val="single" w:color="auto" w:sz="4" w:space="0"/>
              <w:bottom w:val="single" w:color="auto" w:sz="4" w:space="0"/>
              <w:right w:val="single" w:color="auto" w:sz="4" w:space="0"/>
            </w:tcBorders>
            <w:vAlign w:val="center"/>
          </w:tcPr>
          <w:p>
            <w:pPr>
              <w:rPr>
                <w:rFonts w:ascii="Arial" w:hAnsi="Arial" w:cs="Arial"/>
                <w:highlight w:val="none"/>
              </w:rPr>
            </w:pPr>
            <w:r>
              <w:rPr>
                <w:rFonts w:ascii="Arial" w:hAnsi="Arial" w:cs="Arial"/>
                <w:highlight w:val="none"/>
              </w:rPr>
              <w:t>（1）代理服务费</w:t>
            </w:r>
          </w:p>
          <w:p>
            <w:pPr>
              <w:spacing w:line="300" w:lineRule="exact"/>
              <w:jc w:val="left"/>
              <w:rPr>
                <w:rFonts w:ascii="Arial" w:hAnsi="Arial" w:cs="Arial"/>
                <w:highlight w:val="none"/>
              </w:rPr>
            </w:pPr>
            <w:r>
              <w:rPr>
                <w:rFonts w:ascii="Arial" w:hAnsi="Arial" w:cs="Arial"/>
                <w:highlight w:val="none"/>
              </w:rPr>
              <w:sym w:font="Wingdings 2" w:char="0052"/>
            </w:r>
            <w:r>
              <w:rPr>
                <w:rFonts w:ascii="Arial" w:hAnsi="Arial" w:cs="Arial"/>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w:t>
            </w:r>
            <w:r>
              <w:rPr>
                <w:rFonts w:ascii="Arial" w:hAnsi="Arial" w:cs="Arial"/>
                <w:szCs w:val="21"/>
                <w:highlight w:val="none"/>
              </w:rPr>
              <w:t>的</w:t>
            </w:r>
            <w:r>
              <w:rPr>
                <w:rFonts w:ascii="Arial" w:hAnsi="Arial" w:cs="Arial"/>
                <w:szCs w:val="21"/>
                <w:highlight w:val="none"/>
                <w:u w:val="single"/>
              </w:rPr>
              <w:t xml:space="preserve"> </w:t>
            </w:r>
            <w:r>
              <w:rPr>
                <w:rFonts w:hint="eastAsia" w:ascii="Arial" w:hAnsi="Arial" w:cs="Arial"/>
                <w:szCs w:val="21"/>
                <w:highlight w:val="none"/>
                <w:u w:val="single"/>
              </w:rPr>
              <w:t>8</w:t>
            </w:r>
            <w:r>
              <w:rPr>
                <w:rFonts w:ascii="Arial" w:hAnsi="Arial" w:cs="Arial"/>
                <w:szCs w:val="21"/>
                <w:highlight w:val="none"/>
                <w:u w:val="single"/>
              </w:rPr>
              <w:t xml:space="preserve">0 </w:t>
            </w:r>
            <w:r>
              <w:rPr>
                <w:rFonts w:ascii="Arial" w:hAnsi="Arial" w:cs="Arial"/>
                <w:szCs w:val="21"/>
                <w:highlight w:val="none"/>
              </w:rPr>
              <w:t>%收取</w:t>
            </w:r>
            <w:r>
              <w:rPr>
                <w:rFonts w:ascii="Arial" w:hAnsi="Arial" w:cs="Arial"/>
                <w:highlight w:val="none"/>
              </w:rPr>
              <w:t>，采用差额定率累进法计算。具体费率如下：</w:t>
            </w:r>
          </w:p>
          <w:p>
            <w:pPr>
              <w:spacing w:line="288" w:lineRule="auto"/>
              <w:jc w:val="left"/>
              <w:rPr>
                <w:rFonts w:ascii="Arial" w:hAnsi="Arial" w:cs="Arial"/>
                <w:highlight w:val="none"/>
              </w:rPr>
            </w:pPr>
            <w:r>
              <w:rPr>
                <w:rFonts w:ascii="Arial" w:hAnsi="Arial" w:cs="Arial"/>
                <w:highlight w:val="none"/>
              </w:rPr>
              <w:t>①中标金额在100万元以下的：</w:t>
            </w:r>
          </w:p>
          <w:p>
            <w:pPr>
              <w:spacing w:line="288" w:lineRule="auto"/>
              <w:jc w:val="left"/>
              <w:rPr>
                <w:rFonts w:ascii="Arial" w:hAnsi="Arial" w:cs="Arial"/>
                <w:highlight w:val="none"/>
              </w:rPr>
            </w:pPr>
            <w:r>
              <w:rPr>
                <w:rFonts w:ascii="Arial" w:hAnsi="Arial" w:cs="Arial"/>
                <w:highlight w:val="none"/>
              </w:rPr>
              <w:t>货物1.5％；服务招标1.5％；工程招标1.0％；</w:t>
            </w:r>
          </w:p>
          <w:p>
            <w:pPr>
              <w:spacing w:line="288" w:lineRule="auto"/>
              <w:jc w:val="left"/>
              <w:rPr>
                <w:rFonts w:ascii="Arial" w:hAnsi="Arial" w:cs="Arial"/>
                <w:highlight w:val="none"/>
              </w:rPr>
            </w:pPr>
            <w:r>
              <w:rPr>
                <w:rFonts w:ascii="Arial" w:hAnsi="Arial" w:cs="Arial"/>
                <w:highlight w:val="none"/>
              </w:rPr>
              <w:t>②中标金额在100-500万元之间：</w:t>
            </w:r>
          </w:p>
          <w:p>
            <w:pPr>
              <w:spacing w:line="288" w:lineRule="auto"/>
              <w:jc w:val="left"/>
              <w:rPr>
                <w:rFonts w:ascii="Arial" w:hAnsi="Arial" w:cs="Arial"/>
                <w:highlight w:val="none"/>
              </w:rPr>
            </w:pPr>
            <w:r>
              <w:rPr>
                <w:rFonts w:ascii="Arial" w:hAnsi="Arial" w:cs="Arial"/>
                <w:highlight w:val="none"/>
              </w:rPr>
              <w:t>货物1.1％；服务招标0.8％；工程招标0.7％；</w:t>
            </w:r>
          </w:p>
          <w:p>
            <w:pPr>
              <w:spacing w:line="288" w:lineRule="auto"/>
              <w:jc w:val="left"/>
              <w:rPr>
                <w:rFonts w:ascii="Arial" w:hAnsi="Arial" w:cs="Arial"/>
                <w:highlight w:val="none"/>
              </w:rPr>
            </w:pPr>
            <w:r>
              <w:rPr>
                <w:rFonts w:ascii="Arial" w:hAnsi="Arial" w:cs="Arial"/>
                <w:highlight w:val="none"/>
              </w:rPr>
              <w:t>③中标金额在500-1000万元之间：</w:t>
            </w:r>
          </w:p>
          <w:p>
            <w:pPr>
              <w:spacing w:line="288" w:lineRule="auto"/>
              <w:jc w:val="left"/>
              <w:rPr>
                <w:rFonts w:ascii="Arial" w:hAnsi="Arial" w:cs="Arial"/>
                <w:highlight w:val="none"/>
              </w:rPr>
            </w:pPr>
            <w:r>
              <w:rPr>
                <w:rFonts w:ascii="Arial" w:hAnsi="Arial" w:cs="Arial"/>
                <w:highlight w:val="none"/>
              </w:rPr>
              <w:t>货物0.8％；服务招标0.45％；工程招标0.55％；</w:t>
            </w:r>
          </w:p>
          <w:p>
            <w:pPr>
              <w:spacing w:line="288" w:lineRule="auto"/>
              <w:jc w:val="left"/>
              <w:rPr>
                <w:rFonts w:ascii="Arial" w:hAnsi="Arial" w:cs="Arial"/>
                <w:highlight w:val="none"/>
              </w:rPr>
            </w:pPr>
            <w:r>
              <w:rPr>
                <w:rFonts w:ascii="Arial" w:hAnsi="Arial" w:cs="Arial"/>
                <w:highlight w:val="none"/>
              </w:rPr>
              <w:t>④中标金额在1000-5000万元之间：</w:t>
            </w:r>
          </w:p>
          <w:p>
            <w:pPr>
              <w:spacing w:line="288" w:lineRule="auto"/>
              <w:jc w:val="left"/>
              <w:rPr>
                <w:rFonts w:ascii="Arial" w:hAnsi="Arial" w:cs="Arial"/>
                <w:highlight w:val="none"/>
              </w:rPr>
            </w:pPr>
            <w:r>
              <w:rPr>
                <w:rFonts w:ascii="Arial" w:hAnsi="Arial" w:cs="Arial"/>
                <w:highlight w:val="none"/>
              </w:rPr>
              <w:t>货物0.5％；服务招标0.25％；工程招标0.35％；</w:t>
            </w:r>
          </w:p>
          <w:p>
            <w:pPr>
              <w:spacing w:line="288" w:lineRule="auto"/>
              <w:jc w:val="left"/>
              <w:rPr>
                <w:rFonts w:ascii="Arial" w:hAnsi="Arial" w:cs="Arial"/>
                <w:highlight w:val="none"/>
              </w:rPr>
            </w:pPr>
            <w:r>
              <w:rPr>
                <w:rFonts w:ascii="Arial" w:hAnsi="Arial" w:cs="Arial"/>
                <w:highlight w:val="none"/>
              </w:rPr>
              <w:t>……</w:t>
            </w:r>
          </w:p>
          <w:p>
            <w:pPr>
              <w:spacing w:line="288" w:lineRule="auto"/>
              <w:jc w:val="left"/>
              <w:rPr>
                <w:rFonts w:ascii="Arial" w:hAnsi="Arial" w:cs="Arial"/>
                <w:highlight w:val="none"/>
              </w:rPr>
            </w:pPr>
            <w:r>
              <w:rPr>
                <w:rFonts w:ascii="Arial" w:hAnsi="Arial" w:cs="Arial"/>
                <w:highlight w:val="none"/>
              </w:rPr>
              <w:t>（2）中标供应商在中标通知书发出前以银行转账或现金形式支付代理服务费。</w:t>
            </w:r>
          </w:p>
          <w:p>
            <w:pPr>
              <w:spacing w:line="288" w:lineRule="auto"/>
              <w:rPr>
                <w:rFonts w:ascii="Arial" w:hAnsi="Arial" w:cs="Arial"/>
                <w:b/>
                <w:highlight w:val="none"/>
              </w:rPr>
            </w:pPr>
            <w:r>
              <w:rPr>
                <w:rFonts w:ascii="Arial" w:hAnsi="Arial" w:cs="Arial"/>
                <w:b/>
                <w:highlight w:val="none"/>
              </w:rPr>
              <w:t>交纳招标代理服务费的银行账户：</w:t>
            </w:r>
          </w:p>
          <w:p>
            <w:pPr>
              <w:pStyle w:val="28"/>
              <w:snapToGrid w:val="0"/>
              <w:spacing w:line="288" w:lineRule="auto"/>
              <w:rPr>
                <w:rFonts w:ascii="Arial" w:hAnsi="Arial" w:cs="Arial"/>
                <w:highlight w:val="none"/>
              </w:rPr>
            </w:pPr>
            <w:bookmarkStart w:id="110" w:name="OLE_LINK5"/>
            <w:r>
              <w:rPr>
                <w:rFonts w:ascii="Arial" w:hAnsi="Arial" w:cs="Arial"/>
                <w:highlight w:val="none"/>
              </w:rPr>
              <w:t>公司名称：广西机电设备招标有限公司桂林七星分公司</w:t>
            </w:r>
          </w:p>
          <w:p>
            <w:pPr>
              <w:pStyle w:val="28"/>
              <w:snapToGrid w:val="0"/>
              <w:spacing w:line="288" w:lineRule="auto"/>
              <w:rPr>
                <w:rFonts w:ascii="Arial" w:hAnsi="Arial" w:cs="Arial"/>
                <w:highlight w:val="none"/>
              </w:rPr>
            </w:pPr>
            <w:r>
              <w:rPr>
                <w:rFonts w:ascii="Arial" w:hAnsi="Arial" w:cs="Arial"/>
                <w:highlight w:val="none"/>
              </w:rPr>
              <w:t>开户银行：交通银行桂林高新支行</w:t>
            </w:r>
          </w:p>
          <w:p>
            <w:pPr>
              <w:spacing w:line="300" w:lineRule="exact"/>
              <w:jc w:val="left"/>
              <w:rPr>
                <w:rFonts w:ascii="Arial" w:hAnsi="Arial" w:cs="Arial"/>
                <w:kern w:val="0"/>
                <w:szCs w:val="21"/>
                <w:highlight w:val="none"/>
              </w:rPr>
            </w:pPr>
            <w:r>
              <w:rPr>
                <w:rFonts w:ascii="Arial" w:hAnsi="Arial" w:cs="Arial"/>
                <w:highlight w:val="none"/>
              </w:rPr>
              <w:t>银行账号：453060811013000380456</w:t>
            </w:r>
            <w:bookmarkEnd w:id="1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0"/>
                <w:highlight w:val="none"/>
              </w:rPr>
              <w:t>附件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u w:val="single"/>
              </w:rPr>
            </w:pPr>
            <w:r>
              <w:rPr>
                <w:rFonts w:ascii="Arial" w:hAnsi="Arial" w:cs="Arial"/>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0"/>
                <w:highlight w:val="none"/>
              </w:rPr>
              <w:t>图纸</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Cs w:val="21"/>
                <w:highlight w:val="none"/>
                <w:u w:val="single"/>
              </w:rPr>
            </w:pPr>
            <w:r>
              <w:rPr>
                <w:rFonts w:ascii="Arial" w:hAnsi="Arial" w:cs="Arial"/>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szCs w:val="21"/>
                <w:highlight w:val="none"/>
              </w:rPr>
            </w:pPr>
            <w:r>
              <w:rPr>
                <w:rFonts w:ascii="Arial" w:hAnsi="Arial" w:cs="Arial"/>
                <w:b/>
                <w:szCs w:val="21"/>
                <w:highlight w:val="none"/>
              </w:rPr>
              <w:t>9.4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szCs w:val="20"/>
                <w:highlight w:val="none"/>
              </w:rPr>
            </w:pPr>
            <w:r>
              <w:rPr>
                <w:rFonts w:ascii="Arial" w:hAnsi="Arial" w:cs="Arial"/>
                <w:szCs w:val="20"/>
                <w:highlight w:val="none"/>
              </w:rPr>
              <w:t>其他事项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24"/>
                <w:highlight w:val="none"/>
              </w:rPr>
            </w:pPr>
            <w:r>
              <w:rPr>
                <w:rFonts w:ascii="Arial" w:hAnsi="Arial" w:cs="Arial"/>
                <w:szCs w:val="21"/>
                <w:highlight w:val="none"/>
              </w:rPr>
              <w:t>本文件中内容如有前后不一致，以在招标文件先出现的为准。</w:t>
            </w:r>
          </w:p>
        </w:tc>
      </w:tr>
    </w:tbl>
    <w:p>
      <w:pPr>
        <w:spacing w:before="120" w:line="320" w:lineRule="atLeast"/>
        <w:outlineLvl w:val="1"/>
        <w:rPr>
          <w:rFonts w:ascii="Arial" w:hAnsi="Arial" w:cs="Arial"/>
          <w:bCs/>
          <w:kern w:val="0"/>
          <w:sz w:val="28"/>
          <w:szCs w:val="28"/>
          <w:highlight w:val="none"/>
        </w:rPr>
        <w:sectPr>
          <w:footerReference r:id="rId10" w:type="first"/>
          <w:footerReference r:id="rId9" w:type="default"/>
          <w:pgSz w:w="11906" w:h="16838"/>
          <w:pgMar w:top="993" w:right="1133" w:bottom="1246" w:left="1418" w:header="851" w:footer="992" w:gutter="0"/>
          <w:pgNumType w:fmt="decimal" w:start="1"/>
          <w:cols w:space="720" w:num="1"/>
          <w:titlePg/>
          <w:docGrid w:linePitch="312" w:charSpace="0"/>
        </w:sectPr>
      </w:pPr>
    </w:p>
    <w:p>
      <w:pPr>
        <w:spacing w:before="120" w:line="320" w:lineRule="atLeast"/>
        <w:outlineLvl w:val="1"/>
        <w:rPr>
          <w:rFonts w:ascii="Arial" w:hAnsi="Arial" w:cs="Arial"/>
          <w:b/>
          <w:bCs/>
          <w:kern w:val="0"/>
          <w:szCs w:val="21"/>
          <w:highlight w:val="none"/>
        </w:rPr>
      </w:pPr>
      <w:r>
        <w:rPr>
          <w:rFonts w:ascii="Arial" w:hAnsi="Arial" w:cs="Arial"/>
          <w:b/>
          <w:bCs/>
          <w:kern w:val="0"/>
          <w:szCs w:val="21"/>
          <w:highlight w:val="none"/>
        </w:rPr>
        <w:t>1．总则</w:t>
      </w:r>
    </w:p>
    <w:p>
      <w:pPr>
        <w:spacing w:before="120" w:line="320" w:lineRule="atLeast"/>
        <w:ind w:firstLine="422" w:firstLineChars="200"/>
        <w:outlineLvl w:val="2"/>
        <w:rPr>
          <w:rFonts w:ascii="Arial" w:hAnsi="Arial" w:cs="Arial"/>
          <w:b/>
          <w:bCs/>
          <w:kern w:val="0"/>
          <w:szCs w:val="21"/>
          <w:highlight w:val="none"/>
        </w:rPr>
      </w:pPr>
      <w:bookmarkStart w:id="111" w:name="_Toc254970668"/>
      <w:bookmarkStart w:id="112" w:name="_Toc254970527"/>
      <w:r>
        <w:rPr>
          <w:rFonts w:ascii="Arial" w:hAnsi="Arial" w:cs="Arial"/>
          <w:b/>
          <w:bCs/>
          <w:kern w:val="0"/>
          <w:szCs w:val="21"/>
          <w:highlight w:val="none"/>
        </w:rPr>
        <w:t>1.1适用范围</w:t>
      </w:r>
      <w:bookmarkEnd w:id="111"/>
      <w:bookmarkEnd w:id="112"/>
    </w:p>
    <w:p>
      <w:pPr>
        <w:spacing w:before="120" w:line="320" w:lineRule="atLeast"/>
        <w:ind w:firstLine="420" w:firstLineChars="200"/>
        <w:rPr>
          <w:rFonts w:ascii="Arial" w:hAnsi="Arial" w:cs="Arial"/>
          <w:szCs w:val="21"/>
          <w:highlight w:val="none"/>
        </w:rPr>
      </w:pPr>
      <w:r>
        <w:rPr>
          <w:rFonts w:ascii="Arial" w:hAnsi="Arial" w:cs="Arial"/>
          <w:szCs w:val="21"/>
          <w:highlight w:val="none"/>
        </w:rPr>
        <w:t>本招标文件适用于供应商须知前附表所述项目的政府采购活动。</w:t>
      </w:r>
    </w:p>
    <w:p>
      <w:pPr>
        <w:spacing w:before="120" w:line="320" w:lineRule="atLeast"/>
        <w:ind w:firstLine="422" w:firstLineChars="200"/>
        <w:outlineLvl w:val="2"/>
        <w:rPr>
          <w:rFonts w:ascii="Arial" w:hAnsi="Arial" w:cs="Arial"/>
          <w:b/>
          <w:bCs/>
          <w:kern w:val="0"/>
          <w:szCs w:val="21"/>
          <w:highlight w:val="none"/>
        </w:rPr>
      </w:pPr>
      <w:bookmarkStart w:id="113" w:name="_Toc254970669"/>
      <w:bookmarkStart w:id="114" w:name="_Toc254970528"/>
      <w:r>
        <w:rPr>
          <w:rFonts w:ascii="Arial" w:hAnsi="Arial" w:cs="Arial"/>
          <w:b/>
          <w:bCs/>
          <w:kern w:val="0"/>
          <w:szCs w:val="21"/>
          <w:highlight w:val="none"/>
        </w:rPr>
        <w:t>1.2定义</w:t>
      </w:r>
      <w:bookmarkEnd w:id="113"/>
      <w:bookmarkEnd w:id="114"/>
    </w:p>
    <w:p>
      <w:pPr>
        <w:spacing w:before="120" w:line="320" w:lineRule="atLeast"/>
        <w:ind w:firstLine="420" w:firstLineChars="200"/>
        <w:rPr>
          <w:rFonts w:ascii="Arial" w:hAnsi="Arial" w:cs="Arial"/>
          <w:szCs w:val="21"/>
          <w:highlight w:val="none"/>
        </w:rPr>
      </w:pPr>
      <w:r>
        <w:rPr>
          <w:rFonts w:ascii="Arial" w:hAnsi="Arial" w:cs="Arial"/>
          <w:szCs w:val="21"/>
          <w:highlight w:val="none"/>
        </w:rPr>
        <w:t>1.2.1“采购人”系指依法进行政府采购的国家机关、事业单位、团体组织。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1.2.2“供应商”系</w:t>
      </w:r>
      <w:r>
        <w:rPr>
          <w:rFonts w:ascii="Arial" w:hAnsi="Arial" w:cs="Arial"/>
          <w:highlight w:val="none"/>
        </w:rPr>
        <w:t>指响应招标、参加投标竞争的法人、其他组织或者自然人</w:t>
      </w:r>
      <w:r>
        <w:rPr>
          <w:rFonts w:ascii="Arial" w:hAnsi="Arial" w:cs="Arial"/>
          <w:szCs w:val="21"/>
          <w:highlight w:val="none"/>
        </w:rPr>
        <w:t>。</w:t>
      </w:r>
    </w:p>
    <w:p>
      <w:pPr>
        <w:spacing w:before="120" w:line="360" w:lineRule="auto"/>
        <w:ind w:firstLine="420" w:firstLineChars="200"/>
        <w:rPr>
          <w:rFonts w:ascii="Arial" w:hAnsi="Arial" w:cs="Arial"/>
          <w:highlight w:val="none"/>
        </w:rPr>
      </w:pPr>
      <w:r>
        <w:rPr>
          <w:rFonts w:ascii="Arial" w:hAnsi="Arial" w:cs="Arial"/>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highlight w:val="none"/>
        </w:rPr>
      </w:pPr>
      <w:r>
        <w:rPr>
          <w:rFonts w:ascii="Arial" w:hAnsi="Arial" w:cs="Arial"/>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szCs w:val="21"/>
          <w:highlight w:val="none"/>
        </w:rPr>
      </w:pPr>
      <w:r>
        <w:rPr>
          <w:rFonts w:ascii="Arial" w:hAnsi="Arial" w:cs="Arial"/>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before="120" w:line="320" w:lineRule="atLeast"/>
        <w:ind w:firstLine="422" w:firstLineChars="200"/>
        <w:rPr>
          <w:rFonts w:ascii="Arial" w:hAnsi="Arial" w:cs="Arial"/>
          <w:szCs w:val="21"/>
          <w:highlight w:val="none"/>
        </w:rPr>
      </w:pPr>
      <w:r>
        <w:rPr>
          <w:rFonts w:ascii="Arial" w:hAnsi="Arial" w:cs="Arial"/>
          <w:b/>
          <w:bCs/>
          <w:szCs w:val="21"/>
          <w:highlight w:val="none"/>
        </w:rPr>
        <w:t>1.2.6</w:t>
      </w:r>
      <w:r>
        <w:rPr>
          <w:rFonts w:hint="eastAsia" w:ascii="Arial" w:hAnsi="Arial" w:cs="Arial"/>
          <w:b/>
          <w:bCs/>
          <w:szCs w:val="21"/>
          <w:highlight w:val="none"/>
        </w:rPr>
        <w:t>、本招标文件中所有标注▲条款为实质性要求，如有负偏离将导致投标被否决。</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1.2.7 本招标文件出现多种选项的条款，以“</w:t>
      </w:r>
      <w:r>
        <w:rPr>
          <w:rFonts w:ascii="Arial" w:hAnsi="Arial" w:cs="Arial"/>
          <w:highlight w:val="none"/>
        </w:rPr>
        <w:sym w:font="Wingdings 2" w:char="F052"/>
      </w:r>
      <w:r>
        <w:rPr>
          <w:rFonts w:ascii="Arial" w:hAnsi="Arial" w:cs="Arial"/>
          <w:szCs w:val="21"/>
          <w:highlight w:val="none"/>
        </w:rPr>
        <w:t>”表示本条款所选择的方式。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1.2.8 “电子交易平台”是指以数据电文形式在线完成采购活动的信息平台，本招标文件中也称“广西政府采购云平台”。</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1.3项目信息</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1.3.1项目名称及编号：详见供应商须知前附表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1.3.2采购方式：详见供应商须知前附表</w:t>
      </w:r>
    </w:p>
    <w:p>
      <w:pPr>
        <w:spacing w:before="120" w:line="320" w:lineRule="atLeast"/>
        <w:ind w:firstLine="422" w:firstLineChars="200"/>
        <w:outlineLvl w:val="2"/>
        <w:rPr>
          <w:rFonts w:ascii="Arial" w:hAnsi="Arial" w:cs="Arial"/>
          <w:b/>
          <w:bCs/>
          <w:kern w:val="0"/>
          <w:szCs w:val="21"/>
          <w:highlight w:val="none"/>
        </w:rPr>
      </w:pPr>
      <w:bookmarkStart w:id="115" w:name="_Hlk132812137"/>
      <w:r>
        <w:rPr>
          <w:rFonts w:ascii="Arial" w:hAnsi="Arial" w:cs="Arial"/>
          <w:b/>
          <w:bCs/>
          <w:kern w:val="0"/>
          <w:szCs w:val="21"/>
          <w:highlight w:val="none"/>
        </w:rPr>
        <w:t>1.4促进中小企业发展政策</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szCs w:val="21"/>
          <w:highlight w:val="none"/>
        </w:rPr>
      </w:pPr>
      <w:bookmarkStart w:id="116" w:name="_Hlk138842976"/>
      <w:r>
        <w:rPr>
          <w:rFonts w:ascii="Arial" w:hAnsi="Arial" w:cs="Arial"/>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116"/>
      <w:bookmarkStart w:id="117" w:name="_Hlk92205820"/>
      <w:r>
        <w:rPr>
          <w:rFonts w:ascii="Arial" w:hAnsi="Arial" w:cs="Arial"/>
          <w:szCs w:val="21"/>
          <w:highlight w:val="none"/>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1.4.2中小企业定义</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1.4.2.2供应商提供的货物、工程或者服务符合下列情形的，享受本款规定的促进中小企业发展政策：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在工程采购项目中，工程由中小企业承建，即工程施工单位为中小企业；</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在货物采购项目中，供应商提供的货物既有中小企业制造货物，也有大型企业制造货物的，不享受本款规定的促进中小企业发展政策。</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1.4.2.3本项目标的所属行业在第二章采购需求中规定。供应商根据中小企业划分标准（《关于印发中小企业划型标准规定的通知》（工信部联企业〔2011〕300号）判断是否为中小企业。（见附件）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1.4.2.4视同中小企业情形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（1）符合中小企业划分标准的个体工商户，视同中小企业。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符合条件的货物制造商、工程施工单位、服务承接单位为监狱企业或残疾人福利性单位的，应按招标文件规定在投标文件中提供相关证明文件。</w:t>
      </w:r>
      <w:bookmarkEnd w:id="117"/>
    </w:p>
    <w:bookmarkEnd w:id="115"/>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1.5供应商资格要求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1.5.1供应商资格要求：详见供应商须知前附表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1.5.2按照招标公告的规定获得招标文件。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1.5.3本项目是否接受联合体投标，见“供应商须知前附表”规定。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 xml:space="preserve">如接受联合体投标，联合体投标要求如下： </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（8）联合体各方均应按照招标文件的规定提交资格证明文件。</w:t>
      </w:r>
    </w:p>
    <w:p>
      <w:pPr>
        <w:spacing w:before="120" w:line="320" w:lineRule="atLeast"/>
        <w:ind w:firstLine="422" w:firstLineChars="200"/>
        <w:outlineLvl w:val="2"/>
        <w:rPr>
          <w:rFonts w:ascii="Arial" w:hAnsi="Arial" w:cs="Arial"/>
          <w:b/>
          <w:bCs/>
          <w:kern w:val="0"/>
          <w:szCs w:val="21"/>
          <w:highlight w:val="none"/>
        </w:rPr>
      </w:pPr>
      <w:bookmarkStart w:id="118" w:name="_Toc254970531"/>
      <w:bookmarkStart w:id="119" w:name="_Toc254970672"/>
      <w:r>
        <w:rPr>
          <w:rFonts w:ascii="Arial" w:hAnsi="Arial" w:cs="Arial"/>
          <w:b/>
          <w:bCs/>
          <w:kern w:val="0"/>
          <w:szCs w:val="21"/>
          <w:highlight w:val="none"/>
        </w:rPr>
        <w:t>1.6现场踏勘及投标费用</w:t>
      </w:r>
      <w:bookmarkEnd w:id="118"/>
      <w:bookmarkEnd w:id="119"/>
    </w:p>
    <w:p>
      <w:pPr>
        <w:spacing w:before="120" w:line="320" w:lineRule="atLeast"/>
        <w:ind w:firstLine="420" w:firstLineChars="200"/>
        <w:rPr>
          <w:rFonts w:ascii="Arial" w:hAnsi="Arial" w:cs="Arial"/>
          <w:szCs w:val="21"/>
          <w:highlight w:val="none"/>
        </w:rPr>
      </w:pPr>
      <w:r>
        <w:rPr>
          <w:rFonts w:ascii="Arial" w:hAnsi="Arial" w:cs="Arial"/>
          <w:szCs w:val="21"/>
          <w:highlight w:val="none"/>
        </w:rPr>
        <w:t>1.6.1前附表如规定现场踏勘的，供应商应按规定时间地点参加踏勘。</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1.6.2供应商均应自行承担所有与投标有关的全部费用（招标文件有相关的规定除外）。</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1.7转包与分包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1.7.1如招标文件其他地方无特别规定，本项目不允许转包。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kern w:val="0"/>
          <w:szCs w:val="21"/>
          <w:highlight w:val="none"/>
        </w:rPr>
      </w:pPr>
      <w:bookmarkStart w:id="120" w:name="_Toc254970673"/>
      <w:bookmarkStart w:id="121" w:name="_Toc254970532"/>
      <w:r>
        <w:rPr>
          <w:rFonts w:ascii="Arial" w:hAnsi="Arial" w:cs="Arial"/>
          <w:b/>
          <w:bCs/>
          <w:kern w:val="0"/>
          <w:szCs w:val="21"/>
          <w:highlight w:val="none"/>
        </w:rPr>
        <w:t>1.8特别说明</w:t>
      </w:r>
      <w:bookmarkEnd w:id="120"/>
      <w:bookmarkEnd w:id="121"/>
    </w:p>
    <w:p>
      <w:pPr>
        <w:spacing w:line="276" w:lineRule="auto"/>
        <w:ind w:firstLine="420" w:firstLineChars="200"/>
        <w:rPr>
          <w:rFonts w:ascii="Arial" w:hAnsi="Arial" w:cs="Arial"/>
          <w:szCs w:val="21"/>
          <w:highlight w:val="none"/>
        </w:rPr>
      </w:pPr>
      <w:r>
        <w:rPr>
          <w:rFonts w:ascii="Arial" w:hAnsi="Arial" w:cs="Arial"/>
          <w:szCs w:val="21"/>
          <w:highlight w:val="none"/>
        </w:rPr>
        <w:t>1.8.1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1.8.2供应商应仔细阅读招标文件的所有内容，按照招标文件的要求提交投标文件，并对所提供的全部资料的真实性承担法律责任。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szCs w:val="21"/>
          <w:highlight w:val="none"/>
        </w:rPr>
      </w:pPr>
      <w:r>
        <w:rPr>
          <w:rFonts w:ascii="Arial" w:hAnsi="Arial" w:cs="Arial"/>
          <w:szCs w:val="21"/>
          <w:highlight w:val="none"/>
        </w:rPr>
        <w:t xml:space="preserve">1.8.3供应商在投标活动中提供任何虚假材料，将报监管部门查处； </w:t>
      </w:r>
    </w:p>
    <w:p>
      <w:pPr>
        <w:spacing w:before="120" w:line="320" w:lineRule="atLeast"/>
        <w:ind w:left="2" w:leftChars="1" w:firstLine="422" w:firstLineChars="200"/>
        <w:outlineLvl w:val="1"/>
        <w:rPr>
          <w:rFonts w:ascii="Arial" w:hAnsi="Arial" w:cs="Arial"/>
          <w:b/>
          <w:bCs/>
          <w:kern w:val="0"/>
          <w:szCs w:val="21"/>
          <w:highlight w:val="none"/>
        </w:rPr>
      </w:pPr>
      <w:bookmarkStart w:id="122" w:name="_Toc254970675"/>
      <w:bookmarkStart w:id="123" w:name="_Toc254970534"/>
      <w:r>
        <w:rPr>
          <w:rFonts w:ascii="Arial" w:hAnsi="Arial" w:cs="Arial"/>
          <w:b/>
          <w:bCs/>
          <w:kern w:val="0"/>
          <w:szCs w:val="21"/>
          <w:highlight w:val="none"/>
        </w:rPr>
        <w:t>2．招标文件</w:t>
      </w:r>
      <w:bookmarkEnd w:id="122"/>
      <w:bookmarkEnd w:id="123"/>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2.1招标文件的构成</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第一章 招标公告</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第二章 项目采购需求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第三章 供应商须知</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第四章 评标方法及评标标准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第五章 合同主要条款格式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第六章 投标文件格式</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2.2供应商的风险</w:t>
      </w:r>
    </w:p>
    <w:p>
      <w:pPr>
        <w:spacing w:before="120" w:line="320" w:lineRule="atLeast"/>
        <w:ind w:firstLine="420" w:firstLineChars="200"/>
        <w:rPr>
          <w:rFonts w:ascii="Arial" w:hAnsi="Arial" w:cs="Arial"/>
          <w:szCs w:val="21"/>
          <w:highlight w:val="none"/>
        </w:rPr>
      </w:pPr>
      <w:r>
        <w:rPr>
          <w:rFonts w:ascii="Arial" w:hAnsi="Arial" w:cs="Arial"/>
          <w:szCs w:val="21"/>
          <w:highlight w:val="none"/>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szCs w:val="21"/>
          <w:highlight w:val="none"/>
        </w:rPr>
      </w:pPr>
      <w:r>
        <w:rPr>
          <w:rFonts w:ascii="Arial" w:hAnsi="Arial" w:cs="Arial"/>
          <w:b/>
          <w:bCs/>
          <w:kern w:val="0"/>
          <w:szCs w:val="21"/>
          <w:highlight w:val="none"/>
        </w:rPr>
        <w:t>2.3招标文件的澄清与修改</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2.3.1任何已获得招标文件的潜在供应商，均可以书面形式要求采购代理机构作出书面解释、澄清。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124" w:name="_Hlk132790706"/>
      <w:r>
        <w:rPr>
          <w:rFonts w:ascii="Arial" w:hAnsi="Arial" w:cs="Arial"/>
          <w:szCs w:val="21"/>
          <w:highlight w:val="none"/>
        </w:rPr>
        <w:t>在投标人须知前附表规定的方式通知所有获取招标文件的潜在投标人</w:t>
      </w:r>
      <w:bookmarkEnd w:id="124"/>
      <w:r>
        <w:rPr>
          <w:rFonts w:ascii="Arial" w:hAnsi="Arial" w:cs="Arial"/>
          <w:szCs w:val="21"/>
          <w:highlight w:val="none"/>
        </w:rPr>
        <w:t>；不足15日的，采购人或者采购代理机构应当顺延提交投标文件的截止时间。</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kern w:val="0"/>
          <w:szCs w:val="21"/>
          <w:highlight w:val="none"/>
        </w:rPr>
      </w:pPr>
      <w:bookmarkStart w:id="125" w:name="_Toc254970535"/>
      <w:bookmarkStart w:id="126" w:name="_Toc254970676"/>
      <w:r>
        <w:rPr>
          <w:rFonts w:ascii="Arial" w:hAnsi="Arial" w:cs="Arial"/>
          <w:b/>
          <w:bCs/>
          <w:kern w:val="0"/>
          <w:szCs w:val="21"/>
          <w:highlight w:val="none"/>
        </w:rPr>
        <w:t>3．投标文件</w:t>
      </w:r>
      <w:bookmarkEnd w:id="125"/>
      <w:bookmarkEnd w:id="126"/>
    </w:p>
    <w:p>
      <w:pPr>
        <w:spacing w:before="120" w:line="320" w:lineRule="atLeast"/>
        <w:ind w:firstLine="422" w:firstLineChars="200"/>
        <w:outlineLvl w:val="2"/>
        <w:rPr>
          <w:rFonts w:ascii="Arial" w:hAnsi="Arial" w:cs="Arial"/>
          <w:b/>
          <w:bCs/>
          <w:kern w:val="0"/>
          <w:szCs w:val="21"/>
          <w:highlight w:val="none"/>
        </w:rPr>
      </w:pPr>
      <w:bookmarkStart w:id="127" w:name="_Toc254970677"/>
      <w:bookmarkStart w:id="128" w:name="_Toc254970536"/>
      <w:r>
        <w:rPr>
          <w:rFonts w:ascii="Arial" w:hAnsi="Arial" w:cs="Arial"/>
          <w:b/>
          <w:bCs/>
          <w:kern w:val="0"/>
          <w:szCs w:val="21"/>
          <w:highlight w:val="none"/>
        </w:rPr>
        <w:t>3.1投标文件的组成</w:t>
      </w:r>
      <w:bookmarkEnd w:id="127"/>
      <w:bookmarkEnd w:id="128"/>
    </w:p>
    <w:p>
      <w:pPr>
        <w:spacing w:before="120" w:line="320" w:lineRule="atLeast"/>
        <w:ind w:firstLine="420" w:firstLineChars="200"/>
        <w:rPr>
          <w:rFonts w:ascii="Arial" w:hAnsi="Arial" w:cs="Arial"/>
          <w:szCs w:val="21"/>
          <w:highlight w:val="none"/>
        </w:rPr>
      </w:pPr>
      <w:r>
        <w:rPr>
          <w:rFonts w:ascii="Arial" w:hAnsi="Arial" w:cs="Arial"/>
          <w:szCs w:val="21"/>
          <w:highlight w:val="none"/>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kern w:val="0"/>
          <w:szCs w:val="21"/>
          <w:highlight w:val="none"/>
        </w:rPr>
      </w:pPr>
      <w:bookmarkStart w:id="129" w:name="_Toc254970678"/>
      <w:bookmarkStart w:id="130" w:name="_Toc254970537"/>
      <w:r>
        <w:rPr>
          <w:rFonts w:ascii="Arial" w:hAnsi="Arial" w:cs="Arial"/>
          <w:b/>
          <w:szCs w:val="21"/>
          <w:highlight w:val="none"/>
        </w:rPr>
        <w:t>3.2</w:t>
      </w:r>
      <w:r>
        <w:rPr>
          <w:rFonts w:ascii="Arial" w:hAnsi="Arial" w:cs="Arial"/>
          <w:b/>
          <w:bCs/>
          <w:kern w:val="0"/>
          <w:szCs w:val="21"/>
          <w:highlight w:val="none"/>
        </w:rPr>
        <w:t>投标文件的语言及计量</w:t>
      </w:r>
      <w:bookmarkEnd w:id="129"/>
      <w:bookmarkEnd w:id="130"/>
    </w:p>
    <w:p>
      <w:pPr>
        <w:spacing w:before="120" w:line="320" w:lineRule="atLeast"/>
        <w:ind w:firstLine="420" w:firstLineChars="200"/>
        <w:rPr>
          <w:rFonts w:ascii="Arial" w:hAnsi="Arial" w:cs="Arial"/>
          <w:szCs w:val="21"/>
          <w:highlight w:val="none"/>
        </w:rPr>
      </w:pPr>
      <w:r>
        <w:rPr>
          <w:rFonts w:ascii="Arial" w:hAnsi="Arial" w:cs="Arial"/>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kern w:val="0"/>
          <w:szCs w:val="21"/>
          <w:highlight w:val="none"/>
        </w:rPr>
      </w:pPr>
      <w:bookmarkStart w:id="131" w:name="_Toc254970538"/>
      <w:bookmarkStart w:id="132" w:name="_Toc254970679"/>
      <w:r>
        <w:rPr>
          <w:rFonts w:ascii="Arial" w:hAnsi="Arial" w:cs="Arial"/>
          <w:b/>
          <w:bCs/>
          <w:kern w:val="0"/>
          <w:szCs w:val="21"/>
          <w:highlight w:val="none"/>
        </w:rPr>
        <w:t>3.3投标报价</w:t>
      </w:r>
      <w:bookmarkEnd w:id="131"/>
      <w:bookmarkEnd w:id="132"/>
    </w:p>
    <w:p>
      <w:pPr>
        <w:spacing w:before="120" w:line="320" w:lineRule="atLeast"/>
        <w:ind w:firstLine="420" w:firstLineChars="200"/>
        <w:rPr>
          <w:rFonts w:ascii="Arial" w:hAnsi="Arial" w:cs="Arial"/>
          <w:szCs w:val="21"/>
          <w:highlight w:val="none"/>
        </w:rPr>
      </w:pPr>
      <w:r>
        <w:rPr>
          <w:rFonts w:ascii="Arial" w:hAnsi="Arial" w:cs="Arial"/>
          <w:szCs w:val="21"/>
          <w:highlight w:val="none"/>
        </w:rPr>
        <w:t>3.3.1投标报价应按招标文件中相关附表格式填写。</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3.3.2投标文件只允许有一个报价，有选择的或有条件的报价将不予接受。</w:t>
      </w:r>
    </w:p>
    <w:p>
      <w:pPr>
        <w:suppressAutoHyphens/>
        <w:spacing w:before="120" w:line="320" w:lineRule="atLeast"/>
        <w:ind w:firstLine="420" w:firstLineChars="200"/>
        <w:rPr>
          <w:rFonts w:ascii="Arial" w:hAnsi="Arial" w:cs="Arial"/>
          <w:kern w:val="1"/>
          <w:szCs w:val="21"/>
          <w:highlight w:val="none"/>
        </w:rPr>
      </w:pPr>
      <w:r>
        <w:rPr>
          <w:rFonts w:ascii="Arial" w:hAnsi="Arial" w:cs="Arial"/>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kern w:val="1"/>
          <w:szCs w:val="21"/>
          <w:highlight w:val="none"/>
        </w:rPr>
      </w:pPr>
      <w:r>
        <w:rPr>
          <w:rFonts w:ascii="Arial" w:hAnsi="Arial" w:cs="Arial"/>
          <w:kern w:val="1"/>
          <w:szCs w:val="21"/>
          <w:highlight w:val="none"/>
        </w:rPr>
        <w:t>3.3.4采购人不接受供应商给予的赠品、回扣或者与采购无关的其他商品、服务。</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3.4投标有效期</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3.4.1如招标文件其他地方无特别规定，投标有效期则为投标截止之日起90天。在投标有效期内投标文件应保持有效。</w:t>
      </w:r>
      <w:r>
        <w:rPr>
          <w:rFonts w:ascii="Arial" w:hAnsi="Arial" w:cs="Arial"/>
          <w:b/>
          <w:bCs/>
          <w:szCs w:val="21"/>
          <w:highlight w:val="none"/>
        </w:rPr>
        <w:t>有效期不足的投标文件将被否决</w:t>
      </w:r>
      <w:r>
        <w:rPr>
          <w:rFonts w:ascii="Arial" w:hAnsi="Arial" w:cs="Arial"/>
          <w:szCs w:val="21"/>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kern w:val="0"/>
          <w:szCs w:val="21"/>
          <w:highlight w:val="none"/>
        </w:rPr>
      </w:pPr>
      <w:bookmarkStart w:id="133" w:name="_Toc254970541"/>
      <w:bookmarkStart w:id="134" w:name="_Toc254970682"/>
      <w:r>
        <w:rPr>
          <w:rFonts w:ascii="Arial" w:hAnsi="Arial" w:cs="Arial"/>
          <w:b/>
          <w:bCs/>
          <w:kern w:val="0"/>
          <w:szCs w:val="21"/>
          <w:highlight w:val="none"/>
        </w:rPr>
        <w:t>3.5投标保证金</w:t>
      </w:r>
      <w:bookmarkEnd w:id="133"/>
      <w:bookmarkEnd w:id="134"/>
    </w:p>
    <w:p>
      <w:pPr>
        <w:spacing w:before="120" w:line="320" w:lineRule="atLeast"/>
        <w:ind w:left="420"/>
        <w:rPr>
          <w:rFonts w:ascii="Arial" w:hAnsi="Arial" w:cs="Arial"/>
          <w:szCs w:val="21"/>
          <w:highlight w:val="none"/>
        </w:rPr>
      </w:pPr>
      <w:r>
        <w:rPr>
          <w:rFonts w:ascii="Arial" w:hAnsi="Arial" w:cs="Arial"/>
          <w:szCs w:val="21"/>
          <w:highlight w:val="none"/>
        </w:rPr>
        <w:t>本项目无需缴纳投标保证金。</w:t>
      </w:r>
    </w:p>
    <w:p>
      <w:pPr>
        <w:spacing w:before="120" w:line="320" w:lineRule="atLeast"/>
        <w:ind w:firstLine="422" w:firstLineChars="200"/>
        <w:outlineLvl w:val="2"/>
        <w:rPr>
          <w:rFonts w:ascii="Arial" w:hAnsi="Arial" w:cs="Arial"/>
          <w:b/>
          <w:bCs/>
          <w:kern w:val="0"/>
          <w:szCs w:val="21"/>
          <w:highlight w:val="none"/>
        </w:rPr>
      </w:pPr>
      <w:bookmarkStart w:id="135" w:name="_Toc254970542"/>
      <w:bookmarkStart w:id="136" w:name="_Toc254970683"/>
      <w:r>
        <w:rPr>
          <w:rFonts w:ascii="Arial" w:hAnsi="Arial" w:cs="Arial"/>
          <w:b/>
          <w:bCs/>
          <w:kern w:val="0"/>
          <w:szCs w:val="21"/>
          <w:highlight w:val="none"/>
        </w:rPr>
        <w:t>3.6投标文件的</w:t>
      </w:r>
      <w:bookmarkEnd w:id="135"/>
      <w:bookmarkEnd w:id="136"/>
      <w:r>
        <w:rPr>
          <w:rFonts w:ascii="Arial" w:hAnsi="Arial" w:cs="Arial"/>
          <w:b/>
          <w:bCs/>
          <w:kern w:val="0"/>
          <w:szCs w:val="21"/>
          <w:highlight w:val="none"/>
        </w:rPr>
        <w:t>编制要求</w:t>
      </w:r>
    </w:p>
    <w:p>
      <w:pPr>
        <w:spacing w:before="120" w:line="320" w:lineRule="atLeast"/>
        <w:ind w:firstLine="420" w:firstLineChars="200"/>
        <w:rPr>
          <w:rFonts w:ascii="Arial" w:hAnsi="Arial" w:cs="Arial"/>
          <w:b/>
          <w:bCs/>
          <w:kern w:val="0"/>
          <w:szCs w:val="21"/>
          <w:highlight w:val="none"/>
        </w:rPr>
      </w:pPr>
      <w:r>
        <w:rPr>
          <w:rFonts w:ascii="Arial" w:hAnsi="Arial" w:cs="Arial"/>
          <w:kern w:val="0"/>
          <w:szCs w:val="21"/>
          <w:highlight w:val="none"/>
        </w:rPr>
        <w:t>3.6.1</w:t>
      </w:r>
      <w:r>
        <w:rPr>
          <w:rFonts w:ascii="Arial" w:hAnsi="Arial" w:cs="Arial"/>
          <w:szCs w:val="21"/>
          <w:highlight w:val="none"/>
        </w:rPr>
        <w:t>供应商应先安装</w:t>
      </w:r>
      <w:bookmarkStart w:id="137" w:name="_Hlk160184301"/>
      <w:r>
        <w:rPr>
          <w:rFonts w:ascii="Arial" w:hAnsi="Arial" w:cs="Arial"/>
          <w:szCs w:val="21"/>
          <w:highlight w:val="none"/>
        </w:rPr>
        <w:t>广西政府采购云平台新版客户端</w:t>
      </w:r>
      <w:bookmarkEnd w:id="137"/>
      <w:r>
        <w:rPr>
          <w:rFonts w:ascii="Arial" w:hAnsi="Arial" w:cs="Arial"/>
          <w:szCs w:val="21"/>
          <w:highlight w:val="none"/>
        </w:rPr>
        <w:t>，通过账号密码或CA登录客户端制作投标文件。</w:t>
      </w:r>
    </w:p>
    <w:p>
      <w:pPr>
        <w:spacing w:before="120" w:line="320" w:lineRule="atLeast"/>
        <w:ind w:firstLine="420" w:firstLineChars="200"/>
        <w:rPr>
          <w:rFonts w:ascii="Arial" w:hAnsi="Arial" w:cs="Arial"/>
          <w:szCs w:val="21"/>
          <w:highlight w:val="none"/>
        </w:rPr>
      </w:pPr>
      <w:bookmarkStart w:id="138" w:name="_Hlk132791136"/>
      <w:r>
        <w:rPr>
          <w:rFonts w:ascii="Arial" w:hAnsi="Arial" w:cs="Arial"/>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pPr>
        <w:spacing w:before="120" w:line="320" w:lineRule="atLeast"/>
        <w:ind w:firstLine="420" w:firstLineChars="200"/>
        <w:rPr>
          <w:rFonts w:ascii="Arial" w:hAnsi="Arial" w:cs="Arial"/>
          <w:szCs w:val="21"/>
          <w:highlight w:val="none"/>
        </w:rPr>
      </w:pPr>
      <w:bookmarkStart w:id="139" w:name="_Hlk93046800"/>
      <w:r>
        <w:rPr>
          <w:rFonts w:ascii="Arial" w:hAnsi="Arial" w:cs="Arial"/>
          <w:szCs w:val="21"/>
          <w:highlight w:val="none"/>
        </w:rPr>
        <w:t>3.6.3 投标人的投标文件未按照招标文件要求签署、盖章的，</w:t>
      </w:r>
      <w:r>
        <w:rPr>
          <w:rFonts w:ascii="Arial" w:hAnsi="Arial" w:cs="Arial"/>
          <w:b/>
          <w:bCs/>
          <w:szCs w:val="21"/>
          <w:highlight w:val="none"/>
        </w:rPr>
        <w:t>其投标无效</w:t>
      </w:r>
      <w:r>
        <w:rPr>
          <w:rFonts w:ascii="Arial" w:hAnsi="Arial" w:cs="Arial"/>
          <w:szCs w:val="21"/>
          <w:highlight w:val="none"/>
        </w:rPr>
        <w:t>。</w:t>
      </w:r>
    </w:p>
    <w:bookmarkEnd w:id="138"/>
    <w:bookmarkEnd w:id="139"/>
    <w:p>
      <w:pPr>
        <w:spacing w:before="120" w:line="320" w:lineRule="atLeast"/>
        <w:ind w:firstLine="420" w:firstLineChars="200"/>
        <w:rPr>
          <w:rFonts w:ascii="Arial" w:hAnsi="Arial" w:cs="Arial"/>
          <w:szCs w:val="21"/>
          <w:highlight w:val="none"/>
        </w:rPr>
      </w:pPr>
      <w:r>
        <w:rPr>
          <w:rFonts w:ascii="Arial" w:hAnsi="Arial" w:cs="Arial"/>
          <w:szCs w:val="21"/>
          <w:highlight w:val="none"/>
        </w:rPr>
        <w:t>3.6.4为确保网上操作合法、有效和安全，供应商应当在投标截止时间前完成在广西政府采购云平台的身份认证，确保在电子投标过程中能够对相关数据电文进行加密和使用电子签名。</w:t>
      </w:r>
    </w:p>
    <w:p>
      <w:pPr>
        <w:spacing w:before="120" w:line="320" w:lineRule="atLeast"/>
        <w:ind w:firstLine="420" w:firstLineChars="200"/>
        <w:rPr>
          <w:rFonts w:ascii="Arial" w:hAnsi="Arial" w:cs="Arial"/>
          <w:b/>
          <w:bCs/>
          <w:szCs w:val="21"/>
          <w:highlight w:val="none"/>
        </w:rPr>
      </w:pPr>
      <w:r>
        <w:rPr>
          <w:rFonts w:ascii="Arial" w:hAnsi="Arial" w:cs="Arial"/>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szCs w:val="21"/>
          <w:highlight w:val="none"/>
        </w:rPr>
        <w:t>否则作无效投标处理。</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3.7投标文件的递交、修改和撤回</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pPr>
        <w:spacing w:before="120" w:line="320" w:lineRule="atLeast"/>
        <w:ind w:firstLine="420" w:firstLineChars="200"/>
        <w:rPr>
          <w:rFonts w:ascii="Arial" w:hAnsi="Arial" w:cs="Arial"/>
          <w:szCs w:val="21"/>
          <w:highlight w:val="none"/>
        </w:rPr>
      </w:pPr>
      <w:r>
        <w:rPr>
          <w:rFonts w:ascii="Arial" w:hAnsi="Arial" w:cs="Arial"/>
          <w:szCs w:val="21"/>
          <w:highlight w:val="none"/>
        </w:rPr>
        <w:t xml:space="preserve">3.7.2未在规定时间内提交或者未按照招标文件要求签章、加密的电子投标文件，广西政府采购云平台将拒收。 </w:t>
      </w:r>
    </w:p>
    <w:p>
      <w:pPr>
        <w:spacing w:before="120" w:line="320" w:lineRule="atLeast"/>
        <w:ind w:left="2" w:leftChars="1" w:firstLine="420" w:firstLineChars="200"/>
        <w:rPr>
          <w:rFonts w:ascii="Arial" w:hAnsi="Arial" w:cs="Arial"/>
          <w:szCs w:val="21"/>
          <w:highlight w:val="none"/>
        </w:rPr>
      </w:pPr>
      <w:bookmarkStart w:id="140" w:name="_Toc254970544"/>
      <w:bookmarkStart w:id="141" w:name="_Toc254970685"/>
      <w:r>
        <w:rPr>
          <w:rFonts w:ascii="Arial" w:hAnsi="Arial" w:cs="Arial"/>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pPr>
        <w:spacing w:before="120" w:line="320" w:lineRule="atLeast"/>
        <w:ind w:left="2" w:leftChars="1" w:firstLine="420" w:firstLineChars="200"/>
        <w:rPr>
          <w:rFonts w:ascii="Arial" w:hAnsi="Arial" w:cs="Arial"/>
          <w:szCs w:val="21"/>
          <w:highlight w:val="none"/>
        </w:rPr>
      </w:pPr>
      <w:bookmarkStart w:id="142" w:name="_Hlk93046827"/>
      <w:r>
        <w:rPr>
          <w:rFonts w:ascii="Arial" w:hAnsi="Arial" w:cs="Arial"/>
          <w:szCs w:val="21"/>
          <w:highlight w:val="none"/>
        </w:rPr>
        <w:t>3.7.6招标文件未允许同一供应商提交两个或以上不同的响应文件，但存在</w:t>
      </w:r>
      <w:r>
        <w:rPr>
          <w:rFonts w:ascii="Arial" w:hAnsi="Arial" w:cs="Arial"/>
          <w:highlight w:val="none"/>
        </w:rPr>
        <w:t>同</w:t>
      </w:r>
      <w:r>
        <w:rPr>
          <w:rFonts w:ascii="Arial" w:hAnsi="Arial" w:cs="Arial"/>
          <w:szCs w:val="21"/>
          <w:highlight w:val="none"/>
        </w:rPr>
        <w:t>一供应商提交两个或以上不同的响应文件的，</w:t>
      </w:r>
      <w:r>
        <w:rPr>
          <w:rFonts w:ascii="Arial" w:hAnsi="Arial" w:cs="Arial"/>
          <w:b/>
          <w:bCs/>
          <w:szCs w:val="21"/>
          <w:highlight w:val="none"/>
        </w:rPr>
        <w:t>其投标无效。</w:t>
      </w:r>
    </w:p>
    <w:bookmarkEnd w:id="142"/>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4．开标</w:t>
      </w:r>
      <w:bookmarkEnd w:id="140"/>
      <w:bookmarkEnd w:id="141"/>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4.1开标准备</w:t>
      </w:r>
    </w:p>
    <w:p>
      <w:pPr>
        <w:spacing w:before="120" w:line="276" w:lineRule="auto"/>
        <w:ind w:firstLine="420" w:firstLineChars="200"/>
        <w:rPr>
          <w:rFonts w:ascii="Arial" w:hAnsi="Arial" w:cs="Arial"/>
          <w:szCs w:val="21"/>
          <w:highlight w:val="none"/>
        </w:rPr>
      </w:pPr>
      <w:r>
        <w:rPr>
          <w:rFonts w:ascii="Arial" w:hAnsi="Arial" w:cs="Arial"/>
          <w:szCs w:val="21"/>
          <w:highlight w:val="none"/>
        </w:rPr>
        <w:t>本项目投标截止时间及地点见“供应商须知前附表”规定。</w:t>
      </w:r>
    </w:p>
    <w:p>
      <w:pPr>
        <w:autoSpaceDE w:val="0"/>
        <w:autoSpaceDN w:val="0"/>
        <w:adjustRightInd w:val="0"/>
        <w:spacing w:line="276" w:lineRule="auto"/>
        <w:ind w:firstLine="420" w:firstLineChars="200"/>
        <w:rPr>
          <w:rFonts w:ascii="Arial" w:hAnsi="Arial" w:cs="Arial"/>
          <w:szCs w:val="21"/>
          <w:highlight w:val="none"/>
        </w:rPr>
      </w:pPr>
      <w:r>
        <w:rPr>
          <w:rFonts w:ascii="Arial" w:hAnsi="Arial" w:cs="Arial"/>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szCs w:val="21"/>
          <w:highlight w:val="none"/>
        </w:rPr>
      </w:pPr>
      <w:r>
        <w:rPr>
          <w:rFonts w:ascii="Arial" w:hAnsi="Arial" w:cs="Arial"/>
          <w:szCs w:val="21"/>
          <w:highlight w:val="none"/>
        </w:rPr>
        <w:t xml:space="preserve">如供应商成功解密投标文件，但未在广西政府采购云平台电子开标大厅参加开标的，视同认可开标过程和结果，由此产生的后果由供应商自行负责。 </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4.2开标程序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4.2.1供应商登录广西政府采购云平台进入开标大厅签到。</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highlight w:val="none"/>
        </w:rPr>
        <w:t>通知后供应商仍未在上述规定时间内解密响应文件</w:t>
      </w:r>
      <w:r>
        <w:rPr>
          <w:rFonts w:ascii="Arial" w:hAnsi="Arial" w:cs="Arial"/>
          <w:szCs w:val="21"/>
          <w:highlight w:val="none"/>
        </w:rPr>
        <w:t>，或者供应商没预留联系方式或预留联系方式无效导致代理机构无法联系到供应商进行解密的，均视为无效投标。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4.2.4解密异常情况处理：详见本章9.2电子交易活动的中止。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4.2.5供应商对报价进行确认。</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4.2.6开标结束。</w:t>
      </w:r>
    </w:p>
    <w:p>
      <w:pPr>
        <w:pStyle w:val="28"/>
        <w:snapToGrid w:val="0"/>
        <w:spacing w:line="440" w:lineRule="exact"/>
        <w:ind w:firstLine="422" w:firstLineChars="200"/>
        <w:rPr>
          <w:rFonts w:ascii="Arial" w:hAnsi="Arial" w:cs="Arial"/>
          <w:highlight w:val="none"/>
        </w:rPr>
      </w:pPr>
      <w:r>
        <w:rPr>
          <w:rFonts w:ascii="Arial" w:hAnsi="Arial" w:cs="Arial"/>
          <w:b/>
          <w:bCs/>
          <w:highlight w:val="none"/>
        </w:rPr>
        <w:t>特别说明：</w:t>
      </w:r>
      <w:r>
        <w:rPr>
          <w:rFonts w:ascii="Arial" w:hAnsi="Arial" w:cs="Arial"/>
          <w:highlight w:val="none"/>
        </w:rPr>
        <w:t>如遇广西政府采购云平台电子化开标或评审程序调整的，按调整后的程序执行。</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4.3演示</w:t>
      </w:r>
    </w:p>
    <w:p>
      <w:pPr>
        <w:spacing w:before="120" w:line="320" w:lineRule="atLeast"/>
        <w:ind w:firstLine="420" w:firstLineChars="200"/>
        <w:rPr>
          <w:rFonts w:ascii="Arial" w:hAnsi="Arial" w:cs="Arial"/>
          <w:szCs w:val="21"/>
          <w:highlight w:val="none"/>
        </w:rPr>
      </w:pPr>
      <w:r>
        <w:rPr>
          <w:rFonts w:hint="eastAsia" w:ascii="Arial" w:hAnsi="Arial" w:cs="Arial"/>
          <w:szCs w:val="21"/>
          <w:highlight w:val="none"/>
        </w:rPr>
        <w:t>详见第四章评标方法及评标标准。</w:t>
      </w:r>
    </w:p>
    <w:p>
      <w:pPr>
        <w:spacing w:before="120" w:line="320" w:lineRule="atLeast"/>
        <w:ind w:firstLine="422" w:firstLineChars="200"/>
        <w:outlineLvl w:val="2"/>
        <w:rPr>
          <w:rFonts w:ascii="Arial" w:hAnsi="Arial" w:cs="Arial"/>
          <w:szCs w:val="21"/>
          <w:highlight w:val="none"/>
        </w:rPr>
      </w:pPr>
      <w:r>
        <w:rPr>
          <w:rFonts w:ascii="Arial" w:hAnsi="Arial" w:cs="Arial"/>
          <w:b/>
          <w:bCs/>
          <w:kern w:val="0"/>
          <w:szCs w:val="21"/>
          <w:highlight w:val="none"/>
        </w:rPr>
        <w:t>4.4样品</w:t>
      </w:r>
    </w:p>
    <w:p>
      <w:pPr>
        <w:spacing w:before="120" w:line="320" w:lineRule="atLeast"/>
        <w:ind w:firstLine="420" w:firstLineChars="200"/>
        <w:rPr>
          <w:rFonts w:ascii="Arial" w:hAnsi="Arial" w:cs="Arial"/>
          <w:szCs w:val="21"/>
          <w:highlight w:val="none"/>
        </w:rPr>
      </w:pPr>
      <w:bookmarkStart w:id="143" w:name="_Toc254970686"/>
      <w:bookmarkStart w:id="144" w:name="_Toc254970545"/>
      <w:r>
        <w:rPr>
          <w:rFonts w:ascii="Arial" w:hAnsi="Arial" w:cs="Arial"/>
          <w:szCs w:val="21"/>
          <w:highlight w:val="none"/>
        </w:rPr>
        <w:t>本项目无需提供样品。</w:t>
      </w:r>
    </w:p>
    <w:p>
      <w:pPr>
        <w:spacing w:before="120" w:line="320" w:lineRule="atLeast"/>
        <w:ind w:left="2" w:leftChars="1" w:firstLine="422" w:firstLineChars="200"/>
        <w:outlineLvl w:val="1"/>
        <w:rPr>
          <w:rFonts w:ascii="Arial" w:hAnsi="Arial" w:cs="Arial"/>
          <w:b/>
          <w:bCs/>
          <w:kern w:val="0"/>
          <w:szCs w:val="21"/>
          <w:highlight w:val="none"/>
        </w:rPr>
      </w:pPr>
      <w:bookmarkStart w:id="145" w:name="_Hlk93420947"/>
      <w:r>
        <w:rPr>
          <w:rFonts w:ascii="Arial" w:hAnsi="Arial" w:cs="Arial"/>
          <w:b/>
          <w:bCs/>
          <w:kern w:val="0"/>
          <w:szCs w:val="21"/>
          <w:highlight w:val="none"/>
        </w:rPr>
        <w:t>5．资格审查</w:t>
      </w:r>
    </w:p>
    <w:p>
      <w:pPr>
        <w:spacing w:before="120" w:line="320" w:lineRule="atLeast"/>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5.1</w:t>
      </w:r>
      <w:r>
        <w:rPr>
          <w:rFonts w:ascii="Arial" w:hAnsi="Arial" w:cs="Arial"/>
          <w:bCs/>
          <w:szCs w:val="21"/>
          <w:highlight w:val="none"/>
        </w:rPr>
        <w:t>开标结束后，采购人或者采购代理机构通过电子交易台对供应商的资格进行审查。资格审查</w:t>
      </w:r>
      <w:r>
        <w:rPr>
          <w:rFonts w:ascii="Arial" w:hAnsi="Arial" w:cs="Arial"/>
          <w:bCs/>
          <w:kern w:val="0"/>
          <w:szCs w:val="21"/>
          <w:highlight w:val="none"/>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5.3供应商有下列情形之一的，资格审查不合格，作无效投标处理：</w:t>
      </w:r>
    </w:p>
    <w:p>
      <w:pPr>
        <w:spacing w:line="276" w:lineRule="auto"/>
        <w:ind w:firstLine="420" w:firstLineChars="200"/>
        <w:rPr>
          <w:rFonts w:ascii="Arial" w:hAnsi="Arial" w:cs="Arial"/>
          <w:highlight w:val="none"/>
        </w:rPr>
      </w:pPr>
      <w:r>
        <w:rPr>
          <w:rFonts w:ascii="Arial" w:hAnsi="Arial" w:cs="Arial"/>
          <w:szCs w:val="21"/>
          <w:highlight w:val="none"/>
        </w:rPr>
        <w:t xml:space="preserve">5.3.1不具备招标文件中规定的资格要求或资格条件的； </w:t>
      </w:r>
      <w:r>
        <w:rPr>
          <w:rFonts w:ascii="Arial" w:hAnsi="Arial" w:cs="Arial"/>
          <w:highlight w:val="none"/>
        </w:rPr>
        <w:t>（注：其中信用查询规则见“投标人须知前附表”，</w:t>
      </w:r>
      <w:r>
        <w:rPr>
          <w:rFonts w:ascii="Arial" w:hAnsi="Arial" w:cs="Arial"/>
          <w:szCs w:val="21"/>
          <w:highlight w:val="none"/>
        </w:rPr>
        <w:t>广西政府采购云平台</w:t>
      </w:r>
      <w:r>
        <w:rPr>
          <w:rFonts w:ascii="Arial" w:hAnsi="Arial" w:cs="Arial"/>
          <w:highlight w:val="none"/>
        </w:rPr>
        <w:t>已与“信用中国”平台做接口，可直接在线查询）</w:t>
      </w:r>
    </w:p>
    <w:p>
      <w:pPr>
        <w:spacing w:before="120" w:line="276" w:lineRule="auto"/>
        <w:ind w:firstLine="420" w:firstLineChars="200"/>
        <w:rPr>
          <w:rFonts w:ascii="Arial" w:hAnsi="Arial" w:cs="Arial"/>
          <w:szCs w:val="21"/>
          <w:highlight w:val="none"/>
        </w:rPr>
      </w:pPr>
      <w:r>
        <w:rPr>
          <w:rFonts w:ascii="Arial" w:hAnsi="Arial" w:cs="Arial"/>
          <w:szCs w:val="21"/>
          <w:highlight w:val="none"/>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kern w:val="0"/>
          <w:szCs w:val="21"/>
          <w:highlight w:val="none"/>
        </w:rPr>
      </w:pPr>
      <w:r>
        <w:rPr>
          <w:rFonts w:ascii="Arial" w:hAnsi="Arial" w:cs="Arial"/>
          <w:bCs/>
          <w:kern w:val="0"/>
          <w:szCs w:val="21"/>
          <w:highlight w:val="none"/>
        </w:rPr>
        <w:t>5.4资格审查合格的供应商不足3家的，不得评审。</w:t>
      </w:r>
    </w:p>
    <w:bookmarkEnd w:id="145"/>
    <w:p>
      <w:pPr>
        <w:spacing w:before="120" w:line="320" w:lineRule="atLeast"/>
        <w:ind w:left="2" w:leftChars="1" w:firstLine="422" w:firstLineChars="200"/>
        <w:outlineLvl w:val="1"/>
        <w:rPr>
          <w:rFonts w:ascii="Arial" w:hAnsi="Arial" w:cs="Arial"/>
          <w:b/>
          <w:bCs/>
          <w:kern w:val="0"/>
          <w:szCs w:val="21"/>
          <w:highlight w:val="none"/>
        </w:rPr>
      </w:pPr>
      <w:bookmarkStart w:id="146" w:name="_Hlk93420990"/>
      <w:r>
        <w:rPr>
          <w:rFonts w:ascii="Arial" w:hAnsi="Arial" w:cs="Arial"/>
          <w:b/>
          <w:bCs/>
          <w:kern w:val="0"/>
          <w:szCs w:val="21"/>
          <w:highlight w:val="none"/>
        </w:rPr>
        <w:t>6．评审</w:t>
      </w:r>
      <w:bookmarkEnd w:id="143"/>
      <w:bookmarkEnd w:id="144"/>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6.1评审委员会及评审原则</w:t>
      </w:r>
    </w:p>
    <w:p>
      <w:pPr>
        <w:spacing w:before="120" w:line="320" w:lineRule="atLeast"/>
        <w:ind w:firstLine="420" w:firstLineChars="200"/>
        <w:rPr>
          <w:rFonts w:ascii="Arial" w:hAnsi="Arial" w:cs="Arial"/>
          <w:szCs w:val="21"/>
          <w:highlight w:val="none"/>
        </w:rPr>
      </w:pPr>
      <w:bookmarkStart w:id="147" w:name="_Hlk91249317"/>
      <w:r>
        <w:rPr>
          <w:rFonts w:ascii="Arial" w:hAnsi="Arial" w:cs="Arial"/>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6.1.4本项目评审过程实行全程网上留痕及录音、录像监控，供应商在评审过程中所进行的试图影响评审结果的不公正活动，可能导致其投标按无效处理。</w:t>
      </w:r>
    </w:p>
    <w:bookmarkEnd w:id="147"/>
    <w:p>
      <w:pPr>
        <w:spacing w:before="120" w:line="320" w:lineRule="atLeast"/>
        <w:ind w:firstLine="422" w:firstLineChars="200"/>
        <w:outlineLvl w:val="2"/>
        <w:rPr>
          <w:rFonts w:ascii="Arial" w:hAnsi="Arial" w:cs="Arial"/>
          <w:b/>
          <w:bCs/>
          <w:kern w:val="0"/>
          <w:szCs w:val="21"/>
          <w:highlight w:val="none"/>
        </w:rPr>
      </w:pPr>
      <w:bookmarkStart w:id="148" w:name="_Hlk91324148"/>
      <w:r>
        <w:rPr>
          <w:rFonts w:ascii="Arial" w:hAnsi="Arial" w:cs="Arial"/>
          <w:b/>
          <w:bCs/>
          <w:kern w:val="0"/>
          <w:szCs w:val="21"/>
          <w:highlight w:val="none"/>
        </w:rPr>
        <w:t>6.2评审方法及依据</w:t>
      </w:r>
    </w:p>
    <w:p>
      <w:pPr>
        <w:spacing w:before="120" w:line="320" w:lineRule="atLeast"/>
        <w:ind w:firstLine="420" w:firstLineChars="200"/>
        <w:rPr>
          <w:rFonts w:ascii="Arial" w:hAnsi="Arial" w:cs="Arial"/>
          <w:bCs/>
          <w:kern w:val="0"/>
          <w:szCs w:val="21"/>
          <w:highlight w:val="none"/>
        </w:rPr>
      </w:pPr>
      <w:r>
        <w:rPr>
          <w:rFonts w:ascii="Arial" w:hAnsi="Arial" w:cs="Arial"/>
          <w:bCs/>
          <w:kern w:val="0"/>
          <w:szCs w:val="21"/>
          <w:highlight w:val="none"/>
        </w:rPr>
        <w:t>6.2.1本项目采用第四章评审方法及标准规定的方法进行评审。</w:t>
      </w:r>
    </w:p>
    <w:p>
      <w:pPr>
        <w:suppressAutoHyphens/>
        <w:spacing w:before="120" w:line="320" w:lineRule="atLeast"/>
        <w:ind w:firstLine="420" w:firstLineChars="200"/>
        <w:rPr>
          <w:rFonts w:ascii="Arial" w:hAnsi="Arial" w:cs="Arial"/>
          <w:bCs/>
          <w:kern w:val="0"/>
          <w:szCs w:val="21"/>
          <w:highlight w:val="none"/>
        </w:rPr>
      </w:pPr>
      <w:r>
        <w:rPr>
          <w:rFonts w:ascii="Arial" w:hAnsi="Arial" w:cs="Arial"/>
          <w:bCs/>
          <w:kern w:val="0"/>
          <w:szCs w:val="21"/>
          <w:highlight w:val="none"/>
        </w:rPr>
        <w:t>6.2.2</w:t>
      </w:r>
      <w:r>
        <w:rPr>
          <w:rFonts w:ascii="Arial" w:hAnsi="Arial" w:cs="Arial"/>
          <w:highlight w:val="none"/>
        </w:rPr>
        <w:t>评审委员会以招标文件、补充文件、投标文件、澄清及答复为评审依据，</w:t>
      </w:r>
      <w:r>
        <w:rPr>
          <w:rFonts w:ascii="Arial" w:hAnsi="Arial" w:cs="Arial"/>
          <w:bCs/>
          <w:kern w:val="0"/>
          <w:szCs w:val="21"/>
          <w:highlight w:val="none"/>
        </w:rPr>
        <w:t>第四章评审方法及标准没有规定的评审方法、标准及因素，不得作为评审依据。</w:t>
      </w:r>
    </w:p>
    <w:bookmarkEnd w:id="148"/>
    <w:p>
      <w:pPr>
        <w:spacing w:before="120" w:line="320" w:lineRule="atLeast"/>
        <w:ind w:firstLine="422" w:firstLineChars="200"/>
        <w:outlineLvl w:val="2"/>
        <w:rPr>
          <w:rFonts w:ascii="Arial" w:hAnsi="Arial" w:cs="Arial"/>
          <w:b/>
          <w:bCs/>
          <w:kern w:val="0"/>
          <w:szCs w:val="21"/>
          <w:highlight w:val="none"/>
        </w:rPr>
      </w:pPr>
      <w:bookmarkStart w:id="149" w:name="_Hlk91324322"/>
      <w:r>
        <w:rPr>
          <w:rFonts w:ascii="Arial" w:hAnsi="Arial" w:cs="Arial"/>
          <w:b/>
          <w:bCs/>
          <w:kern w:val="0"/>
          <w:szCs w:val="21"/>
          <w:highlight w:val="none"/>
        </w:rPr>
        <w:t>6.3评审程序</w:t>
      </w:r>
    </w:p>
    <w:p>
      <w:pPr>
        <w:spacing w:before="120" w:line="320" w:lineRule="atLeast"/>
        <w:ind w:firstLine="420" w:firstLineChars="200"/>
        <w:rPr>
          <w:rFonts w:ascii="Arial" w:hAnsi="Arial" w:cs="Arial"/>
          <w:highlight w:val="none"/>
        </w:rPr>
      </w:pPr>
      <w:r>
        <w:rPr>
          <w:rFonts w:ascii="Arial" w:hAnsi="Arial" w:cs="Arial"/>
          <w:highlight w:val="none"/>
        </w:rPr>
        <w:t>6.</w:t>
      </w:r>
      <w:bookmarkStart w:id="150" w:name="_Hlk80956880"/>
      <w:r>
        <w:rPr>
          <w:rFonts w:ascii="Arial" w:hAnsi="Arial" w:cs="Arial"/>
          <w:highlight w:val="none"/>
        </w:rPr>
        <w:t>3.1符合性审查</w:t>
      </w:r>
    </w:p>
    <w:p>
      <w:pPr>
        <w:spacing w:before="120" w:line="320" w:lineRule="atLeast"/>
        <w:ind w:firstLine="420" w:firstLineChars="200"/>
        <w:rPr>
          <w:rFonts w:ascii="Arial" w:hAnsi="Arial" w:cs="Arial"/>
          <w:szCs w:val="21"/>
          <w:highlight w:val="none"/>
        </w:rPr>
      </w:pPr>
      <w:r>
        <w:rPr>
          <w:rFonts w:ascii="Arial" w:hAnsi="Arial" w:cs="Arial"/>
          <w:bCs/>
          <w:kern w:val="1"/>
          <w:szCs w:val="21"/>
          <w:highlight w:val="none"/>
        </w:rPr>
        <w:t>资格审查结束后，</w:t>
      </w:r>
      <w:r>
        <w:rPr>
          <w:rFonts w:ascii="Arial" w:hAnsi="Arial" w:cs="Arial"/>
          <w:highlight w:val="none"/>
        </w:rPr>
        <w:t>评审委员会对通过资格审查的供应商的投标文件报价、商务资信、技术等方面实质性内容进行符合性审查，</w:t>
      </w:r>
      <w:r>
        <w:rPr>
          <w:rFonts w:ascii="Arial" w:hAnsi="Arial" w:cs="Arial"/>
          <w:szCs w:val="21"/>
          <w:highlight w:val="none"/>
        </w:rPr>
        <w:t>符合性审查标准详见第四章评审方法及标准。</w:t>
      </w:r>
    </w:p>
    <w:bookmarkEnd w:id="150"/>
    <w:p>
      <w:pPr>
        <w:spacing w:before="120" w:line="320" w:lineRule="atLeast"/>
        <w:ind w:firstLine="420" w:firstLineChars="200"/>
        <w:rPr>
          <w:rFonts w:ascii="Arial" w:hAnsi="Arial" w:cs="Arial"/>
          <w:szCs w:val="21"/>
          <w:highlight w:val="none"/>
        </w:rPr>
      </w:pPr>
      <w:r>
        <w:rPr>
          <w:rFonts w:ascii="Arial" w:hAnsi="Arial" w:cs="Arial"/>
          <w:szCs w:val="21"/>
          <w:highlight w:val="none"/>
        </w:rPr>
        <w:t>6.3.2</w:t>
      </w:r>
      <w:r>
        <w:rPr>
          <w:rFonts w:ascii="Arial" w:hAnsi="Arial" w:cs="Arial"/>
          <w:highlight w:val="none"/>
        </w:rPr>
        <w:t>强制性</w:t>
      </w:r>
      <w:r>
        <w:rPr>
          <w:rFonts w:ascii="Arial" w:hAnsi="Arial" w:cs="Arial"/>
          <w:szCs w:val="21"/>
          <w:highlight w:val="none"/>
        </w:rPr>
        <w:t>采购要求（仅适用于货物采购项目）</w:t>
      </w:r>
    </w:p>
    <w:p>
      <w:pPr>
        <w:suppressAutoHyphens/>
        <w:spacing w:before="120" w:line="320" w:lineRule="atLeast"/>
        <w:ind w:firstLine="422" w:firstLineChars="201"/>
        <w:rPr>
          <w:rFonts w:ascii="Arial" w:hAnsi="Arial" w:cs="Arial"/>
          <w:szCs w:val="21"/>
          <w:highlight w:val="none"/>
        </w:rPr>
      </w:pPr>
      <w:bookmarkStart w:id="151" w:name="_Hlk47714684"/>
      <w:r>
        <w:rPr>
          <w:rFonts w:ascii="Arial" w:hAnsi="Arial" w:cs="Arial"/>
          <w:szCs w:val="21"/>
          <w:highlight w:val="none"/>
        </w:rPr>
        <w:t>（1）</w:t>
      </w:r>
      <w:bookmarkEnd w:id="151"/>
      <w:r>
        <w:rPr>
          <w:rFonts w:ascii="Arial" w:hAnsi="Arial" w:cs="Arial"/>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hint="eastAsia" w:ascii="Arial" w:hAnsi="Arial" w:cs="Arial"/>
          <w:szCs w:val="21"/>
          <w:highlight w:val="none"/>
        </w:rPr>
      </w:pPr>
      <w:bookmarkStart w:id="152" w:name="_Hlk138843020"/>
      <w:r>
        <w:rPr>
          <w:rFonts w:ascii="Arial" w:hAnsi="Arial" w:cs="Arial"/>
          <w:szCs w:val="21"/>
          <w:highlight w:val="none"/>
        </w:rPr>
        <w:t>（2）</w:t>
      </w:r>
      <w:r>
        <w:rPr>
          <w:rFonts w:hint="eastAsia" w:ascii="Arial" w:hAnsi="Arial" w:cs="Arial"/>
          <w:szCs w:val="21"/>
          <w:highlight w:val="none"/>
        </w:rPr>
        <w:t>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szCs w:val="21"/>
          <w:highlight w:val="none"/>
        </w:rPr>
      </w:pPr>
      <w:r>
        <w:rPr>
          <w:rFonts w:hint="eastAsia" w:ascii="Arial" w:hAnsi="Arial" w:cs="Arial"/>
          <w:szCs w:val="21"/>
          <w:highlight w:val="none"/>
        </w:rPr>
        <w:t>注：网络安全专用产品在中共中央网络安全和信息化委员会办公室网站上发布的《网络关键设备和网络安全专用产品目录》中查询。 “网络安全专用产品”内“产品类别”共34类：数据备份与恢复产品、防火墙、入侵检测系统（IDS）、入侵防御系统（IPS）、网络和终端隔离产品、反垃圾邮件产品、网络综合审计产品、网络脆弱性扫描产品、安全数据库系统、网站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r>
        <w:rPr>
          <w:rFonts w:ascii="Arial" w:hAnsi="Arial" w:cs="Arial"/>
          <w:szCs w:val="21"/>
          <w:highlight w:val="none"/>
        </w:rPr>
        <w:t>。</w:t>
      </w:r>
    </w:p>
    <w:bookmarkEnd w:id="152"/>
    <w:p>
      <w:pPr>
        <w:spacing w:before="120" w:line="320" w:lineRule="atLeast"/>
        <w:ind w:firstLine="420" w:firstLineChars="200"/>
        <w:rPr>
          <w:rFonts w:ascii="Arial" w:hAnsi="Arial" w:cs="Arial"/>
          <w:highlight w:val="none"/>
        </w:rPr>
      </w:pPr>
      <w:r>
        <w:rPr>
          <w:rFonts w:ascii="Arial" w:hAnsi="Arial" w:cs="Arial"/>
          <w:highlight w:val="none"/>
        </w:rPr>
        <w:t>6.3.3澄清、说明或补正</w:t>
      </w:r>
    </w:p>
    <w:p>
      <w:pPr>
        <w:spacing w:before="120" w:line="320" w:lineRule="atLeast"/>
        <w:ind w:firstLine="420" w:firstLineChars="200"/>
        <w:rPr>
          <w:rFonts w:ascii="Arial" w:hAnsi="Arial" w:cs="Arial"/>
          <w:highlight w:val="none"/>
        </w:rPr>
      </w:pPr>
      <w:r>
        <w:rPr>
          <w:rFonts w:ascii="Arial" w:hAnsi="Arial" w:cs="Arial"/>
          <w:highlight w:val="none"/>
        </w:rPr>
        <w:t>（1）对投标文件中含义不明确、同类问题表述不一致或者有明显文字和计算错误的内容，评审委员会应在</w:t>
      </w:r>
      <w:r>
        <w:rPr>
          <w:rFonts w:ascii="Arial" w:hAnsi="Arial" w:cs="Arial"/>
          <w:szCs w:val="21"/>
          <w:highlight w:val="none"/>
        </w:rPr>
        <w:t>广西政府采购云平台</w:t>
      </w:r>
      <w:r>
        <w:rPr>
          <w:rFonts w:ascii="Arial" w:hAnsi="Arial" w:cs="Arial"/>
          <w:highlight w:val="none"/>
        </w:rPr>
        <w:t>发布电子澄清函，要求供应商在平台设置的时间内作出必要的澄清、说明或者补正。供应商在</w:t>
      </w:r>
      <w:r>
        <w:rPr>
          <w:rFonts w:ascii="Arial" w:hAnsi="Arial" w:cs="Arial"/>
          <w:szCs w:val="21"/>
          <w:highlight w:val="none"/>
        </w:rPr>
        <w:t>广西政府采购云平台</w:t>
      </w:r>
      <w:r>
        <w:rPr>
          <w:rFonts w:ascii="Arial" w:hAnsi="Arial" w:cs="Arial"/>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highlight w:val="none"/>
        </w:rPr>
      </w:pPr>
      <w:r>
        <w:rPr>
          <w:rFonts w:ascii="Arial" w:hAnsi="Arial" w:cs="Arial"/>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highlight w:val="none"/>
        </w:rPr>
      </w:pPr>
      <w:r>
        <w:rPr>
          <w:rFonts w:ascii="Arial" w:hAnsi="Arial" w:cs="Arial"/>
          <w:highlight w:val="none"/>
        </w:rPr>
        <w:t>6.3.4报价修正</w:t>
      </w:r>
    </w:p>
    <w:p>
      <w:pPr>
        <w:spacing w:before="120" w:line="320" w:lineRule="atLeast"/>
        <w:ind w:firstLine="420" w:firstLineChars="200"/>
        <w:rPr>
          <w:rFonts w:ascii="Arial" w:hAnsi="Arial" w:cs="Arial"/>
          <w:highlight w:val="none"/>
        </w:rPr>
      </w:pPr>
      <w:r>
        <w:rPr>
          <w:rFonts w:ascii="Arial" w:hAnsi="Arial" w:cs="Arial"/>
          <w:highlight w:val="none"/>
        </w:rPr>
        <w:t>（1）报价出现前后不一致的，按照下列规定修正：</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①投标文件中开标一览表（报价表）内容与投标文件中相应内容不一致的，以开标一览表（报价表）为准；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②大写金额和小写金额不一致的，以大写金额为准；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③单价金额小数点或者百分比有明显错位的，以开标一览表的总价为准，并修改单价；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④总价金额与按单价汇总金额不一致的，以单价金额计算结果为准。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同时出现两种以上不一致的，按照上述①-④顺序修正。修正后的报价按照上述“6.3.3澄清、说明或补正”的规定经供应商确认后产生约束力，供应商不确认的，其投标无效。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（3）经供应商确认修正后的报价若超过采购预算金额或者最高限价，其投标文件作无效投标处理。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（4）经供应产确认修正后的报价作为签订合同的依据，并以此报价计算价格分。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6.3.5相同品牌认定（仅适用于货物采购项目）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（1）单一产品采购项目，</w:t>
      </w:r>
      <w:r>
        <w:rPr>
          <w:rFonts w:ascii="Arial" w:hAnsi="Arial" w:cs="Arial"/>
          <w:highlight w:val="none"/>
        </w:rPr>
        <w:t>不同供应商提供的产品品牌相同时，按以下规定确定</w:t>
      </w:r>
      <w:r>
        <w:rPr>
          <w:rFonts w:ascii="Arial" w:hAnsi="Arial" w:cs="Arial"/>
          <w:bCs/>
          <w:kern w:val="0"/>
          <w:szCs w:val="21"/>
          <w:highlight w:val="none"/>
        </w:rPr>
        <w:t>相同品牌的投标有效性</w:t>
      </w:r>
      <w:r>
        <w:rPr>
          <w:rFonts w:ascii="Arial" w:hAnsi="Arial" w:cs="Arial"/>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highlight w:val="none"/>
        </w:rPr>
      </w:pPr>
      <w:r>
        <w:rPr>
          <w:rFonts w:ascii="Arial" w:hAnsi="Arial" w:cs="Arial"/>
          <w:szCs w:val="21"/>
          <w:highlight w:val="none"/>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6.3.6串通投标认定</w:t>
      </w:r>
    </w:p>
    <w:p>
      <w:pPr>
        <w:spacing w:before="120" w:line="320" w:lineRule="atLeast"/>
        <w:ind w:firstLine="420" w:firstLineChars="200"/>
        <w:rPr>
          <w:rFonts w:ascii="Arial" w:hAnsi="Arial" w:cs="Arial"/>
          <w:highlight w:val="none"/>
        </w:rPr>
      </w:pPr>
      <w:r>
        <w:rPr>
          <w:rFonts w:ascii="Arial" w:hAnsi="Arial" w:cs="Arial"/>
          <w:szCs w:val="21"/>
          <w:highlight w:val="none"/>
        </w:rPr>
        <w:t>评审委员会须根据以下规定认定供应商是否有</w:t>
      </w:r>
      <w:r>
        <w:rPr>
          <w:rFonts w:ascii="Arial" w:hAnsi="Arial" w:cs="Arial"/>
          <w:bCs/>
          <w:kern w:val="0"/>
          <w:szCs w:val="21"/>
          <w:highlight w:val="none"/>
        </w:rPr>
        <w:t>串通投标的行为</w:t>
      </w:r>
      <w:r>
        <w:rPr>
          <w:rFonts w:ascii="Arial" w:hAnsi="Arial" w:cs="Arial"/>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①单位负责人为同一人或者存在直接控股、管理关系，参加同一合同项下政府采购活动的不同供应商。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②授权给供应商后参加同一合同项（分标、分包）投标的生产厂商。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③视为或被认定为串通投标的相关供应商。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①不同供应商的投标文件由同一单位或者个人编制；或不同供应商报名的IP地址一致的；</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②不同供应商委托同一单位或者个人办理投标事宜；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③不同的供应商的投标文件载明的项目管理员为同一个人；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④不同供应商的投标文件异常一致或投标报价呈规律性差异；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⑤不同供应商的投标文件相互混装；</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⑥不同供应商的保证金从同一单位或者个人账户转出。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①供应商直接或者间接从采购人或者采购代理机构处获得其他供应商的相关信息并修改其投标文件或者响应文件；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②供应商按照采购人或者采购代理机构的授意撤换、修改投标文件或者响应文件;；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③供应商之间协商报价、技术方案等投标文件或者响应文件的实质性内容；</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④属于同一集团、协会、商会等组织成员的供应商按照该组织要求协同参加政府采购活动；</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⑤供应商之间事先约定一致抬高或者压低投标报价，或者在招标项目中事先约定轮流以高价位或者低价位中标，或者事先约定由某一特定供应商中标，然后再参加投标；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⑥供应商之间商定部分供应商放弃参加政府采购活动或者放弃中标；</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⑦供应商与采购人或者采购代理机构之间、供应商相互之间，为谋求特定供应商中标或者排斥其他供应商的其他串通行为。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6.3.7投标无效认定</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（1）在评审过程中如发现下列情形之一的，投标文件将被视为无效：</w:t>
      </w:r>
    </w:p>
    <w:p>
      <w:pPr>
        <w:spacing w:before="120" w:line="320" w:lineRule="atLeast"/>
        <w:ind w:firstLine="420" w:firstLineChars="200"/>
        <w:rPr>
          <w:rFonts w:ascii="Arial" w:hAnsi="Arial" w:cs="Arial"/>
          <w:highlight w:val="none"/>
        </w:rPr>
      </w:pPr>
      <w:r>
        <w:rPr>
          <w:rFonts w:ascii="Arial" w:hAnsi="Arial" w:cs="Arial"/>
          <w:szCs w:val="21"/>
          <w:highlight w:val="none"/>
        </w:rPr>
        <w:t>①投标文件存在法律、法规及监督部门有关文件规定的无效情形。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②投标文件存在招标文件规定的无效情形。</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6.3.8比较与评价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highlight w:val="none"/>
        </w:rPr>
        <w:t>并列</w:t>
      </w:r>
      <w:r>
        <w:rPr>
          <w:rFonts w:ascii="Arial" w:hAnsi="Arial" w:cs="Arial"/>
          <w:szCs w:val="21"/>
          <w:highlight w:val="none"/>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highlight w:val="none"/>
        </w:rPr>
      </w:pPr>
      <w:r>
        <w:rPr>
          <w:rFonts w:ascii="Arial" w:hAnsi="Arial" w:cs="Arial"/>
          <w:szCs w:val="21"/>
          <w:highlight w:val="none"/>
        </w:rPr>
        <w:t>（4）评审委员会根据评审记录及评审结果编写评审报告，评审委员会成员均应当在评审报告上签字，对自己的评审意见承担法律责任。</w:t>
      </w:r>
      <w:r>
        <w:rPr>
          <w:rFonts w:ascii="Arial" w:hAnsi="Arial" w:cs="Arial"/>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highlight w:val="none"/>
        </w:rPr>
      </w:pPr>
      <w:r>
        <w:rPr>
          <w:rFonts w:ascii="Arial" w:hAnsi="Arial" w:cs="Arial"/>
          <w:highlight w:val="none"/>
        </w:rPr>
        <w:t>分值汇总计算错误的；分项评分超出评分标准范围的；评审委员会成员对客观评审因素评分不一致的；经评审委员会认定评分畸高、畸低的。</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6.4确定中标人</w:t>
      </w:r>
    </w:p>
    <w:p>
      <w:pPr>
        <w:spacing w:before="120" w:line="276" w:lineRule="auto"/>
        <w:ind w:firstLine="420" w:firstLineChars="200"/>
        <w:rPr>
          <w:rFonts w:ascii="Arial" w:hAnsi="Arial" w:cs="Arial"/>
          <w:szCs w:val="21"/>
          <w:highlight w:val="none"/>
        </w:rPr>
      </w:pPr>
      <w:r>
        <w:rPr>
          <w:rFonts w:ascii="Arial" w:hAnsi="Arial" w:cs="Arial"/>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pPr>
        <w:spacing w:before="120" w:line="276" w:lineRule="auto"/>
        <w:ind w:firstLine="420" w:firstLineChars="200"/>
        <w:rPr>
          <w:rFonts w:ascii="Arial" w:hAnsi="Arial" w:cs="Arial"/>
          <w:szCs w:val="21"/>
          <w:highlight w:val="none"/>
        </w:rPr>
      </w:pPr>
      <w:r>
        <w:rPr>
          <w:rFonts w:ascii="Arial" w:hAnsi="Arial" w:cs="Arial"/>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6.5结果公告</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6.5.1自中标人确定后2个工作日内，采购代理机构按照供应商须知</w:t>
      </w:r>
      <w:r>
        <w:rPr>
          <w:rFonts w:ascii="Arial" w:hAnsi="Arial" w:cs="Arial"/>
          <w:kern w:val="0"/>
          <w:szCs w:val="21"/>
          <w:highlight w:val="none"/>
        </w:rPr>
        <w:t>前附表的规定公告</w:t>
      </w:r>
      <w:r>
        <w:rPr>
          <w:rFonts w:ascii="Arial" w:hAnsi="Arial" w:cs="Arial"/>
          <w:szCs w:val="21"/>
          <w:highlight w:val="none"/>
        </w:rPr>
        <w:t>中标结果。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kern w:val="0"/>
          <w:szCs w:val="21"/>
          <w:highlight w:val="none"/>
        </w:rPr>
      </w:pPr>
      <w:r>
        <w:rPr>
          <w:rFonts w:ascii="Arial" w:hAnsi="Arial" w:cs="Arial"/>
          <w:szCs w:val="21"/>
          <w:highlight w:val="none"/>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6.6废标</w:t>
      </w:r>
    </w:p>
    <w:p>
      <w:pPr>
        <w:spacing w:before="120" w:line="320" w:lineRule="atLeast"/>
        <w:ind w:firstLine="420" w:firstLineChars="200"/>
        <w:rPr>
          <w:rFonts w:ascii="Arial" w:hAnsi="Arial" w:cs="Arial"/>
          <w:kern w:val="1"/>
          <w:szCs w:val="21"/>
          <w:highlight w:val="none"/>
        </w:rPr>
      </w:pPr>
      <w:r>
        <w:rPr>
          <w:rFonts w:ascii="Arial" w:hAnsi="Arial" w:cs="Arial"/>
          <w:kern w:val="1"/>
          <w:szCs w:val="21"/>
          <w:highlight w:val="none"/>
        </w:rPr>
        <w:t xml:space="preserve">6.6.1出现下列情形之一，将导致项目废标： </w:t>
      </w:r>
    </w:p>
    <w:p>
      <w:pPr>
        <w:spacing w:before="120" w:line="320" w:lineRule="atLeast"/>
        <w:ind w:firstLine="420" w:firstLineChars="200"/>
        <w:rPr>
          <w:rFonts w:ascii="Arial" w:hAnsi="Arial" w:cs="Arial"/>
          <w:szCs w:val="21"/>
          <w:highlight w:val="none"/>
        </w:rPr>
      </w:pPr>
      <w:r>
        <w:rPr>
          <w:rFonts w:ascii="Arial" w:hAnsi="Arial" w:cs="Arial"/>
          <w:kern w:val="1"/>
          <w:szCs w:val="21"/>
          <w:highlight w:val="none"/>
        </w:rPr>
        <w:t>（1</w:t>
      </w:r>
      <w:r>
        <w:rPr>
          <w:rFonts w:ascii="Arial" w:hAnsi="Arial" w:cs="Arial"/>
          <w:szCs w:val="21"/>
          <w:highlight w:val="none"/>
        </w:rPr>
        <w:t>）符合专业条件的供应商或者对招标文件做实质性响应的供应商不足三家；</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（2）出现影响采购公正的违法、违规行为的；</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（3）供应商的报价均超过了采购预算，采购人不能支付的；</w:t>
      </w:r>
    </w:p>
    <w:p>
      <w:pPr>
        <w:spacing w:before="120" w:line="320" w:lineRule="atLeast"/>
        <w:ind w:firstLine="420" w:firstLineChars="200"/>
        <w:rPr>
          <w:rFonts w:ascii="Arial" w:hAnsi="Arial" w:cs="Arial"/>
          <w:highlight w:val="none"/>
        </w:rPr>
      </w:pPr>
      <w:r>
        <w:rPr>
          <w:rFonts w:ascii="Arial" w:hAnsi="Arial" w:cs="Arial"/>
          <w:szCs w:val="21"/>
          <w:highlight w:val="none"/>
        </w:rPr>
        <w:t>（4）</w:t>
      </w:r>
      <w:r>
        <w:rPr>
          <w:rFonts w:ascii="Arial" w:hAnsi="Arial" w:cs="Arial"/>
          <w:highlight w:val="none"/>
        </w:rPr>
        <w:t>因发生重大变故或采购任务取消的。</w:t>
      </w:r>
    </w:p>
    <w:p>
      <w:pPr>
        <w:spacing w:before="120" w:line="320" w:lineRule="atLeast"/>
        <w:ind w:firstLine="420" w:firstLineChars="200"/>
        <w:rPr>
          <w:rFonts w:ascii="Arial" w:hAnsi="Arial" w:cs="Arial"/>
          <w:szCs w:val="21"/>
          <w:highlight w:val="none"/>
        </w:rPr>
      </w:pPr>
      <w:r>
        <w:rPr>
          <w:rFonts w:ascii="Arial" w:hAnsi="Arial" w:cs="Arial"/>
          <w:kern w:val="1"/>
          <w:szCs w:val="21"/>
          <w:highlight w:val="none"/>
        </w:rPr>
        <w:t>6.6.2废标后</w:t>
      </w:r>
      <w:r>
        <w:rPr>
          <w:rFonts w:ascii="Arial" w:hAnsi="Arial" w:cs="Arial"/>
          <w:szCs w:val="21"/>
          <w:highlight w:val="none"/>
        </w:rPr>
        <w:t>采购</w:t>
      </w:r>
      <w:r>
        <w:rPr>
          <w:rFonts w:ascii="Arial" w:hAnsi="Arial" w:cs="Arial"/>
          <w:kern w:val="1"/>
          <w:szCs w:val="21"/>
          <w:highlight w:val="none"/>
        </w:rPr>
        <w:t>代理机构将发布废标公告通知供应商。</w:t>
      </w:r>
      <w:bookmarkEnd w:id="149"/>
    </w:p>
    <w:bookmarkEnd w:id="146"/>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7．合同</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7.1合同授予标准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7.2签订合同</w:t>
      </w:r>
    </w:p>
    <w:p>
      <w:pPr>
        <w:spacing w:before="120" w:line="320" w:lineRule="atLeast"/>
        <w:ind w:firstLine="420" w:firstLineChars="200"/>
        <w:rPr>
          <w:rFonts w:ascii="Arial" w:hAnsi="Arial" w:cs="Arial"/>
          <w:szCs w:val="21"/>
          <w:highlight w:val="none"/>
        </w:rPr>
      </w:pPr>
      <w:bookmarkStart w:id="153" w:name="_Hlk93421039"/>
      <w:r>
        <w:rPr>
          <w:rFonts w:ascii="Arial" w:hAnsi="Arial" w:cs="Arial"/>
          <w:szCs w:val="21"/>
          <w:highlight w:val="none"/>
        </w:rPr>
        <w:t>7.2.1如招标文件无特别规定，中标人按招标文件确定的事项签订政府采购合同。</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7.2.4中标人拒绝与采购人签订合同的，采购人可以按照评审报告推荐的中标候选人名单排序，确定下一候选人为中标人，也可以重新开展政府采购活动。</w:t>
      </w:r>
    </w:p>
    <w:p>
      <w:pPr>
        <w:spacing w:before="120" w:line="320" w:lineRule="atLeast"/>
        <w:ind w:firstLine="420" w:firstLineChars="200"/>
        <w:rPr>
          <w:rFonts w:ascii="Arial" w:hAnsi="Arial" w:cs="Arial"/>
          <w:szCs w:val="21"/>
          <w:highlight w:val="none"/>
        </w:rPr>
      </w:pPr>
      <w:bookmarkStart w:id="154" w:name="_Hlk155170999"/>
      <w:r>
        <w:rPr>
          <w:rFonts w:ascii="Arial" w:hAnsi="Arial" w:cs="Arial"/>
          <w:szCs w:val="21"/>
          <w:highlight w:val="none"/>
        </w:rPr>
        <w:t>7.2.5采购人因不可抗力原因迟延签订合同的，应当自不可抗力事由消除之日起7日内完成合同签订事宜。</w:t>
      </w:r>
    </w:p>
    <w:bookmarkEnd w:id="153"/>
    <w:bookmarkEnd w:id="154"/>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7.3合同公告</w:t>
      </w:r>
    </w:p>
    <w:p>
      <w:pPr>
        <w:spacing w:before="120" w:line="320" w:lineRule="atLeast"/>
        <w:ind w:firstLine="420" w:firstLineChars="200"/>
        <w:rPr>
          <w:rFonts w:ascii="Arial" w:hAnsi="Arial" w:cs="Arial"/>
          <w:szCs w:val="21"/>
          <w:highlight w:val="none"/>
        </w:rPr>
      </w:pPr>
      <w:bookmarkStart w:id="155" w:name="_Hlk93421052"/>
      <w:r>
        <w:rPr>
          <w:rFonts w:ascii="Arial" w:hAnsi="Arial" w:cs="Arial"/>
          <w:szCs w:val="21"/>
          <w:highlight w:val="none"/>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7.3.2采购人应当自政府采购合同签订之日起2个工作日内，将政府采购合同在省级以上人民政府财政部门指定的媒体上公告，但政府采购合同中涉及国家秘密、商业秘密的内容除外。</w:t>
      </w:r>
    </w:p>
    <w:p>
      <w:pPr>
        <w:spacing w:before="120" w:line="320" w:lineRule="atLeast"/>
        <w:ind w:firstLine="420" w:firstLineChars="200"/>
        <w:rPr>
          <w:rFonts w:ascii="Arial" w:hAnsi="Arial" w:cs="Arial"/>
          <w:szCs w:val="21"/>
          <w:highlight w:val="none"/>
        </w:rPr>
      </w:pPr>
      <w:bookmarkStart w:id="156" w:name="_Hlk155171014"/>
      <w:r>
        <w:rPr>
          <w:rFonts w:ascii="Arial" w:hAnsi="Arial" w:cs="Arial"/>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55"/>
    <w:bookmarkEnd w:id="156"/>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7.4 履行合同</w:t>
      </w:r>
    </w:p>
    <w:p>
      <w:pPr>
        <w:spacing w:before="120" w:line="320" w:lineRule="atLeast"/>
        <w:ind w:firstLine="420" w:firstLineChars="200"/>
        <w:rPr>
          <w:rFonts w:ascii="Arial" w:hAnsi="Arial" w:cs="Arial"/>
          <w:szCs w:val="21"/>
          <w:highlight w:val="none"/>
        </w:rPr>
      </w:pPr>
      <w:bookmarkStart w:id="157" w:name="_Hlk93421061"/>
      <w:r>
        <w:rPr>
          <w:rFonts w:ascii="Arial" w:hAnsi="Arial" w:cs="Arial"/>
          <w:szCs w:val="21"/>
          <w:highlight w:val="none"/>
        </w:rPr>
        <w:t>7.4.1</w:t>
      </w:r>
      <w:bookmarkStart w:id="158" w:name="_Toc308164814"/>
      <w:bookmarkStart w:id="159" w:name="_Toc217446070"/>
      <w:r>
        <w:rPr>
          <w:rFonts w:ascii="Arial" w:hAnsi="Arial" w:cs="Arial"/>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57"/>
    <w:p>
      <w:pPr>
        <w:spacing w:before="120" w:line="320" w:lineRule="atLeast"/>
        <w:ind w:firstLine="422" w:firstLineChars="200"/>
        <w:rPr>
          <w:rFonts w:ascii="Arial" w:hAnsi="Arial" w:cs="Arial"/>
          <w:b/>
          <w:bCs/>
          <w:kern w:val="0"/>
          <w:szCs w:val="21"/>
          <w:highlight w:val="none"/>
        </w:rPr>
      </w:pPr>
      <w:r>
        <w:rPr>
          <w:rFonts w:ascii="Arial" w:hAnsi="Arial" w:cs="Arial"/>
          <w:b/>
          <w:bCs/>
          <w:kern w:val="0"/>
          <w:szCs w:val="21"/>
          <w:highlight w:val="none"/>
        </w:rPr>
        <w:t>7.5履约验收</w:t>
      </w:r>
      <w:bookmarkEnd w:id="158"/>
      <w:bookmarkEnd w:id="159"/>
    </w:p>
    <w:p>
      <w:pPr>
        <w:spacing w:before="120" w:line="320" w:lineRule="atLeast"/>
        <w:ind w:firstLine="420" w:firstLineChars="200"/>
        <w:rPr>
          <w:rFonts w:ascii="Arial" w:hAnsi="Arial" w:cs="Arial"/>
          <w:szCs w:val="21"/>
          <w:highlight w:val="none"/>
        </w:rPr>
      </w:pPr>
      <w:bookmarkStart w:id="160" w:name="_Hlk93421069"/>
      <w:r>
        <w:rPr>
          <w:rFonts w:ascii="Arial" w:hAnsi="Arial" w:cs="Arial"/>
          <w:szCs w:val="21"/>
          <w:highlight w:val="none"/>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7.5.2验收结果合格</w:t>
      </w:r>
      <w:r>
        <w:rPr>
          <w:rFonts w:hint="eastAsia" w:ascii="Arial" w:hAnsi="Arial" w:cs="Arial"/>
          <w:szCs w:val="21"/>
          <w:highlight w:val="none"/>
        </w:rPr>
        <w:t>且免费质保期（1年）过后</w:t>
      </w:r>
      <w:r>
        <w:rPr>
          <w:rFonts w:ascii="Arial" w:hAnsi="Arial" w:cs="Arial"/>
          <w:szCs w:val="21"/>
          <w:highlight w:val="none"/>
        </w:rPr>
        <w:t>，中标人可向采购人申请办理履约保证金的退付手续</w:t>
      </w:r>
      <w:r>
        <w:rPr>
          <w:rFonts w:hint="eastAsia" w:ascii="Arial" w:hAnsi="Arial" w:cs="Arial"/>
          <w:szCs w:val="21"/>
          <w:highlight w:val="none"/>
        </w:rPr>
        <w:t>，采购人收到合格书面材料后20个工作日内办理退付</w:t>
      </w:r>
      <w:r>
        <w:rPr>
          <w:rFonts w:ascii="Arial" w:hAnsi="Arial" w:cs="Arial"/>
          <w:szCs w:val="21"/>
          <w:highlight w:val="none"/>
        </w:rPr>
        <w:t>；验收结果不合格的，履约保证金将不予退还，并按合同约定处理，还可能会报告本项目同级财政部门并按照政府采购法律法规及有关规定给予行政处罚或者以失信行为记入诚信档案。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szCs w:val="21"/>
          <w:highlight w:val="none"/>
        </w:rPr>
      </w:pPr>
      <w:r>
        <w:rPr>
          <w:rFonts w:ascii="Arial" w:hAnsi="Arial" w:cs="Arial"/>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60"/>
    <w:p>
      <w:pPr>
        <w:spacing w:before="120" w:line="320" w:lineRule="atLeast"/>
        <w:ind w:left="2" w:leftChars="1" w:firstLine="422" w:firstLineChars="200"/>
        <w:outlineLvl w:val="1"/>
        <w:rPr>
          <w:rFonts w:ascii="Arial" w:hAnsi="Arial" w:cs="Arial"/>
          <w:b/>
          <w:bCs/>
          <w:kern w:val="0"/>
          <w:szCs w:val="21"/>
          <w:highlight w:val="none"/>
        </w:rPr>
      </w:pPr>
      <w:bookmarkStart w:id="161" w:name="_Toc254970674"/>
      <w:bookmarkStart w:id="162" w:name="_Toc254970533"/>
      <w:r>
        <w:rPr>
          <w:rFonts w:ascii="Arial" w:hAnsi="Arial" w:cs="Arial"/>
          <w:b/>
          <w:bCs/>
          <w:kern w:val="0"/>
          <w:szCs w:val="21"/>
          <w:highlight w:val="none"/>
        </w:rPr>
        <w:t>8．质疑和投诉</w:t>
      </w:r>
      <w:bookmarkEnd w:id="161"/>
      <w:bookmarkEnd w:id="162"/>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8.1质疑</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8.1.1质疑内容、时限</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8.1.2质疑形式</w:t>
      </w:r>
    </w:p>
    <w:p>
      <w:pPr>
        <w:spacing w:before="120" w:line="320" w:lineRule="atLeast"/>
        <w:ind w:firstLine="420" w:firstLineChars="200"/>
        <w:rPr>
          <w:rFonts w:ascii="Arial" w:hAnsi="Arial" w:cs="Arial"/>
          <w:szCs w:val="21"/>
          <w:highlight w:val="none"/>
        </w:rPr>
      </w:pPr>
      <w:r>
        <w:rPr>
          <w:rFonts w:ascii="Arial" w:hAnsi="Arial" w:cs="Arial"/>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8.1.3</w:t>
      </w:r>
      <w:r>
        <w:rPr>
          <w:rFonts w:ascii="Arial" w:hAnsi="Arial" w:cs="Arial"/>
          <w:highlight w:val="none"/>
        </w:rPr>
        <w:t xml:space="preserve"> </w:t>
      </w:r>
      <w:r>
        <w:rPr>
          <w:rFonts w:ascii="Arial" w:hAnsi="Arial" w:cs="Arial"/>
          <w:szCs w:val="21"/>
          <w:highlight w:val="none"/>
        </w:rPr>
        <w:t>供应商提出质疑应当提交质疑函和必要的证明材料。质疑函应当包括下列内容：</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w:t>
      </w:r>
      <w:r>
        <w:rPr>
          <w:rFonts w:ascii="Arial" w:hAnsi="Arial" w:cs="Arial"/>
          <w:szCs w:val="21"/>
          <w:highlight w:val="none"/>
        </w:rPr>
        <w:tab/>
      </w:r>
      <w:r>
        <w:rPr>
          <w:rFonts w:ascii="Arial" w:hAnsi="Arial" w:cs="Arial"/>
          <w:szCs w:val="21"/>
          <w:highlight w:val="none"/>
        </w:rPr>
        <w:t>供应商的姓名或者名称、地址、邮编、联系人及联系电话；</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w:t>
      </w:r>
      <w:r>
        <w:rPr>
          <w:rFonts w:ascii="Arial" w:hAnsi="Arial" w:cs="Arial"/>
          <w:szCs w:val="21"/>
          <w:highlight w:val="none"/>
        </w:rPr>
        <w:tab/>
      </w:r>
      <w:r>
        <w:rPr>
          <w:rFonts w:ascii="Arial" w:hAnsi="Arial" w:cs="Arial"/>
          <w:szCs w:val="21"/>
          <w:highlight w:val="none"/>
        </w:rPr>
        <w:t>质疑项目的名称、编号；</w:t>
      </w:r>
    </w:p>
    <w:p>
      <w:pPr>
        <w:spacing w:before="120" w:line="320" w:lineRule="atLeast"/>
        <w:ind w:firstLine="420" w:firstLineChars="200"/>
        <w:rPr>
          <w:rFonts w:ascii="Arial" w:hAnsi="Arial" w:cs="Arial"/>
          <w:szCs w:val="21"/>
          <w:highlight w:val="none"/>
        </w:rPr>
      </w:pPr>
      <w:r>
        <w:rPr>
          <w:rFonts w:ascii="Arial" w:hAnsi="Arial" w:cs="Arial"/>
          <w:szCs w:val="21"/>
          <w:highlight w:val="none"/>
        </w:rPr>
        <w:t>（3）</w:t>
      </w:r>
      <w:r>
        <w:rPr>
          <w:rFonts w:ascii="Arial" w:hAnsi="Arial" w:cs="Arial"/>
          <w:szCs w:val="21"/>
          <w:highlight w:val="none"/>
        </w:rPr>
        <w:tab/>
      </w:r>
      <w:r>
        <w:rPr>
          <w:rFonts w:ascii="Arial" w:hAnsi="Arial" w:cs="Arial"/>
          <w:szCs w:val="21"/>
          <w:highlight w:val="none"/>
        </w:rPr>
        <w:t>具体、明确的质疑事项和与质疑事项相关的请求；</w:t>
      </w:r>
    </w:p>
    <w:p>
      <w:pPr>
        <w:spacing w:before="120" w:line="320" w:lineRule="atLeast"/>
        <w:ind w:firstLine="420" w:firstLineChars="200"/>
        <w:rPr>
          <w:rFonts w:ascii="Arial" w:hAnsi="Arial" w:cs="Arial"/>
          <w:szCs w:val="21"/>
          <w:highlight w:val="none"/>
        </w:rPr>
      </w:pPr>
      <w:r>
        <w:rPr>
          <w:rFonts w:ascii="Arial" w:hAnsi="Arial" w:cs="Arial"/>
          <w:szCs w:val="21"/>
          <w:highlight w:val="none"/>
        </w:rPr>
        <w:t>（4）</w:t>
      </w:r>
      <w:r>
        <w:rPr>
          <w:rFonts w:ascii="Arial" w:hAnsi="Arial" w:cs="Arial"/>
          <w:szCs w:val="21"/>
          <w:highlight w:val="none"/>
        </w:rPr>
        <w:tab/>
      </w:r>
      <w:r>
        <w:rPr>
          <w:rFonts w:ascii="Arial" w:hAnsi="Arial" w:cs="Arial"/>
          <w:szCs w:val="21"/>
          <w:highlight w:val="none"/>
        </w:rPr>
        <w:t>事实依据；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（5）</w:t>
      </w:r>
      <w:r>
        <w:rPr>
          <w:rFonts w:ascii="Arial" w:hAnsi="Arial" w:cs="Arial"/>
          <w:szCs w:val="21"/>
          <w:highlight w:val="none"/>
        </w:rPr>
        <w:tab/>
      </w:r>
      <w:r>
        <w:rPr>
          <w:rFonts w:ascii="Arial" w:hAnsi="Arial" w:cs="Arial"/>
          <w:szCs w:val="21"/>
          <w:highlight w:val="none"/>
        </w:rPr>
        <w:t>必要的法律依据；</w:t>
      </w:r>
    </w:p>
    <w:p>
      <w:pPr>
        <w:spacing w:before="120" w:line="320" w:lineRule="atLeast"/>
        <w:ind w:firstLine="420" w:firstLineChars="200"/>
        <w:rPr>
          <w:rFonts w:ascii="Arial" w:hAnsi="Arial" w:cs="Arial"/>
          <w:szCs w:val="21"/>
          <w:highlight w:val="none"/>
        </w:rPr>
      </w:pPr>
      <w:r>
        <w:rPr>
          <w:rFonts w:ascii="Arial" w:hAnsi="Arial" w:cs="Arial"/>
          <w:szCs w:val="21"/>
          <w:highlight w:val="none"/>
        </w:rPr>
        <w:t>（6）</w:t>
      </w:r>
      <w:r>
        <w:rPr>
          <w:rFonts w:ascii="Arial" w:hAnsi="Arial" w:cs="Arial"/>
          <w:szCs w:val="21"/>
          <w:highlight w:val="none"/>
        </w:rPr>
        <w:tab/>
      </w:r>
      <w:r>
        <w:rPr>
          <w:rFonts w:ascii="Arial" w:hAnsi="Arial" w:cs="Arial"/>
          <w:szCs w:val="21"/>
          <w:highlight w:val="none"/>
        </w:rPr>
        <w:t>提出质疑的日期。</w:t>
      </w:r>
    </w:p>
    <w:p>
      <w:pPr>
        <w:spacing w:before="120" w:line="320" w:lineRule="atLeast"/>
        <w:ind w:firstLine="420" w:firstLineChars="200"/>
        <w:rPr>
          <w:rFonts w:ascii="Arial" w:hAnsi="Arial" w:cs="Arial"/>
          <w:szCs w:val="21"/>
          <w:highlight w:val="none"/>
        </w:rPr>
      </w:pPr>
      <w:r>
        <w:rPr>
          <w:rFonts w:ascii="Arial" w:hAnsi="Arial" w:cs="Arial"/>
          <w:szCs w:val="21"/>
          <w:highlight w:val="none"/>
        </w:rPr>
        <w:t xml:space="preserve">供应商为自然人的，应当由本人签字；供应商为法人或者其他组织的，应当由法定代表人、主要负责人，或者其授权代表签字或者盖章，并加盖公章。 </w:t>
      </w:r>
    </w:p>
    <w:p>
      <w:pPr>
        <w:spacing w:before="120" w:line="320" w:lineRule="atLeast"/>
        <w:ind w:firstLine="422" w:firstLineChars="200"/>
        <w:outlineLvl w:val="2"/>
        <w:rPr>
          <w:rFonts w:ascii="Arial" w:hAnsi="Arial" w:cs="Arial"/>
          <w:b/>
          <w:bCs/>
          <w:kern w:val="0"/>
          <w:szCs w:val="21"/>
          <w:highlight w:val="none"/>
        </w:rPr>
      </w:pPr>
      <w:r>
        <w:rPr>
          <w:rFonts w:ascii="Arial" w:hAnsi="Arial" w:cs="Arial"/>
          <w:b/>
          <w:bCs/>
          <w:kern w:val="0"/>
          <w:szCs w:val="21"/>
          <w:highlight w:val="none"/>
        </w:rPr>
        <w:t>8.2投诉</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szCs w:val="21"/>
          <w:highlight w:val="none"/>
        </w:rPr>
      </w:pPr>
      <w:r>
        <w:rPr>
          <w:rFonts w:ascii="Arial" w:hAnsi="Arial" w:cs="Arial"/>
          <w:szCs w:val="21"/>
          <w:highlight w:val="none"/>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9．其他事项</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szCs w:val="21"/>
          <w:highlight w:val="none"/>
        </w:rPr>
      </w:pPr>
      <w:r>
        <w:rPr>
          <w:rFonts w:ascii="Arial" w:hAnsi="Arial" w:cs="Arial"/>
          <w:szCs w:val="21"/>
          <w:highlight w:val="none"/>
        </w:rPr>
        <w:t xml:space="preserve">（1）电子交易平台发生故障而无法登录访问的； </w:t>
      </w:r>
    </w:p>
    <w:p>
      <w:pPr>
        <w:spacing w:before="120" w:line="276" w:lineRule="auto"/>
        <w:ind w:firstLine="420" w:firstLineChars="200"/>
        <w:rPr>
          <w:rFonts w:ascii="Arial" w:hAnsi="Arial" w:cs="Arial"/>
          <w:szCs w:val="21"/>
          <w:highlight w:val="none"/>
        </w:rPr>
      </w:pPr>
      <w:r>
        <w:rPr>
          <w:rFonts w:ascii="Arial" w:hAnsi="Arial" w:cs="Arial"/>
          <w:szCs w:val="21"/>
          <w:highlight w:val="none"/>
        </w:rPr>
        <w:t>（2）电子交易平台应用或数据库出现错误，不能进行正常操作的；</w:t>
      </w:r>
    </w:p>
    <w:p>
      <w:pPr>
        <w:spacing w:before="120" w:line="276" w:lineRule="auto"/>
        <w:ind w:firstLine="420" w:firstLineChars="200"/>
        <w:rPr>
          <w:rFonts w:ascii="Arial" w:hAnsi="Arial" w:cs="Arial"/>
          <w:szCs w:val="21"/>
          <w:highlight w:val="none"/>
        </w:rPr>
      </w:pPr>
      <w:r>
        <w:rPr>
          <w:rFonts w:ascii="Arial" w:hAnsi="Arial" w:cs="Arial"/>
          <w:szCs w:val="21"/>
          <w:highlight w:val="none"/>
        </w:rPr>
        <w:t>（3）电子交易平台发现严重安全漏洞，有潜在泄密危险的；</w:t>
      </w:r>
    </w:p>
    <w:p>
      <w:pPr>
        <w:spacing w:before="120" w:line="276" w:lineRule="auto"/>
        <w:ind w:firstLine="420" w:firstLineChars="200"/>
        <w:rPr>
          <w:rFonts w:ascii="Arial" w:hAnsi="Arial" w:cs="Arial"/>
          <w:szCs w:val="21"/>
          <w:highlight w:val="none"/>
        </w:rPr>
      </w:pPr>
      <w:r>
        <w:rPr>
          <w:rFonts w:ascii="Arial" w:hAnsi="Arial" w:cs="Arial"/>
          <w:szCs w:val="21"/>
          <w:highlight w:val="none"/>
        </w:rPr>
        <w:t xml:space="preserve">（4）病毒发作导致不能进行正常操作的； </w:t>
      </w:r>
    </w:p>
    <w:p>
      <w:pPr>
        <w:spacing w:before="120" w:line="276" w:lineRule="auto"/>
        <w:ind w:firstLine="420" w:firstLineChars="200"/>
        <w:rPr>
          <w:rFonts w:ascii="Arial" w:hAnsi="Arial" w:cs="Arial"/>
          <w:szCs w:val="21"/>
          <w:highlight w:val="none"/>
        </w:rPr>
      </w:pPr>
      <w:r>
        <w:rPr>
          <w:rFonts w:ascii="Arial" w:hAnsi="Arial" w:cs="Arial"/>
          <w:szCs w:val="21"/>
          <w:highlight w:val="none"/>
        </w:rPr>
        <w:t>（5）其他无法保证电子交易的公平、公正和安全的情况。</w:t>
      </w:r>
    </w:p>
    <w:p>
      <w:pPr>
        <w:tabs>
          <w:tab w:val="left" w:pos="4820"/>
        </w:tabs>
        <w:spacing w:before="120" w:line="360" w:lineRule="auto"/>
        <w:ind w:firstLine="420" w:firstLineChars="200"/>
        <w:rPr>
          <w:rFonts w:ascii="Arial" w:hAnsi="Arial" w:cs="Arial"/>
          <w:szCs w:val="21"/>
          <w:highlight w:val="none"/>
        </w:rPr>
      </w:pPr>
      <w:r>
        <w:rPr>
          <w:rFonts w:ascii="Arial" w:hAnsi="Arial" w:cs="Arial"/>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9.3本项目的附件及图纸详见供应商须知前附表。</w:t>
      </w:r>
    </w:p>
    <w:p>
      <w:pPr>
        <w:spacing w:before="120" w:line="320" w:lineRule="atLeast"/>
        <w:ind w:left="2" w:leftChars="1" w:firstLine="420" w:firstLineChars="200"/>
        <w:rPr>
          <w:rFonts w:ascii="Arial" w:hAnsi="Arial" w:cs="Arial"/>
          <w:szCs w:val="21"/>
          <w:highlight w:val="none"/>
        </w:rPr>
      </w:pPr>
      <w:r>
        <w:rPr>
          <w:rFonts w:ascii="Arial" w:hAnsi="Arial" w:cs="Arial"/>
          <w:szCs w:val="21"/>
          <w:highlight w:val="none"/>
        </w:rPr>
        <w:t>9.4本项目的其他事项详见供应商须知前附表。</w:t>
      </w:r>
    </w:p>
    <w:p>
      <w:pPr>
        <w:spacing w:before="120" w:line="320" w:lineRule="atLeast"/>
        <w:ind w:left="2" w:leftChars="1" w:firstLine="422" w:firstLineChars="200"/>
        <w:outlineLvl w:val="1"/>
        <w:rPr>
          <w:rFonts w:ascii="Arial" w:hAnsi="Arial" w:cs="Arial"/>
          <w:b/>
          <w:bCs/>
          <w:kern w:val="0"/>
          <w:szCs w:val="21"/>
          <w:highlight w:val="none"/>
        </w:rPr>
      </w:pPr>
      <w:r>
        <w:rPr>
          <w:rFonts w:ascii="Arial" w:hAnsi="Arial" w:cs="Arial"/>
          <w:b/>
          <w:bCs/>
          <w:kern w:val="0"/>
          <w:szCs w:val="21"/>
          <w:highlight w:val="none"/>
        </w:rPr>
        <w:t>10．其他说明</w:t>
      </w:r>
    </w:p>
    <w:p>
      <w:pPr>
        <w:spacing w:before="120" w:line="320" w:lineRule="atLeast"/>
        <w:ind w:left="2" w:leftChars="1" w:firstLine="420" w:firstLineChars="200"/>
        <w:rPr>
          <w:rFonts w:ascii="Arial" w:hAnsi="Arial" w:cs="Arial"/>
          <w:kern w:val="0"/>
          <w:szCs w:val="21"/>
          <w:highlight w:val="none"/>
        </w:rPr>
      </w:pPr>
      <w:r>
        <w:rPr>
          <w:rFonts w:ascii="Arial" w:hAnsi="Arial" w:cs="Arial"/>
          <w:kern w:val="0"/>
          <w:szCs w:val="21"/>
          <w:highlight w:val="none"/>
        </w:rPr>
        <w:t>10.1其余未尽事宜按《中华人民共和国政府采购法》、《中华人民共和国政府采购法实施条例》的相关规定执行。</w:t>
      </w:r>
    </w:p>
    <w:p>
      <w:pPr>
        <w:spacing w:before="120" w:line="320" w:lineRule="atLeast"/>
        <w:ind w:left="2" w:leftChars="1" w:firstLine="420" w:firstLineChars="200"/>
        <w:rPr>
          <w:rFonts w:ascii="Arial" w:hAnsi="Arial" w:cs="Arial"/>
          <w:highlight w:val="none"/>
        </w:rPr>
      </w:pPr>
      <w:r>
        <w:rPr>
          <w:rFonts w:ascii="Arial" w:hAnsi="Arial" w:cs="Arial"/>
          <w:kern w:val="0"/>
          <w:szCs w:val="21"/>
          <w:highlight w:val="none"/>
        </w:rPr>
        <w:t>10.2</w:t>
      </w:r>
      <w:r>
        <w:rPr>
          <w:rFonts w:ascii="Arial" w:hAnsi="Arial" w:cs="Arial"/>
          <w:highlight w:val="none"/>
        </w:rPr>
        <w:t>本招标文件是根据国家有关法律及有关政策、法规和参照国际惯例编制，解释权属采购代理机构。</w:t>
      </w:r>
    </w:p>
    <w:p>
      <w:pPr>
        <w:spacing w:before="120" w:line="360" w:lineRule="auto"/>
        <w:outlineLvl w:val="1"/>
        <w:rPr>
          <w:rFonts w:ascii="Arial" w:hAnsi="Arial" w:cs="Arial"/>
          <w:bCs/>
          <w:kern w:val="0"/>
          <w:sz w:val="28"/>
          <w:szCs w:val="28"/>
          <w:highlight w:val="none"/>
        </w:rPr>
        <w:sectPr>
          <w:headerReference r:id="rId12" w:type="first"/>
          <w:footerReference r:id="rId14" w:type="first"/>
          <w:headerReference r:id="rId11" w:type="default"/>
          <w:footerReference r:id="rId13" w:type="default"/>
          <w:pgSz w:w="11906" w:h="16838"/>
          <w:pgMar w:top="993" w:right="1133" w:bottom="1246" w:left="1418" w:header="851" w:footer="992" w:gutter="0"/>
          <w:pgNumType w:fmt="decimal"/>
          <w:cols w:space="720" w:num="1"/>
          <w:titlePg/>
          <w:docGrid w:linePitch="312" w:charSpace="0"/>
        </w:sectPr>
      </w:pPr>
    </w:p>
    <w:p>
      <w:pPr>
        <w:spacing w:line="360" w:lineRule="auto"/>
        <w:rPr>
          <w:rFonts w:ascii="Arial" w:hAnsi="Arial" w:cs="Arial"/>
          <w:szCs w:val="21"/>
          <w:highlight w:val="none"/>
        </w:rPr>
      </w:pPr>
    </w:p>
    <w:p>
      <w:pPr>
        <w:pStyle w:val="28"/>
        <w:snapToGrid w:val="0"/>
        <w:spacing w:before="120" w:after="120" w:line="360" w:lineRule="auto"/>
        <w:jc w:val="center"/>
        <w:outlineLvl w:val="0"/>
        <w:rPr>
          <w:rFonts w:ascii="Arial" w:hAnsi="Arial" w:cs="Arial"/>
          <w:sz w:val="32"/>
          <w:szCs w:val="32"/>
          <w:highlight w:val="none"/>
        </w:rPr>
      </w:pPr>
      <w:bookmarkStart w:id="163" w:name="_Toc7619"/>
      <w:bookmarkStart w:id="164" w:name="_Toc254970690"/>
      <w:bookmarkStart w:id="165" w:name="_Toc254970549"/>
      <w:r>
        <w:rPr>
          <w:rFonts w:ascii="Arial" w:hAnsi="Arial" w:cs="Arial"/>
          <w:sz w:val="32"/>
          <w:szCs w:val="32"/>
          <w:highlight w:val="none"/>
        </w:rPr>
        <w:t>第四章  评标方法及评标标准</w:t>
      </w:r>
      <w:bookmarkEnd w:id="163"/>
    </w:p>
    <w:p>
      <w:pPr>
        <w:spacing w:line="312"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一、评标方法</w:t>
      </w:r>
    </w:p>
    <w:p>
      <w:pPr>
        <w:spacing w:line="312" w:lineRule="auto"/>
        <w:ind w:firstLine="411" w:firstLineChars="196"/>
        <w:outlineLvl w:val="1"/>
        <w:rPr>
          <w:rFonts w:ascii="Arial" w:hAnsi="Arial" w:cs="Arial"/>
          <w:bCs/>
          <w:kern w:val="0"/>
          <w:szCs w:val="21"/>
          <w:highlight w:val="none"/>
        </w:rPr>
      </w:pPr>
      <w:r>
        <w:rPr>
          <w:rFonts w:ascii="Arial" w:hAnsi="Arial" w:cs="Arial"/>
          <w:bCs/>
          <w:kern w:val="0"/>
          <w:szCs w:val="21"/>
          <w:highlight w:val="none"/>
        </w:rPr>
        <w:t>1、评标方法</w:t>
      </w:r>
    </w:p>
    <w:p>
      <w:pPr>
        <w:suppressAutoHyphens/>
        <w:spacing w:line="312" w:lineRule="auto"/>
        <w:ind w:firstLine="420" w:firstLineChars="200"/>
        <w:rPr>
          <w:rFonts w:ascii="Arial" w:hAnsi="Arial" w:cs="Arial"/>
          <w:highlight w:val="none"/>
        </w:rPr>
      </w:pPr>
      <w:r>
        <w:rPr>
          <w:rFonts w:ascii="Arial" w:hAnsi="Arial" w:cs="Arial"/>
          <w:highlight w:val="none"/>
        </w:rPr>
        <w:t>本项目采用综合评分法进行评标。综合评分法，是指投标文件满足招标文件全部实质性要求且按照评标因素的量化指标评标得分最高的供应商为中标候选人的评标方法。</w:t>
      </w:r>
    </w:p>
    <w:p>
      <w:pPr>
        <w:spacing w:line="312" w:lineRule="auto"/>
        <w:ind w:firstLine="411" w:firstLineChars="196"/>
        <w:outlineLvl w:val="1"/>
        <w:rPr>
          <w:rFonts w:ascii="Arial" w:hAnsi="Arial" w:cs="Arial"/>
          <w:szCs w:val="21"/>
          <w:highlight w:val="none"/>
        </w:rPr>
      </w:pPr>
      <w:r>
        <w:rPr>
          <w:rFonts w:ascii="Arial" w:hAnsi="Arial" w:cs="Arial"/>
          <w:szCs w:val="21"/>
          <w:highlight w:val="none"/>
        </w:rPr>
        <w:t>2、评标依据</w:t>
      </w:r>
    </w:p>
    <w:p>
      <w:pPr>
        <w:suppressAutoHyphens/>
        <w:spacing w:line="312" w:lineRule="auto"/>
        <w:ind w:firstLine="420" w:firstLineChars="200"/>
        <w:rPr>
          <w:rFonts w:ascii="Arial" w:hAnsi="Arial" w:cs="Arial"/>
          <w:highlight w:val="none"/>
        </w:rPr>
      </w:pPr>
      <w:r>
        <w:rPr>
          <w:rFonts w:ascii="Arial" w:hAnsi="Arial" w:cs="Arial"/>
          <w:highlight w:val="none"/>
        </w:rPr>
        <w:t>评标委员会以招标文件、补充文件、投标文件、澄清及答复为评标依据。</w:t>
      </w:r>
    </w:p>
    <w:p>
      <w:pPr>
        <w:spacing w:line="312" w:lineRule="auto"/>
        <w:ind w:firstLine="411" w:firstLineChars="196"/>
        <w:outlineLvl w:val="1"/>
        <w:rPr>
          <w:rFonts w:ascii="Arial" w:hAnsi="Arial" w:cs="Arial"/>
          <w:szCs w:val="21"/>
          <w:highlight w:val="none"/>
        </w:rPr>
      </w:pPr>
      <w:r>
        <w:rPr>
          <w:rFonts w:ascii="Arial" w:hAnsi="Arial" w:cs="Arial"/>
          <w:szCs w:val="21"/>
          <w:highlight w:val="none"/>
        </w:rPr>
        <w:t>3、评标委员会</w:t>
      </w:r>
      <w:bookmarkStart w:id="166" w:name="_Hlk19051932"/>
    </w:p>
    <w:p>
      <w:pPr>
        <w:suppressAutoHyphens/>
        <w:spacing w:line="312" w:lineRule="auto"/>
        <w:ind w:firstLine="420" w:firstLineChars="200"/>
        <w:rPr>
          <w:rFonts w:ascii="Arial" w:hAnsi="Arial" w:cs="Arial"/>
          <w:highlight w:val="none"/>
        </w:rPr>
      </w:pPr>
      <w:r>
        <w:rPr>
          <w:rFonts w:ascii="Arial" w:hAnsi="Arial" w:cs="Arial"/>
          <w:highlight w:val="none"/>
        </w:rPr>
        <w:t>本项目评标委员会由政府采购评审专家和采购人代表组成。</w:t>
      </w:r>
      <w:bookmarkEnd w:id="166"/>
      <w:bookmarkStart w:id="167" w:name="_Hlk19051968"/>
      <w:r>
        <w:rPr>
          <w:rFonts w:ascii="Arial" w:hAnsi="Arial" w:cs="Arial"/>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167"/>
    </w:p>
    <w:p>
      <w:pPr>
        <w:spacing w:line="312"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二、评标程序</w:t>
      </w:r>
    </w:p>
    <w:p>
      <w:pPr>
        <w:spacing w:line="312" w:lineRule="auto"/>
        <w:ind w:firstLine="420" w:firstLineChars="200"/>
        <w:rPr>
          <w:rFonts w:ascii="Arial" w:hAnsi="Arial" w:cs="Arial"/>
          <w:szCs w:val="21"/>
          <w:highlight w:val="none"/>
        </w:rPr>
      </w:pPr>
      <w:r>
        <w:rPr>
          <w:rFonts w:ascii="Arial" w:hAnsi="Arial" w:cs="Arial"/>
          <w:szCs w:val="21"/>
          <w:highlight w:val="none"/>
        </w:rPr>
        <w:t>1、</w:t>
      </w:r>
      <w:bookmarkStart w:id="168" w:name="_Hlk19175507"/>
      <w:r>
        <w:rPr>
          <w:rFonts w:ascii="Arial" w:hAnsi="Arial" w:cs="Arial"/>
          <w:szCs w:val="21"/>
          <w:highlight w:val="none"/>
        </w:rPr>
        <w:t>初步评审：初步评审包括资格检查及符合性检查。</w:t>
      </w:r>
      <w:bookmarkEnd w:id="168"/>
    </w:p>
    <w:p>
      <w:pPr>
        <w:suppressAutoHyphens/>
        <w:spacing w:line="312" w:lineRule="auto"/>
        <w:ind w:firstLine="420" w:firstLineChars="200"/>
        <w:rPr>
          <w:rFonts w:ascii="Arial" w:hAnsi="Arial" w:cs="Arial"/>
          <w:bCs/>
          <w:kern w:val="1"/>
          <w:szCs w:val="21"/>
          <w:highlight w:val="none"/>
        </w:rPr>
      </w:pPr>
      <w:r>
        <w:rPr>
          <w:rFonts w:ascii="Arial" w:hAnsi="Arial" w:cs="Arial"/>
          <w:bCs/>
          <w:kern w:val="1"/>
          <w:szCs w:val="21"/>
          <w:highlight w:val="none"/>
        </w:rPr>
        <w:t>2、澄清（如需要）。</w:t>
      </w:r>
    </w:p>
    <w:p>
      <w:pPr>
        <w:suppressAutoHyphens/>
        <w:spacing w:line="312" w:lineRule="auto"/>
        <w:ind w:firstLine="420" w:firstLineChars="200"/>
        <w:rPr>
          <w:rFonts w:ascii="Arial" w:hAnsi="Arial" w:cs="Arial"/>
          <w:bCs/>
          <w:kern w:val="1"/>
          <w:szCs w:val="21"/>
          <w:highlight w:val="none"/>
        </w:rPr>
      </w:pPr>
      <w:r>
        <w:rPr>
          <w:rFonts w:ascii="Arial" w:hAnsi="Arial" w:cs="Arial"/>
          <w:bCs/>
          <w:kern w:val="1"/>
          <w:szCs w:val="21"/>
          <w:highlight w:val="none"/>
        </w:rPr>
        <w:t>3、详细评审。</w:t>
      </w:r>
    </w:p>
    <w:p>
      <w:pPr>
        <w:suppressAutoHyphens/>
        <w:spacing w:line="312" w:lineRule="auto"/>
        <w:ind w:firstLine="420" w:firstLineChars="200"/>
        <w:rPr>
          <w:rFonts w:ascii="Arial" w:hAnsi="Arial" w:cs="Arial"/>
          <w:szCs w:val="21"/>
          <w:highlight w:val="none"/>
        </w:rPr>
      </w:pPr>
      <w:r>
        <w:rPr>
          <w:rFonts w:ascii="Arial" w:hAnsi="Arial" w:cs="Arial"/>
          <w:bCs/>
          <w:kern w:val="1"/>
          <w:szCs w:val="21"/>
          <w:highlight w:val="none"/>
        </w:rPr>
        <w:t>4、推荐中标候选人。</w:t>
      </w:r>
    </w:p>
    <w:p>
      <w:pPr>
        <w:spacing w:line="312"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三、评标内容</w:t>
      </w:r>
    </w:p>
    <w:p>
      <w:pPr>
        <w:spacing w:line="312" w:lineRule="auto"/>
        <w:ind w:firstLine="413" w:firstLineChars="196"/>
        <w:outlineLvl w:val="1"/>
        <w:rPr>
          <w:rFonts w:ascii="Arial" w:hAnsi="Arial" w:cs="Arial"/>
          <w:b/>
          <w:bCs/>
          <w:kern w:val="0"/>
          <w:szCs w:val="21"/>
          <w:highlight w:val="none"/>
        </w:rPr>
      </w:pPr>
      <w:bookmarkStart w:id="169" w:name="_Hlk19052412"/>
      <w:r>
        <w:rPr>
          <w:rFonts w:ascii="Arial" w:hAnsi="Arial" w:cs="Arial"/>
          <w:b/>
          <w:bCs/>
          <w:kern w:val="0"/>
          <w:szCs w:val="21"/>
          <w:highlight w:val="none"/>
        </w:rPr>
        <w:t>1、资格审查</w:t>
      </w:r>
    </w:p>
    <w:p>
      <w:pPr>
        <w:suppressAutoHyphens/>
        <w:spacing w:line="312" w:lineRule="auto"/>
        <w:ind w:firstLine="420" w:firstLineChars="200"/>
        <w:rPr>
          <w:rFonts w:ascii="Arial" w:hAnsi="Arial" w:cs="Arial"/>
          <w:szCs w:val="21"/>
          <w:highlight w:val="none"/>
        </w:rPr>
      </w:pPr>
      <w:r>
        <w:rPr>
          <w:rFonts w:ascii="Arial" w:hAnsi="Arial" w:cs="Arial"/>
          <w:highlight w:val="none"/>
        </w:rPr>
        <w:t>采购人代表对所有供应商的投标文件进行资格审查。</w:t>
      </w:r>
      <w:r>
        <w:rPr>
          <w:rFonts w:ascii="Arial" w:hAnsi="Arial" w:cs="Arial"/>
          <w:szCs w:val="21"/>
          <w:highlight w:val="none"/>
        </w:rPr>
        <w:t>以确定供应商是否具备投标资格。资格审查表如下，缺少任何一项或有任何一项不合格者，其资格审查视为不合格。</w:t>
      </w:r>
    </w:p>
    <w:p>
      <w:pPr>
        <w:suppressAutoHyphens/>
        <w:spacing w:line="312" w:lineRule="auto"/>
        <w:rPr>
          <w:rFonts w:ascii="Arial" w:hAnsi="Arial" w:cs="Arial"/>
          <w:szCs w:val="21"/>
          <w:highlight w:val="none"/>
        </w:rPr>
      </w:pPr>
    </w:p>
    <w:tbl>
      <w:tblPr>
        <w:tblStyle w:val="5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vAlign w:val="center"/>
          </w:tcPr>
          <w:p>
            <w:pPr>
              <w:spacing w:line="288" w:lineRule="auto"/>
              <w:jc w:val="center"/>
              <w:rPr>
                <w:rFonts w:ascii="Arial" w:hAnsi="Arial" w:cs="Arial"/>
                <w:b/>
                <w:kern w:val="0"/>
                <w:szCs w:val="21"/>
                <w:highlight w:val="none"/>
              </w:rPr>
            </w:pPr>
            <w:r>
              <w:rPr>
                <w:rFonts w:ascii="Arial" w:hAnsi="Arial" w:cs="Arial"/>
                <w:b/>
                <w:kern w:val="0"/>
                <w:szCs w:val="21"/>
                <w:highlight w:val="none"/>
              </w:rPr>
              <w:t>序号</w:t>
            </w:r>
          </w:p>
        </w:tc>
        <w:tc>
          <w:tcPr>
            <w:tcW w:w="2694" w:type="dxa"/>
            <w:gridSpan w:val="2"/>
            <w:vAlign w:val="center"/>
          </w:tcPr>
          <w:p>
            <w:pPr>
              <w:spacing w:line="288" w:lineRule="auto"/>
              <w:jc w:val="center"/>
              <w:rPr>
                <w:rFonts w:ascii="Arial" w:hAnsi="Arial" w:cs="Arial"/>
                <w:b/>
                <w:kern w:val="0"/>
                <w:szCs w:val="21"/>
                <w:highlight w:val="none"/>
              </w:rPr>
            </w:pPr>
            <w:r>
              <w:rPr>
                <w:rFonts w:ascii="Arial" w:hAnsi="Arial" w:cs="Arial"/>
                <w:b/>
                <w:kern w:val="0"/>
                <w:szCs w:val="21"/>
                <w:highlight w:val="none"/>
              </w:rPr>
              <w:t>评标因素</w:t>
            </w:r>
          </w:p>
        </w:tc>
        <w:tc>
          <w:tcPr>
            <w:tcW w:w="6237" w:type="dxa"/>
            <w:vAlign w:val="center"/>
          </w:tcPr>
          <w:p>
            <w:pPr>
              <w:spacing w:line="288" w:lineRule="auto"/>
              <w:jc w:val="center"/>
              <w:rPr>
                <w:rFonts w:ascii="Arial" w:hAnsi="Arial" w:cs="Arial"/>
                <w:b/>
                <w:kern w:val="0"/>
                <w:szCs w:val="21"/>
                <w:highlight w:val="none"/>
              </w:rPr>
            </w:pPr>
            <w:r>
              <w:rPr>
                <w:rFonts w:ascii="Arial" w:hAnsi="Arial" w:cs="Arial"/>
                <w:b/>
                <w:kern w:val="0"/>
                <w:szCs w:val="21"/>
                <w:highlight w:val="none"/>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75" w:type="dxa"/>
            <w:vMerge w:val="restart"/>
            <w:vAlign w:val="center"/>
          </w:tcPr>
          <w:p>
            <w:pPr>
              <w:spacing w:line="288" w:lineRule="auto"/>
              <w:jc w:val="center"/>
              <w:rPr>
                <w:rFonts w:ascii="Arial" w:hAnsi="Arial" w:cs="Arial"/>
                <w:szCs w:val="21"/>
                <w:highlight w:val="none"/>
              </w:rPr>
            </w:pPr>
            <w:r>
              <w:rPr>
                <w:rFonts w:ascii="Arial" w:hAnsi="Arial" w:cs="Arial"/>
                <w:szCs w:val="21"/>
                <w:highlight w:val="none"/>
              </w:rPr>
              <w:t>1</w:t>
            </w:r>
          </w:p>
        </w:tc>
        <w:tc>
          <w:tcPr>
            <w:tcW w:w="851" w:type="dxa"/>
            <w:vMerge w:val="restart"/>
            <w:vAlign w:val="center"/>
          </w:tcPr>
          <w:p>
            <w:pPr>
              <w:spacing w:line="288" w:lineRule="auto"/>
              <w:rPr>
                <w:rFonts w:ascii="Arial" w:hAnsi="Arial" w:cs="Arial"/>
                <w:szCs w:val="21"/>
                <w:highlight w:val="none"/>
                <w:lang w:val="zh-CN"/>
              </w:rPr>
            </w:pPr>
            <w:r>
              <w:rPr>
                <w:rFonts w:ascii="Arial" w:hAnsi="Arial" w:cs="Arial"/>
                <w:szCs w:val="21"/>
                <w:highlight w:val="none"/>
                <w:lang w:val="zh-CN"/>
              </w:rPr>
              <w:t>供应商应符合的基本资格条件</w:t>
            </w:r>
          </w:p>
        </w:tc>
        <w:tc>
          <w:tcPr>
            <w:tcW w:w="1843" w:type="dxa"/>
            <w:vAlign w:val="center"/>
          </w:tcPr>
          <w:p>
            <w:pPr>
              <w:spacing w:line="288" w:lineRule="auto"/>
              <w:rPr>
                <w:rFonts w:ascii="Arial" w:hAnsi="Arial" w:cs="Arial"/>
                <w:szCs w:val="21"/>
                <w:highlight w:val="none"/>
              </w:rPr>
            </w:pPr>
            <w:r>
              <w:rPr>
                <w:rFonts w:ascii="Arial" w:hAnsi="Arial" w:cs="Arial"/>
                <w:szCs w:val="21"/>
                <w:highlight w:val="none"/>
              </w:rPr>
              <w:t>（1）具有独立承担民事责任的能力</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审查法人或者其他组织的营业执照等证明文件、自然人的身份证明。须按以下要求提供，材料须有效。</w:t>
            </w:r>
          </w:p>
          <w:p>
            <w:pPr>
              <w:spacing w:line="288" w:lineRule="auto"/>
              <w:jc w:val="left"/>
              <w:rPr>
                <w:rFonts w:ascii="Arial" w:hAnsi="Arial" w:cs="Arial"/>
                <w:szCs w:val="21"/>
                <w:highlight w:val="none"/>
              </w:rPr>
            </w:pPr>
            <w:r>
              <w:rPr>
                <w:rFonts w:ascii="Arial" w:hAnsi="Arial" w:cs="Arial"/>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rPr>
            </w:pPr>
            <w:r>
              <w:rPr>
                <w:rFonts w:ascii="Arial" w:hAnsi="Arial" w:cs="Arial"/>
                <w:szCs w:val="21"/>
                <w:highlight w:val="none"/>
                <w:lang w:val="zh-CN"/>
              </w:rPr>
              <w:t>（2）</w:t>
            </w:r>
            <w:r>
              <w:rPr>
                <w:rFonts w:ascii="Arial" w:hAnsi="Arial" w:cs="Arial"/>
                <w:szCs w:val="21"/>
                <w:highlight w:val="none"/>
              </w:rPr>
              <w:t>具有良好的商业信誉和健全的财务会计制度</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①审查商业信誉声明。须提供，格式见第六章投标文件格式“投标声明书”。</w:t>
            </w:r>
          </w:p>
          <w:p>
            <w:pPr>
              <w:spacing w:line="288" w:lineRule="auto"/>
              <w:jc w:val="left"/>
              <w:rPr>
                <w:rFonts w:ascii="Arial" w:hAnsi="Arial" w:cs="Arial"/>
                <w:szCs w:val="21"/>
                <w:highlight w:val="none"/>
              </w:rPr>
            </w:pPr>
            <w:r>
              <w:rPr>
                <w:rFonts w:ascii="Arial" w:hAnsi="Arial" w:cs="Arial"/>
                <w:szCs w:val="21"/>
                <w:highlight w:val="none"/>
              </w:rPr>
              <w:t>②审查20</w:t>
            </w:r>
            <w:r>
              <w:rPr>
                <w:rFonts w:hint="eastAsia" w:ascii="Arial" w:hAnsi="Arial" w:cs="Arial"/>
                <w:szCs w:val="21"/>
                <w:highlight w:val="none"/>
              </w:rPr>
              <w:t>24</w:t>
            </w:r>
            <w:r>
              <w:rPr>
                <w:rFonts w:ascii="Arial" w:hAnsi="Arial" w:cs="Arial"/>
                <w:szCs w:val="21"/>
                <w:highlight w:val="none"/>
              </w:rPr>
              <w:t>年度财务状况报告（表）复印件或银行出具的资信证明复印件，</w:t>
            </w:r>
            <w:r>
              <w:rPr>
                <w:rFonts w:ascii="Arial" w:hAnsi="Arial" w:cs="Arial"/>
                <w:highlight w:val="none"/>
              </w:rPr>
              <w:t>对于从取得营业执照时间起到投标文件递交截止时间为止不足1年的供应商，只需提交</w:t>
            </w:r>
            <w:r>
              <w:rPr>
                <w:rFonts w:ascii="Arial" w:hAnsi="Arial" w:cs="Arial"/>
                <w:szCs w:val="21"/>
                <w:highlight w:val="none"/>
              </w:rPr>
              <w:t>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lang w:val="zh-CN"/>
              </w:rPr>
            </w:pPr>
            <w:r>
              <w:rPr>
                <w:rFonts w:ascii="Arial" w:hAnsi="Arial" w:cs="Arial"/>
                <w:szCs w:val="21"/>
                <w:highlight w:val="none"/>
                <w:lang w:val="zh-CN"/>
              </w:rPr>
              <w:t>（3）具有履行合同所必需的设备和专业技术能力</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 xml:space="preserve">①审查供应商营业执照，须有效； </w:t>
            </w:r>
          </w:p>
          <w:p>
            <w:pPr>
              <w:spacing w:line="288" w:lineRule="auto"/>
              <w:jc w:val="left"/>
              <w:rPr>
                <w:rFonts w:ascii="Arial" w:hAnsi="Arial" w:cs="Arial"/>
                <w:szCs w:val="21"/>
                <w:highlight w:val="none"/>
              </w:rPr>
            </w:pPr>
            <w:r>
              <w:rPr>
                <w:rFonts w:ascii="Arial" w:hAnsi="Arial" w:cs="Arial"/>
                <w:szCs w:val="21"/>
                <w:highlight w:val="none"/>
              </w:rPr>
              <w:t>②审查书面声明。须提供，格式见第六章投标文件格式“</w:t>
            </w:r>
            <w:r>
              <w:rPr>
                <w:rFonts w:ascii="Arial" w:hAnsi="Arial" w:cs="Arial"/>
                <w:highlight w:val="none"/>
              </w:rPr>
              <w:t>投标声明书</w:t>
            </w:r>
            <w:r>
              <w:rPr>
                <w:rFonts w:ascii="Arial" w:hAnsi="Arial" w:cs="Arial"/>
                <w:szCs w:val="21"/>
                <w:highlight w:val="none"/>
              </w:rPr>
              <w:t>”。</w:t>
            </w:r>
          </w:p>
          <w:p>
            <w:pPr>
              <w:spacing w:line="288" w:lineRule="auto"/>
              <w:jc w:val="left"/>
              <w:rPr>
                <w:rFonts w:ascii="Arial" w:hAnsi="Arial" w:cs="Arial"/>
                <w:szCs w:val="21"/>
                <w:highlight w:val="none"/>
              </w:rPr>
            </w:pPr>
            <w:r>
              <w:rPr>
                <w:rFonts w:ascii="Arial" w:hAnsi="Arial" w:cs="Arial"/>
                <w:szCs w:val="21"/>
                <w:highlight w:val="none"/>
              </w:rPr>
              <w:t>审查①或②，满足其一，即为符合要求。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lang w:val="zh-CN"/>
              </w:rPr>
            </w:pPr>
            <w:r>
              <w:rPr>
                <w:rFonts w:ascii="Arial" w:hAnsi="Arial" w:cs="Arial"/>
                <w:szCs w:val="21"/>
                <w:highlight w:val="none"/>
                <w:lang w:val="zh-CN"/>
              </w:rPr>
              <w:t>（4）有依法缴纳税收和社会保障金的良好记录</w:t>
            </w:r>
          </w:p>
        </w:tc>
        <w:tc>
          <w:tcPr>
            <w:tcW w:w="6237" w:type="dxa"/>
          </w:tcPr>
          <w:p>
            <w:pPr>
              <w:spacing w:line="288" w:lineRule="auto"/>
              <w:jc w:val="left"/>
              <w:rPr>
                <w:rFonts w:ascii="Arial" w:hAnsi="Arial" w:cs="Arial"/>
                <w:szCs w:val="21"/>
                <w:highlight w:val="none"/>
              </w:rPr>
            </w:pPr>
            <w:r>
              <w:rPr>
                <w:rFonts w:ascii="Arial" w:hAnsi="Arial" w:cs="Arial"/>
                <w:szCs w:val="21"/>
                <w:highlight w:val="none"/>
              </w:rPr>
              <w:t>①审查投标截止时间前6个月内，</w:t>
            </w:r>
            <w:r>
              <w:rPr>
                <w:rFonts w:ascii="Arial" w:hAnsi="Arial" w:cs="Arial"/>
                <w:highlight w:val="none"/>
              </w:rPr>
              <w:t>供应商任意1个月</w:t>
            </w:r>
            <w:r>
              <w:rPr>
                <w:rFonts w:ascii="Arial" w:hAnsi="Arial" w:cs="Arial"/>
                <w:szCs w:val="21"/>
                <w:highlight w:val="none"/>
              </w:rPr>
              <w:t>依法缴纳税费证明复印件加盖供应商公章。</w:t>
            </w:r>
          </w:p>
          <w:p>
            <w:pPr>
              <w:spacing w:line="288" w:lineRule="auto"/>
              <w:jc w:val="left"/>
              <w:rPr>
                <w:rFonts w:ascii="Arial" w:hAnsi="Arial" w:cs="Arial"/>
                <w:szCs w:val="21"/>
                <w:highlight w:val="none"/>
              </w:rPr>
            </w:pPr>
            <w:r>
              <w:rPr>
                <w:rFonts w:ascii="Arial" w:hAnsi="Arial" w:cs="Arial"/>
                <w:szCs w:val="21"/>
                <w:highlight w:val="none"/>
              </w:rPr>
              <w:t>②审查投标截止时间前6个月内，</w:t>
            </w:r>
            <w:r>
              <w:rPr>
                <w:rFonts w:ascii="Arial" w:hAnsi="Arial" w:cs="Arial"/>
                <w:highlight w:val="none"/>
              </w:rPr>
              <w:t>供应商任意1个月</w:t>
            </w:r>
            <w:r>
              <w:rPr>
                <w:rFonts w:ascii="Arial" w:hAnsi="Arial" w:cs="Arial"/>
                <w:szCs w:val="21"/>
                <w:highlight w:val="none"/>
              </w:rPr>
              <w:t>的社保缴费证明记录复印件加盖供应商公章。</w:t>
            </w:r>
          </w:p>
          <w:p>
            <w:pPr>
              <w:spacing w:line="288" w:lineRule="auto"/>
              <w:jc w:val="left"/>
              <w:rPr>
                <w:rFonts w:ascii="Arial" w:hAnsi="Arial" w:cs="Arial"/>
                <w:szCs w:val="21"/>
                <w:highlight w:val="none"/>
              </w:rPr>
            </w:pPr>
            <w:r>
              <w:rPr>
                <w:rFonts w:ascii="Arial" w:hAnsi="Arial" w:cs="Arial"/>
                <w:szCs w:val="21"/>
                <w:highlight w:val="none"/>
              </w:rPr>
              <w:t>供应商成立不足1个月的，无须提供缴纳税费证明及社保缴费证明加盖供应商公章。</w:t>
            </w:r>
          </w:p>
          <w:p>
            <w:pPr>
              <w:spacing w:line="288" w:lineRule="auto"/>
              <w:jc w:val="left"/>
              <w:rPr>
                <w:rFonts w:ascii="Arial" w:hAnsi="Arial" w:cs="Arial"/>
                <w:szCs w:val="21"/>
                <w:highlight w:val="none"/>
              </w:rPr>
            </w:pPr>
            <w:r>
              <w:rPr>
                <w:rFonts w:ascii="Arial" w:hAnsi="Arial" w:cs="Arial"/>
                <w:szCs w:val="21"/>
                <w:highlight w:val="none"/>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rPr>
                <w:rFonts w:ascii="Arial" w:hAnsi="Arial" w:cs="Arial"/>
                <w:szCs w:val="21"/>
                <w:highlight w:val="none"/>
                <w:lang w:val="zh-CN"/>
              </w:rPr>
            </w:pPr>
            <w:r>
              <w:rPr>
                <w:rFonts w:ascii="Arial" w:hAnsi="Arial" w:cs="Arial"/>
                <w:szCs w:val="21"/>
                <w:highlight w:val="none"/>
              </w:rPr>
              <w:t>（5）参加政府采购活动前三年内，在经营活动中没有重大违法记录及不良信用记录</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审查无重大违法记录声明。须提供，格式见第六章投标文件格式“投标声明书”。 一旦发现供应商提供的投标声明书不实时，则按照《政府采购法》有关提供虚假材料的规定给予处罚。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（6）诚信要求</w:t>
            </w:r>
          </w:p>
        </w:tc>
        <w:tc>
          <w:tcPr>
            <w:tcW w:w="6237" w:type="dxa"/>
          </w:tcPr>
          <w:p>
            <w:pPr>
              <w:spacing w:line="288" w:lineRule="auto"/>
              <w:jc w:val="left"/>
              <w:rPr>
                <w:rFonts w:ascii="Arial" w:hAnsi="Arial" w:cs="Arial"/>
                <w:szCs w:val="21"/>
                <w:highlight w:val="none"/>
              </w:rPr>
            </w:pPr>
            <w:r>
              <w:rPr>
                <w:rFonts w:hint="eastAsia" w:ascii="Arial" w:hAnsi="Arial" w:cs="Arial"/>
                <w:szCs w:val="21"/>
                <w:highlight w:val="none"/>
              </w:rPr>
              <w:t>①审核标准：供应商如被列入失信被执行人、重大税收违法失信主体、政府采购严重违法失信行为记录名单，则资格审查不予通过，其投标被否决。</w:t>
            </w:r>
          </w:p>
          <w:p>
            <w:pPr>
              <w:spacing w:line="288" w:lineRule="auto"/>
              <w:jc w:val="left"/>
              <w:rPr>
                <w:rFonts w:ascii="Arial" w:hAnsi="Arial" w:cs="Arial"/>
                <w:szCs w:val="21"/>
                <w:highlight w:val="none"/>
              </w:rPr>
            </w:pPr>
            <w:r>
              <w:rPr>
                <w:rFonts w:hint="eastAsia" w:ascii="Arial" w:hAnsi="Arial" w:cs="Arial"/>
                <w:szCs w:val="21"/>
                <w:highlight w:val="none"/>
              </w:rPr>
              <w:t xml:space="preserve">②信用信息查询渠道：中国政府采购网 “政府采购严重违法失信行为记录名单” 信用中国网：“失信被执行人”、“重大税收违法失信主体”  </w:t>
            </w:r>
          </w:p>
          <w:p>
            <w:pPr>
              <w:spacing w:line="288" w:lineRule="auto"/>
              <w:jc w:val="left"/>
              <w:rPr>
                <w:rFonts w:ascii="Arial" w:hAnsi="Arial" w:cs="Arial"/>
                <w:szCs w:val="21"/>
                <w:highlight w:val="none"/>
              </w:rPr>
            </w:pPr>
            <w:r>
              <w:rPr>
                <w:rFonts w:hint="eastAsia" w:ascii="Arial" w:hAnsi="Arial" w:cs="Arial"/>
                <w:szCs w:val="21"/>
                <w:highlight w:val="none"/>
              </w:rPr>
              <w:t>③查询方式：广西政府采购云平台已与“信用中国”平台做接口，可直接在线查询。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lang w:val="zh-CN"/>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（7）具备法律、行政法规规定的其他要求</w:t>
            </w:r>
          </w:p>
        </w:tc>
        <w:tc>
          <w:tcPr>
            <w:tcW w:w="6237" w:type="dxa"/>
            <w:vAlign w:val="center"/>
          </w:tcPr>
          <w:p>
            <w:pPr>
              <w:spacing w:line="288" w:lineRule="auto"/>
              <w:rPr>
                <w:rFonts w:ascii="Arial" w:hAnsi="Arial" w:cs="Arial"/>
                <w:szCs w:val="21"/>
                <w:highlight w:val="none"/>
              </w:rPr>
            </w:pPr>
            <w:r>
              <w:rPr>
                <w:rFonts w:ascii="Arial" w:hAnsi="Arial" w:cs="Arial"/>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restart"/>
            <w:vAlign w:val="center"/>
          </w:tcPr>
          <w:p>
            <w:pPr>
              <w:spacing w:line="288" w:lineRule="auto"/>
              <w:jc w:val="center"/>
              <w:rPr>
                <w:rFonts w:ascii="Arial" w:hAnsi="Arial" w:cs="Arial"/>
                <w:szCs w:val="21"/>
                <w:highlight w:val="none"/>
              </w:rPr>
            </w:pPr>
            <w:r>
              <w:rPr>
                <w:rFonts w:ascii="Arial" w:hAnsi="Arial" w:cs="Arial"/>
                <w:szCs w:val="21"/>
                <w:highlight w:val="none"/>
              </w:rPr>
              <w:t>2</w:t>
            </w:r>
          </w:p>
        </w:tc>
        <w:tc>
          <w:tcPr>
            <w:tcW w:w="851" w:type="dxa"/>
            <w:vMerge w:val="restart"/>
            <w:vAlign w:val="center"/>
          </w:tcPr>
          <w:p>
            <w:pPr>
              <w:spacing w:line="288" w:lineRule="auto"/>
              <w:rPr>
                <w:rFonts w:ascii="Arial" w:hAnsi="Arial" w:cs="Arial"/>
                <w:szCs w:val="21"/>
                <w:highlight w:val="none"/>
              </w:rPr>
            </w:pPr>
            <w:r>
              <w:rPr>
                <w:rFonts w:ascii="Arial" w:hAnsi="Arial" w:cs="Arial"/>
                <w:szCs w:val="21"/>
                <w:highlight w:val="none"/>
                <w:lang w:val="zh-CN"/>
              </w:rPr>
              <w:t>供应商应符合的</w:t>
            </w:r>
            <w:r>
              <w:rPr>
                <w:rFonts w:ascii="Arial" w:hAnsi="Arial" w:cs="Arial"/>
                <w:szCs w:val="21"/>
                <w:highlight w:val="none"/>
              </w:rPr>
              <w:t>特定资格条件</w:t>
            </w: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（1）资质条件</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（2）业绩要求</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continue"/>
            <w:vAlign w:val="center"/>
          </w:tcPr>
          <w:p>
            <w:pPr>
              <w:spacing w:line="288" w:lineRule="auto"/>
              <w:jc w:val="center"/>
              <w:rPr>
                <w:rFonts w:ascii="Arial" w:hAnsi="Arial" w:cs="Arial"/>
                <w:szCs w:val="21"/>
                <w:highlight w:val="none"/>
              </w:rPr>
            </w:pPr>
          </w:p>
        </w:tc>
        <w:tc>
          <w:tcPr>
            <w:tcW w:w="851" w:type="dxa"/>
            <w:vMerge w:val="continue"/>
            <w:vAlign w:val="center"/>
          </w:tcPr>
          <w:p>
            <w:pPr>
              <w:spacing w:line="288" w:lineRule="auto"/>
              <w:rPr>
                <w:rFonts w:ascii="Arial" w:hAnsi="Arial" w:cs="Arial"/>
                <w:szCs w:val="21"/>
                <w:highlight w:val="none"/>
              </w:rPr>
            </w:pPr>
          </w:p>
        </w:tc>
        <w:tc>
          <w:tcPr>
            <w:tcW w:w="1843" w:type="dxa"/>
            <w:vAlign w:val="center"/>
          </w:tcPr>
          <w:p>
            <w:pPr>
              <w:spacing w:line="288" w:lineRule="auto"/>
              <w:jc w:val="left"/>
              <w:rPr>
                <w:rFonts w:ascii="Arial" w:hAnsi="Arial" w:cs="Arial"/>
                <w:szCs w:val="21"/>
                <w:highlight w:val="none"/>
              </w:rPr>
            </w:pPr>
            <w:r>
              <w:rPr>
                <w:rFonts w:ascii="Arial" w:hAnsi="Arial" w:cs="Arial"/>
                <w:szCs w:val="21"/>
                <w:highlight w:val="none"/>
              </w:rPr>
              <w:t>（3）其他要求</w:t>
            </w:r>
          </w:p>
        </w:tc>
        <w:tc>
          <w:tcPr>
            <w:tcW w:w="6237" w:type="dxa"/>
            <w:vAlign w:val="center"/>
          </w:tcPr>
          <w:p>
            <w:pPr>
              <w:spacing w:line="288" w:lineRule="auto"/>
              <w:jc w:val="left"/>
              <w:rPr>
                <w:rFonts w:ascii="Arial" w:hAnsi="Arial" w:cs="Arial"/>
                <w:szCs w:val="21"/>
                <w:highlight w:val="none"/>
              </w:rPr>
            </w:pPr>
            <w:r>
              <w:rPr>
                <w:rFonts w:ascii="Arial" w:hAnsi="Arial" w:cs="Arial"/>
                <w:szCs w:val="21"/>
                <w:highlight w:val="none"/>
              </w:rPr>
              <w:t>须符合“招标公告”的要求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675" w:type="dxa"/>
            <w:vAlign w:val="center"/>
          </w:tcPr>
          <w:p>
            <w:pPr>
              <w:spacing w:line="288" w:lineRule="auto"/>
              <w:jc w:val="center"/>
              <w:rPr>
                <w:rFonts w:ascii="Arial" w:hAnsi="Arial" w:cs="Arial"/>
                <w:szCs w:val="21"/>
                <w:highlight w:val="none"/>
              </w:rPr>
            </w:pPr>
            <w:r>
              <w:rPr>
                <w:rFonts w:ascii="Arial" w:hAnsi="Arial" w:cs="Arial"/>
                <w:szCs w:val="21"/>
                <w:highlight w:val="none"/>
              </w:rPr>
              <w:t>3</w:t>
            </w:r>
          </w:p>
        </w:tc>
        <w:tc>
          <w:tcPr>
            <w:tcW w:w="2694" w:type="dxa"/>
            <w:gridSpan w:val="2"/>
            <w:vAlign w:val="center"/>
          </w:tcPr>
          <w:p>
            <w:pPr>
              <w:spacing w:line="288" w:lineRule="auto"/>
              <w:jc w:val="left"/>
              <w:rPr>
                <w:rFonts w:ascii="Arial" w:hAnsi="Arial" w:cs="Arial"/>
                <w:szCs w:val="21"/>
                <w:highlight w:val="none"/>
              </w:rPr>
            </w:pPr>
            <w:r>
              <w:rPr>
                <w:rFonts w:ascii="Arial" w:hAnsi="Arial" w:cs="Arial"/>
                <w:kern w:val="0"/>
                <w:szCs w:val="21"/>
                <w:highlight w:val="none"/>
              </w:rPr>
              <w:t>供应商不得参加资格审查的情形</w:t>
            </w:r>
          </w:p>
        </w:tc>
        <w:tc>
          <w:tcPr>
            <w:tcW w:w="6237" w:type="dxa"/>
            <w:vAlign w:val="center"/>
          </w:tcPr>
          <w:p>
            <w:pPr>
              <w:spacing w:line="288" w:lineRule="auto"/>
              <w:jc w:val="left"/>
              <w:rPr>
                <w:rFonts w:ascii="Arial" w:hAnsi="Arial" w:cs="Arial"/>
                <w:szCs w:val="21"/>
                <w:highlight w:val="none"/>
              </w:rPr>
            </w:pPr>
            <w:r>
              <w:rPr>
                <w:rFonts w:ascii="Arial" w:hAnsi="Arial" w:cs="Arial"/>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bl>
    <w:p>
      <w:pPr>
        <w:spacing w:before="120" w:line="360" w:lineRule="auto"/>
        <w:ind w:firstLine="413" w:firstLineChars="196"/>
        <w:outlineLvl w:val="1"/>
        <w:rPr>
          <w:rFonts w:ascii="Arial" w:hAnsi="Arial" w:cs="Arial"/>
          <w:b/>
          <w:bCs/>
          <w:kern w:val="0"/>
          <w:szCs w:val="21"/>
          <w:highlight w:val="none"/>
        </w:rPr>
      </w:pPr>
      <w:r>
        <w:rPr>
          <w:rFonts w:ascii="Arial" w:hAnsi="Arial" w:cs="Arial"/>
          <w:b/>
          <w:bCs/>
          <w:kern w:val="0"/>
          <w:szCs w:val="21"/>
          <w:highlight w:val="none"/>
        </w:rPr>
        <w:t>2、符合性检查</w:t>
      </w:r>
    </w:p>
    <w:p>
      <w:pPr>
        <w:spacing w:before="120" w:line="360" w:lineRule="auto"/>
        <w:ind w:firstLine="420" w:firstLineChars="200"/>
        <w:rPr>
          <w:rFonts w:ascii="Arial" w:hAnsi="Arial" w:cs="Arial"/>
          <w:szCs w:val="21"/>
          <w:highlight w:val="none"/>
        </w:rPr>
      </w:pPr>
      <w:r>
        <w:rPr>
          <w:rFonts w:ascii="Arial" w:hAnsi="Arial" w:cs="Arial"/>
          <w:bCs/>
          <w:kern w:val="1"/>
          <w:szCs w:val="21"/>
          <w:highlight w:val="none"/>
        </w:rPr>
        <w:t>资格审查结束后，由评标委员会对</w:t>
      </w:r>
      <w:r>
        <w:rPr>
          <w:rFonts w:ascii="Arial" w:hAnsi="Arial" w:cs="Arial"/>
          <w:highlight w:val="none"/>
        </w:rPr>
        <w:t>通过资格审查的供应商的投标文件进行符合性审查，以确定其是否满足招标文件的实质性要求。</w:t>
      </w:r>
      <w:r>
        <w:rPr>
          <w:rFonts w:ascii="Arial" w:hAnsi="Arial" w:cs="Arial"/>
          <w:szCs w:val="21"/>
          <w:highlight w:val="none"/>
        </w:rPr>
        <w:t>符合性检查表如下，缺少任何一项或有任何一项不合格者，其符合性检查视为不合格。</w:t>
      </w:r>
    </w:p>
    <w:p>
      <w:pPr>
        <w:spacing w:before="120" w:line="360" w:lineRule="auto"/>
        <w:ind w:firstLine="420" w:firstLineChars="200"/>
        <w:rPr>
          <w:rFonts w:ascii="Arial" w:hAnsi="Arial" w:cs="Arial"/>
          <w:szCs w:val="21"/>
          <w:highlight w:val="none"/>
        </w:rPr>
      </w:pPr>
      <w:r>
        <w:rPr>
          <w:rFonts w:ascii="Arial" w:hAnsi="Arial" w:cs="Arial"/>
          <w:szCs w:val="21"/>
          <w:highlight w:val="none"/>
        </w:rPr>
        <w:br w:type="page"/>
      </w:r>
    </w:p>
    <w:tbl>
      <w:tblPr>
        <w:tblStyle w:val="5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360" w:lineRule="auto"/>
              <w:jc w:val="center"/>
              <w:rPr>
                <w:rFonts w:ascii="Arial" w:hAnsi="Arial" w:cs="Arial"/>
                <w:b/>
                <w:kern w:val="0"/>
                <w:szCs w:val="21"/>
                <w:highlight w:val="none"/>
              </w:rPr>
            </w:pPr>
            <w:r>
              <w:rPr>
                <w:rFonts w:ascii="Arial" w:hAnsi="Arial" w:cs="Arial"/>
                <w:b/>
                <w:kern w:val="0"/>
                <w:szCs w:val="21"/>
                <w:highlight w:val="none"/>
              </w:rPr>
              <w:t>序号</w:t>
            </w:r>
          </w:p>
        </w:tc>
        <w:tc>
          <w:tcPr>
            <w:tcW w:w="3544" w:type="dxa"/>
            <w:gridSpan w:val="2"/>
            <w:vAlign w:val="center"/>
          </w:tcPr>
          <w:p>
            <w:pPr>
              <w:spacing w:line="360" w:lineRule="auto"/>
              <w:jc w:val="center"/>
              <w:rPr>
                <w:rFonts w:ascii="Arial" w:hAnsi="Arial" w:cs="Arial"/>
                <w:b/>
                <w:kern w:val="0"/>
                <w:szCs w:val="21"/>
                <w:highlight w:val="none"/>
              </w:rPr>
            </w:pPr>
            <w:r>
              <w:rPr>
                <w:rFonts w:ascii="Arial" w:hAnsi="Arial" w:cs="Arial"/>
                <w:b/>
                <w:kern w:val="0"/>
                <w:szCs w:val="21"/>
                <w:highlight w:val="none"/>
              </w:rPr>
              <w:t>评标因素</w:t>
            </w:r>
          </w:p>
        </w:tc>
        <w:tc>
          <w:tcPr>
            <w:tcW w:w="5409" w:type="dxa"/>
            <w:vAlign w:val="center"/>
          </w:tcPr>
          <w:p>
            <w:pPr>
              <w:spacing w:line="360" w:lineRule="auto"/>
              <w:jc w:val="center"/>
              <w:rPr>
                <w:rFonts w:ascii="Arial" w:hAnsi="Arial" w:cs="Arial"/>
                <w:b/>
                <w:kern w:val="0"/>
                <w:szCs w:val="21"/>
                <w:highlight w:val="none"/>
              </w:rPr>
            </w:pPr>
            <w:r>
              <w:rPr>
                <w:rFonts w:ascii="Arial" w:hAnsi="Arial" w:cs="Arial"/>
                <w:b/>
                <w:kern w:val="0"/>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1560" w:type="dxa"/>
            <w:vMerge w:val="restart"/>
            <w:vAlign w:val="center"/>
          </w:tcPr>
          <w:p>
            <w:pPr>
              <w:spacing w:line="360" w:lineRule="auto"/>
              <w:rPr>
                <w:rFonts w:ascii="Arial" w:hAnsi="Arial" w:cs="Arial"/>
                <w:kern w:val="0"/>
                <w:szCs w:val="21"/>
                <w:highlight w:val="none"/>
              </w:rPr>
            </w:pPr>
            <w:r>
              <w:rPr>
                <w:rFonts w:ascii="Arial" w:hAnsi="Arial" w:cs="Arial"/>
                <w:kern w:val="0"/>
                <w:szCs w:val="21"/>
                <w:highlight w:val="none"/>
              </w:rPr>
              <w:t>有效性审查</w:t>
            </w:r>
          </w:p>
        </w:tc>
        <w:tc>
          <w:tcPr>
            <w:tcW w:w="1984" w:type="dxa"/>
            <w:vAlign w:val="center"/>
          </w:tcPr>
          <w:p>
            <w:pPr>
              <w:spacing w:line="360" w:lineRule="auto"/>
              <w:rPr>
                <w:rFonts w:ascii="Arial" w:hAnsi="Arial" w:cs="Arial"/>
                <w:kern w:val="0"/>
                <w:szCs w:val="21"/>
                <w:highlight w:val="none"/>
              </w:rPr>
            </w:pPr>
            <w:r>
              <w:rPr>
                <w:rFonts w:ascii="Arial" w:hAnsi="Arial" w:cs="Arial"/>
                <w:szCs w:val="21"/>
                <w:highlight w:val="none"/>
              </w:rPr>
              <w:t>投标文件签署</w:t>
            </w:r>
          </w:p>
        </w:tc>
        <w:tc>
          <w:tcPr>
            <w:tcW w:w="5409" w:type="dxa"/>
            <w:vAlign w:val="center"/>
          </w:tcPr>
          <w:p>
            <w:pPr>
              <w:spacing w:line="360" w:lineRule="auto"/>
              <w:rPr>
                <w:rFonts w:ascii="Arial" w:hAnsi="Arial" w:cs="Arial"/>
                <w:kern w:val="0"/>
                <w:szCs w:val="21"/>
                <w:highlight w:val="none"/>
              </w:rPr>
            </w:pPr>
            <w:r>
              <w:rPr>
                <w:rFonts w:ascii="Arial" w:hAnsi="Arial" w:cs="Arial"/>
                <w:szCs w:val="21"/>
                <w:highlight w:val="none"/>
              </w:rPr>
              <w:t>投标文件上法定代表人或其授权代表人已按要求签字盖章。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spacing w:line="360" w:lineRule="auto"/>
              <w:jc w:val="center"/>
              <w:rPr>
                <w:rFonts w:ascii="Arial" w:hAnsi="Arial" w:cs="Arial"/>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szCs w:val="21"/>
                <w:highlight w:val="none"/>
              </w:rPr>
            </w:pPr>
            <w:r>
              <w:rPr>
                <w:rFonts w:ascii="Arial" w:hAnsi="Arial" w:cs="Arial"/>
                <w:szCs w:val="21"/>
                <w:highlight w:val="none"/>
              </w:rPr>
              <w:t>法定代表人身份证明及授权委托书</w:t>
            </w:r>
          </w:p>
        </w:tc>
        <w:tc>
          <w:tcPr>
            <w:tcW w:w="5409" w:type="dxa"/>
            <w:vAlign w:val="center"/>
          </w:tcPr>
          <w:p>
            <w:pPr>
              <w:spacing w:line="360" w:lineRule="auto"/>
              <w:rPr>
                <w:rFonts w:ascii="Arial" w:hAnsi="Arial" w:cs="Arial"/>
                <w:szCs w:val="21"/>
                <w:highlight w:val="none"/>
              </w:rPr>
            </w:pPr>
            <w:r>
              <w:rPr>
                <w:rFonts w:ascii="Arial" w:hAnsi="Arial" w:cs="Arial"/>
                <w:szCs w:val="21"/>
                <w:highlight w:val="none"/>
              </w:rPr>
              <w:t>授权代表参加投标时审查</w:t>
            </w:r>
            <w:r>
              <w:rPr>
                <w:rFonts w:ascii="Arial" w:hAnsi="Arial" w:cs="Arial"/>
                <w:highlight w:val="none"/>
              </w:rPr>
              <w:t>：</w:t>
            </w:r>
            <w:r>
              <w:rPr>
                <w:rFonts w:ascii="Arial" w:hAnsi="Arial" w:cs="Arial"/>
                <w:szCs w:val="21"/>
                <w:highlight w:val="none"/>
              </w:rPr>
              <w:t>法定代表人授权委托书及附件，格式及附件见第六章投标文件格式要求；</w:t>
            </w:r>
          </w:p>
          <w:p>
            <w:pPr>
              <w:spacing w:line="360" w:lineRule="auto"/>
              <w:rPr>
                <w:rFonts w:ascii="Arial" w:hAnsi="Arial" w:cs="Arial"/>
                <w:szCs w:val="21"/>
                <w:highlight w:val="none"/>
              </w:rPr>
            </w:pPr>
            <w:r>
              <w:rPr>
                <w:rFonts w:ascii="Arial" w:hAnsi="Arial" w:cs="Arial"/>
                <w:szCs w:val="21"/>
                <w:highlight w:val="none"/>
              </w:rPr>
              <w:t>法定代表人直接参加投标时审查</w:t>
            </w:r>
            <w:r>
              <w:rPr>
                <w:rFonts w:ascii="Arial" w:hAnsi="Arial" w:cs="Arial"/>
                <w:highlight w:val="none"/>
              </w:rPr>
              <w:t>：</w:t>
            </w:r>
            <w:r>
              <w:rPr>
                <w:rFonts w:ascii="Arial" w:hAnsi="Arial" w:cs="Arial"/>
                <w:szCs w:val="21"/>
                <w:highlight w:val="none"/>
              </w:rPr>
              <w:t>法定代表人身份证明及附件，格式及附件见第六章投标文件格式要求。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szCs w:val="21"/>
                <w:highlight w:val="none"/>
                <w:lang w:val="zh-CN"/>
              </w:rPr>
            </w:pPr>
            <w:r>
              <w:rPr>
                <w:rFonts w:ascii="Arial" w:hAnsi="Arial" w:cs="Arial"/>
                <w:highlight w:val="none"/>
              </w:rPr>
              <w:t>投标文件或者投标报价唯一性</w:t>
            </w:r>
          </w:p>
        </w:tc>
        <w:tc>
          <w:tcPr>
            <w:tcW w:w="5409" w:type="dxa"/>
            <w:vAlign w:val="center"/>
          </w:tcPr>
          <w:p>
            <w:pPr>
              <w:spacing w:line="360" w:lineRule="auto"/>
              <w:rPr>
                <w:rFonts w:ascii="Arial" w:hAnsi="Arial" w:cs="Arial"/>
                <w:kern w:val="0"/>
                <w:szCs w:val="21"/>
                <w:highlight w:val="none"/>
              </w:rPr>
            </w:pPr>
            <w:r>
              <w:rPr>
                <w:rFonts w:ascii="Arial" w:hAnsi="Arial" w:cs="Arial"/>
                <w:highlight w:val="none"/>
              </w:rPr>
              <w:t>同</w:t>
            </w:r>
            <w:r>
              <w:rPr>
                <w:rFonts w:ascii="Arial" w:hAnsi="Arial" w:cs="Arial"/>
                <w:szCs w:val="21"/>
                <w:highlight w:val="none"/>
              </w:rPr>
              <w:t>一供应商不得提交两个以上不同的投标文件或者投标报价，但招标文件要求提交备选投标的除外。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highlight w:val="none"/>
              </w:rPr>
            </w:pPr>
            <w:r>
              <w:rPr>
                <w:rFonts w:ascii="Arial" w:hAnsi="Arial" w:cs="Arial"/>
                <w:highlight w:val="none"/>
              </w:rPr>
              <w:t>投标报价</w:t>
            </w:r>
          </w:p>
        </w:tc>
        <w:tc>
          <w:tcPr>
            <w:tcW w:w="5409" w:type="dxa"/>
          </w:tcPr>
          <w:p>
            <w:pPr>
              <w:spacing w:before="120" w:line="288" w:lineRule="auto"/>
              <w:rPr>
                <w:rFonts w:ascii="Arial" w:hAnsi="Arial" w:cs="Arial"/>
                <w:highlight w:val="none"/>
              </w:rPr>
            </w:pPr>
            <w:r>
              <w:rPr>
                <w:rFonts w:ascii="Arial" w:hAnsi="Arial" w:cs="Arial"/>
                <w:szCs w:val="21"/>
                <w:highlight w:val="none"/>
              </w:rPr>
              <w:t>报价超出</w:t>
            </w:r>
            <w:r>
              <w:rPr>
                <w:rFonts w:ascii="Arial" w:hAnsi="Arial" w:cs="Arial"/>
                <w:b/>
                <w:bCs/>
                <w:szCs w:val="21"/>
                <w:highlight w:val="none"/>
              </w:rPr>
              <w:t>采购预算金额或最高限价或控制单价</w:t>
            </w:r>
            <w:r>
              <w:rPr>
                <w:rFonts w:ascii="Arial" w:hAnsi="Arial" w:cs="Arial"/>
                <w:szCs w:val="21"/>
                <w:highlight w:val="none"/>
              </w:rPr>
              <w:t>的，否决其投标</w:t>
            </w:r>
            <w:r>
              <w:rPr>
                <w:rFonts w:ascii="Arial" w:hAnsi="Arial" w:cs="Arial"/>
                <w:highlight w:val="none"/>
              </w:rPr>
              <w:t>。</w:t>
            </w:r>
            <w:r>
              <w:rPr>
                <w:rFonts w:ascii="Arial" w:hAnsi="Arial" w:cs="Arial"/>
                <w:szCs w:val="21"/>
                <w:highlight w:val="none"/>
              </w:rPr>
              <w:t>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kern w:val="0"/>
                <w:szCs w:val="21"/>
                <w:highlight w:val="none"/>
              </w:rPr>
            </w:pPr>
          </w:p>
        </w:tc>
        <w:tc>
          <w:tcPr>
            <w:tcW w:w="1984" w:type="dxa"/>
            <w:vAlign w:val="center"/>
          </w:tcPr>
          <w:p>
            <w:pPr>
              <w:spacing w:line="360" w:lineRule="auto"/>
              <w:rPr>
                <w:rFonts w:ascii="Arial" w:hAnsi="Arial" w:cs="Arial"/>
                <w:szCs w:val="21"/>
                <w:highlight w:val="none"/>
                <w:lang w:val="zh-CN"/>
              </w:rPr>
            </w:pPr>
            <w:r>
              <w:rPr>
                <w:rFonts w:ascii="Arial" w:hAnsi="Arial" w:cs="Arial"/>
                <w:szCs w:val="21"/>
                <w:highlight w:val="none"/>
                <w:lang w:val="zh-CN"/>
              </w:rPr>
              <w:t>联合体供应商</w:t>
            </w:r>
          </w:p>
        </w:tc>
        <w:tc>
          <w:tcPr>
            <w:tcW w:w="5409" w:type="dxa"/>
            <w:vAlign w:val="center"/>
          </w:tcPr>
          <w:p>
            <w:pPr>
              <w:spacing w:line="360" w:lineRule="auto"/>
              <w:rPr>
                <w:rFonts w:ascii="Arial" w:hAnsi="Arial" w:cs="Arial"/>
                <w:kern w:val="0"/>
                <w:szCs w:val="21"/>
                <w:highlight w:val="none"/>
              </w:rPr>
            </w:pPr>
            <w:r>
              <w:rPr>
                <w:rFonts w:ascii="Arial" w:hAnsi="Arial" w:cs="Arial"/>
                <w:szCs w:val="21"/>
                <w:highlight w:val="none"/>
                <w:lang w:val="zh-CN"/>
              </w:rPr>
              <w:t>不接受联合体。联合体投标的，作无效投标处理。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360" w:lineRule="auto"/>
              <w:jc w:val="center"/>
              <w:rPr>
                <w:rFonts w:ascii="Arial" w:hAnsi="Arial" w:cs="Arial"/>
                <w:szCs w:val="21"/>
                <w:highlight w:val="none"/>
              </w:rPr>
            </w:pPr>
            <w:r>
              <w:rPr>
                <w:rFonts w:ascii="Arial" w:hAnsi="Arial" w:cs="Arial"/>
                <w:szCs w:val="21"/>
                <w:highlight w:val="none"/>
              </w:rPr>
              <w:t>（2）</w:t>
            </w:r>
          </w:p>
        </w:tc>
        <w:tc>
          <w:tcPr>
            <w:tcW w:w="1560" w:type="dxa"/>
            <w:vMerge w:val="restart"/>
            <w:vAlign w:val="center"/>
          </w:tcPr>
          <w:p>
            <w:pPr>
              <w:spacing w:line="360" w:lineRule="auto"/>
              <w:rPr>
                <w:rFonts w:ascii="Arial" w:hAnsi="Arial" w:cs="Arial"/>
                <w:szCs w:val="21"/>
                <w:highlight w:val="none"/>
                <w:lang w:val="zh-CN"/>
              </w:rPr>
            </w:pPr>
            <w:r>
              <w:rPr>
                <w:rFonts w:ascii="Arial" w:hAnsi="Arial" w:cs="Arial"/>
                <w:kern w:val="0"/>
                <w:szCs w:val="21"/>
                <w:highlight w:val="none"/>
              </w:rPr>
              <w:t>对招标文件的响应程度审查</w:t>
            </w:r>
          </w:p>
        </w:tc>
        <w:tc>
          <w:tcPr>
            <w:tcW w:w="1984" w:type="dxa"/>
            <w:vAlign w:val="center"/>
          </w:tcPr>
          <w:p>
            <w:pPr>
              <w:spacing w:line="360" w:lineRule="auto"/>
              <w:rPr>
                <w:rFonts w:ascii="Arial" w:hAnsi="Arial" w:cs="Arial"/>
                <w:szCs w:val="21"/>
                <w:highlight w:val="none"/>
                <w:lang w:val="zh-CN"/>
              </w:rPr>
            </w:pPr>
            <w:r>
              <w:rPr>
                <w:rFonts w:ascii="Arial" w:hAnsi="Arial" w:cs="Arial"/>
                <w:szCs w:val="21"/>
                <w:highlight w:val="none"/>
                <w:lang w:val="zh-CN"/>
              </w:rPr>
              <w:t>实质性条款响应</w:t>
            </w:r>
          </w:p>
        </w:tc>
        <w:tc>
          <w:tcPr>
            <w:tcW w:w="5409" w:type="dxa"/>
            <w:vAlign w:val="center"/>
          </w:tcPr>
          <w:p>
            <w:pPr>
              <w:spacing w:line="360" w:lineRule="auto"/>
              <w:rPr>
                <w:rFonts w:ascii="Arial" w:hAnsi="Arial" w:cs="Arial"/>
                <w:szCs w:val="21"/>
                <w:highlight w:val="none"/>
                <w:lang w:val="zh-CN"/>
              </w:rPr>
            </w:pPr>
            <w:r>
              <w:rPr>
                <w:rFonts w:ascii="Arial" w:hAnsi="Arial" w:cs="Arial"/>
                <w:szCs w:val="21"/>
                <w:highlight w:val="none"/>
                <w:lang w:val="zh-CN"/>
              </w:rPr>
              <w:t>对招标文件中所有标注▲号的实质性条款要求响应均无负偏离。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vAlign w:val="center"/>
          </w:tcPr>
          <w:p>
            <w:pPr>
              <w:spacing w:line="360" w:lineRule="auto"/>
              <w:jc w:val="center"/>
              <w:rPr>
                <w:rFonts w:ascii="Arial" w:hAnsi="Arial" w:cs="Arial"/>
                <w:kern w:val="0"/>
                <w:szCs w:val="21"/>
                <w:highlight w:val="none"/>
              </w:rPr>
            </w:pPr>
          </w:p>
        </w:tc>
        <w:tc>
          <w:tcPr>
            <w:tcW w:w="1560" w:type="dxa"/>
            <w:vMerge w:val="continue"/>
            <w:vAlign w:val="center"/>
          </w:tcPr>
          <w:p>
            <w:pPr>
              <w:spacing w:line="360" w:lineRule="auto"/>
              <w:rPr>
                <w:rFonts w:ascii="Arial" w:hAnsi="Arial" w:cs="Arial"/>
                <w:szCs w:val="21"/>
                <w:highlight w:val="none"/>
                <w:lang w:val="zh-CN"/>
              </w:rPr>
            </w:pPr>
          </w:p>
        </w:tc>
        <w:tc>
          <w:tcPr>
            <w:tcW w:w="1984" w:type="dxa"/>
            <w:vAlign w:val="center"/>
          </w:tcPr>
          <w:p>
            <w:pPr>
              <w:spacing w:line="360" w:lineRule="auto"/>
              <w:rPr>
                <w:rFonts w:ascii="Arial" w:hAnsi="Arial" w:cs="Arial"/>
                <w:szCs w:val="21"/>
                <w:highlight w:val="none"/>
              </w:rPr>
            </w:pPr>
            <w:r>
              <w:rPr>
                <w:rFonts w:ascii="Arial" w:hAnsi="Arial" w:cs="Arial"/>
                <w:szCs w:val="21"/>
                <w:highlight w:val="none"/>
              </w:rPr>
              <w:t>投标有效期</w:t>
            </w:r>
          </w:p>
        </w:tc>
        <w:tc>
          <w:tcPr>
            <w:tcW w:w="5409" w:type="dxa"/>
            <w:vAlign w:val="center"/>
          </w:tcPr>
          <w:p>
            <w:pPr>
              <w:spacing w:line="360" w:lineRule="auto"/>
              <w:rPr>
                <w:rFonts w:ascii="Arial" w:hAnsi="Arial" w:cs="Arial"/>
                <w:szCs w:val="21"/>
                <w:highlight w:val="none"/>
              </w:rPr>
            </w:pPr>
            <w:r>
              <w:rPr>
                <w:rFonts w:ascii="Arial" w:hAnsi="Arial" w:cs="Arial"/>
                <w:szCs w:val="21"/>
                <w:highlight w:val="none"/>
              </w:rPr>
              <w:t>满足招标文件规定。</w:t>
            </w:r>
          </w:p>
        </w:tc>
      </w:tr>
    </w:tbl>
    <w:p>
      <w:pPr>
        <w:spacing w:before="120" w:line="320" w:lineRule="atLeast"/>
        <w:ind w:firstLine="413" w:firstLineChars="196"/>
        <w:outlineLvl w:val="1"/>
        <w:rPr>
          <w:rFonts w:ascii="Arial" w:hAnsi="Arial" w:cs="Arial"/>
          <w:b/>
          <w:bCs/>
          <w:kern w:val="0"/>
          <w:szCs w:val="21"/>
          <w:highlight w:val="none"/>
        </w:rPr>
      </w:pPr>
      <w:r>
        <w:rPr>
          <w:rFonts w:ascii="Arial" w:hAnsi="Arial" w:cs="Arial"/>
          <w:b/>
          <w:bCs/>
          <w:kern w:val="0"/>
          <w:szCs w:val="21"/>
          <w:highlight w:val="none"/>
        </w:rPr>
        <w:t>3、强制性采购要求（仅适用于货物采购项目）</w:t>
      </w:r>
    </w:p>
    <w:p>
      <w:pPr>
        <w:spacing w:before="120" w:line="276" w:lineRule="auto"/>
        <w:ind w:firstLine="420" w:firstLineChars="200"/>
        <w:rPr>
          <w:rFonts w:ascii="Arial" w:hAnsi="Arial" w:cs="Arial"/>
          <w:highlight w:val="none"/>
        </w:rPr>
      </w:pPr>
      <w:r>
        <w:rPr>
          <w:rFonts w:ascii="Arial" w:hAnsi="Arial" w:cs="Arial"/>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hint="eastAsia" w:ascii="Arial" w:hAnsi="Arial" w:cs="Arial"/>
          <w:highlight w:val="none"/>
        </w:rPr>
      </w:pPr>
      <w:r>
        <w:rPr>
          <w:rFonts w:ascii="Arial" w:hAnsi="Arial" w:cs="Arial"/>
          <w:highlight w:val="none"/>
        </w:rPr>
        <w:t>（2）</w:t>
      </w:r>
      <w:r>
        <w:rPr>
          <w:rFonts w:hint="eastAsia" w:ascii="Arial" w:hAnsi="Arial" w:cs="Arial"/>
          <w:highlight w:val="none"/>
        </w:rPr>
        <w:t>根据《关于调整网络安全专用产品安全管理有关事项的公告》（2023年1号）及关于调整《网络关键设备和网络安全专用产品目录》（2023年2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szCs w:val="21"/>
          <w:highlight w:val="none"/>
        </w:rPr>
      </w:pPr>
      <w:r>
        <w:rPr>
          <w:rFonts w:hint="eastAsia" w:ascii="Arial" w:hAnsi="Arial" w:cs="Arial"/>
          <w:highlight w:val="none"/>
        </w:rPr>
        <w:t>注：网络安全专用产品在中共中央网络安全和信息化委员会办公室网站上发布的《网络关键设备和网络安全专用产品目录》中查询。 “网络安全专用产品”内“产品类别”共34类：数据备份与恢复产品、防火墙、入侵检测系统（IDS）、入侵防御系统（IPS）、网络和终端隔离产品、反垃圾邮件产品、网络综合审计产品、网络脆弱性扫描产品、安全数据库系统、网站恢复产品、虚拟专用网产品、防病毒网关、统一威胁管理产品（UTM）、病毒防治产品、安全操作系统、安全网络存储、公钥基础设施、网络安全态势感知产品、信息系统安全管理平台、网络型流量控制产品、负载均衡产品、信息过滤产品、抗拒绝服务攻击产品、终端接入控制产品、USB移动存储介质管理系统、文件加密产品、数据泄露防护产品、数据销毁软件产品、安全配置检查产品、运维安全管理产品、日志分析产品、身份鉴别产品、终端安全监护产品、电子文档安全管理产品</w:t>
      </w:r>
      <w:r>
        <w:rPr>
          <w:rFonts w:ascii="Arial" w:hAnsi="Arial" w:cs="Arial"/>
          <w:highlight w:val="none"/>
        </w:rPr>
        <w:t>。</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5</w:t>
      </w:r>
      <w:r>
        <w:rPr>
          <w:rFonts w:ascii="Arial" w:hAnsi="Arial" w:cs="Arial"/>
          <w:b/>
          <w:bCs/>
          <w:kern w:val="0"/>
          <w:szCs w:val="21"/>
          <w:highlight w:val="none"/>
        </w:rPr>
        <w:t>、相同品牌投标有效性认定</w:t>
      </w:r>
    </w:p>
    <w:p>
      <w:pPr>
        <w:spacing w:before="120" w:line="320" w:lineRule="atLeast"/>
        <w:ind w:firstLine="420" w:firstLineChars="200"/>
        <w:rPr>
          <w:rFonts w:ascii="Arial" w:hAnsi="Arial" w:cs="Arial"/>
          <w:highlight w:val="none"/>
        </w:rPr>
      </w:pPr>
      <w:r>
        <w:rPr>
          <w:rFonts w:ascii="Arial" w:hAnsi="Arial" w:cs="Arial"/>
          <w:highlight w:val="none"/>
        </w:rPr>
        <w:t>不同供应商提供的投标产品品牌相同时，评标委员会须根据以下规定评审</w:t>
      </w:r>
      <w:r>
        <w:rPr>
          <w:rFonts w:ascii="Arial" w:hAnsi="Arial" w:cs="Arial"/>
          <w:bCs/>
          <w:kern w:val="0"/>
          <w:szCs w:val="21"/>
          <w:highlight w:val="none"/>
        </w:rPr>
        <w:t>相同品牌的投标有效性</w:t>
      </w:r>
      <w:r>
        <w:rPr>
          <w:rFonts w:ascii="Arial" w:hAnsi="Arial" w:cs="Arial"/>
          <w:highlight w:val="none"/>
        </w:rPr>
        <w:t>。</w:t>
      </w:r>
    </w:p>
    <w:p>
      <w:pPr>
        <w:spacing w:before="120" w:line="320" w:lineRule="atLeast"/>
        <w:ind w:firstLine="420" w:firstLineChars="200"/>
        <w:rPr>
          <w:rFonts w:ascii="Arial" w:hAnsi="Arial" w:cs="Arial"/>
          <w:szCs w:val="21"/>
          <w:highlight w:val="none"/>
        </w:rPr>
      </w:pPr>
      <w:r>
        <w:rPr>
          <w:rFonts w:ascii="Arial" w:hAnsi="Arial" w:cs="Arial"/>
          <w:szCs w:val="21"/>
          <w:highlight w:val="none"/>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highlight w:val="none"/>
        </w:rPr>
        <w:t>由（</w:t>
      </w:r>
      <w:r>
        <w:rPr>
          <w:rFonts w:ascii="Arial" w:hAnsi="Arial" w:cs="Arial"/>
          <w:szCs w:val="21"/>
          <w:highlight w:val="none"/>
        </w:rPr>
        <w:sym w:font="Wingdings 2" w:char="F052"/>
      </w:r>
      <w:r>
        <w:rPr>
          <w:rFonts w:ascii="Arial" w:hAnsi="Arial" w:cs="Arial"/>
          <w:highlight w:val="none"/>
        </w:rPr>
        <w:t>采购人</w:t>
      </w:r>
      <w:r>
        <w:rPr>
          <w:rFonts w:ascii="Arial" w:hAnsi="Arial" w:cs="Arial"/>
          <w:szCs w:val="21"/>
          <w:highlight w:val="none"/>
        </w:rPr>
        <w:t>；</w:t>
      </w:r>
      <w:r>
        <w:rPr>
          <w:rFonts w:ascii="Arial" w:hAnsi="Arial" w:cs="Arial"/>
          <w:szCs w:val="21"/>
          <w:highlight w:val="none"/>
        </w:rPr>
        <w:sym w:font="Wingdings 2" w:char="F0A3"/>
      </w:r>
      <w:r>
        <w:rPr>
          <w:rFonts w:ascii="Arial" w:hAnsi="Arial" w:cs="Arial"/>
          <w:highlight w:val="none"/>
        </w:rPr>
        <w:t>采购人委托评标委员会）按照报价低者推荐</w:t>
      </w:r>
      <w:r>
        <w:rPr>
          <w:rFonts w:ascii="Arial" w:hAnsi="Arial" w:cs="Arial"/>
          <w:szCs w:val="21"/>
          <w:highlight w:val="none"/>
        </w:rPr>
        <w:t>中标供应商资格</w:t>
      </w:r>
      <w:r>
        <w:rPr>
          <w:rFonts w:ascii="Arial" w:hAnsi="Arial" w:cs="Arial"/>
          <w:highlight w:val="none"/>
        </w:rPr>
        <w:t>，如报价仍相同，则按技术部分得分高者推荐</w:t>
      </w:r>
      <w:r>
        <w:rPr>
          <w:rFonts w:ascii="Arial" w:hAnsi="Arial" w:cs="Arial"/>
          <w:szCs w:val="21"/>
          <w:highlight w:val="none"/>
        </w:rPr>
        <w:t>中标供应商资格</w:t>
      </w:r>
      <w:r>
        <w:rPr>
          <w:rFonts w:ascii="Arial" w:hAnsi="Arial" w:cs="Arial"/>
          <w:highlight w:val="none"/>
        </w:rPr>
        <w:t>，仍相同的，则按商务部分得分高者推荐</w:t>
      </w:r>
      <w:r>
        <w:rPr>
          <w:rFonts w:ascii="Arial" w:hAnsi="Arial" w:cs="Arial"/>
          <w:szCs w:val="21"/>
          <w:highlight w:val="none"/>
        </w:rPr>
        <w:t>中标供应商资格</w:t>
      </w:r>
      <w:r>
        <w:rPr>
          <w:rFonts w:ascii="Arial" w:hAnsi="Arial" w:cs="Arial"/>
          <w:highlight w:val="none"/>
        </w:rPr>
        <w:t>，若仍相同，则按业绩得分高者推荐中标供应商资格，其他同品牌供应商不作为中标候选人。</w:t>
      </w:r>
    </w:p>
    <w:p>
      <w:pPr>
        <w:spacing w:before="120" w:line="320" w:lineRule="atLeast"/>
        <w:ind w:firstLine="420" w:firstLineChars="200"/>
        <w:rPr>
          <w:rFonts w:ascii="Arial" w:hAnsi="Arial" w:cs="Arial"/>
          <w:szCs w:val="21"/>
          <w:highlight w:val="none"/>
        </w:rPr>
      </w:pPr>
      <w:r>
        <w:rPr>
          <w:rFonts w:ascii="Arial" w:hAnsi="Arial" w:cs="Arial"/>
          <w:szCs w:val="21"/>
          <w:highlight w:val="none"/>
        </w:rPr>
        <w:t>（2）非单一产品采购项目，采购人应当确定核心产品，并在招标文件中载明。多家供应商提供的核心产品品牌相同的，按上述规定处理。核心产品的定义见“项目采购需求”规定。</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6</w:t>
      </w:r>
      <w:r>
        <w:rPr>
          <w:rFonts w:ascii="Arial" w:hAnsi="Arial" w:cs="Arial"/>
          <w:b/>
          <w:bCs/>
          <w:kern w:val="0"/>
          <w:szCs w:val="21"/>
          <w:highlight w:val="none"/>
        </w:rPr>
        <w:t>、串通投标的认定</w:t>
      </w:r>
    </w:p>
    <w:p>
      <w:pPr>
        <w:spacing w:before="120" w:line="360" w:lineRule="auto"/>
        <w:ind w:firstLine="420" w:firstLineChars="200"/>
        <w:rPr>
          <w:rFonts w:ascii="Arial" w:hAnsi="Arial" w:cs="Arial"/>
          <w:highlight w:val="none"/>
        </w:rPr>
      </w:pPr>
      <w:r>
        <w:rPr>
          <w:rFonts w:ascii="Arial" w:hAnsi="Arial" w:cs="Arial"/>
          <w:highlight w:val="none"/>
        </w:rPr>
        <w:t>评标委员会须根据以下规定评审</w:t>
      </w:r>
      <w:r>
        <w:rPr>
          <w:rFonts w:ascii="Arial" w:hAnsi="Arial" w:cs="Arial"/>
          <w:bCs/>
          <w:kern w:val="0"/>
          <w:szCs w:val="21"/>
          <w:highlight w:val="none"/>
        </w:rPr>
        <w:t>供应商是否有串通投标的行为，并按规定判定投标是否有效</w:t>
      </w:r>
      <w:r>
        <w:rPr>
          <w:rFonts w:ascii="Arial" w:hAnsi="Arial" w:cs="Arial"/>
          <w:highlight w:val="none"/>
        </w:rPr>
        <w:t>。</w:t>
      </w:r>
    </w:p>
    <w:p>
      <w:pPr>
        <w:spacing w:before="120" w:line="360" w:lineRule="auto"/>
        <w:ind w:firstLine="420" w:firstLineChars="200"/>
        <w:rPr>
          <w:rFonts w:ascii="Arial" w:hAnsi="Arial" w:cs="Arial"/>
          <w:szCs w:val="21"/>
          <w:highlight w:val="none"/>
        </w:rPr>
      </w:pPr>
      <w:bookmarkStart w:id="170" w:name="_Hlk19122026"/>
      <w:r>
        <w:rPr>
          <w:rFonts w:ascii="Arial" w:hAnsi="Arial" w:cs="Arial"/>
          <w:szCs w:val="21"/>
          <w:highlight w:val="none"/>
        </w:rPr>
        <w:t>（1）</w:t>
      </w:r>
      <w:bookmarkEnd w:id="170"/>
      <w:r>
        <w:rPr>
          <w:rFonts w:ascii="Arial" w:hAnsi="Arial" w:cs="Arial"/>
          <w:szCs w:val="21"/>
          <w:highlight w:val="none"/>
        </w:rPr>
        <w:t>根据桂财采[2016]42号《关于防治政府采购招标中串通投标行为的通知》规定，出现下述情况的，相关供应商的投标作无效投标处理。</w:t>
      </w:r>
    </w:p>
    <w:p>
      <w:pPr>
        <w:spacing w:before="120" w:line="360" w:lineRule="auto"/>
        <w:ind w:firstLine="420" w:firstLineChars="200"/>
        <w:rPr>
          <w:rFonts w:ascii="Arial" w:hAnsi="Arial" w:cs="Arial"/>
          <w:szCs w:val="21"/>
          <w:highlight w:val="none"/>
        </w:rPr>
      </w:pPr>
      <w:bookmarkStart w:id="171" w:name="_Hlk19122039"/>
      <w:r>
        <w:rPr>
          <w:rFonts w:ascii="Arial" w:hAnsi="Arial" w:cs="Arial"/>
          <w:szCs w:val="21"/>
          <w:highlight w:val="none"/>
        </w:rPr>
        <w:t>①单位负责人为同一人或者存在直接控股、管理关系，参加同一合同项下政府采购活动的不同供应商。</w:t>
      </w:r>
    </w:p>
    <w:p>
      <w:pPr>
        <w:spacing w:before="120" w:line="360" w:lineRule="auto"/>
        <w:ind w:firstLine="420" w:firstLineChars="200"/>
        <w:rPr>
          <w:rFonts w:ascii="Arial" w:hAnsi="Arial" w:cs="Arial"/>
          <w:szCs w:val="21"/>
          <w:highlight w:val="none"/>
        </w:rPr>
      </w:pPr>
      <w:r>
        <w:rPr>
          <w:rFonts w:ascii="Arial" w:hAnsi="Arial" w:cs="Arial"/>
          <w:szCs w:val="21"/>
          <w:highlight w:val="none"/>
        </w:rPr>
        <w:t>②授权给供应商后参加同一合同项（分标、分包）投标的生产厂商。</w:t>
      </w:r>
    </w:p>
    <w:p>
      <w:pPr>
        <w:spacing w:before="120" w:line="360" w:lineRule="auto"/>
        <w:ind w:firstLine="420" w:firstLineChars="200"/>
        <w:rPr>
          <w:rFonts w:ascii="Arial" w:hAnsi="Arial" w:cs="Arial"/>
          <w:szCs w:val="21"/>
          <w:highlight w:val="none"/>
        </w:rPr>
      </w:pPr>
      <w:r>
        <w:rPr>
          <w:rFonts w:ascii="Arial" w:hAnsi="Arial" w:cs="Arial"/>
          <w:szCs w:val="21"/>
          <w:highlight w:val="none"/>
        </w:rPr>
        <w:t>③视为或被认定为串通投标的相关供应商。</w:t>
      </w:r>
    </w:p>
    <w:bookmarkEnd w:id="171"/>
    <w:p>
      <w:pPr>
        <w:spacing w:before="120" w:line="360" w:lineRule="auto"/>
        <w:ind w:firstLine="420" w:firstLineChars="200"/>
        <w:rPr>
          <w:rFonts w:ascii="Arial" w:hAnsi="Arial" w:cs="Arial"/>
          <w:szCs w:val="21"/>
          <w:highlight w:val="none"/>
        </w:rPr>
      </w:pPr>
      <w:bookmarkStart w:id="172" w:name="_Hlk19122058"/>
      <w:r>
        <w:rPr>
          <w:rFonts w:ascii="Arial" w:hAnsi="Arial" w:cs="Arial"/>
          <w:szCs w:val="21"/>
          <w:highlight w:val="none"/>
        </w:rPr>
        <w:t>（2）</w:t>
      </w:r>
      <w:bookmarkEnd w:id="172"/>
      <w:r>
        <w:rPr>
          <w:rFonts w:ascii="Arial" w:hAnsi="Arial" w:cs="Arial"/>
          <w:szCs w:val="21"/>
          <w:highlight w:val="none"/>
        </w:rPr>
        <w:t>根据桂财采[2016]42号《关于防治政府采购招标中串通投标行为的通知》规定，有下列情形之一的视为供应商相互串通投标，投标文件将被视为无效。</w:t>
      </w:r>
    </w:p>
    <w:p>
      <w:pPr>
        <w:spacing w:before="120" w:line="360" w:lineRule="auto"/>
        <w:ind w:firstLine="420" w:firstLineChars="200"/>
        <w:rPr>
          <w:rFonts w:ascii="Arial" w:hAnsi="Arial" w:cs="Arial"/>
          <w:szCs w:val="21"/>
          <w:highlight w:val="none"/>
        </w:rPr>
      </w:pPr>
      <w:bookmarkStart w:id="173" w:name="_Hlk19122048"/>
      <w:r>
        <w:rPr>
          <w:rFonts w:ascii="Arial" w:hAnsi="Arial" w:cs="Arial"/>
          <w:szCs w:val="21"/>
          <w:highlight w:val="none"/>
        </w:rPr>
        <w:t>①不同供应商的投标文件由同一单位或者个人编制；</w:t>
      </w:r>
      <w:r>
        <w:rPr>
          <w:rFonts w:hint="eastAsia" w:ascii="Arial" w:hAnsi="Arial" w:cs="Arial"/>
          <w:szCs w:val="21"/>
          <w:highlight w:val="none"/>
        </w:rPr>
        <w:t>或不同供应商报名的 IP 地址一致的；</w:t>
      </w:r>
    </w:p>
    <w:p>
      <w:pPr>
        <w:spacing w:before="120" w:line="360" w:lineRule="auto"/>
        <w:ind w:firstLine="420" w:firstLineChars="200"/>
        <w:rPr>
          <w:rFonts w:ascii="Arial" w:hAnsi="Arial" w:cs="Arial"/>
          <w:szCs w:val="21"/>
          <w:highlight w:val="none"/>
        </w:rPr>
      </w:pPr>
      <w:r>
        <w:rPr>
          <w:rFonts w:ascii="Arial" w:hAnsi="Arial" w:cs="Arial"/>
          <w:szCs w:val="21"/>
          <w:highlight w:val="none"/>
        </w:rPr>
        <w:t>②不同供应商委托同一单位或者个人办理投标事宜；</w:t>
      </w:r>
    </w:p>
    <w:p>
      <w:pPr>
        <w:spacing w:before="120" w:line="360" w:lineRule="auto"/>
        <w:ind w:firstLine="420" w:firstLineChars="200"/>
        <w:rPr>
          <w:rFonts w:ascii="Arial" w:hAnsi="Arial" w:cs="Arial"/>
          <w:szCs w:val="21"/>
          <w:highlight w:val="none"/>
        </w:rPr>
      </w:pPr>
      <w:r>
        <w:rPr>
          <w:rFonts w:ascii="Arial" w:hAnsi="Arial" w:cs="Arial"/>
          <w:szCs w:val="21"/>
          <w:highlight w:val="none"/>
        </w:rPr>
        <w:t>③不同的供应商的投标文件载明的项目管理员为同一个人；</w:t>
      </w:r>
    </w:p>
    <w:p>
      <w:pPr>
        <w:spacing w:before="120" w:line="360" w:lineRule="auto"/>
        <w:ind w:firstLine="420" w:firstLineChars="200"/>
        <w:rPr>
          <w:rFonts w:ascii="Arial" w:hAnsi="Arial" w:cs="Arial"/>
          <w:szCs w:val="21"/>
          <w:highlight w:val="none"/>
        </w:rPr>
      </w:pPr>
      <w:r>
        <w:rPr>
          <w:rFonts w:ascii="Arial" w:hAnsi="Arial" w:cs="Arial"/>
          <w:szCs w:val="21"/>
          <w:highlight w:val="none"/>
        </w:rPr>
        <w:t>④不同供应商的投标文件异常一致或投标报价呈规律性差异；</w:t>
      </w:r>
    </w:p>
    <w:p>
      <w:pPr>
        <w:spacing w:before="120" w:line="360" w:lineRule="auto"/>
        <w:ind w:firstLine="420" w:firstLineChars="200"/>
        <w:rPr>
          <w:rFonts w:ascii="Arial" w:hAnsi="Arial" w:cs="Arial"/>
          <w:szCs w:val="21"/>
          <w:highlight w:val="none"/>
        </w:rPr>
      </w:pPr>
      <w:r>
        <w:rPr>
          <w:rFonts w:ascii="Arial" w:hAnsi="Arial" w:cs="Arial"/>
          <w:szCs w:val="21"/>
          <w:highlight w:val="none"/>
        </w:rPr>
        <w:t>⑤不同供应商的投标文件相互混装；</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⑥不同供应商的保证金从同一单位或者个人账户转出。</w:t>
      </w:r>
    </w:p>
    <w:bookmarkEnd w:id="173"/>
    <w:p>
      <w:pPr>
        <w:spacing w:before="120" w:line="360" w:lineRule="auto"/>
        <w:ind w:firstLine="420" w:firstLineChars="200"/>
        <w:rPr>
          <w:rFonts w:ascii="Arial" w:hAnsi="Arial" w:cs="Arial"/>
          <w:szCs w:val="21"/>
          <w:highlight w:val="none"/>
        </w:rPr>
      </w:pPr>
      <w:bookmarkStart w:id="174" w:name="_Hlk19122102"/>
      <w:r>
        <w:rPr>
          <w:rFonts w:ascii="Arial" w:hAnsi="Arial" w:cs="Arial"/>
          <w:szCs w:val="21"/>
          <w:highlight w:val="none"/>
        </w:rPr>
        <w:t>（3）</w:t>
      </w:r>
      <w:bookmarkEnd w:id="174"/>
      <w:r>
        <w:rPr>
          <w:rFonts w:ascii="Arial" w:hAnsi="Arial" w:cs="Arial"/>
          <w:szCs w:val="21"/>
          <w:highlight w:val="none"/>
        </w:rPr>
        <w:t>根据桂财采[2016]42号《关于防治政府采购招标中串通投标行为的通知》规定，供应商有下列情形之一的，属于恶意串通行为，投标文件将被视为无效。</w:t>
      </w:r>
    </w:p>
    <w:p>
      <w:pPr>
        <w:spacing w:before="120" w:line="360" w:lineRule="auto"/>
        <w:ind w:firstLine="420" w:firstLineChars="200"/>
        <w:rPr>
          <w:rFonts w:ascii="Arial" w:hAnsi="Arial" w:cs="Arial"/>
          <w:szCs w:val="21"/>
          <w:highlight w:val="none"/>
        </w:rPr>
      </w:pPr>
      <w:bookmarkStart w:id="175" w:name="_Hlk19122095"/>
      <w:r>
        <w:rPr>
          <w:rFonts w:ascii="Arial" w:hAnsi="Arial" w:cs="Arial"/>
          <w:szCs w:val="21"/>
          <w:highlight w:val="none"/>
        </w:rPr>
        <w:t>①供应商直接或者间接从采购人或者采购代理机构处获得其他供应商的相关信息并修改其投标文件或者</w:t>
      </w:r>
      <w:r>
        <w:rPr>
          <w:rFonts w:hint="eastAsia" w:ascii="Arial" w:hAnsi="Arial" w:cs="Arial"/>
          <w:szCs w:val="21"/>
          <w:highlight w:val="none"/>
        </w:rPr>
        <w:t>投标文件</w:t>
      </w:r>
      <w:r>
        <w:rPr>
          <w:rFonts w:ascii="Arial" w:hAnsi="Arial" w:cs="Arial"/>
          <w:szCs w:val="21"/>
          <w:highlight w:val="none"/>
        </w:rPr>
        <w:t>；</w:t>
      </w:r>
    </w:p>
    <w:p>
      <w:pPr>
        <w:spacing w:before="120" w:line="360" w:lineRule="auto"/>
        <w:ind w:firstLine="420" w:firstLineChars="200"/>
        <w:rPr>
          <w:rFonts w:ascii="Arial" w:hAnsi="Arial" w:cs="Arial"/>
          <w:szCs w:val="21"/>
          <w:highlight w:val="none"/>
        </w:rPr>
      </w:pPr>
      <w:r>
        <w:rPr>
          <w:rFonts w:ascii="Arial" w:hAnsi="Arial" w:cs="Arial"/>
          <w:szCs w:val="21"/>
          <w:highlight w:val="none"/>
        </w:rPr>
        <w:t>②供应商按照采购人或者采购代理机构的授意撤换、修改投标文件或者</w:t>
      </w:r>
      <w:r>
        <w:rPr>
          <w:rFonts w:hint="eastAsia" w:ascii="Arial" w:hAnsi="Arial" w:cs="Arial"/>
          <w:szCs w:val="21"/>
          <w:highlight w:val="none"/>
        </w:rPr>
        <w:t>投标文件</w:t>
      </w:r>
      <w:r>
        <w:rPr>
          <w:rFonts w:ascii="Arial" w:hAnsi="Arial" w:cs="Arial"/>
          <w:szCs w:val="21"/>
          <w:highlight w:val="none"/>
        </w:rPr>
        <w:t>;；</w:t>
      </w:r>
    </w:p>
    <w:p>
      <w:pPr>
        <w:spacing w:before="120" w:line="360" w:lineRule="auto"/>
        <w:ind w:firstLine="420" w:firstLineChars="200"/>
        <w:rPr>
          <w:rFonts w:ascii="Arial" w:hAnsi="Arial" w:cs="Arial"/>
          <w:szCs w:val="21"/>
          <w:highlight w:val="none"/>
        </w:rPr>
      </w:pPr>
      <w:r>
        <w:rPr>
          <w:rFonts w:ascii="Arial" w:hAnsi="Arial" w:cs="Arial"/>
          <w:szCs w:val="21"/>
          <w:highlight w:val="none"/>
        </w:rPr>
        <w:t>③供应商之间协商报价、技术方案等投标文件或者</w:t>
      </w:r>
      <w:r>
        <w:rPr>
          <w:rFonts w:hint="eastAsia" w:ascii="Arial" w:hAnsi="Arial" w:cs="Arial"/>
          <w:szCs w:val="21"/>
          <w:highlight w:val="none"/>
        </w:rPr>
        <w:t>投标文件</w:t>
      </w:r>
      <w:r>
        <w:rPr>
          <w:rFonts w:ascii="Arial" w:hAnsi="Arial" w:cs="Arial"/>
          <w:szCs w:val="21"/>
          <w:highlight w:val="none"/>
        </w:rPr>
        <w:t>的实质性内容；</w:t>
      </w:r>
    </w:p>
    <w:p>
      <w:pPr>
        <w:spacing w:before="120" w:line="360" w:lineRule="auto"/>
        <w:ind w:firstLine="420" w:firstLineChars="200"/>
        <w:rPr>
          <w:rFonts w:ascii="Arial" w:hAnsi="Arial" w:cs="Arial"/>
          <w:szCs w:val="21"/>
          <w:highlight w:val="none"/>
        </w:rPr>
      </w:pPr>
      <w:r>
        <w:rPr>
          <w:rFonts w:ascii="Arial" w:hAnsi="Arial" w:cs="Arial"/>
          <w:szCs w:val="21"/>
          <w:highlight w:val="none"/>
        </w:rPr>
        <w:t>④属于同一集团、协会、商会等组织成员的供应商按照该组织要求协同参加政府采购活动；</w:t>
      </w:r>
    </w:p>
    <w:p>
      <w:pPr>
        <w:spacing w:before="120" w:line="360" w:lineRule="auto"/>
        <w:ind w:firstLine="420" w:firstLineChars="200"/>
        <w:rPr>
          <w:rFonts w:ascii="Arial" w:hAnsi="Arial" w:cs="Arial"/>
          <w:szCs w:val="21"/>
          <w:highlight w:val="none"/>
        </w:rPr>
      </w:pPr>
      <w:r>
        <w:rPr>
          <w:rFonts w:ascii="Arial" w:hAnsi="Arial" w:cs="Arial"/>
          <w:szCs w:val="21"/>
          <w:highlight w:val="none"/>
        </w:rPr>
        <w:t>⑤供应商之间事先约定一致抬高或者压低投标报价，或者在招标项目中事先约定轮流以高价位或者低价位中标，或者事先约定由某一特定供应商中标，然后再参加投标；</w:t>
      </w:r>
    </w:p>
    <w:p>
      <w:pPr>
        <w:spacing w:before="120" w:line="360" w:lineRule="auto"/>
        <w:ind w:firstLine="420" w:firstLineChars="200"/>
        <w:rPr>
          <w:rFonts w:ascii="Arial" w:hAnsi="Arial" w:cs="Arial"/>
          <w:szCs w:val="21"/>
          <w:highlight w:val="none"/>
        </w:rPr>
      </w:pPr>
      <w:r>
        <w:rPr>
          <w:rFonts w:ascii="Arial" w:hAnsi="Arial" w:cs="Arial"/>
          <w:szCs w:val="21"/>
          <w:highlight w:val="none"/>
        </w:rPr>
        <w:t>⑥供应商之间商定部分供应商放弃参加政府采购活动或者放弃中标；</w:t>
      </w:r>
    </w:p>
    <w:p>
      <w:pPr>
        <w:spacing w:before="120" w:line="360" w:lineRule="auto"/>
        <w:ind w:firstLine="420" w:firstLineChars="200"/>
        <w:rPr>
          <w:rFonts w:ascii="Arial" w:hAnsi="Arial" w:cs="Arial"/>
          <w:szCs w:val="21"/>
          <w:highlight w:val="none"/>
        </w:rPr>
      </w:pPr>
      <w:r>
        <w:rPr>
          <w:rFonts w:ascii="Arial" w:hAnsi="Arial" w:cs="Arial"/>
          <w:szCs w:val="21"/>
          <w:highlight w:val="none"/>
        </w:rPr>
        <w:t>⑦供应商与采购人或者采购代理机构之间、供应商相互之间，为谋求特定供应商中标或者排斥其他供应商的其他串通行为。</w:t>
      </w:r>
    </w:p>
    <w:bookmarkEnd w:id="175"/>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7</w:t>
      </w:r>
      <w:r>
        <w:rPr>
          <w:rFonts w:ascii="Arial" w:hAnsi="Arial" w:cs="Arial"/>
          <w:b/>
          <w:bCs/>
          <w:kern w:val="0"/>
          <w:szCs w:val="21"/>
          <w:highlight w:val="none"/>
        </w:rPr>
        <w:t>、投标有效性的认定</w:t>
      </w:r>
    </w:p>
    <w:p>
      <w:pPr>
        <w:spacing w:before="120" w:line="360" w:lineRule="auto"/>
        <w:ind w:firstLine="420" w:firstLineChars="200"/>
        <w:rPr>
          <w:rFonts w:ascii="Arial" w:hAnsi="Arial" w:cs="Arial"/>
          <w:szCs w:val="21"/>
          <w:highlight w:val="none"/>
        </w:rPr>
      </w:pPr>
      <w:bookmarkStart w:id="176" w:name="_Hlk19113301"/>
      <w:r>
        <w:rPr>
          <w:rFonts w:ascii="Arial" w:hAnsi="Arial" w:cs="Arial"/>
          <w:szCs w:val="21"/>
          <w:highlight w:val="none"/>
        </w:rPr>
        <w:t>（1）资格审查时，如发现下列情形之一的，投标文件将被视为无效：</w:t>
      </w:r>
    </w:p>
    <w:p>
      <w:pPr>
        <w:spacing w:before="120" w:line="360" w:lineRule="auto"/>
        <w:ind w:firstLine="420" w:firstLineChars="200"/>
        <w:rPr>
          <w:rFonts w:ascii="Arial" w:hAnsi="Arial" w:cs="Arial"/>
          <w:highlight w:val="none"/>
        </w:rPr>
      </w:pPr>
      <w:r>
        <w:rPr>
          <w:rFonts w:ascii="Arial" w:hAnsi="Arial" w:cs="Arial"/>
          <w:highlight w:val="none"/>
        </w:rPr>
        <w:t>①不具备招标文件中规定的资格要求的；</w:t>
      </w:r>
    </w:p>
    <w:p>
      <w:pPr>
        <w:spacing w:before="120" w:line="360" w:lineRule="auto"/>
        <w:ind w:firstLine="420" w:firstLineChars="200"/>
        <w:rPr>
          <w:rFonts w:ascii="Arial" w:hAnsi="Arial" w:cs="Arial"/>
          <w:highlight w:val="none"/>
        </w:rPr>
      </w:pPr>
      <w:r>
        <w:rPr>
          <w:rFonts w:ascii="Arial" w:hAnsi="Arial" w:cs="Arial"/>
          <w:highlight w:val="none"/>
        </w:rPr>
        <w:t>②投标文件签署（签名）、盖章不符合招标文件要求的；</w:t>
      </w:r>
    </w:p>
    <w:p>
      <w:pPr>
        <w:spacing w:before="120" w:line="360" w:lineRule="auto"/>
        <w:ind w:firstLine="420" w:firstLineChars="200"/>
        <w:rPr>
          <w:rFonts w:ascii="Arial" w:hAnsi="Arial" w:cs="Arial"/>
          <w:highlight w:val="none"/>
        </w:rPr>
      </w:pPr>
      <w:r>
        <w:rPr>
          <w:rFonts w:hint="eastAsia" w:ascii="Arial" w:hAnsi="Arial" w:cs="Arial"/>
          <w:highlight w:val="none"/>
        </w:rPr>
        <w:t>③未按照采购文件的规定提交投标保证金的；</w:t>
      </w:r>
    </w:p>
    <w:p>
      <w:pPr>
        <w:spacing w:before="120" w:line="360" w:lineRule="auto"/>
        <w:ind w:firstLine="420" w:firstLineChars="200"/>
        <w:rPr>
          <w:rFonts w:ascii="Arial" w:hAnsi="Arial" w:cs="Arial"/>
          <w:szCs w:val="21"/>
          <w:highlight w:val="none"/>
        </w:rPr>
      </w:pPr>
      <w:r>
        <w:rPr>
          <w:rFonts w:ascii="Arial" w:hAnsi="Arial" w:cs="Arial"/>
          <w:highlight w:val="none"/>
        </w:rPr>
        <w:t>（2）在符合性审查、商务和技术评估时，</w:t>
      </w:r>
      <w:r>
        <w:rPr>
          <w:rFonts w:ascii="Arial" w:hAnsi="Arial" w:cs="Arial"/>
          <w:szCs w:val="21"/>
          <w:highlight w:val="none"/>
        </w:rPr>
        <w:t>如发现下列情形之一的，投标文件将被视为无效：</w:t>
      </w:r>
    </w:p>
    <w:p>
      <w:pPr>
        <w:spacing w:before="120" w:line="360" w:lineRule="auto"/>
        <w:ind w:firstLine="420" w:firstLineChars="200"/>
        <w:rPr>
          <w:rFonts w:ascii="Arial" w:hAnsi="Arial" w:cs="Arial"/>
          <w:highlight w:val="none"/>
        </w:rPr>
      </w:pPr>
      <w:r>
        <w:rPr>
          <w:rFonts w:ascii="Arial" w:hAnsi="Arial" w:cs="Arial"/>
          <w:szCs w:val="21"/>
          <w:highlight w:val="none"/>
        </w:rPr>
        <w:t>①</w:t>
      </w:r>
      <w:r>
        <w:rPr>
          <w:rFonts w:ascii="Arial" w:hAnsi="Arial" w:cs="Arial"/>
          <w:highlight w:val="none"/>
        </w:rPr>
        <w:t>投标文件未按招标文件要求签署、盖章的；</w:t>
      </w:r>
    </w:p>
    <w:p>
      <w:pPr>
        <w:spacing w:before="120" w:line="360" w:lineRule="auto"/>
        <w:ind w:firstLine="420" w:firstLineChars="200"/>
        <w:rPr>
          <w:rStyle w:val="210"/>
          <w:rFonts w:ascii="Arial" w:hAnsi="Arial" w:cs="Arial"/>
          <w:highlight w:val="none"/>
        </w:rPr>
      </w:pPr>
      <w:r>
        <w:rPr>
          <w:rFonts w:ascii="Arial" w:hAnsi="Arial" w:cs="Arial"/>
          <w:szCs w:val="21"/>
          <w:highlight w:val="none"/>
        </w:rPr>
        <w:t>②</w:t>
      </w:r>
      <w:r>
        <w:rPr>
          <w:rFonts w:ascii="Arial" w:hAnsi="Arial" w:cs="Arial"/>
          <w:highlight w:val="none"/>
        </w:rPr>
        <w:t>投标文件未按招标文件要求提供第六章要求“必须提供”的内容的；</w:t>
      </w:r>
    </w:p>
    <w:p>
      <w:pPr>
        <w:spacing w:before="120" w:line="360" w:lineRule="auto"/>
        <w:ind w:firstLine="420" w:firstLineChars="200"/>
        <w:rPr>
          <w:rStyle w:val="210"/>
          <w:rFonts w:ascii="Arial" w:hAnsi="Arial" w:cs="Arial"/>
          <w:highlight w:val="none"/>
        </w:rPr>
      </w:pPr>
      <w:r>
        <w:rPr>
          <w:rFonts w:ascii="Arial" w:hAnsi="Arial" w:cs="Arial"/>
          <w:szCs w:val="21"/>
          <w:highlight w:val="none"/>
        </w:rPr>
        <w:t>③</w:t>
      </w:r>
      <w:r>
        <w:rPr>
          <w:rFonts w:ascii="Arial" w:hAnsi="Arial" w:cs="Arial"/>
          <w:highlight w:val="none"/>
        </w:rPr>
        <w:t>报价超过招标文件中规定的预算金额或者最高限价的；</w:t>
      </w:r>
    </w:p>
    <w:p>
      <w:pPr>
        <w:spacing w:before="120" w:line="360" w:lineRule="auto"/>
        <w:ind w:firstLine="420" w:firstLineChars="200"/>
        <w:rPr>
          <w:rFonts w:ascii="Arial" w:hAnsi="Arial" w:cs="Arial"/>
          <w:highlight w:val="none"/>
        </w:rPr>
      </w:pPr>
      <w:r>
        <w:rPr>
          <w:rFonts w:ascii="Arial" w:hAnsi="Arial" w:cs="Arial"/>
          <w:szCs w:val="21"/>
          <w:highlight w:val="none"/>
        </w:rPr>
        <w:t>④</w:t>
      </w:r>
      <w:r>
        <w:rPr>
          <w:rFonts w:ascii="Arial" w:hAnsi="Arial" w:cs="Arial"/>
          <w:highlight w:val="none"/>
        </w:rPr>
        <w:t>投标文件含有采购人不能接受的附加条件的；</w:t>
      </w:r>
    </w:p>
    <w:p>
      <w:pPr>
        <w:spacing w:before="120" w:line="360" w:lineRule="auto"/>
        <w:ind w:firstLine="420" w:firstLineChars="200"/>
        <w:rPr>
          <w:rFonts w:ascii="Arial" w:hAnsi="Arial" w:cs="Arial"/>
          <w:szCs w:val="21"/>
          <w:highlight w:val="none"/>
        </w:rPr>
      </w:pPr>
      <w:r>
        <w:rPr>
          <w:rFonts w:ascii="Arial" w:hAnsi="Arial" w:cs="Arial"/>
          <w:szCs w:val="21"/>
          <w:highlight w:val="none"/>
        </w:rPr>
        <w:t>⑤评审过程中发现投标文件中提供虚假材料的；</w:t>
      </w:r>
    </w:p>
    <w:p>
      <w:pPr>
        <w:spacing w:before="120" w:line="360" w:lineRule="auto"/>
        <w:ind w:firstLine="420" w:firstLineChars="200"/>
        <w:rPr>
          <w:rFonts w:ascii="Arial" w:hAnsi="Arial" w:cs="Arial"/>
          <w:szCs w:val="21"/>
          <w:highlight w:val="none"/>
        </w:rPr>
      </w:pPr>
      <w:r>
        <w:rPr>
          <w:rFonts w:ascii="Arial" w:hAnsi="Arial" w:cs="Arial"/>
          <w:szCs w:val="21"/>
          <w:highlight w:val="none"/>
        </w:rPr>
        <w:t>⑥法律、法规和招标文件规定的其他无效情形。</w:t>
      </w:r>
    </w:p>
    <w:bookmarkEnd w:id="176"/>
    <w:p>
      <w:pPr>
        <w:spacing w:before="120" w:line="360" w:lineRule="auto"/>
        <w:ind w:firstLine="422" w:firstLineChars="200"/>
        <w:rPr>
          <w:rFonts w:ascii="Arial" w:hAnsi="Arial" w:cs="Arial"/>
          <w:b/>
          <w:bCs/>
          <w:szCs w:val="21"/>
          <w:highlight w:val="none"/>
        </w:rPr>
      </w:pPr>
      <w:bookmarkStart w:id="177" w:name="_Hlk19113313"/>
      <w:r>
        <w:rPr>
          <w:rFonts w:ascii="Arial" w:hAnsi="Arial" w:cs="Arial"/>
          <w:b/>
          <w:bCs/>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177"/>
    <w:p>
      <w:pPr>
        <w:spacing w:before="120" w:line="360" w:lineRule="auto"/>
        <w:ind w:firstLine="413" w:firstLineChars="196"/>
        <w:outlineLvl w:val="1"/>
        <w:rPr>
          <w:rFonts w:ascii="Arial" w:hAnsi="Arial" w:cs="Arial"/>
          <w:b/>
          <w:bCs/>
          <w:kern w:val="0"/>
          <w:szCs w:val="21"/>
          <w:highlight w:val="none"/>
        </w:rPr>
      </w:pPr>
      <w:bookmarkStart w:id="178" w:name="_Hlk19176155"/>
      <w:r>
        <w:rPr>
          <w:rFonts w:hint="eastAsia" w:ascii="Arial" w:hAnsi="Arial" w:cs="Arial"/>
          <w:b/>
          <w:bCs/>
          <w:kern w:val="0"/>
          <w:szCs w:val="21"/>
          <w:highlight w:val="none"/>
        </w:rPr>
        <w:t>8</w:t>
      </w:r>
      <w:r>
        <w:rPr>
          <w:rFonts w:ascii="Arial" w:hAnsi="Arial" w:cs="Arial"/>
          <w:b/>
          <w:bCs/>
          <w:kern w:val="0"/>
          <w:szCs w:val="21"/>
          <w:highlight w:val="none"/>
        </w:rPr>
        <w:t>、澄清、说明或补正</w:t>
      </w:r>
    </w:p>
    <w:p>
      <w:pPr>
        <w:spacing w:before="120" w:line="360" w:lineRule="auto"/>
        <w:ind w:firstLine="420" w:firstLineChars="200"/>
        <w:rPr>
          <w:rFonts w:ascii="Arial" w:hAnsi="Arial" w:cs="Arial"/>
          <w:szCs w:val="21"/>
          <w:highlight w:val="none"/>
        </w:rPr>
      </w:pPr>
      <w:bookmarkStart w:id="179" w:name="_Hlk19113333"/>
      <w:r>
        <w:rPr>
          <w:rFonts w:ascii="Arial" w:hAnsi="Arial" w:cs="Arial"/>
          <w:szCs w:val="21"/>
          <w:highlight w:val="none"/>
        </w:rPr>
        <w:t>对投标文件中含义不明确、同类问题表述不一致或者有明显文字和计算错误的内容，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179"/>
    <w:p>
      <w:pPr>
        <w:spacing w:before="120" w:line="360" w:lineRule="auto"/>
        <w:ind w:firstLine="413" w:firstLineChars="196"/>
        <w:outlineLvl w:val="1"/>
        <w:rPr>
          <w:rFonts w:ascii="Arial" w:hAnsi="Arial" w:cs="Arial"/>
          <w:b/>
          <w:bCs/>
          <w:kern w:val="0"/>
          <w:szCs w:val="21"/>
          <w:highlight w:val="none"/>
        </w:rPr>
      </w:pPr>
      <w:bookmarkStart w:id="180" w:name="_Hlk19113363"/>
      <w:r>
        <w:rPr>
          <w:rFonts w:hint="eastAsia" w:ascii="Arial" w:hAnsi="Arial" w:cs="Arial"/>
          <w:b/>
          <w:bCs/>
          <w:kern w:val="0"/>
          <w:szCs w:val="21"/>
          <w:highlight w:val="none"/>
        </w:rPr>
        <w:t>9</w:t>
      </w:r>
      <w:r>
        <w:rPr>
          <w:rFonts w:ascii="Arial" w:hAnsi="Arial" w:cs="Arial"/>
          <w:b/>
          <w:bCs/>
          <w:kern w:val="0"/>
          <w:szCs w:val="21"/>
          <w:highlight w:val="none"/>
        </w:rPr>
        <w:t>、报价修正</w:t>
      </w:r>
    </w:p>
    <w:p>
      <w:pPr>
        <w:spacing w:before="120" w:line="360" w:lineRule="auto"/>
        <w:ind w:firstLine="420" w:firstLineChars="200"/>
        <w:rPr>
          <w:rFonts w:ascii="Arial" w:hAnsi="Arial" w:cs="Arial"/>
          <w:szCs w:val="21"/>
          <w:highlight w:val="none"/>
        </w:rPr>
      </w:pPr>
      <w:r>
        <w:rPr>
          <w:rFonts w:ascii="Arial" w:hAnsi="Arial" w:cs="Arial"/>
          <w:szCs w:val="21"/>
          <w:highlight w:val="none"/>
        </w:rPr>
        <w:t>投标文件报价如果出现计算或表达上的错误，修正错误的原则如下：</w:t>
      </w:r>
    </w:p>
    <w:p>
      <w:pPr>
        <w:spacing w:before="120" w:line="360" w:lineRule="auto"/>
        <w:ind w:firstLine="420" w:firstLineChars="200"/>
        <w:rPr>
          <w:rFonts w:ascii="Arial" w:hAnsi="Arial" w:cs="Arial"/>
          <w:szCs w:val="21"/>
          <w:highlight w:val="none"/>
        </w:rPr>
      </w:pPr>
      <w:r>
        <w:rPr>
          <w:rFonts w:ascii="Arial" w:hAnsi="Arial" w:cs="Arial"/>
          <w:szCs w:val="21"/>
          <w:highlight w:val="none"/>
        </w:rPr>
        <w:t>（1）投标文件中开标一览表（报价表）内容与投标文件中相应内容不一致的，以开标一览表（报价表）为准；</w:t>
      </w:r>
    </w:p>
    <w:p>
      <w:pPr>
        <w:spacing w:before="120" w:line="360" w:lineRule="auto"/>
        <w:ind w:firstLine="420" w:firstLineChars="200"/>
        <w:rPr>
          <w:rFonts w:ascii="Arial" w:hAnsi="Arial" w:cs="Arial"/>
          <w:szCs w:val="21"/>
          <w:highlight w:val="none"/>
        </w:rPr>
      </w:pPr>
      <w:r>
        <w:rPr>
          <w:rFonts w:ascii="Arial" w:hAnsi="Arial" w:cs="Arial"/>
          <w:szCs w:val="21"/>
          <w:highlight w:val="none"/>
        </w:rPr>
        <w:t>（2）大写金额和小写金额不一致的，以大写金额为准；</w:t>
      </w:r>
    </w:p>
    <w:p>
      <w:pPr>
        <w:spacing w:before="120" w:line="360" w:lineRule="auto"/>
        <w:ind w:firstLine="420" w:firstLineChars="200"/>
        <w:rPr>
          <w:rFonts w:ascii="Arial" w:hAnsi="Arial" w:cs="Arial"/>
          <w:szCs w:val="21"/>
          <w:highlight w:val="none"/>
        </w:rPr>
      </w:pPr>
      <w:r>
        <w:rPr>
          <w:rFonts w:ascii="Arial" w:hAnsi="Arial" w:cs="Arial"/>
          <w:szCs w:val="21"/>
          <w:highlight w:val="none"/>
        </w:rPr>
        <w:t>（3）单价金额小数点或者百分比有明显错位的，以开标一览表的总价为准，并修改单价；</w:t>
      </w:r>
    </w:p>
    <w:p>
      <w:pPr>
        <w:spacing w:before="120" w:line="360" w:lineRule="auto"/>
        <w:ind w:firstLine="420" w:firstLineChars="200"/>
        <w:rPr>
          <w:rFonts w:ascii="Arial" w:hAnsi="Arial" w:cs="Arial"/>
          <w:szCs w:val="21"/>
          <w:highlight w:val="none"/>
        </w:rPr>
      </w:pPr>
      <w:r>
        <w:rPr>
          <w:rFonts w:ascii="Arial" w:hAnsi="Arial" w:cs="Arial"/>
          <w:szCs w:val="21"/>
          <w:highlight w:val="none"/>
        </w:rPr>
        <w:t>（4）总价金额与按单价汇总金额不一致的，以单价金额计算结果为准。</w:t>
      </w:r>
    </w:p>
    <w:p>
      <w:pPr>
        <w:spacing w:before="120" w:line="360" w:lineRule="auto"/>
        <w:ind w:firstLine="420" w:firstLineChars="200"/>
        <w:rPr>
          <w:rFonts w:ascii="Arial" w:hAnsi="Arial" w:cs="Arial"/>
          <w:szCs w:val="21"/>
          <w:highlight w:val="none"/>
        </w:rPr>
      </w:pPr>
      <w:r>
        <w:rPr>
          <w:rFonts w:ascii="Arial" w:hAnsi="Arial" w:cs="Arial"/>
          <w:szCs w:val="21"/>
          <w:highlight w:val="none"/>
        </w:rPr>
        <w:t>同时出现两种以上不一致的，按照上述顺序修正。修正后的报价按照上述“</w:t>
      </w:r>
      <w:r>
        <w:rPr>
          <w:rFonts w:hint="eastAsia" w:ascii="Arial" w:hAnsi="Arial" w:cs="Arial"/>
          <w:szCs w:val="21"/>
          <w:highlight w:val="none"/>
        </w:rPr>
        <w:t>8</w:t>
      </w:r>
      <w:r>
        <w:rPr>
          <w:rFonts w:ascii="Arial" w:hAnsi="Arial" w:cs="Arial"/>
          <w:szCs w:val="21"/>
          <w:highlight w:val="none"/>
        </w:rPr>
        <w:t>、澄清、说明或补正”的规定经供应商确认后产生约束力，供应商不确认的，其投标无效。</w:t>
      </w:r>
    </w:p>
    <w:bookmarkEnd w:id="178"/>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10</w:t>
      </w:r>
      <w:r>
        <w:rPr>
          <w:rFonts w:ascii="Arial" w:hAnsi="Arial" w:cs="Arial"/>
          <w:b/>
          <w:bCs/>
          <w:kern w:val="0"/>
          <w:szCs w:val="21"/>
          <w:highlight w:val="none"/>
        </w:rPr>
        <w:t>、过低报价合理性的审查</w:t>
      </w:r>
    </w:p>
    <w:p>
      <w:pPr>
        <w:spacing w:before="120" w:line="360" w:lineRule="auto"/>
        <w:ind w:firstLine="420" w:firstLineChars="200"/>
        <w:rPr>
          <w:rFonts w:ascii="Arial" w:hAnsi="Arial" w:cs="Arial"/>
          <w:szCs w:val="21"/>
          <w:highlight w:val="none"/>
        </w:rPr>
      </w:pPr>
      <w:r>
        <w:rPr>
          <w:rFonts w:ascii="Arial" w:hAnsi="Arial" w:cs="Arial"/>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szCs w:val="21"/>
          <w:highlight w:val="none"/>
        </w:rPr>
        <w:t>按照上述“</w:t>
      </w:r>
      <w:r>
        <w:rPr>
          <w:rFonts w:hint="eastAsia" w:ascii="Arial" w:hAnsi="Arial" w:cs="Arial"/>
          <w:szCs w:val="21"/>
          <w:highlight w:val="none"/>
        </w:rPr>
        <w:t>8</w:t>
      </w:r>
      <w:r>
        <w:rPr>
          <w:rFonts w:ascii="Arial" w:hAnsi="Arial" w:cs="Arial"/>
          <w:szCs w:val="21"/>
          <w:highlight w:val="none"/>
        </w:rPr>
        <w:t>、澄清、说明或补正”的规定经供应商确认后提交给评标委员会。</w:t>
      </w:r>
      <w:r>
        <w:rPr>
          <w:rFonts w:ascii="Arial" w:hAnsi="Arial" w:cs="Arial"/>
          <w:highlight w:val="none"/>
        </w:rPr>
        <w:t>供应商未按规定提供说明或不能证明其报价合理性的，评标委员会应当将其作为无效投标处理。</w:t>
      </w:r>
    </w:p>
    <w:p>
      <w:pPr>
        <w:spacing w:before="120" w:line="360" w:lineRule="auto"/>
        <w:ind w:firstLine="420" w:firstLineChars="200"/>
        <w:rPr>
          <w:rFonts w:ascii="Arial" w:hAnsi="Arial" w:cs="Arial"/>
          <w:highlight w:val="none"/>
        </w:rPr>
      </w:pPr>
      <w:r>
        <w:rPr>
          <w:rFonts w:ascii="Arial" w:hAnsi="Arial" w:cs="Arial"/>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11</w:t>
      </w:r>
      <w:r>
        <w:rPr>
          <w:rFonts w:ascii="Arial" w:hAnsi="Arial" w:cs="Arial"/>
          <w:b/>
          <w:bCs/>
          <w:kern w:val="0"/>
          <w:szCs w:val="21"/>
          <w:highlight w:val="none"/>
        </w:rPr>
        <w:t>、商务和技术评估、综合比较与评价</w:t>
      </w:r>
    </w:p>
    <w:p>
      <w:pPr>
        <w:spacing w:before="120" w:line="360" w:lineRule="auto"/>
        <w:ind w:firstLine="420" w:firstLineChars="200"/>
        <w:rPr>
          <w:rFonts w:ascii="Arial" w:hAnsi="Arial" w:cs="Arial"/>
          <w:szCs w:val="21"/>
          <w:highlight w:val="none"/>
        </w:rPr>
      </w:pPr>
      <w:r>
        <w:rPr>
          <w:rFonts w:ascii="Arial" w:hAnsi="Arial" w:cs="Arial"/>
          <w:szCs w:val="21"/>
          <w:highlight w:val="none"/>
        </w:rPr>
        <w:t>评标委员会按招标文件中规定的评标方法和标准，对资格审查和符合性审查合格的投标文件进行商务和技术评估，综合比较与评价。</w:t>
      </w:r>
      <w:r>
        <w:rPr>
          <w:rStyle w:val="210"/>
          <w:rFonts w:ascii="Arial" w:hAnsi="Arial" w:cs="Arial"/>
          <w:highlight w:val="none"/>
        </w:rPr>
        <w:t>具体评标标准见《</w:t>
      </w:r>
      <w:r>
        <w:rPr>
          <w:rFonts w:ascii="Arial" w:hAnsi="Arial" w:cs="Arial"/>
          <w:bCs/>
          <w:kern w:val="0"/>
          <w:szCs w:val="21"/>
          <w:highlight w:val="none"/>
        </w:rPr>
        <w:t>评分表</w:t>
      </w:r>
      <w:r>
        <w:rPr>
          <w:rStyle w:val="210"/>
          <w:rFonts w:ascii="Arial" w:hAnsi="Arial" w:cs="Arial"/>
          <w:highlight w:val="none"/>
        </w:rPr>
        <w:t>》。</w:t>
      </w:r>
    </w:p>
    <w:p>
      <w:pPr>
        <w:spacing w:before="120" w:line="360" w:lineRule="auto"/>
        <w:ind w:firstLine="420" w:firstLineChars="200"/>
        <w:rPr>
          <w:rFonts w:ascii="Arial" w:hAnsi="Arial" w:cs="Arial"/>
          <w:szCs w:val="21"/>
          <w:highlight w:val="none"/>
        </w:rPr>
      </w:pPr>
      <w:r>
        <w:rPr>
          <w:rFonts w:ascii="Arial" w:hAnsi="Arial" w:cs="Arial"/>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pPr>
        <w:spacing w:before="120" w:line="360" w:lineRule="auto"/>
        <w:ind w:firstLine="420" w:firstLineChars="200"/>
        <w:rPr>
          <w:rFonts w:ascii="Arial" w:hAnsi="Arial" w:cs="Arial"/>
          <w:highlight w:val="none"/>
        </w:rPr>
      </w:pPr>
      <w:r>
        <w:rPr>
          <w:rFonts w:ascii="Arial" w:hAnsi="Arial" w:cs="Arial"/>
          <w:szCs w:val="21"/>
          <w:highlight w:val="none"/>
        </w:rPr>
        <w:t>复核后，评标委员会汇总每个供应商每项评分因素的得分。</w:t>
      </w:r>
      <w:r>
        <w:rPr>
          <w:rFonts w:ascii="Arial" w:hAnsi="Arial" w:cs="Arial"/>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12</w:t>
      </w:r>
      <w:r>
        <w:rPr>
          <w:rFonts w:ascii="Arial" w:hAnsi="Arial" w:cs="Arial"/>
          <w:b/>
          <w:bCs/>
          <w:kern w:val="0"/>
          <w:szCs w:val="21"/>
          <w:highlight w:val="none"/>
        </w:rPr>
        <w:t>、中标候选人推荐原则</w:t>
      </w:r>
    </w:p>
    <w:p>
      <w:pPr>
        <w:spacing w:before="120" w:line="360" w:lineRule="auto"/>
        <w:ind w:firstLine="420" w:firstLineChars="200"/>
        <w:rPr>
          <w:rFonts w:ascii="Arial" w:hAnsi="Arial" w:cs="Arial"/>
          <w:szCs w:val="21"/>
          <w:highlight w:val="none"/>
        </w:rPr>
      </w:pPr>
      <w:r>
        <w:rPr>
          <w:rFonts w:ascii="Arial" w:hAnsi="Arial" w:cs="Arial"/>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highlight w:val="none"/>
        </w:rPr>
        <w:t>并列</w:t>
      </w:r>
      <w:r>
        <w:rPr>
          <w:rFonts w:ascii="Arial" w:hAnsi="Arial" w:cs="Arial"/>
          <w:szCs w:val="21"/>
          <w:highlight w:val="none"/>
        </w:rPr>
        <w:t>；中标候选人并列的，</w:t>
      </w:r>
      <w:r>
        <w:rPr>
          <w:rFonts w:ascii="Arial" w:hAnsi="Arial" w:cs="Arial"/>
          <w:highlight w:val="none"/>
        </w:rPr>
        <w:t>由采购人</w:t>
      </w:r>
      <w:r>
        <w:rPr>
          <w:rFonts w:ascii="Arial" w:hAnsi="Arial" w:cs="Arial"/>
          <w:szCs w:val="21"/>
          <w:highlight w:val="none"/>
        </w:rPr>
        <w:t>按技术部分得分由高到低顺序排列，若综合得分、投标报价、技术部分均相同的，按商务部分得分由高到低顺序排列。</w:t>
      </w:r>
    </w:p>
    <w:p>
      <w:pPr>
        <w:spacing w:before="120" w:line="360" w:lineRule="auto"/>
        <w:ind w:firstLine="413" w:firstLineChars="196"/>
        <w:outlineLvl w:val="1"/>
        <w:rPr>
          <w:rFonts w:ascii="Arial" w:hAnsi="Arial" w:cs="Arial"/>
          <w:b/>
          <w:bCs/>
          <w:kern w:val="0"/>
          <w:szCs w:val="21"/>
          <w:highlight w:val="none"/>
        </w:rPr>
      </w:pPr>
      <w:r>
        <w:rPr>
          <w:rFonts w:hint="eastAsia" w:ascii="Arial" w:hAnsi="Arial" w:cs="Arial"/>
          <w:b/>
          <w:bCs/>
          <w:kern w:val="0"/>
          <w:szCs w:val="21"/>
          <w:highlight w:val="none"/>
        </w:rPr>
        <w:t>13</w:t>
      </w:r>
      <w:r>
        <w:rPr>
          <w:rFonts w:ascii="Arial" w:hAnsi="Arial" w:cs="Arial"/>
          <w:b/>
          <w:bCs/>
          <w:kern w:val="0"/>
          <w:szCs w:val="21"/>
          <w:highlight w:val="none"/>
        </w:rPr>
        <w:t>、评标争议处理</w:t>
      </w:r>
    </w:p>
    <w:p>
      <w:pPr>
        <w:spacing w:before="120" w:line="360" w:lineRule="auto"/>
        <w:ind w:firstLine="420" w:firstLineChars="200"/>
        <w:rPr>
          <w:rFonts w:ascii="Arial" w:hAnsi="Arial" w:cs="Arial"/>
          <w:highlight w:val="none"/>
        </w:rPr>
      </w:pPr>
      <w:r>
        <w:rPr>
          <w:rFonts w:ascii="Arial" w:hAnsi="Arial" w:cs="Arial"/>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180"/>
    <w:p>
      <w:pPr>
        <w:spacing w:before="120" w:line="360" w:lineRule="auto"/>
        <w:ind w:firstLine="413" w:firstLineChars="196"/>
        <w:outlineLvl w:val="1"/>
        <w:rPr>
          <w:rFonts w:ascii="Arial" w:hAnsi="Arial" w:cs="Arial"/>
          <w:b/>
          <w:bCs/>
          <w:kern w:val="0"/>
          <w:szCs w:val="21"/>
          <w:highlight w:val="none"/>
        </w:rPr>
      </w:pPr>
      <w:r>
        <w:rPr>
          <w:rFonts w:ascii="Arial" w:hAnsi="Arial" w:cs="Arial"/>
          <w:b/>
          <w:bCs/>
          <w:kern w:val="0"/>
          <w:highlight w:val="none"/>
        </w:rPr>
        <w:br w:type="page"/>
      </w:r>
      <w:bookmarkStart w:id="181" w:name="_Hlk19113393"/>
      <w:r>
        <w:rPr>
          <w:rFonts w:ascii="Arial" w:hAnsi="Arial" w:cs="Arial"/>
          <w:b/>
          <w:bCs/>
          <w:kern w:val="0"/>
          <w:szCs w:val="21"/>
          <w:highlight w:val="none"/>
        </w:rPr>
        <w:t>四、评标标准</w:t>
      </w:r>
    </w:p>
    <w:p>
      <w:pPr>
        <w:spacing w:before="120" w:line="360" w:lineRule="auto"/>
        <w:outlineLvl w:val="1"/>
        <w:rPr>
          <w:rFonts w:ascii="Arial" w:hAnsi="Arial" w:cs="Arial"/>
          <w:b/>
          <w:szCs w:val="21"/>
          <w:highlight w:val="none"/>
        </w:rPr>
      </w:pPr>
      <w:r>
        <w:rPr>
          <w:rFonts w:ascii="Arial" w:hAnsi="Arial" w:cs="Arial"/>
          <w:bCs/>
          <w:kern w:val="0"/>
          <w:szCs w:val="21"/>
          <w:highlight w:val="none"/>
        </w:rPr>
        <w:t>（一）评分表</w:t>
      </w:r>
    </w:p>
    <w:p>
      <w:pPr>
        <w:spacing w:before="120" w:line="360" w:lineRule="auto"/>
        <w:outlineLvl w:val="1"/>
        <w:rPr>
          <w:rFonts w:ascii="Arial" w:hAnsi="Arial" w:cs="Arial"/>
          <w:bCs/>
          <w:kern w:val="0"/>
          <w:szCs w:val="21"/>
          <w:highlight w:val="none"/>
        </w:rPr>
      </w:pPr>
      <w:r>
        <w:rPr>
          <w:rFonts w:ascii="Arial" w:hAnsi="Arial" w:cs="Arial"/>
          <w:bCs/>
          <w:kern w:val="0"/>
          <w:szCs w:val="21"/>
          <w:highlight w:val="none"/>
        </w:rPr>
        <w:t>1、</w:t>
      </w:r>
      <w:r>
        <w:rPr>
          <w:rFonts w:ascii="Arial" w:hAnsi="Arial" w:cs="Arial"/>
          <w:szCs w:val="21"/>
          <w:highlight w:val="none"/>
        </w:rPr>
        <w:t>商务部分</w:t>
      </w:r>
      <w:r>
        <w:rPr>
          <w:rFonts w:hint="eastAsia" w:ascii="Arial" w:hAnsi="Arial" w:cs="Arial"/>
          <w:szCs w:val="21"/>
          <w:highlight w:val="none"/>
        </w:rPr>
        <w:t>（35分）</w:t>
      </w:r>
    </w:p>
    <w:bookmarkEnd w:id="181"/>
    <w:tbl>
      <w:tblPr>
        <w:tblStyle w:val="54"/>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64"/>
        <w:gridCol w:w="420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74" w:type="dxa"/>
            <w:vAlign w:val="center"/>
          </w:tcPr>
          <w:p>
            <w:pPr>
              <w:spacing w:line="360" w:lineRule="auto"/>
              <w:jc w:val="center"/>
              <w:rPr>
                <w:rFonts w:ascii="Arial" w:hAnsi="Arial" w:cs="Arial"/>
                <w:b/>
                <w:szCs w:val="21"/>
                <w:highlight w:val="none"/>
              </w:rPr>
            </w:pPr>
            <w:r>
              <w:rPr>
                <w:rFonts w:ascii="Arial" w:hAnsi="Arial" w:cs="Arial"/>
                <w:b/>
                <w:szCs w:val="21"/>
                <w:highlight w:val="none"/>
              </w:rPr>
              <w:t>序号</w:t>
            </w:r>
          </w:p>
        </w:tc>
        <w:tc>
          <w:tcPr>
            <w:tcW w:w="1864" w:type="dxa"/>
            <w:vAlign w:val="center"/>
          </w:tcPr>
          <w:p>
            <w:pPr>
              <w:spacing w:line="360" w:lineRule="auto"/>
              <w:jc w:val="center"/>
              <w:rPr>
                <w:rFonts w:ascii="Arial" w:hAnsi="Arial" w:cs="Arial"/>
                <w:b/>
                <w:szCs w:val="21"/>
                <w:highlight w:val="none"/>
              </w:rPr>
            </w:pPr>
            <w:r>
              <w:rPr>
                <w:rFonts w:ascii="Arial" w:hAnsi="Arial" w:cs="Arial"/>
                <w:b/>
                <w:szCs w:val="21"/>
                <w:highlight w:val="none"/>
              </w:rPr>
              <w:t>评标因素及分值</w:t>
            </w:r>
          </w:p>
        </w:tc>
        <w:tc>
          <w:tcPr>
            <w:tcW w:w="4200" w:type="dxa"/>
            <w:vAlign w:val="center"/>
          </w:tcPr>
          <w:p>
            <w:pPr>
              <w:spacing w:line="360" w:lineRule="auto"/>
              <w:jc w:val="center"/>
              <w:rPr>
                <w:rFonts w:ascii="Arial" w:hAnsi="Arial" w:cs="Arial"/>
                <w:b/>
                <w:szCs w:val="21"/>
                <w:highlight w:val="none"/>
              </w:rPr>
            </w:pPr>
            <w:r>
              <w:rPr>
                <w:rFonts w:ascii="Arial" w:hAnsi="Arial" w:cs="Arial"/>
                <w:b/>
                <w:szCs w:val="21"/>
                <w:highlight w:val="none"/>
              </w:rPr>
              <w:t>评标标准</w:t>
            </w:r>
          </w:p>
        </w:tc>
        <w:tc>
          <w:tcPr>
            <w:tcW w:w="3400" w:type="dxa"/>
            <w:vAlign w:val="center"/>
          </w:tcPr>
          <w:p>
            <w:pPr>
              <w:spacing w:line="360" w:lineRule="auto"/>
              <w:jc w:val="center"/>
              <w:rPr>
                <w:rFonts w:ascii="Arial" w:hAnsi="Arial" w:cs="Arial"/>
                <w:b/>
                <w:szCs w:val="21"/>
                <w:highlight w:val="none"/>
              </w:rPr>
            </w:pPr>
            <w:r>
              <w:rPr>
                <w:rFonts w:ascii="Arial" w:hAnsi="Arial" w:cs="Arial"/>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74" w:type="dxa"/>
            <w:vAlign w:val="center"/>
          </w:tcPr>
          <w:p>
            <w:pPr>
              <w:pStyle w:val="20"/>
              <w:rPr>
                <w:highlight w:val="none"/>
              </w:rPr>
            </w:pPr>
            <w:r>
              <w:rPr>
                <w:highlight w:val="none"/>
              </w:rPr>
              <w:t>1</w:t>
            </w:r>
          </w:p>
        </w:tc>
        <w:tc>
          <w:tcPr>
            <w:tcW w:w="1864" w:type="dxa"/>
            <w:vAlign w:val="center"/>
          </w:tcPr>
          <w:p>
            <w:pPr>
              <w:pStyle w:val="20"/>
              <w:rPr>
                <w:highlight w:val="none"/>
              </w:rPr>
            </w:pPr>
            <w:r>
              <w:rPr>
                <w:rFonts w:hint="eastAsia"/>
                <w:highlight w:val="none"/>
              </w:rPr>
              <w:t>供应商履约能力（4分）</w:t>
            </w:r>
          </w:p>
        </w:tc>
        <w:tc>
          <w:tcPr>
            <w:tcW w:w="4200" w:type="dxa"/>
            <w:vAlign w:val="center"/>
          </w:tcPr>
          <w:p>
            <w:pPr>
              <w:pStyle w:val="20"/>
              <w:rPr>
                <w:highlight w:val="none"/>
              </w:rPr>
            </w:pPr>
            <w:r>
              <w:rPr>
                <w:rFonts w:hint="eastAsia"/>
                <w:highlight w:val="none"/>
              </w:rPr>
              <w:t>供应商提供以下4项认证证书（同时提供证书在全国认证认可信息公共服务平台的查询截图）：</w:t>
            </w:r>
          </w:p>
          <w:p>
            <w:pPr>
              <w:pStyle w:val="20"/>
              <w:numPr>
                <w:ilvl w:val="0"/>
                <w:numId w:val="5"/>
              </w:numPr>
              <w:rPr>
                <w:highlight w:val="none"/>
              </w:rPr>
            </w:pPr>
            <w:r>
              <w:rPr>
                <w:rFonts w:hint="eastAsia"/>
                <w:highlight w:val="none"/>
              </w:rPr>
              <w:t>信息安全管理体系认证证书（ISO27001）；</w:t>
            </w:r>
          </w:p>
          <w:p>
            <w:pPr>
              <w:pStyle w:val="20"/>
              <w:numPr>
                <w:ilvl w:val="0"/>
                <w:numId w:val="5"/>
              </w:numPr>
              <w:jc w:val="left"/>
              <w:rPr>
                <w:highlight w:val="none"/>
              </w:rPr>
            </w:pPr>
            <w:r>
              <w:rPr>
                <w:rFonts w:hint="eastAsia"/>
                <w:highlight w:val="none"/>
              </w:rPr>
              <w:t>IT信息技术服务管理体系认证证书（ISO20000）；</w:t>
            </w:r>
          </w:p>
          <w:p>
            <w:pPr>
              <w:pStyle w:val="20"/>
              <w:numPr>
                <w:ilvl w:val="0"/>
                <w:numId w:val="5"/>
              </w:numPr>
              <w:rPr>
                <w:highlight w:val="none"/>
              </w:rPr>
            </w:pPr>
            <w:r>
              <w:rPr>
                <w:rFonts w:hint="eastAsia"/>
                <w:highlight w:val="none"/>
              </w:rPr>
              <w:t>质量管理体系认证证书（ISO9001）；</w:t>
            </w:r>
          </w:p>
          <w:p>
            <w:pPr>
              <w:pStyle w:val="20"/>
              <w:numPr>
                <w:ilvl w:val="0"/>
                <w:numId w:val="5"/>
              </w:numPr>
              <w:rPr>
                <w:highlight w:val="none"/>
              </w:rPr>
            </w:pPr>
            <w:r>
              <w:rPr>
                <w:rFonts w:hint="eastAsia"/>
                <w:highlight w:val="none"/>
              </w:rPr>
              <w:t>环境管理体系认证（ISO14001）。</w:t>
            </w:r>
          </w:p>
          <w:p>
            <w:pPr>
              <w:pStyle w:val="20"/>
              <w:rPr>
                <w:highlight w:val="none"/>
              </w:rPr>
            </w:pPr>
            <w:r>
              <w:rPr>
                <w:rFonts w:hint="eastAsia"/>
                <w:highlight w:val="none"/>
              </w:rPr>
              <w:t>每提供1项得1分</w:t>
            </w:r>
            <w:r>
              <w:rPr>
                <w:highlight w:val="none"/>
              </w:rPr>
              <w:t>，</w:t>
            </w:r>
            <w:r>
              <w:rPr>
                <w:rFonts w:hint="eastAsia"/>
                <w:highlight w:val="none"/>
              </w:rPr>
              <w:t>最高得分4分。</w:t>
            </w:r>
          </w:p>
        </w:tc>
        <w:tc>
          <w:tcPr>
            <w:tcW w:w="3400" w:type="dxa"/>
            <w:vAlign w:val="center"/>
          </w:tcPr>
          <w:p>
            <w:pPr>
              <w:pStyle w:val="20"/>
              <w:rPr>
                <w:highlight w:val="none"/>
              </w:rPr>
            </w:pPr>
            <w:r>
              <w:rPr>
                <w:rFonts w:hint="eastAsia"/>
                <w:highlight w:val="none"/>
              </w:rPr>
              <w:t>注：</w:t>
            </w:r>
          </w:p>
          <w:p>
            <w:pPr>
              <w:pStyle w:val="20"/>
              <w:rPr>
                <w:highlight w:val="none"/>
              </w:rPr>
            </w:pPr>
            <w:r>
              <w:rPr>
                <w:rFonts w:hint="eastAsia"/>
                <w:highlight w:val="none"/>
              </w:rPr>
              <w:t>1.投标文件中须提供有效证明复印件加盖公章，否则视为无效证明。</w:t>
            </w:r>
          </w:p>
          <w:p>
            <w:pPr>
              <w:pStyle w:val="20"/>
              <w:rPr>
                <w:highlight w:val="none"/>
              </w:rPr>
            </w:pPr>
            <w:r>
              <w:rPr>
                <w:rFonts w:hint="eastAsia"/>
                <w:highlight w:val="none"/>
              </w:rPr>
              <w:t>2.证书要求认证范围覆盖：应用软件的研发及运维服务，否则视为无效证明。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74" w:type="dxa"/>
            <w:vAlign w:val="center"/>
          </w:tcPr>
          <w:p>
            <w:pPr>
              <w:pStyle w:val="20"/>
              <w:rPr>
                <w:highlight w:val="none"/>
              </w:rPr>
            </w:pPr>
            <w:r>
              <w:rPr>
                <w:rFonts w:hint="eastAsia"/>
                <w:highlight w:val="none"/>
              </w:rPr>
              <w:t>2</w:t>
            </w:r>
          </w:p>
        </w:tc>
        <w:tc>
          <w:tcPr>
            <w:tcW w:w="1864" w:type="dxa"/>
            <w:vAlign w:val="center"/>
          </w:tcPr>
          <w:p>
            <w:pPr>
              <w:pStyle w:val="20"/>
              <w:rPr>
                <w:highlight w:val="none"/>
              </w:rPr>
            </w:pPr>
            <w:r>
              <w:rPr>
                <w:rFonts w:hint="eastAsia"/>
                <w:highlight w:val="none"/>
              </w:rPr>
              <w:t>供应商项目负责人情况（1分）</w:t>
            </w:r>
          </w:p>
        </w:tc>
        <w:tc>
          <w:tcPr>
            <w:tcW w:w="4200" w:type="dxa"/>
            <w:vAlign w:val="center"/>
          </w:tcPr>
          <w:p>
            <w:pPr>
              <w:pStyle w:val="20"/>
              <w:rPr>
                <w:highlight w:val="none"/>
              </w:rPr>
            </w:pPr>
            <w:r>
              <w:rPr>
                <w:rFonts w:hint="eastAsia"/>
                <w:highlight w:val="none"/>
              </w:rPr>
              <w:t>供应商拟派项目负责人，具备优秀的项目管理资质，提供项目负责人信息系统项目管理师（高级）证书，得1分。</w:t>
            </w:r>
          </w:p>
        </w:tc>
        <w:tc>
          <w:tcPr>
            <w:tcW w:w="3400" w:type="dxa"/>
            <w:vAlign w:val="center"/>
          </w:tcPr>
          <w:p>
            <w:pPr>
              <w:pStyle w:val="20"/>
              <w:rPr>
                <w:highlight w:val="none"/>
              </w:rPr>
            </w:pPr>
            <w:r>
              <w:rPr>
                <w:rFonts w:hint="eastAsia"/>
                <w:highlight w:val="none"/>
              </w:rPr>
              <w:t>注：</w:t>
            </w:r>
          </w:p>
          <w:p>
            <w:pPr>
              <w:pStyle w:val="20"/>
              <w:rPr>
                <w:highlight w:val="none"/>
              </w:rPr>
            </w:pPr>
            <w:r>
              <w:rPr>
                <w:rFonts w:hint="eastAsia"/>
                <w:highlight w:val="none"/>
              </w:rPr>
              <w:t>1.投标文件中须提供以上资质证明材料及服务人员在投标人公司服务的外部证明材料扫描件，如：投标截止日之前三个月以内任意月份的代缴个税税单或参加社会保险的《投保单》或《社会保险参保人员证明》等，否则视为无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Align w:val="center"/>
          </w:tcPr>
          <w:p>
            <w:pPr>
              <w:pStyle w:val="20"/>
              <w:rPr>
                <w:highlight w:val="none"/>
              </w:rPr>
            </w:pPr>
            <w:r>
              <w:rPr>
                <w:rFonts w:hint="eastAsia"/>
                <w:highlight w:val="none"/>
              </w:rPr>
              <w:t>3</w:t>
            </w:r>
          </w:p>
        </w:tc>
        <w:tc>
          <w:tcPr>
            <w:tcW w:w="1864" w:type="dxa"/>
            <w:vAlign w:val="center"/>
          </w:tcPr>
          <w:p>
            <w:pPr>
              <w:pStyle w:val="20"/>
              <w:rPr>
                <w:highlight w:val="none"/>
              </w:rPr>
            </w:pPr>
            <w:r>
              <w:rPr>
                <w:rFonts w:hint="eastAsia"/>
                <w:highlight w:val="none"/>
              </w:rPr>
              <w:t>系统开发能力情况（14分）</w:t>
            </w:r>
          </w:p>
        </w:tc>
        <w:tc>
          <w:tcPr>
            <w:tcW w:w="4200" w:type="dxa"/>
            <w:vAlign w:val="center"/>
          </w:tcPr>
          <w:p>
            <w:pPr>
              <w:pStyle w:val="20"/>
              <w:rPr>
                <w:highlight w:val="none"/>
              </w:rPr>
            </w:pPr>
            <w:r>
              <w:rPr>
                <w:rFonts w:hint="eastAsia"/>
                <w:highlight w:val="none"/>
              </w:rPr>
              <w:t>为考察供应商或核心系统原厂商，所投核心系统拥有自主知识产权，且在同一先进架构集成开发，且开发设计于《电子病历系统应用水平分级评价标准（2018）》标准发布后（即2019年以后）。</w:t>
            </w:r>
          </w:p>
          <w:p>
            <w:pPr>
              <w:pStyle w:val="20"/>
              <w:rPr>
                <w:highlight w:val="none"/>
              </w:rPr>
            </w:pPr>
            <w:r>
              <w:rPr>
                <w:rFonts w:hint="eastAsia"/>
                <w:highlight w:val="none"/>
              </w:rPr>
              <w:t>根据投标文件提供系统产品知识产权（著作权）证书进行评审：</w:t>
            </w:r>
          </w:p>
          <w:p>
            <w:pPr>
              <w:pStyle w:val="20"/>
              <w:rPr>
                <w:highlight w:val="none"/>
              </w:rPr>
            </w:pPr>
            <w:r>
              <w:rPr>
                <w:rFonts w:hint="eastAsia"/>
                <w:highlight w:val="none"/>
              </w:rPr>
              <w:t>HIS医院业务管理系统；</w:t>
            </w:r>
          </w:p>
          <w:p>
            <w:pPr>
              <w:pStyle w:val="20"/>
              <w:rPr>
                <w:highlight w:val="none"/>
              </w:rPr>
            </w:pPr>
            <w:r>
              <w:rPr>
                <w:rFonts w:hint="eastAsia"/>
                <w:highlight w:val="none"/>
              </w:rPr>
              <w:t>门诊医生站系统；</w:t>
            </w:r>
          </w:p>
          <w:p>
            <w:pPr>
              <w:pStyle w:val="20"/>
              <w:rPr>
                <w:highlight w:val="none"/>
              </w:rPr>
            </w:pPr>
            <w:r>
              <w:rPr>
                <w:rFonts w:hint="eastAsia"/>
                <w:highlight w:val="none"/>
              </w:rPr>
              <w:t>住院医生站系统；</w:t>
            </w:r>
          </w:p>
          <w:p>
            <w:pPr>
              <w:pStyle w:val="20"/>
              <w:rPr>
                <w:highlight w:val="none"/>
              </w:rPr>
            </w:pPr>
            <w:r>
              <w:rPr>
                <w:rFonts w:hint="eastAsia"/>
                <w:highlight w:val="none"/>
              </w:rPr>
              <w:t>住院护士站系统；</w:t>
            </w:r>
          </w:p>
          <w:p>
            <w:pPr>
              <w:pStyle w:val="20"/>
              <w:rPr>
                <w:highlight w:val="none"/>
              </w:rPr>
            </w:pPr>
            <w:r>
              <w:rPr>
                <w:rFonts w:hint="eastAsia"/>
                <w:highlight w:val="none"/>
              </w:rPr>
              <w:t>电子病历系统（EMR系统）；</w:t>
            </w:r>
          </w:p>
          <w:p>
            <w:pPr>
              <w:pStyle w:val="20"/>
              <w:rPr>
                <w:highlight w:val="none"/>
              </w:rPr>
            </w:pPr>
            <w:r>
              <w:rPr>
                <w:rFonts w:hint="eastAsia"/>
                <w:highlight w:val="none"/>
              </w:rPr>
              <w:t>电子病历质控系统；</w:t>
            </w:r>
          </w:p>
          <w:p>
            <w:pPr>
              <w:pStyle w:val="20"/>
              <w:rPr>
                <w:highlight w:val="none"/>
              </w:rPr>
            </w:pPr>
            <w:r>
              <w:rPr>
                <w:rFonts w:hint="eastAsia"/>
                <w:highlight w:val="none"/>
              </w:rPr>
              <w:t>实验室信息管理（LIS系统）；</w:t>
            </w:r>
          </w:p>
          <w:p>
            <w:pPr>
              <w:pStyle w:val="20"/>
              <w:rPr>
                <w:highlight w:val="none"/>
              </w:rPr>
            </w:pPr>
            <w:r>
              <w:rPr>
                <w:rFonts w:hint="eastAsia"/>
                <w:highlight w:val="none"/>
              </w:rPr>
              <w:t>用血管理系统；</w:t>
            </w:r>
          </w:p>
          <w:p>
            <w:pPr>
              <w:pStyle w:val="20"/>
              <w:rPr>
                <w:highlight w:val="none"/>
              </w:rPr>
            </w:pPr>
            <w:r>
              <w:rPr>
                <w:rFonts w:hint="eastAsia"/>
                <w:highlight w:val="none"/>
              </w:rPr>
              <w:t>医学影像管理系统（PACS系统）；</w:t>
            </w:r>
          </w:p>
          <w:p>
            <w:pPr>
              <w:pStyle w:val="20"/>
              <w:rPr>
                <w:highlight w:val="none"/>
              </w:rPr>
            </w:pPr>
            <w:r>
              <w:rPr>
                <w:rFonts w:hint="eastAsia"/>
                <w:highlight w:val="none"/>
              </w:rPr>
              <w:t>医院感染管理系统；</w:t>
            </w:r>
          </w:p>
          <w:p>
            <w:pPr>
              <w:pStyle w:val="20"/>
              <w:rPr>
                <w:highlight w:val="none"/>
              </w:rPr>
            </w:pPr>
            <w:r>
              <w:rPr>
                <w:rFonts w:hint="eastAsia"/>
                <w:highlight w:val="none"/>
              </w:rPr>
              <w:t>病案统计管理系统；</w:t>
            </w:r>
          </w:p>
          <w:p>
            <w:pPr>
              <w:pStyle w:val="20"/>
              <w:rPr>
                <w:highlight w:val="none"/>
              </w:rPr>
            </w:pPr>
            <w:r>
              <w:rPr>
                <w:rFonts w:hint="eastAsia"/>
                <w:highlight w:val="none"/>
              </w:rPr>
              <w:t>病案示踪管理系统；</w:t>
            </w:r>
          </w:p>
          <w:p>
            <w:pPr>
              <w:pStyle w:val="20"/>
              <w:rPr>
                <w:highlight w:val="none"/>
              </w:rPr>
            </w:pPr>
            <w:r>
              <w:rPr>
                <w:rFonts w:hint="eastAsia"/>
                <w:highlight w:val="none"/>
              </w:rPr>
              <w:t>病案首页质控管理系统；</w:t>
            </w:r>
          </w:p>
          <w:p>
            <w:pPr>
              <w:pStyle w:val="20"/>
              <w:rPr>
                <w:highlight w:val="none"/>
              </w:rPr>
            </w:pPr>
            <w:r>
              <w:rPr>
                <w:rFonts w:hint="eastAsia"/>
                <w:highlight w:val="none"/>
              </w:rPr>
              <w:t>病案无纸化管理系统。</w:t>
            </w:r>
          </w:p>
          <w:p>
            <w:pPr>
              <w:pStyle w:val="20"/>
              <w:rPr>
                <w:highlight w:val="none"/>
              </w:rPr>
            </w:pPr>
          </w:p>
          <w:p>
            <w:pPr>
              <w:pStyle w:val="20"/>
              <w:rPr>
                <w:highlight w:val="none"/>
              </w:rPr>
            </w:pPr>
            <w:r>
              <w:rPr>
                <w:rFonts w:hint="eastAsia"/>
                <w:highlight w:val="none"/>
              </w:rPr>
              <w:t>①软件开发能力（7分）</w:t>
            </w:r>
          </w:p>
          <w:p>
            <w:pPr>
              <w:pStyle w:val="20"/>
              <w:rPr>
                <w:highlight w:val="none"/>
              </w:rPr>
            </w:pPr>
            <w:r>
              <w:rPr>
                <w:rFonts w:hint="eastAsia"/>
                <w:highlight w:val="none"/>
              </w:rPr>
              <w:t>以上14项证书，</w:t>
            </w:r>
            <w:r>
              <w:rPr>
                <w:highlight w:val="none"/>
              </w:rPr>
              <w:t>每提供1项</w:t>
            </w:r>
            <w:r>
              <w:rPr>
                <w:rFonts w:hint="eastAsia"/>
                <w:highlight w:val="none"/>
              </w:rPr>
              <w:t>有效证书</w:t>
            </w:r>
            <w:r>
              <w:rPr>
                <w:highlight w:val="none"/>
              </w:rPr>
              <w:t>得</w:t>
            </w:r>
            <w:r>
              <w:rPr>
                <w:rFonts w:hint="eastAsia"/>
                <w:highlight w:val="none"/>
              </w:rPr>
              <w:t>0.5</w:t>
            </w:r>
            <w:r>
              <w:rPr>
                <w:highlight w:val="none"/>
              </w:rPr>
              <w:t>分，</w:t>
            </w:r>
            <w:r>
              <w:rPr>
                <w:rFonts w:hint="eastAsia"/>
                <w:highlight w:val="none"/>
              </w:rPr>
              <w:t>最高得7</w:t>
            </w:r>
            <w:r>
              <w:rPr>
                <w:highlight w:val="none"/>
              </w:rPr>
              <w:t>分</w:t>
            </w:r>
            <w:r>
              <w:rPr>
                <w:rFonts w:hint="eastAsia"/>
                <w:highlight w:val="none"/>
              </w:rPr>
              <w:t>。</w:t>
            </w:r>
          </w:p>
          <w:p>
            <w:pPr>
              <w:pStyle w:val="20"/>
              <w:rPr>
                <w:highlight w:val="none"/>
              </w:rPr>
            </w:pPr>
            <w:r>
              <w:rPr>
                <w:rFonts w:hint="eastAsia"/>
                <w:highlight w:val="none"/>
              </w:rPr>
              <w:t>②集成开发能力（7分）</w:t>
            </w:r>
          </w:p>
          <w:p>
            <w:pPr>
              <w:pStyle w:val="20"/>
              <w:rPr>
                <w:highlight w:val="none"/>
              </w:rPr>
            </w:pPr>
            <w:r>
              <w:rPr>
                <w:rFonts w:hint="eastAsia"/>
                <w:highlight w:val="none"/>
              </w:rPr>
              <w:t>1）以上14项证书，均含有版本号（格式如V1.5），得0.5分。</w:t>
            </w:r>
          </w:p>
          <w:p>
            <w:pPr>
              <w:pStyle w:val="20"/>
              <w:rPr>
                <w:highlight w:val="none"/>
              </w:rPr>
            </w:pPr>
            <w:r>
              <w:rPr>
                <w:rFonts w:hint="eastAsia"/>
                <w:highlight w:val="none"/>
              </w:rPr>
              <w:t>2）以版本号数值最大的证书为最新系统版本，评估其他13项证书，每有1项可证明为最新版本的同一版本或同一版本分支，得0.5分</w:t>
            </w:r>
            <w:r>
              <w:rPr>
                <w:highlight w:val="none"/>
              </w:rPr>
              <w:t>，</w:t>
            </w:r>
            <w:r>
              <w:rPr>
                <w:rFonts w:hint="eastAsia"/>
                <w:highlight w:val="none"/>
              </w:rPr>
              <w:t>最高得6.5</w:t>
            </w:r>
            <w:r>
              <w:rPr>
                <w:highlight w:val="none"/>
              </w:rPr>
              <w:t>分</w:t>
            </w:r>
            <w:r>
              <w:rPr>
                <w:rFonts w:hint="eastAsia"/>
                <w:highlight w:val="none"/>
              </w:rPr>
              <w:t>。</w:t>
            </w:r>
          </w:p>
          <w:p>
            <w:pPr>
              <w:pStyle w:val="20"/>
              <w:rPr>
                <w:highlight w:val="none"/>
              </w:rPr>
            </w:pPr>
          </w:p>
          <w:p>
            <w:pPr>
              <w:pStyle w:val="20"/>
              <w:rPr>
                <w:highlight w:val="none"/>
              </w:rPr>
            </w:pPr>
            <w:r>
              <w:rPr>
                <w:rFonts w:hint="eastAsia"/>
                <w:highlight w:val="none"/>
              </w:rPr>
              <w:t>同一版本示例：V1.5与V1.5；</w:t>
            </w:r>
          </w:p>
          <w:p>
            <w:pPr>
              <w:pStyle w:val="20"/>
              <w:rPr>
                <w:highlight w:val="none"/>
              </w:rPr>
            </w:pPr>
            <w:r>
              <w:rPr>
                <w:rFonts w:hint="eastAsia"/>
                <w:highlight w:val="none"/>
              </w:rPr>
              <w:t>同一版本分支示例：V1.5与V1.0、V1.1、V1.2、V1.x；</w:t>
            </w:r>
          </w:p>
          <w:p>
            <w:pPr>
              <w:pStyle w:val="20"/>
              <w:rPr>
                <w:highlight w:val="none"/>
              </w:rPr>
            </w:pPr>
            <w:r>
              <w:rPr>
                <w:rFonts w:hint="eastAsia"/>
                <w:highlight w:val="none"/>
              </w:rPr>
              <w:t>不同版本示例：V1.5与V2.0。</w:t>
            </w:r>
          </w:p>
        </w:tc>
        <w:tc>
          <w:tcPr>
            <w:tcW w:w="3400" w:type="dxa"/>
            <w:vAlign w:val="center"/>
          </w:tcPr>
          <w:p>
            <w:pPr>
              <w:pStyle w:val="20"/>
              <w:rPr>
                <w:highlight w:val="none"/>
              </w:rPr>
            </w:pPr>
            <w:r>
              <w:rPr>
                <w:rFonts w:hint="eastAsia"/>
                <w:highlight w:val="none"/>
              </w:rPr>
              <w:t>注：</w:t>
            </w:r>
          </w:p>
          <w:p>
            <w:pPr>
              <w:pStyle w:val="20"/>
              <w:rPr>
                <w:highlight w:val="none"/>
              </w:rPr>
            </w:pPr>
            <w:r>
              <w:rPr>
                <w:rFonts w:hint="eastAsia"/>
                <w:highlight w:val="none"/>
              </w:rPr>
              <w:t>1.著作权证书须提供有效证明复印件加盖公章，同时获得时间需晚于2019年，否则视为无效证明。</w:t>
            </w:r>
          </w:p>
          <w:p>
            <w:pPr>
              <w:pStyle w:val="20"/>
              <w:rPr>
                <w:highlight w:val="none"/>
              </w:rPr>
            </w:pPr>
            <w:r>
              <w:rPr>
                <w:rFonts w:hint="eastAsia"/>
                <w:highlight w:val="none"/>
              </w:rPr>
              <w:t>2.著作权证书名称与列表不同时，但专家评审认可所指功能实质相同，且满足第1点要求的，可视为有效证明。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Align w:val="center"/>
          </w:tcPr>
          <w:p>
            <w:pPr>
              <w:pStyle w:val="20"/>
              <w:rPr>
                <w:highlight w:val="none"/>
              </w:rPr>
            </w:pPr>
            <w:r>
              <w:rPr>
                <w:rFonts w:hint="eastAsia"/>
                <w:highlight w:val="none"/>
              </w:rPr>
              <w:t>4</w:t>
            </w:r>
          </w:p>
        </w:tc>
        <w:tc>
          <w:tcPr>
            <w:tcW w:w="1864" w:type="dxa"/>
            <w:vAlign w:val="center"/>
          </w:tcPr>
          <w:p>
            <w:pPr>
              <w:pStyle w:val="20"/>
              <w:rPr>
                <w:highlight w:val="none"/>
              </w:rPr>
            </w:pPr>
            <w:r>
              <w:rPr>
                <w:rFonts w:hint="eastAsia"/>
                <w:highlight w:val="none"/>
              </w:rPr>
              <w:t>系统安全性（3分）</w:t>
            </w:r>
          </w:p>
        </w:tc>
        <w:tc>
          <w:tcPr>
            <w:tcW w:w="4200" w:type="dxa"/>
            <w:vAlign w:val="center"/>
          </w:tcPr>
          <w:p>
            <w:pPr>
              <w:pStyle w:val="20"/>
              <w:rPr>
                <w:highlight w:val="none"/>
              </w:rPr>
            </w:pPr>
            <w:r>
              <w:rPr>
                <w:rFonts w:hint="eastAsia"/>
                <w:highlight w:val="none"/>
              </w:rPr>
              <w:t>供应商或核心系统原厂商，所投“HIS医院业务管理系统”出具满足GB/T22239-2019《信息安全技术网络安全等级保护基本要求》标准的安全等级测试报告。</w:t>
            </w:r>
          </w:p>
          <w:p>
            <w:pPr>
              <w:pStyle w:val="20"/>
              <w:rPr>
                <w:highlight w:val="none"/>
              </w:rPr>
            </w:pPr>
            <w:r>
              <w:rPr>
                <w:rFonts w:hint="eastAsia"/>
                <w:highlight w:val="none"/>
              </w:rPr>
              <w:t>证明符合三级及以上安全标准，得3分；</w:t>
            </w:r>
          </w:p>
          <w:p>
            <w:pPr>
              <w:pStyle w:val="20"/>
              <w:rPr>
                <w:highlight w:val="none"/>
              </w:rPr>
            </w:pPr>
            <w:r>
              <w:rPr>
                <w:rFonts w:hint="eastAsia"/>
                <w:highlight w:val="none"/>
              </w:rPr>
              <w:t>证明符合二级安全标准，得1分；</w:t>
            </w:r>
          </w:p>
          <w:p>
            <w:pPr>
              <w:pStyle w:val="20"/>
              <w:rPr>
                <w:highlight w:val="none"/>
              </w:rPr>
            </w:pPr>
            <w:r>
              <w:rPr>
                <w:rFonts w:hint="eastAsia"/>
                <w:highlight w:val="none"/>
              </w:rPr>
              <w:t>未提供或小于二级，不得分。</w:t>
            </w:r>
          </w:p>
        </w:tc>
        <w:tc>
          <w:tcPr>
            <w:tcW w:w="3400" w:type="dxa"/>
            <w:vAlign w:val="center"/>
          </w:tcPr>
          <w:p>
            <w:pPr>
              <w:pStyle w:val="20"/>
              <w:rPr>
                <w:highlight w:val="none"/>
              </w:rPr>
            </w:pPr>
            <w:r>
              <w:rPr>
                <w:rFonts w:hint="eastAsia"/>
                <w:highlight w:val="none"/>
              </w:rPr>
              <w:t>注：</w:t>
            </w:r>
          </w:p>
          <w:p>
            <w:pPr>
              <w:pStyle w:val="20"/>
              <w:rPr>
                <w:highlight w:val="none"/>
              </w:rPr>
            </w:pPr>
            <w:r>
              <w:rPr>
                <w:rFonts w:hint="eastAsia"/>
                <w:highlight w:val="none"/>
              </w:rPr>
              <w:t>1.投标文件中须提供有效证明复印件加盖公章，视为有效材料。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74" w:type="dxa"/>
            <w:vAlign w:val="center"/>
          </w:tcPr>
          <w:p>
            <w:pPr>
              <w:pStyle w:val="20"/>
              <w:rPr>
                <w:highlight w:val="none"/>
              </w:rPr>
            </w:pPr>
            <w:r>
              <w:rPr>
                <w:rFonts w:hint="eastAsia"/>
                <w:highlight w:val="none"/>
              </w:rPr>
              <w:t>5</w:t>
            </w:r>
          </w:p>
        </w:tc>
        <w:tc>
          <w:tcPr>
            <w:tcW w:w="1864" w:type="dxa"/>
            <w:vAlign w:val="center"/>
          </w:tcPr>
          <w:p>
            <w:pPr>
              <w:pStyle w:val="20"/>
              <w:rPr>
                <w:highlight w:val="none"/>
              </w:rPr>
            </w:pPr>
            <w:r>
              <w:rPr>
                <w:rFonts w:hint="eastAsia"/>
                <w:highlight w:val="none"/>
              </w:rPr>
              <w:t>拟派项目团队情况（3分）</w:t>
            </w:r>
          </w:p>
        </w:tc>
        <w:tc>
          <w:tcPr>
            <w:tcW w:w="4200" w:type="dxa"/>
            <w:vAlign w:val="center"/>
          </w:tcPr>
          <w:p>
            <w:pPr>
              <w:pStyle w:val="20"/>
              <w:rPr>
                <w:highlight w:val="none"/>
              </w:rPr>
            </w:pPr>
            <w:r>
              <w:rPr>
                <w:rFonts w:hint="eastAsia"/>
                <w:highlight w:val="none"/>
              </w:rPr>
              <w:t>供应商或核心系统原厂商，拟派项目团队，具备综合服务能力，提供项目团队以下3项能力证书证明：</w:t>
            </w:r>
          </w:p>
          <w:p>
            <w:pPr>
              <w:pStyle w:val="20"/>
              <w:numPr>
                <w:ilvl w:val="0"/>
                <w:numId w:val="6"/>
              </w:numPr>
              <w:ind w:left="425" w:hanging="425"/>
              <w:jc w:val="left"/>
              <w:rPr>
                <w:highlight w:val="none"/>
              </w:rPr>
            </w:pPr>
            <w:r>
              <w:rPr>
                <w:rFonts w:hint="eastAsia"/>
                <w:highlight w:val="none"/>
              </w:rPr>
              <w:t>数据库系统工程师；</w:t>
            </w:r>
          </w:p>
          <w:p>
            <w:pPr>
              <w:pStyle w:val="20"/>
              <w:numPr>
                <w:ilvl w:val="0"/>
                <w:numId w:val="6"/>
              </w:numPr>
              <w:ind w:left="425" w:hanging="425"/>
              <w:jc w:val="left"/>
              <w:rPr>
                <w:highlight w:val="none"/>
              </w:rPr>
            </w:pPr>
            <w:r>
              <w:rPr>
                <w:rFonts w:hint="eastAsia"/>
                <w:highlight w:val="none"/>
              </w:rPr>
              <w:t>IT服务项目经理证书；</w:t>
            </w:r>
          </w:p>
          <w:p>
            <w:pPr>
              <w:pStyle w:val="20"/>
              <w:numPr>
                <w:ilvl w:val="0"/>
                <w:numId w:val="6"/>
              </w:numPr>
              <w:ind w:left="425" w:hanging="425"/>
              <w:jc w:val="left"/>
              <w:rPr>
                <w:highlight w:val="none"/>
              </w:rPr>
            </w:pPr>
            <w:r>
              <w:rPr>
                <w:rFonts w:hint="eastAsia" w:ascii="宋体" w:hAnsi="宋体" w:cs="宋体"/>
                <w:color w:val="000000"/>
                <w:kern w:val="0"/>
                <w:szCs w:val="21"/>
                <w:highlight w:val="none"/>
              </w:rPr>
              <w:t>信息安全</w:t>
            </w:r>
            <w:r>
              <w:rPr>
                <w:rFonts w:hint="eastAsia"/>
                <w:highlight w:val="none"/>
              </w:rPr>
              <w:t>相关工程师证书（CISAW/CISE）。</w:t>
            </w:r>
          </w:p>
          <w:p>
            <w:pPr>
              <w:pStyle w:val="20"/>
              <w:jc w:val="left"/>
              <w:rPr>
                <w:highlight w:val="none"/>
              </w:rPr>
            </w:pPr>
            <w:r>
              <w:rPr>
                <w:highlight w:val="none"/>
              </w:rPr>
              <w:t>每提供1项</w:t>
            </w:r>
            <w:r>
              <w:rPr>
                <w:rFonts w:hint="eastAsia"/>
                <w:highlight w:val="none"/>
              </w:rPr>
              <w:t>证书</w:t>
            </w:r>
            <w:r>
              <w:rPr>
                <w:highlight w:val="none"/>
              </w:rPr>
              <w:t>得</w:t>
            </w:r>
            <w:r>
              <w:rPr>
                <w:rFonts w:hint="eastAsia"/>
                <w:highlight w:val="none"/>
              </w:rPr>
              <w:t>1</w:t>
            </w:r>
            <w:r>
              <w:rPr>
                <w:highlight w:val="none"/>
              </w:rPr>
              <w:t>分，</w:t>
            </w:r>
            <w:r>
              <w:rPr>
                <w:rFonts w:hint="eastAsia"/>
                <w:highlight w:val="none"/>
              </w:rPr>
              <w:t>最高得3分。</w:t>
            </w:r>
          </w:p>
        </w:tc>
        <w:tc>
          <w:tcPr>
            <w:tcW w:w="3400" w:type="dxa"/>
            <w:vAlign w:val="center"/>
          </w:tcPr>
          <w:p>
            <w:pPr>
              <w:pStyle w:val="20"/>
              <w:rPr>
                <w:highlight w:val="none"/>
              </w:rPr>
            </w:pPr>
            <w:r>
              <w:rPr>
                <w:rFonts w:hint="eastAsia"/>
                <w:highlight w:val="none"/>
              </w:rPr>
              <w:t>注：</w:t>
            </w:r>
          </w:p>
          <w:p>
            <w:pPr>
              <w:pStyle w:val="20"/>
              <w:rPr>
                <w:highlight w:val="none"/>
              </w:rPr>
            </w:pPr>
            <w:r>
              <w:rPr>
                <w:rFonts w:hint="eastAsia"/>
                <w:highlight w:val="none"/>
              </w:rPr>
              <w:t>1.投标文件中须提供以上资质证明材料及服务人员在投标人或核心系统原厂商服务的外部证明材料扫描件，如：投标截止日之前三个月以内任意月份的代缴个税税单或参加社会保险的《投保单》或《社会保险参保人员证明》等，否则视为无效证明。</w:t>
            </w:r>
          </w:p>
          <w:p>
            <w:pPr>
              <w:pStyle w:val="20"/>
              <w:rPr>
                <w:highlight w:val="none"/>
              </w:rPr>
            </w:pPr>
            <w:r>
              <w:rPr>
                <w:rFonts w:hint="eastAsia"/>
                <w:highlight w:val="none"/>
              </w:rPr>
              <w:t>2.每个项目团队成员资质，只计一项资质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74" w:type="dxa"/>
            <w:vAlign w:val="center"/>
          </w:tcPr>
          <w:p>
            <w:pPr>
              <w:pStyle w:val="20"/>
              <w:rPr>
                <w:highlight w:val="none"/>
              </w:rPr>
            </w:pPr>
            <w:r>
              <w:rPr>
                <w:rFonts w:hint="eastAsia"/>
                <w:highlight w:val="none"/>
              </w:rPr>
              <w:t>6</w:t>
            </w:r>
          </w:p>
        </w:tc>
        <w:tc>
          <w:tcPr>
            <w:tcW w:w="1864" w:type="dxa"/>
            <w:vAlign w:val="center"/>
          </w:tcPr>
          <w:p>
            <w:pPr>
              <w:pStyle w:val="20"/>
              <w:rPr>
                <w:highlight w:val="none"/>
              </w:rPr>
            </w:pPr>
            <w:r>
              <w:rPr>
                <w:rFonts w:hint="eastAsia"/>
                <w:highlight w:val="none"/>
              </w:rPr>
              <w:t>电子病历应用水平服务案例（10分）</w:t>
            </w:r>
          </w:p>
        </w:tc>
        <w:tc>
          <w:tcPr>
            <w:tcW w:w="4200" w:type="dxa"/>
            <w:vAlign w:val="center"/>
          </w:tcPr>
          <w:p>
            <w:pPr>
              <w:pStyle w:val="20"/>
              <w:rPr>
                <w:highlight w:val="none"/>
              </w:rPr>
            </w:pPr>
            <w:r>
              <w:rPr>
                <w:rFonts w:hint="eastAsia"/>
                <w:highlight w:val="none"/>
              </w:rPr>
              <w:t>供应商或核心系统原厂商，</w:t>
            </w:r>
            <w:r>
              <w:rPr>
                <w:highlight w:val="none"/>
              </w:rPr>
              <w:t>所投产品具有</w:t>
            </w:r>
            <w:r>
              <w:rPr>
                <w:rFonts w:hint="eastAsia"/>
                <w:highlight w:val="none"/>
              </w:rPr>
              <w:t>通过《电子病历系统应用水平分级评价标准（2018）》</w:t>
            </w:r>
            <w:r>
              <w:rPr>
                <w:highlight w:val="none"/>
              </w:rPr>
              <w:t>的</w:t>
            </w:r>
            <w:r>
              <w:rPr>
                <w:rFonts w:hint="eastAsia"/>
                <w:highlight w:val="none"/>
              </w:rPr>
              <w:t>4级及以上</w:t>
            </w:r>
            <w:r>
              <w:rPr>
                <w:highlight w:val="none"/>
              </w:rPr>
              <w:t>案例</w:t>
            </w:r>
            <w:r>
              <w:rPr>
                <w:rFonts w:hint="eastAsia"/>
                <w:highlight w:val="none"/>
              </w:rPr>
              <w:t>，提供案例</w:t>
            </w:r>
            <w:r>
              <w:rPr>
                <w:highlight w:val="none"/>
              </w:rPr>
              <w:t>证明</w:t>
            </w:r>
            <w:r>
              <w:rPr>
                <w:rFonts w:hint="eastAsia"/>
                <w:highlight w:val="none"/>
              </w:rPr>
              <w:t>材料</w:t>
            </w:r>
            <w:r>
              <w:rPr>
                <w:highlight w:val="none"/>
              </w:rPr>
              <w:t>进行评审</w:t>
            </w:r>
            <w:r>
              <w:rPr>
                <w:rFonts w:hint="eastAsia"/>
                <w:highlight w:val="none"/>
              </w:rPr>
              <w:t>，案例至少同时包含如下7类系统：</w:t>
            </w:r>
          </w:p>
          <w:p>
            <w:pPr>
              <w:pStyle w:val="20"/>
              <w:numPr>
                <w:ilvl w:val="0"/>
                <w:numId w:val="7"/>
              </w:numPr>
              <w:rPr>
                <w:highlight w:val="none"/>
              </w:rPr>
            </w:pPr>
            <w:r>
              <w:rPr>
                <w:rFonts w:hint="eastAsia"/>
                <w:highlight w:val="none"/>
              </w:rPr>
              <w:t>门诊医生站系统；</w:t>
            </w:r>
          </w:p>
          <w:p>
            <w:pPr>
              <w:pStyle w:val="20"/>
              <w:numPr>
                <w:ilvl w:val="0"/>
                <w:numId w:val="7"/>
              </w:numPr>
              <w:rPr>
                <w:highlight w:val="none"/>
              </w:rPr>
            </w:pPr>
            <w:r>
              <w:rPr>
                <w:rFonts w:hint="eastAsia"/>
                <w:highlight w:val="none"/>
              </w:rPr>
              <w:t>住院医生站系统；</w:t>
            </w:r>
          </w:p>
          <w:p>
            <w:pPr>
              <w:pStyle w:val="20"/>
              <w:numPr>
                <w:ilvl w:val="0"/>
                <w:numId w:val="7"/>
              </w:numPr>
              <w:rPr>
                <w:highlight w:val="none"/>
              </w:rPr>
            </w:pPr>
            <w:r>
              <w:rPr>
                <w:rFonts w:hint="eastAsia"/>
                <w:highlight w:val="none"/>
              </w:rPr>
              <w:t>住院护士站系统；</w:t>
            </w:r>
          </w:p>
          <w:p>
            <w:pPr>
              <w:pStyle w:val="20"/>
              <w:numPr>
                <w:ilvl w:val="0"/>
                <w:numId w:val="7"/>
              </w:numPr>
              <w:rPr>
                <w:highlight w:val="none"/>
              </w:rPr>
            </w:pPr>
            <w:r>
              <w:rPr>
                <w:rFonts w:hint="eastAsia"/>
                <w:highlight w:val="none"/>
              </w:rPr>
              <w:t>电子病历系统；</w:t>
            </w:r>
          </w:p>
          <w:p>
            <w:pPr>
              <w:pStyle w:val="20"/>
              <w:numPr>
                <w:ilvl w:val="0"/>
                <w:numId w:val="7"/>
              </w:numPr>
              <w:rPr>
                <w:highlight w:val="none"/>
              </w:rPr>
            </w:pPr>
            <w:r>
              <w:rPr>
                <w:rFonts w:hint="eastAsia"/>
                <w:highlight w:val="none"/>
              </w:rPr>
              <w:t>电子病历质控系统；</w:t>
            </w:r>
          </w:p>
          <w:p>
            <w:pPr>
              <w:pStyle w:val="20"/>
              <w:numPr>
                <w:ilvl w:val="0"/>
                <w:numId w:val="7"/>
              </w:numPr>
              <w:rPr>
                <w:highlight w:val="none"/>
              </w:rPr>
            </w:pPr>
            <w:r>
              <w:rPr>
                <w:rFonts w:hint="eastAsia"/>
                <w:highlight w:val="none"/>
              </w:rPr>
              <w:t>实验室信息管理（LIS系统）；</w:t>
            </w:r>
          </w:p>
          <w:p>
            <w:pPr>
              <w:pStyle w:val="20"/>
              <w:numPr>
                <w:ilvl w:val="0"/>
                <w:numId w:val="7"/>
              </w:numPr>
              <w:rPr>
                <w:highlight w:val="none"/>
              </w:rPr>
            </w:pPr>
            <w:r>
              <w:rPr>
                <w:rFonts w:hint="eastAsia"/>
                <w:highlight w:val="none"/>
              </w:rPr>
              <w:t>医学影像管理系统（PACS系统）。</w:t>
            </w:r>
          </w:p>
          <w:p>
            <w:pPr>
              <w:pStyle w:val="20"/>
              <w:rPr>
                <w:highlight w:val="none"/>
              </w:rPr>
            </w:pPr>
            <w:r>
              <w:rPr>
                <w:highlight w:val="none"/>
              </w:rPr>
              <w:t>每提供1</w:t>
            </w:r>
            <w:r>
              <w:rPr>
                <w:rFonts w:hint="eastAsia"/>
                <w:highlight w:val="none"/>
              </w:rPr>
              <w:t>个符合条件的电子病历4级及以上的</w:t>
            </w:r>
            <w:r>
              <w:rPr>
                <w:highlight w:val="none"/>
              </w:rPr>
              <w:t>案例</w:t>
            </w:r>
            <w:r>
              <w:rPr>
                <w:rFonts w:hint="eastAsia"/>
                <w:highlight w:val="none"/>
              </w:rPr>
              <w:t>材料</w:t>
            </w:r>
            <w:r>
              <w:rPr>
                <w:highlight w:val="none"/>
              </w:rPr>
              <w:t>得</w:t>
            </w:r>
            <w:r>
              <w:rPr>
                <w:rFonts w:hint="eastAsia"/>
                <w:highlight w:val="none"/>
              </w:rPr>
              <w:t>2</w:t>
            </w:r>
            <w:r>
              <w:rPr>
                <w:highlight w:val="none"/>
              </w:rPr>
              <w:t>分，最高得</w:t>
            </w:r>
            <w:r>
              <w:rPr>
                <w:rFonts w:hint="eastAsia"/>
                <w:highlight w:val="none"/>
              </w:rPr>
              <w:t>10</w:t>
            </w:r>
            <w:r>
              <w:rPr>
                <w:highlight w:val="none"/>
              </w:rPr>
              <w:t>分。</w:t>
            </w:r>
          </w:p>
        </w:tc>
        <w:tc>
          <w:tcPr>
            <w:tcW w:w="3400" w:type="dxa"/>
            <w:vAlign w:val="center"/>
          </w:tcPr>
          <w:p>
            <w:pPr>
              <w:pStyle w:val="20"/>
              <w:rPr>
                <w:highlight w:val="none"/>
              </w:rPr>
            </w:pPr>
            <w:r>
              <w:rPr>
                <w:rFonts w:hint="eastAsia"/>
                <w:highlight w:val="none"/>
              </w:rPr>
              <w:t>注：</w:t>
            </w:r>
          </w:p>
          <w:p>
            <w:pPr>
              <w:pStyle w:val="20"/>
              <w:numPr>
                <w:ilvl w:val="0"/>
                <w:numId w:val="8"/>
              </w:numPr>
              <w:rPr>
                <w:highlight w:val="none"/>
              </w:rPr>
            </w:pPr>
            <w:r>
              <w:rPr>
                <w:rFonts w:hint="eastAsia"/>
                <w:highlight w:val="none"/>
              </w:rPr>
              <w:t>投标文件中须提供有效证明复印件加盖公章，否则视为无效证明。</w:t>
            </w:r>
          </w:p>
          <w:p>
            <w:pPr>
              <w:pStyle w:val="20"/>
              <w:numPr>
                <w:ilvl w:val="0"/>
                <w:numId w:val="8"/>
              </w:numPr>
              <w:rPr>
                <w:highlight w:val="none"/>
              </w:rPr>
            </w:pPr>
            <w:r>
              <w:rPr>
                <w:rFonts w:hint="eastAsia"/>
                <w:highlight w:val="none"/>
              </w:rPr>
              <w:t>投标文件中须同时提供相关案例合同关键页，体现相关7类系统，名称不同时由专家评审认可所指功能模块实质相同，否则视为无效证明。</w:t>
            </w:r>
          </w:p>
          <w:p>
            <w:pPr>
              <w:pStyle w:val="20"/>
              <w:numPr>
                <w:ilvl w:val="0"/>
                <w:numId w:val="8"/>
              </w:numPr>
              <w:rPr>
                <w:highlight w:val="none"/>
              </w:rPr>
            </w:pPr>
            <w:r>
              <w:rPr>
                <w:rFonts w:hint="eastAsia"/>
                <w:highlight w:val="none"/>
              </w:rPr>
              <w:t>投标文件中须同时提供相关案例用户通过评审证明的扫描件或牌匾或官网公告截图，否则视为无效证明。</w:t>
            </w:r>
          </w:p>
        </w:tc>
      </w:tr>
    </w:tbl>
    <w:p>
      <w:pPr>
        <w:spacing w:before="120" w:line="360" w:lineRule="auto"/>
        <w:outlineLvl w:val="1"/>
        <w:rPr>
          <w:rFonts w:ascii="Arial" w:hAnsi="Arial" w:cs="Arial"/>
          <w:kern w:val="0"/>
          <w:sz w:val="24"/>
          <w:highlight w:val="none"/>
          <w:lang w:val="zh-CN"/>
        </w:rPr>
      </w:pPr>
      <w:r>
        <w:rPr>
          <w:rFonts w:ascii="Arial" w:hAnsi="Arial" w:cs="Arial"/>
          <w:kern w:val="0"/>
          <w:sz w:val="24"/>
          <w:highlight w:val="none"/>
          <w:lang w:val="zh-CN"/>
        </w:rPr>
        <w:t>2、</w:t>
      </w:r>
      <w:r>
        <w:rPr>
          <w:rFonts w:ascii="Arial" w:hAnsi="Arial" w:cs="Arial"/>
          <w:szCs w:val="21"/>
          <w:highlight w:val="none"/>
        </w:rPr>
        <w:t>技术部分</w:t>
      </w:r>
      <w:r>
        <w:rPr>
          <w:rFonts w:hint="eastAsia" w:ascii="Arial" w:hAnsi="Arial" w:cs="Arial"/>
          <w:szCs w:val="21"/>
          <w:highlight w:val="none"/>
        </w:rPr>
        <w:t>（55分）</w:t>
      </w:r>
    </w:p>
    <w:tbl>
      <w:tblPr>
        <w:tblStyle w:val="54"/>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876"/>
        <w:gridCol w:w="5115"/>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vAlign w:val="center"/>
          </w:tcPr>
          <w:p>
            <w:pPr>
              <w:spacing w:line="360" w:lineRule="auto"/>
              <w:jc w:val="center"/>
              <w:rPr>
                <w:rFonts w:ascii="Arial" w:hAnsi="Arial" w:cs="Arial"/>
                <w:b/>
                <w:szCs w:val="21"/>
                <w:highlight w:val="none"/>
              </w:rPr>
            </w:pPr>
            <w:r>
              <w:rPr>
                <w:rFonts w:ascii="Arial" w:hAnsi="Arial" w:cs="Arial"/>
                <w:b/>
                <w:szCs w:val="21"/>
                <w:highlight w:val="none"/>
              </w:rPr>
              <w:t>序号</w:t>
            </w:r>
          </w:p>
        </w:tc>
        <w:tc>
          <w:tcPr>
            <w:tcW w:w="1876" w:type="dxa"/>
            <w:vAlign w:val="center"/>
          </w:tcPr>
          <w:p>
            <w:pPr>
              <w:spacing w:line="360" w:lineRule="auto"/>
              <w:jc w:val="center"/>
              <w:rPr>
                <w:rFonts w:ascii="Arial" w:hAnsi="Arial" w:cs="Arial"/>
                <w:b/>
                <w:szCs w:val="21"/>
                <w:highlight w:val="none"/>
              </w:rPr>
            </w:pPr>
            <w:r>
              <w:rPr>
                <w:rFonts w:ascii="Arial" w:hAnsi="Arial" w:cs="Arial"/>
                <w:b/>
                <w:szCs w:val="21"/>
                <w:highlight w:val="none"/>
              </w:rPr>
              <w:t>评标因素及分值</w:t>
            </w:r>
          </w:p>
        </w:tc>
        <w:tc>
          <w:tcPr>
            <w:tcW w:w="5115" w:type="dxa"/>
            <w:vAlign w:val="center"/>
          </w:tcPr>
          <w:p>
            <w:pPr>
              <w:spacing w:line="360" w:lineRule="auto"/>
              <w:jc w:val="center"/>
              <w:rPr>
                <w:rFonts w:ascii="Arial" w:hAnsi="Arial" w:cs="Arial"/>
                <w:b/>
                <w:szCs w:val="21"/>
                <w:highlight w:val="none"/>
              </w:rPr>
            </w:pPr>
            <w:r>
              <w:rPr>
                <w:rFonts w:ascii="Arial" w:hAnsi="Arial" w:cs="Arial"/>
                <w:b/>
                <w:szCs w:val="21"/>
                <w:highlight w:val="none"/>
              </w:rPr>
              <w:t>评标标准</w:t>
            </w:r>
          </w:p>
        </w:tc>
        <w:tc>
          <w:tcPr>
            <w:tcW w:w="2504" w:type="dxa"/>
            <w:vAlign w:val="center"/>
          </w:tcPr>
          <w:p>
            <w:pPr>
              <w:spacing w:line="360" w:lineRule="auto"/>
              <w:jc w:val="center"/>
              <w:rPr>
                <w:rFonts w:ascii="Arial" w:hAnsi="Arial" w:cs="Arial"/>
                <w:b/>
                <w:szCs w:val="21"/>
                <w:highlight w:val="none"/>
              </w:rPr>
            </w:pPr>
            <w:r>
              <w:rPr>
                <w:rFonts w:ascii="Arial" w:hAnsi="Arial" w:cs="Arial"/>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vAlign w:val="center"/>
          </w:tcPr>
          <w:p>
            <w:pPr>
              <w:pStyle w:val="20"/>
              <w:rPr>
                <w:highlight w:val="none"/>
              </w:rPr>
            </w:pPr>
            <w:r>
              <w:rPr>
                <w:rFonts w:hint="eastAsia"/>
                <w:highlight w:val="none"/>
              </w:rPr>
              <w:t>1</w:t>
            </w:r>
          </w:p>
        </w:tc>
        <w:tc>
          <w:tcPr>
            <w:tcW w:w="1876" w:type="dxa"/>
            <w:vAlign w:val="center"/>
          </w:tcPr>
          <w:p>
            <w:pPr>
              <w:pStyle w:val="20"/>
              <w:jc w:val="center"/>
              <w:rPr>
                <w:highlight w:val="none"/>
              </w:rPr>
            </w:pPr>
            <w:r>
              <w:rPr>
                <w:highlight w:val="none"/>
              </w:rPr>
              <w:t>总体</w:t>
            </w:r>
            <w:r>
              <w:rPr>
                <w:rFonts w:hint="eastAsia"/>
                <w:highlight w:val="none"/>
              </w:rPr>
              <w:t>技术</w:t>
            </w:r>
            <w:r>
              <w:rPr>
                <w:highlight w:val="none"/>
              </w:rPr>
              <w:t>方案(</w:t>
            </w:r>
            <w:r>
              <w:rPr>
                <w:rFonts w:hint="eastAsia"/>
                <w:highlight w:val="none"/>
              </w:rPr>
              <w:t>15</w:t>
            </w:r>
            <w:r>
              <w:rPr>
                <w:highlight w:val="none"/>
              </w:rPr>
              <w:t>分)</w:t>
            </w:r>
          </w:p>
        </w:tc>
        <w:tc>
          <w:tcPr>
            <w:tcW w:w="5115" w:type="dxa"/>
          </w:tcPr>
          <w:p>
            <w:pPr>
              <w:pStyle w:val="20"/>
              <w:rPr>
                <w:highlight w:val="none"/>
              </w:rPr>
            </w:pPr>
            <w:r>
              <w:rPr>
                <w:rFonts w:hint="eastAsia"/>
                <w:highlight w:val="none"/>
              </w:rPr>
              <w:t>供应商需针对本项目技术要求及建设内容，提供完整、系统、可落地的总体建设方案，内容应涵盖项目理解、技术架构、功能架构、系统功能设计、实施管理、质量管理等方面。评审将根据方案的完整性、合理性、针对性、前瞻性及服务保障能力综合评定，分为以下三档：</w:t>
            </w:r>
          </w:p>
          <w:p>
            <w:pPr>
              <w:pStyle w:val="20"/>
              <w:rPr>
                <w:highlight w:val="none"/>
              </w:rPr>
            </w:pPr>
            <w:r>
              <w:rPr>
                <w:rFonts w:hint="eastAsia"/>
                <w:highlight w:val="none"/>
              </w:rPr>
              <w:t>一档（5分）</w:t>
            </w:r>
          </w:p>
          <w:p>
            <w:pPr>
              <w:pStyle w:val="20"/>
              <w:rPr>
                <w:highlight w:val="none"/>
              </w:rPr>
            </w:pPr>
            <w:r>
              <w:rPr>
                <w:rFonts w:hint="eastAsia"/>
                <w:highlight w:val="none"/>
              </w:rPr>
              <w:t>方案基本覆盖要求内容，结构较完整，但深度不足。对项目背景、目标、技术重点难点有一定认识，但分析较浅显；技术架构与功能设计基本合理，但缺乏细节支撑或创新性；实施、质量、服务管理措施较笼统，可行性一般，需求匹配度欠缺；方案内容存在冗余或表述不清，或仅能响应基础建设目标，无前瞻性；方案较形式化，套用化，履约保障能力存疑。</w:t>
            </w:r>
          </w:p>
          <w:p>
            <w:pPr>
              <w:pStyle w:val="20"/>
              <w:rPr>
                <w:highlight w:val="none"/>
              </w:rPr>
            </w:pPr>
          </w:p>
          <w:p>
            <w:pPr>
              <w:pStyle w:val="20"/>
              <w:rPr>
                <w:highlight w:val="none"/>
              </w:rPr>
            </w:pPr>
            <w:r>
              <w:rPr>
                <w:rFonts w:hint="eastAsia"/>
                <w:highlight w:val="none"/>
              </w:rPr>
              <w:t>二档（10分）</w:t>
            </w:r>
          </w:p>
          <w:p>
            <w:pPr>
              <w:pStyle w:val="20"/>
              <w:rPr>
                <w:highlight w:val="none"/>
              </w:rPr>
            </w:pPr>
            <w:r>
              <w:rPr>
                <w:rFonts w:hint="eastAsia"/>
                <w:highlight w:val="none"/>
              </w:rPr>
              <w:t>方案结构清晰、内容完整，对采购单位现状、项目目标有较深入理解；技术架构与功能设计合理、有针对性，能较好支撑项目需求；实施、质量、服务管理方案较详细，方法科学、措施可行，能保障项目正常推进与运维；内容编写逻辑清晰、无冗余，体现一定产品设计，履约能力基本可保障。</w:t>
            </w:r>
          </w:p>
          <w:p>
            <w:pPr>
              <w:pStyle w:val="20"/>
              <w:rPr>
                <w:highlight w:val="none"/>
              </w:rPr>
            </w:pPr>
          </w:p>
          <w:p>
            <w:pPr>
              <w:pStyle w:val="20"/>
              <w:rPr>
                <w:highlight w:val="none"/>
              </w:rPr>
            </w:pPr>
            <w:r>
              <w:rPr>
                <w:rFonts w:hint="eastAsia"/>
                <w:highlight w:val="none"/>
              </w:rPr>
              <w:t>三档（15分）</w:t>
            </w:r>
          </w:p>
          <w:p>
            <w:pPr>
              <w:pStyle w:val="20"/>
              <w:rPr>
                <w:highlight w:val="none"/>
              </w:rPr>
            </w:pPr>
            <w:r>
              <w:rPr>
                <w:rFonts w:hint="eastAsia"/>
                <w:highlight w:val="none"/>
              </w:rPr>
              <w:t>方案系统全面、逻辑严谨、重点突出，精准把握项目建设背景、范围与核心难点；技术架构先进成熟，功能设计贴合业务特色，具备创新性与前瞻性；实施、质量管理方案科学详实，目标明确、方法得当、措施有力，能有效控制风险并保障进度与质量；实施流程清晰高效，内容简练无冗余；产品介绍图文并茂，方案不仅满足当前需求，更能引领未来扩展，履约保障体系完善，具有说服力。</w:t>
            </w:r>
          </w:p>
        </w:tc>
        <w:tc>
          <w:tcPr>
            <w:tcW w:w="2504" w:type="dxa"/>
            <w:vAlign w:val="center"/>
          </w:tcPr>
          <w:p>
            <w:pPr>
              <w:pStyle w:val="20"/>
              <w:rPr>
                <w:highlight w:val="none"/>
              </w:rPr>
            </w:pPr>
            <w:r>
              <w:rPr>
                <w:rFonts w:hint="eastAsia"/>
                <w:highlight w:val="none"/>
              </w:rPr>
              <w:t>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vAlign w:val="center"/>
          </w:tcPr>
          <w:p>
            <w:pPr>
              <w:pStyle w:val="20"/>
              <w:rPr>
                <w:highlight w:val="none"/>
              </w:rPr>
            </w:pPr>
            <w:r>
              <w:rPr>
                <w:rFonts w:hint="eastAsia"/>
                <w:highlight w:val="none"/>
              </w:rPr>
              <w:t>2</w:t>
            </w:r>
          </w:p>
        </w:tc>
        <w:tc>
          <w:tcPr>
            <w:tcW w:w="1876" w:type="dxa"/>
            <w:vAlign w:val="center"/>
          </w:tcPr>
          <w:p>
            <w:pPr>
              <w:pStyle w:val="20"/>
              <w:jc w:val="center"/>
              <w:rPr>
                <w:highlight w:val="none"/>
              </w:rPr>
            </w:pPr>
            <w:r>
              <w:rPr>
                <w:rFonts w:hint="eastAsia"/>
                <w:highlight w:val="none"/>
              </w:rPr>
              <w:t>售后服务方案（15分）</w:t>
            </w:r>
          </w:p>
        </w:tc>
        <w:tc>
          <w:tcPr>
            <w:tcW w:w="5115" w:type="dxa"/>
          </w:tcPr>
          <w:p>
            <w:pPr>
              <w:pStyle w:val="20"/>
              <w:rPr>
                <w:highlight w:val="none"/>
              </w:rPr>
            </w:pPr>
            <w:r>
              <w:rPr>
                <w:rFonts w:hint="eastAsia"/>
                <w:highlight w:val="none"/>
              </w:rPr>
              <w:t>供应商应提供完整、可执行、有保障的售后服务方案，涵盖服务响应机制、运维支持能力、技术保障手段、人员配置及应急处理等内容。评审将根据方案的完整性、响应效率、技术支撑水平及服务保障能力综合评定，分为以下三档：</w:t>
            </w:r>
            <w:r>
              <w:rPr>
                <w:rFonts w:hint="eastAsia"/>
                <w:highlight w:val="none"/>
              </w:rPr>
              <w:br w:type="textWrapping"/>
            </w:r>
            <w:r>
              <w:rPr>
                <w:rFonts w:hint="eastAsia"/>
                <w:highlight w:val="none"/>
              </w:rPr>
              <w:t>一档（5分）</w:t>
            </w:r>
          </w:p>
          <w:p>
            <w:pPr>
              <w:pStyle w:val="20"/>
              <w:rPr>
                <w:highlight w:val="none"/>
              </w:rPr>
            </w:pPr>
            <w:r>
              <w:rPr>
                <w:rFonts w:hint="eastAsia"/>
                <w:highlight w:val="none"/>
              </w:rPr>
              <w:t>方案基本覆盖售后服务内容，提供常规电话/邮件响应机制，承诺工作日响应，未明确非工作时间或节假日保障措施；无自动化运维工具或监控平台支撑，依赖人工处理；服务团队配置模糊，无专职运维人员或排班计划；应急处理流程较笼统，整体方案可执行性一般，难以保障系统持续稳定运行。</w:t>
            </w:r>
          </w:p>
          <w:p>
            <w:pPr>
              <w:pStyle w:val="20"/>
              <w:rPr>
                <w:highlight w:val="none"/>
              </w:rPr>
            </w:pPr>
          </w:p>
          <w:p>
            <w:pPr>
              <w:pStyle w:val="20"/>
              <w:rPr>
                <w:highlight w:val="none"/>
              </w:rPr>
            </w:pPr>
            <w:r>
              <w:rPr>
                <w:rFonts w:hint="eastAsia"/>
                <w:highlight w:val="none"/>
              </w:rPr>
              <w:t>二档（10分）</w:t>
            </w:r>
          </w:p>
          <w:p>
            <w:pPr>
              <w:pStyle w:val="20"/>
              <w:rPr>
                <w:highlight w:val="none"/>
              </w:rPr>
            </w:pPr>
            <w:r>
              <w:rPr>
                <w:rFonts w:hint="eastAsia"/>
                <w:highlight w:val="none"/>
              </w:rPr>
              <w:t>方案结构完整，明确提供7×24小时服务热线及响应机制，承诺故障24小时内响应、48小时内解决（或按事件等级分级响应），能实现部分系统独立告警，配置专职运维团队，包含较清晰的应急预案，服务流程较规范，能满足日常运维需求，具备一定主动服务能力。</w:t>
            </w:r>
          </w:p>
          <w:p>
            <w:pPr>
              <w:pStyle w:val="20"/>
              <w:rPr>
                <w:highlight w:val="none"/>
              </w:rPr>
            </w:pPr>
          </w:p>
          <w:p>
            <w:pPr>
              <w:pStyle w:val="20"/>
              <w:rPr>
                <w:highlight w:val="none"/>
              </w:rPr>
            </w:pPr>
            <w:r>
              <w:rPr>
                <w:rFonts w:hint="eastAsia"/>
                <w:highlight w:val="none"/>
              </w:rPr>
              <w:t>三档（15分）</w:t>
            </w:r>
          </w:p>
          <w:p>
            <w:pPr>
              <w:pStyle w:val="20"/>
              <w:rPr>
                <w:highlight w:val="none"/>
              </w:rPr>
            </w:pPr>
            <w:r>
              <w:rPr>
                <w:rFonts w:hint="eastAsia"/>
                <w:highlight w:val="none"/>
              </w:rPr>
              <w:t>方案系统全面、响应机制高效可靠，提供7×24小时全天候预警与应急响应，支持多维响应渠道。本项目系统接入自动化运维平台，支持故障自愈、性能预警、日志集中分析，配备专业运维可视化大屏，实时展示系统健康情况、资源负载、告警分布等核心指标；运维团队配置充足，设立省级服务团队；应急预案完备，定期演练，具备主动巡检、风险预判能力，整体方案体现智能化、可视化、体系化运维能力，保障能力充分，具有行业领先水平。</w:t>
            </w:r>
          </w:p>
        </w:tc>
        <w:tc>
          <w:tcPr>
            <w:tcW w:w="2504" w:type="dxa"/>
            <w:vAlign w:val="center"/>
          </w:tcPr>
          <w:p>
            <w:pPr>
              <w:pStyle w:val="20"/>
              <w:rPr>
                <w:highlight w:val="none"/>
              </w:rPr>
            </w:pPr>
            <w:r>
              <w:rPr>
                <w:rFonts w:hint="eastAsia"/>
                <w:highlight w:val="none"/>
              </w:rPr>
              <w:t>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Align w:val="center"/>
          </w:tcPr>
          <w:p>
            <w:pPr>
              <w:pStyle w:val="20"/>
              <w:rPr>
                <w:highlight w:val="none"/>
              </w:rPr>
            </w:pPr>
            <w:r>
              <w:rPr>
                <w:rFonts w:hint="eastAsia"/>
                <w:highlight w:val="none"/>
              </w:rPr>
              <w:t>3</w:t>
            </w:r>
          </w:p>
        </w:tc>
        <w:tc>
          <w:tcPr>
            <w:tcW w:w="1876" w:type="dxa"/>
            <w:vAlign w:val="center"/>
          </w:tcPr>
          <w:p>
            <w:pPr>
              <w:pStyle w:val="20"/>
              <w:rPr>
                <w:highlight w:val="none"/>
              </w:rPr>
            </w:pPr>
            <w:r>
              <w:rPr>
                <w:rFonts w:hint="eastAsia"/>
                <w:highlight w:val="none"/>
              </w:rPr>
              <w:t>系统性能情况（5分）</w:t>
            </w:r>
          </w:p>
        </w:tc>
        <w:tc>
          <w:tcPr>
            <w:tcW w:w="5115" w:type="dxa"/>
            <w:vAlign w:val="center"/>
          </w:tcPr>
          <w:p>
            <w:pPr>
              <w:pStyle w:val="20"/>
              <w:rPr>
                <w:highlight w:val="none"/>
              </w:rPr>
            </w:pPr>
            <w:r>
              <w:rPr>
                <w:rFonts w:hint="eastAsia"/>
                <w:highlight w:val="none"/>
              </w:rPr>
              <w:t>为保障医院电子病历书写效率，供应商或核心系统原厂商有CNAS或CMA认可的检验测试机构出具的“电子病历系统（EMR系统）”性能测试报告，性能测试报告至少能够证明300或以上并发量时的性能数据。</w:t>
            </w:r>
          </w:p>
          <w:p>
            <w:pPr>
              <w:pStyle w:val="20"/>
              <w:rPr>
                <w:highlight w:val="none"/>
              </w:rPr>
            </w:pPr>
            <w:r>
              <w:rPr>
                <w:rFonts w:hint="eastAsia"/>
                <w:highlight w:val="none"/>
              </w:rPr>
              <w:t>系统平均响应时间≤1秒，得5分；</w:t>
            </w:r>
          </w:p>
          <w:p>
            <w:pPr>
              <w:pStyle w:val="20"/>
              <w:rPr>
                <w:highlight w:val="none"/>
              </w:rPr>
            </w:pPr>
            <w:r>
              <w:rPr>
                <w:rFonts w:hint="eastAsia"/>
                <w:highlight w:val="none"/>
              </w:rPr>
              <w:t>1秒＜系统平均响应时间≤2秒，得3分；</w:t>
            </w:r>
          </w:p>
          <w:p>
            <w:pPr>
              <w:pStyle w:val="20"/>
              <w:rPr>
                <w:highlight w:val="none"/>
              </w:rPr>
            </w:pPr>
            <w:r>
              <w:rPr>
                <w:rFonts w:hint="eastAsia"/>
                <w:highlight w:val="none"/>
              </w:rPr>
              <w:t>2秒＜系统平均响应时间≤3秒，得1分；</w:t>
            </w:r>
          </w:p>
          <w:p>
            <w:pPr>
              <w:pStyle w:val="20"/>
              <w:rPr>
                <w:highlight w:val="none"/>
              </w:rPr>
            </w:pPr>
            <w:r>
              <w:rPr>
                <w:rFonts w:hint="eastAsia"/>
                <w:highlight w:val="none"/>
              </w:rPr>
              <w:t>系统平均响应时间＞3秒，不得分。</w:t>
            </w:r>
          </w:p>
        </w:tc>
        <w:tc>
          <w:tcPr>
            <w:tcW w:w="2504" w:type="dxa"/>
            <w:vAlign w:val="center"/>
          </w:tcPr>
          <w:p>
            <w:pPr>
              <w:pStyle w:val="20"/>
              <w:rPr>
                <w:highlight w:val="none"/>
              </w:rPr>
            </w:pPr>
            <w:r>
              <w:rPr>
                <w:rFonts w:hint="eastAsia"/>
                <w:highlight w:val="none"/>
              </w:rPr>
              <w:t>注：</w:t>
            </w:r>
          </w:p>
          <w:p>
            <w:pPr>
              <w:pStyle w:val="20"/>
              <w:rPr>
                <w:highlight w:val="none"/>
              </w:rPr>
            </w:pPr>
            <w:r>
              <w:rPr>
                <w:rFonts w:hint="eastAsia"/>
                <w:highlight w:val="none"/>
              </w:rPr>
              <w:t>1.投标文件中须提供有效证明复印件加盖公章，否则视为无效证明。</w:t>
            </w:r>
          </w:p>
          <w:p>
            <w:pPr>
              <w:pStyle w:val="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vAlign w:val="center"/>
          </w:tcPr>
          <w:p>
            <w:pPr>
              <w:pStyle w:val="20"/>
              <w:rPr>
                <w:highlight w:val="none"/>
              </w:rPr>
            </w:pPr>
            <w:r>
              <w:rPr>
                <w:rFonts w:hint="eastAsia"/>
                <w:highlight w:val="none"/>
              </w:rPr>
              <w:t>4</w:t>
            </w:r>
          </w:p>
        </w:tc>
        <w:tc>
          <w:tcPr>
            <w:tcW w:w="1876" w:type="dxa"/>
            <w:vAlign w:val="center"/>
          </w:tcPr>
          <w:p>
            <w:pPr>
              <w:pStyle w:val="20"/>
              <w:rPr>
                <w:highlight w:val="none"/>
              </w:rPr>
            </w:pPr>
            <w:r>
              <w:rPr>
                <w:rFonts w:hint="eastAsia"/>
                <w:highlight w:val="none"/>
              </w:rPr>
              <w:t>HIS系统功能演示（6分）</w:t>
            </w:r>
          </w:p>
        </w:tc>
        <w:tc>
          <w:tcPr>
            <w:tcW w:w="5115" w:type="dxa"/>
            <w:vAlign w:val="center"/>
          </w:tcPr>
          <w:p>
            <w:pPr>
              <w:pStyle w:val="20"/>
              <w:rPr>
                <w:highlight w:val="none"/>
              </w:rPr>
            </w:pPr>
            <w:r>
              <w:rPr>
                <w:rFonts w:hint="eastAsia"/>
                <w:highlight w:val="none"/>
              </w:rPr>
              <w:t>HIS系统作为医院最基础的业务系统，具有组件化配置能力，供应商或核心系统原厂商提供如下6个功能点证明：</w:t>
            </w:r>
          </w:p>
          <w:p>
            <w:pPr>
              <w:pStyle w:val="20"/>
              <w:numPr>
                <w:ilvl w:val="0"/>
                <w:numId w:val="9"/>
              </w:numPr>
              <w:rPr>
                <w:highlight w:val="none"/>
              </w:rPr>
            </w:pPr>
            <w:r>
              <w:rPr>
                <w:rFonts w:hint="eastAsia"/>
                <w:highlight w:val="none"/>
              </w:rPr>
              <w:t>单点登录功能，可以集成本项目系统，至少展示：医生站、护士站、配置管理的登录入口；</w:t>
            </w:r>
          </w:p>
          <w:p>
            <w:pPr>
              <w:pStyle w:val="20"/>
              <w:numPr>
                <w:ilvl w:val="0"/>
                <w:numId w:val="9"/>
              </w:numPr>
              <w:rPr>
                <w:highlight w:val="none"/>
              </w:rPr>
            </w:pPr>
            <w:r>
              <w:rPr>
                <w:rFonts w:hint="eastAsia"/>
                <w:highlight w:val="none"/>
              </w:rPr>
              <w:t>从单点登录进入配置管理，可设置供不同系统使用的公共组件，至少展示：患者信息建档组件、患者信息展示组件、检索组件、特殊就诊登记组件的界面；</w:t>
            </w:r>
          </w:p>
          <w:p>
            <w:pPr>
              <w:pStyle w:val="20"/>
              <w:numPr>
                <w:ilvl w:val="0"/>
                <w:numId w:val="9"/>
              </w:numPr>
              <w:rPr>
                <w:highlight w:val="none"/>
              </w:rPr>
            </w:pPr>
            <w:r>
              <w:rPr>
                <w:rFonts w:hint="eastAsia"/>
                <w:highlight w:val="none"/>
              </w:rPr>
              <w:t>每类组件都有专门的配置页面，支持组件自定义配置，展示：患者信息建档组件、患者信息展示组件、检索组件、特殊就诊登记组件自定义配置界面；</w:t>
            </w:r>
          </w:p>
          <w:p>
            <w:pPr>
              <w:pStyle w:val="20"/>
              <w:numPr>
                <w:ilvl w:val="0"/>
                <w:numId w:val="9"/>
              </w:numPr>
              <w:rPr>
                <w:highlight w:val="none"/>
              </w:rPr>
            </w:pPr>
            <w:r>
              <w:rPr>
                <w:rFonts w:hint="eastAsia"/>
                <w:highlight w:val="none"/>
              </w:rPr>
              <w:t>患者信息展示组件至少支持贫困等级、信息保密等级、实名等级等配置组件小项；</w:t>
            </w:r>
          </w:p>
          <w:p>
            <w:pPr>
              <w:pStyle w:val="20"/>
              <w:numPr>
                <w:ilvl w:val="0"/>
                <w:numId w:val="9"/>
              </w:numPr>
              <w:rPr>
                <w:highlight w:val="none"/>
              </w:rPr>
            </w:pPr>
            <w:r>
              <w:rPr>
                <w:rFonts w:hint="eastAsia"/>
                <w:highlight w:val="none"/>
              </w:rPr>
              <w:t>患者信息展示组件支持快速调整（如拖拽形式）组件小项排布顺序，以及添加组件小项；</w:t>
            </w:r>
          </w:p>
          <w:p>
            <w:pPr>
              <w:pStyle w:val="20"/>
              <w:numPr>
                <w:ilvl w:val="0"/>
                <w:numId w:val="9"/>
              </w:numPr>
              <w:rPr>
                <w:highlight w:val="none"/>
              </w:rPr>
            </w:pPr>
            <w:r>
              <w:rPr>
                <w:rFonts w:hint="eastAsia"/>
                <w:highlight w:val="none"/>
              </w:rPr>
              <w:t>调整后可保存组件配置，并自动生效。</w:t>
            </w:r>
          </w:p>
          <w:p>
            <w:pPr>
              <w:pStyle w:val="20"/>
              <w:rPr>
                <w:highlight w:val="none"/>
              </w:rPr>
            </w:pPr>
            <w:r>
              <w:rPr>
                <w:rFonts w:hint="eastAsia"/>
                <w:highlight w:val="none"/>
              </w:rPr>
              <w:t xml:space="preserve">按照说明要求，提供证明，每证明完整支持1个功能点，得1分，最高得6分。 </w:t>
            </w:r>
          </w:p>
        </w:tc>
        <w:tc>
          <w:tcPr>
            <w:tcW w:w="2504" w:type="dxa"/>
            <w:vAlign w:val="center"/>
          </w:tcPr>
          <w:p>
            <w:pPr>
              <w:pStyle w:val="20"/>
              <w:rPr>
                <w:highlight w:val="none"/>
              </w:rPr>
            </w:pPr>
            <w:r>
              <w:rPr>
                <w:rFonts w:hint="eastAsia"/>
                <w:highlight w:val="none"/>
              </w:rPr>
              <w:t>注：评审依据供应商或核心系统原厂商提供的系统原型演示或视频演示进行证明。</w:t>
            </w:r>
          </w:p>
          <w:p>
            <w:pPr>
              <w:pStyle w:val="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vAlign w:val="center"/>
          </w:tcPr>
          <w:p>
            <w:pPr>
              <w:pStyle w:val="20"/>
              <w:rPr>
                <w:highlight w:val="none"/>
              </w:rPr>
            </w:pPr>
            <w:r>
              <w:rPr>
                <w:rFonts w:hint="eastAsia"/>
                <w:highlight w:val="none"/>
              </w:rPr>
              <w:t>5</w:t>
            </w:r>
          </w:p>
        </w:tc>
        <w:tc>
          <w:tcPr>
            <w:tcW w:w="1876" w:type="dxa"/>
            <w:vAlign w:val="center"/>
          </w:tcPr>
          <w:p>
            <w:pPr>
              <w:pStyle w:val="20"/>
              <w:rPr>
                <w:highlight w:val="none"/>
              </w:rPr>
            </w:pPr>
            <w:r>
              <w:rPr>
                <w:rFonts w:hint="eastAsia"/>
                <w:highlight w:val="none"/>
              </w:rPr>
              <w:t>门诊医生功能演示（8分）</w:t>
            </w:r>
          </w:p>
        </w:tc>
        <w:tc>
          <w:tcPr>
            <w:tcW w:w="5115" w:type="dxa"/>
            <w:vAlign w:val="center"/>
          </w:tcPr>
          <w:p>
            <w:pPr>
              <w:pStyle w:val="20"/>
              <w:rPr>
                <w:highlight w:val="none"/>
              </w:rPr>
            </w:pPr>
            <w:r>
              <w:rPr>
                <w:rFonts w:hint="eastAsia"/>
                <w:highlight w:val="none"/>
              </w:rPr>
              <w:t>门诊医生工作站，具有功能集成、高效特性，供应商或核心系统原厂商提供如下4个功能点证明：</w:t>
            </w:r>
          </w:p>
          <w:p>
            <w:pPr>
              <w:pStyle w:val="20"/>
              <w:numPr>
                <w:ilvl w:val="0"/>
                <w:numId w:val="10"/>
              </w:numPr>
              <w:rPr>
                <w:highlight w:val="none"/>
              </w:rPr>
            </w:pPr>
            <w:r>
              <w:rPr>
                <w:rFonts w:hint="eastAsia"/>
                <w:highlight w:val="none"/>
              </w:rPr>
              <w:t>支持在同一页面集成主诉、诊断、检查、检验、药品、手术单开立及病历书写功能；</w:t>
            </w:r>
          </w:p>
          <w:p>
            <w:pPr>
              <w:pStyle w:val="20"/>
              <w:numPr>
                <w:ilvl w:val="0"/>
                <w:numId w:val="10"/>
              </w:numPr>
              <w:rPr>
                <w:highlight w:val="none"/>
              </w:rPr>
            </w:pPr>
            <w:r>
              <w:rPr>
                <w:rFonts w:hint="eastAsia"/>
                <w:highlight w:val="none"/>
              </w:rPr>
              <w:t>检查单、检验单、手术单开立，均与医嘱录入联动，在同一界面操作，根据业务填写组件自然调整界面，不以浮动弹框、页签切换形式呈现；</w:t>
            </w:r>
          </w:p>
          <w:p>
            <w:pPr>
              <w:pStyle w:val="20"/>
              <w:numPr>
                <w:ilvl w:val="0"/>
                <w:numId w:val="10"/>
              </w:numPr>
              <w:rPr>
                <w:highlight w:val="none"/>
              </w:rPr>
            </w:pPr>
            <w:r>
              <w:rPr>
                <w:rFonts w:hint="eastAsia"/>
                <w:highlight w:val="none"/>
              </w:rPr>
              <w:t>医生可以通过诊疗路径模式下达诊疗方案，选择方案后自动补全诊断，方案至少包括治疗、检验、检查等内容，可通过单选、多选、全选下达诊疗方案；</w:t>
            </w:r>
          </w:p>
          <w:p>
            <w:pPr>
              <w:pStyle w:val="20"/>
              <w:numPr>
                <w:ilvl w:val="0"/>
                <w:numId w:val="10"/>
              </w:numPr>
              <w:rPr>
                <w:highlight w:val="none"/>
              </w:rPr>
            </w:pPr>
            <w:r>
              <w:rPr>
                <w:rFonts w:hint="eastAsia"/>
                <w:highlight w:val="none"/>
              </w:rPr>
              <w:t>医生可在医嘱区域中录入的医嘱，快速添加（如拖拽形式）至诊疗路径的诊疗方案。</w:t>
            </w:r>
          </w:p>
          <w:p>
            <w:pPr>
              <w:pStyle w:val="20"/>
              <w:rPr>
                <w:highlight w:val="none"/>
              </w:rPr>
            </w:pPr>
            <w:r>
              <w:rPr>
                <w:rFonts w:hint="eastAsia"/>
                <w:highlight w:val="none"/>
              </w:rPr>
              <w:t xml:space="preserve">按照说明要求，提供证明，每证明完整支持1个功能点，得2分，最高得8分。 </w:t>
            </w:r>
          </w:p>
        </w:tc>
        <w:tc>
          <w:tcPr>
            <w:tcW w:w="2504" w:type="dxa"/>
            <w:vAlign w:val="center"/>
          </w:tcPr>
          <w:p>
            <w:pPr>
              <w:pStyle w:val="20"/>
              <w:rPr>
                <w:highlight w:val="none"/>
              </w:rPr>
            </w:pPr>
            <w:r>
              <w:rPr>
                <w:rFonts w:hint="eastAsia"/>
                <w:highlight w:val="none"/>
              </w:rPr>
              <w:t>注：评审依据供应商或核心系统原厂商提供的系统原型演示或视频演示进行证明。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vAlign w:val="center"/>
          </w:tcPr>
          <w:p>
            <w:pPr>
              <w:pStyle w:val="20"/>
              <w:rPr>
                <w:highlight w:val="none"/>
              </w:rPr>
            </w:pPr>
            <w:r>
              <w:rPr>
                <w:rFonts w:hint="eastAsia"/>
                <w:highlight w:val="none"/>
              </w:rPr>
              <w:t>6</w:t>
            </w:r>
          </w:p>
        </w:tc>
        <w:tc>
          <w:tcPr>
            <w:tcW w:w="1876" w:type="dxa"/>
            <w:vAlign w:val="center"/>
          </w:tcPr>
          <w:p>
            <w:pPr>
              <w:pStyle w:val="20"/>
              <w:rPr>
                <w:highlight w:val="none"/>
              </w:rPr>
            </w:pPr>
            <w:r>
              <w:rPr>
                <w:rFonts w:hint="eastAsia"/>
                <w:highlight w:val="none"/>
              </w:rPr>
              <w:t>实时系统监控演示（6分）</w:t>
            </w:r>
          </w:p>
        </w:tc>
        <w:tc>
          <w:tcPr>
            <w:tcW w:w="5115" w:type="dxa"/>
            <w:vAlign w:val="center"/>
          </w:tcPr>
          <w:p>
            <w:pPr>
              <w:pStyle w:val="20"/>
              <w:rPr>
                <w:highlight w:val="none"/>
              </w:rPr>
            </w:pPr>
            <w:r>
              <w:rPr>
                <w:rFonts w:hint="eastAsia"/>
                <w:highlight w:val="none"/>
              </w:rPr>
              <w:t>核心系统架构支持实时监控，，供应商或核心系统原厂商提供如下6个功能点证明：</w:t>
            </w:r>
          </w:p>
          <w:p>
            <w:pPr>
              <w:pStyle w:val="20"/>
              <w:numPr>
                <w:ilvl w:val="0"/>
                <w:numId w:val="11"/>
              </w:numPr>
              <w:rPr>
                <w:highlight w:val="none"/>
              </w:rPr>
            </w:pPr>
            <w:r>
              <w:rPr>
                <w:rFonts w:hint="eastAsia"/>
                <w:highlight w:val="none"/>
              </w:rPr>
              <w:t>支持在首页集成展示预警统计、API连接情况、微服务预警情况、部署系统列表、内存及硬盘高使用率情况；</w:t>
            </w:r>
          </w:p>
          <w:p>
            <w:pPr>
              <w:pStyle w:val="20"/>
              <w:numPr>
                <w:ilvl w:val="0"/>
                <w:numId w:val="11"/>
              </w:numPr>
              <w:rPr>
                <w:highlight w:val="none"/>
              </w:rPr>
            </w:pPr>
            <w:r>
              <w:rPr>
                <w:rFonts w:hint="eastAsia"/>
                <w:highlight w:val="none"/>
              </w:rPr>
              <w:t>通过首页预警情况统计，可以快速进入故障定位功能，展示主机、微服务、数据库、中间件、网络运行情况展示；</w:t>
            </w:r>
          </w:p>
          <w:p>
            <w:pPr>
              <w:pStyle w:val="20"/>
              <w:numPr>
                <w:ilvl w:val="0"/>
                <w:numId w:val="11"/>
              </w:numPr>
              <w:rPr>
                <w:highlight w:val="none"/>
              </w:rPr>
            </w:pPr>
            <w:r>
              <w:rPr>
                <w:rFonts w:hint="eastAsia"/>
                <w:highlight w:val="none"/>
              </w:rPr>
              <w:t>支持快速点击下钻到微服务节点，查看运行参数，至少包括运行线程数、死锁线程数、阻塞线程数、等待线程数；</w:t>
            </w:r>
          </w:p>
          <w:p>
            <w:pPr>
              <w:pStyle w:val="20"/>
              <w:numPr>
                <w:ilvl w:val="0"/>
                <w:numId w:val="11"/>
              </w:numPr>
              <w:rPr>
                <w:highlight w:val="none"/>
              </w:rPr>
            </w:pPr>
            <w:r>
              <w:rPr>
                <w:rFonts w:hint="eastAsia"/>
                <w:highlight w:val="none"/>
              </w:rPr>
              <w:t>通过首页预警情况统计，可以快速进入预警平台，平台提供动态预警大屏、消息配置管理、预警明细；</w:t>
            </w:r>
          </w:p>
          <w:p>
            <w:pPr>
              <w:pStyle w:val="20"/>
              <w:numPr>
                <w:ilvl w:val="0"/>
                <w:numId w:val="11"/>
              </w:numPr>
              <w:rPr>
                <w:highlight w:val="none"/>
              </w:rPr>
            </w:pPr>
            <w:r>
              <w:rPr>
                <w:rFonts w:hint="eastAsia"/>
                <w:highlight w:val="none"/>
              </w:rPr>
              <w:t>消息配置管理，可对不同类型的预警消息类型，配置不同的接收者；</w:t>
            </w:r>
          </w:p>
          <w:p>
            <w:pPr>
              <w:pStyle w:val="20"/>
              <w:numPr>
                <w:ilvl w:val="0"/>
                <w:numId w:val="11"/>
              </w:numPr>
              <w:rPr>
                <w:highlight w:val="none"/>
              </w:rPr>
            </w:pPr>
            <w:r>
              <w:rPr>
                <w:rFonts w:hint="eastAsia"/>
                <w:highlight w:val="none"/>
              </w:rPr>
              <w:t>消息接收者，支持配置不同渠道，包括但不限于短信、邮件、钉钉。</w:t>
            </w:r>
          </w:p>
          <w:p>
            <w:pPr>
              <w:pStyle w:val="20"/>
              <w:rPr>
                <w:highlight w:val="none"/>
              </w:rPr>
            </w:pPr>
            <w:r>
              <w:rPr>
                <w:rFonts w:hint="eastAsia"/>
                <w:highlight w:val="none"/>
              </w:rPr>
              <w:t xml:space="preserve">按照说明要求，提供证明，每证明完整支持1个功能点，得1分，最高得6分。 </w:t>
            </w:r>
          </w:p>
        </w:tc>
        <w:tc>
          <w:tcPr>
            <w:tcW w:w="2504" w:type="dxa"/>
            <w:vAlign w:val="center"/>
          </w:tcPr>
          <w:p>
            <w:pPr>
              <w:pStyle w:val="20"/>
              <w:rPr>
                <w:highlight w:val="none"/>
              </w:rPr>
            </w:pPr>
            <w:r>
              <w:rPr>
                <w:rFonts w:hint="eastAsia"/>
                <w:highlight w:val="none"/>
              </w:rPr>
              <w:t>注：评审依据供应商或核心系统原厂商提供的系统原型演示或视频演示进行证明。</w:t>
            </w:r>
          </w:p>
          <w:p>
            <w:pPr>
              <w:pStyle w:val="20"/>
              <w:rPr>
                <w:highlight w:val="none"/>
              </w:rPr>
            </w:pPr>
          </w:p>
        </w:tc>
      </w:tr>
    </w:tbl>
    <w:p>
      <w:pPr>
        <w:spacing w:before="120" w:line="360" w:lineRule="auto"/>
        <w:outlineLvl w:val="1"/>
        <w:rPr>
          <w:rFonts w:ascii="Arial" w:hAnsi="Arial" w:cs="Arial"/>
          <w:bCs/>
          <w:highlight w:val="none"/>
        </w:rPr>
      </w:pPr>
      <w:r>
        <w:rPr>
          <w:rFonts w:hint="eastAsia" w:ascii="Arial" w:hAnsi="Arial" w:cs="Arial"/>
          <w:szCs w:val="21"/>
          <w:highlight w:val="none"/>
        </w:rPr>
        <w:t>注：第4项至第6项</w:t>
      </w:r>
      <w:r>
        <w:rPr>
          <w:rFonts w:ascii="Arial" w:hAnsi="Arial" w:cs="Arial"/>
          <w:bCs/>
          <w:highlight w:val="none"/>
        </w:rPr>
        <w:t>系统演示将在</w:t>
      </w:r>
      <w:r>
        <w:rPr>
          <w:rFonts w:hint="eastAsia" w:ascii="Arial" w:hAnsi="Arial" w:cs="Arial"/>
          <w:bCs/>
          <w:highlight w:val="none"/>
        </w:rPr>
        <w:t>评标委员会</w:t>
      </w:r>
      <w:r>
        <w:rPr>
          <w:rFonts w:ascii="Arial" w:hAnsi="Arial" w:cs="Arial"/>
          <w:bCs/>
          <w:highlight w:val="none"/>
        </w:rPr>
        <w:t>组长组织下进行，供应商演示顺序按</w:t>
      </w:r>
      <w:r>
        <w:rPr>
          <w:rFonts w:hint="eastAsia" w:ascii="Arial" w:hAnsi="Arial" w:cs="Arial"/>
          <w:bCs/>
          <w:highlight w:val="none"/>
        </w:rPr>
        <w:t>投标</w:t>
      </w:r>
      <w:r>
        <w:rPr>
          <w:rFonts w:ascii="Arial" w:hAnsi="Arial" w:cs="Arial"/>
          <w:bCs/>
          <w:highlight w:val="none"/>
        </w:rPr>
        <w:t>文件递送的顺序进行，当</w:t>
      </w:r>
      <w:r>
        <w:rPr>
          <w:rFonts w:hint="eastAsia" w:ascii="Arial" w:hAnsi="Arial" w:cs="Arial"/>
          <w:bCs/>
          <w:highlight w:val="none"/>
        </w:rPr>
        <w:t>评标委员会</w:t>
      </w:r>
      <w:r>
        <w:rPr>
          <w:rFonts w:ascii="Arial" w:hAnsi="Arial" w:cs="Arial"/>
          <w:bCs/>
          <w:highlight w:val="none"/>
        </w:rPr>
        <w:t>组长下达演示通知后，供应商代表必须在5分钟内响应。当</w:t>
      </w:r>
      <w:r>
        <w:rPr>
          <w:rFonts w:hint="eastAsia" w:ascii="Arial" w:hAnsi="Arial" w:cs="Arial"/>
          <w:bCs/>
          <w:highlight w:val="none"/>
        </w:rPr>
        <w:t>评标委员会</w:t>
      </w:r>
      <w:r>
        <w:rPr>
          <w:rFonts w:ascii="Arial" w:hAnsi="Arial" w:cs="Arial"/>
          <w:bCs/>
          <w:highlight w:val="none"/>
        </w:rPr>
        <w:t>组长组长下达演示开始时，开始计时，供应商须在</w:t>
      </w:r>
      <w:r>
        <w:rPr>
          <w:rFonts w:hint="eastAsia" w:ascii="Arial" w:hAnsi="Arial" w:cs="Arial"/>
          <w:bCs/>
          <w:highlight w:val="none"/>
        </w:rPr>
        <w:t>3</w:t>
      </w:r>
      <w:r>
        <w:rPr>
          <w:rFonts w:ascii="Arial" w:hAnsi="Arial" w:cs="Arial"/>
          <w:bCs/>
          <w:highlight w:val="none"/>
        </w:rPr>
        <w:t>0分钟内完成演示工作。供应商逾期响应将视为弃权。</w:t>
      </w:r>
    </w:p>
    <w:p>
      <w:pPr>
        <w:spacing w:before="120" w:line="360" w:lineRule="auto"/>
        <w:outlineLvl w:val="1"/>
        <w:rPr>
          <w:rFonts w:ascii="Arial" w:hAnsi="Arial" w:cs="Arial"/>
          <w:szCs w:val="21"/>
          <w:highlight w:val="none"/>
        </w:rPr>
      </w:pPr>
      <w:r>
        <w:rPr>
          <w:rFonts w:ascii="Arial" w:hAnsi="Arial" w:cs="Arial"/>
          <w:szCs w:val="21"/>
          <w:highlight w:val="none"/>
          <w:lang w:val="zh-CN"/>
        </w:rPr>
        <w:t>3、投标</w:t>
      </w:r>
      <w:r>
        <w:rPr>
          <w:rFonts w:ascii="Arial" w:hAnsi="Arial" w:cs="Arial"/>
          <w:szCs w:val="21"/>
          <w:highlight w:val="none"/>
        </w:rPr>
        <w:t>报价</w:t>
      </w:r>
      <w:r>
        <w:rPr>
          <w:rFonts w:hint="eastAsia" w:ascii="Arial" w:hAnsi="Arial" w:cs="Arial"/>
          <w:szCs w:val="21"/>
          <w:highlight w:val="none"/>
        </w:rPr>
        <w:t>（10分）</w:t>
      </w:r>
    </w:p>
    <w:tbl>
      <w:tblPr>
        <w:tblStyle w:val="5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815"/>
        <w:gridCol w:w="498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462" w:type="dxa"/>
            <w:vAlign w:val="center"/>
          </w:tcPr>
          <w:p>
            <w:pPr>
              <w:spacing w:line="360" w:lineRule="auto"/>
              <w:jc w:val="center"/>
              <w:rPr>
                <w:rFonts w:ascii="Arial" w:hAnsi="Arial" w:cs="Arial"/>
                <w:b/>
                <w:szCs w:val="21"/>
                <w:highlight w:val="none"/>
              </w:rPr>
            </w:pPr>
            <w:r>
              <w:rPr>
                <w:rFonts w:ascii="Arial" w:hAnsi="Arial" w:cs="Arial"/>
                <w:b/>
                <w:szCs w:val="21"/>
                <w:highlight w:val="none"/>
              </w:rPr>
              <w:t>序号</w:t>
            </w:r>
          </w:p>
        </w:tc>
        <w:tc>
          <w:tcPr>
            <w:tcW w:w="1815" w:type="dxa"/>
            <w:vAlign w:val="center"/>
          </w:tcPr>
          <w:p>
            <w:pPr>
              <w:spacing w:line="360" w:lineRule="auto"/>
              <w:jc w:val="center"/>
              <w:rPr>
                <w:rFonts w:ascii="Arial" w:hAnsi="Arial" w:cs="Arial"/>
                <w:b/>
                <w:szCs w:val="21"/>
                <w:highlight w:val="none"/>
              </w:rPr>
            </w:pPr>
            <w:r>
              <w:rPr>
                <w:rFonts w:ascii="Arial" w:hAnsi="Arial" w:cs="Arial"/>
                <w:b/>
                <w:szCs w:val="21"/>
                <w:highlight w:val="none"/>
              </w:rPr>
              <w:t>评标因素及分值</w:t>
            </w:r>
          </w:p>
        </w:tc>
        <w:tc>
          <w:tcPr>
            <w:tcW w:w="4989" w:type="dxa"/>
            <w:vAlign w:val="center"/>
          </w:tcPr>
          <w:p>
            <w:pPr>
              <w:spacing w:line="360" w:lineRule="auto"/>
              <w:jc w:val="center"/>
              <w:rPr>
                <w:rFonts w:ascii="Arial" w:hAnsi="Arial" w:cs="Arial"/>
                <w:b/>
                <w:szCs w:val="21"/>
                <w:highlight w:val="none"/>
              </w:rPr>
            </w:pPr>
            <w:r>
              <w:rPr>
                <w:rFonts w:ascii="Arial" w:hAnsi="Arial" w:cs="Arial"/>
                <w:b/>
                <w:szCs w:val="21"/>
                <w:highlight w:val="none"/>
              </w:rPr>
              <w:t>评标标准</w:t>
            </w:r>
          </w:p>
        </w:tc>
        <w:tc>
          <w:tcPr>
            <w:tcW w:w="2412" w:type="dxa"/>
            <w:vAlign w:val="center"/>
          </w:tcPr>
          <w:p>
            <w:pPr>
              <w:spacing w:line="360" w:lineRule="auto"/>
              <w:jc w:val="center"/>
              <w:rPr>
                <w:rFonts w:ascii="Arial" w:hAnsi="Arial" w:cs="Arial"/>
                <w:b/>
                <w:szCs w:val="21"/>
                <w:highlight w:val="none"/>
              </w:rPr>
            </w:pPr>
            <w:r>
              <w:rPr>
                <w:rFonts w:ascii="Arial" w:hAnsi="Arial" w:cs="Arial"/>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462" w:type="dxa"/>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1815" w:type="dxa"/>
            <w:vAlign w:val="center"/>
          </w:tcPr>
          <w:p>
            <w:pPr>
              <w:spacing w:line="360" w:lineRule="auto"/>
              <w:jc w:val="center"/>
              <w:rPr>
                <w:rFonts w:ascii="Arial" w:hAnsi="Arial" w:cs="Arial"/>
                <w:szCs w:val="21"/>
                <w:highlight w:val="none"/>
              </w:rPr>
            </w:pPr>
            <w:r>
              <w:rPr>
                <w:rFonts w:ascii="Arial" w:hAnsi="Arial" w:cs="Arial"/>
                <w:szCs w:val="21"/>
                <w:highlight w:val="none"/>
              </w:rPr>
              <w:t>投标报价</w:t>
            </w:r>
          </w:p>
          <w:p>
            <w:pPr>
              <w:spacing w:line="360" w:lineRule="auto"/>
              <w:jc w:val="center"/>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10</w:t>
            </w:r>
            <w:r>
              <w:rPr>
                <w:rFonts w:ascii="Arial" w:hAnsi="Arial" w:cs="Arial"/>
                <w:szCs w:val="21"/>
                <w:highlight w:val="none"/>
              </w:rPr>
              <w:t>分）</w:t>
            </w:r>
          </w:p>
          <w:p>
            <w:pPr>
              <w:spacing w:line="360" w:lineRule="auto"/>
              <w:jc w:val="center"/>
              <w:rPr>
                <w:rFonts w:ascii="Arial" w:hAnsi="Arial" w:cs="Arial"/>
                <w:szCs w:val="21"/>
                <w:highlight w:val="none"/>
              </w:rPr>
            </w:pPr>
          </w:p>
        </w:tc>
        <w:tc>
          <w:tcPr>
            <w:tcW w:w="4989" w:type="dxa"/>
            <w:vAlign w:val="center"/>
          </w:tcPr>
          <w:p>
            <w:pPr>
              <w:spacing w:line="360" w:lineRule="auto"/>
              <w:rPr>
                <w:rFonts w:ascii="Arial" w:hAnsi="Arial" w:cs="Arial"/>
                <w:szCs w:val="21"/>
                <w:highlight w:val="none"/>
              </w:rPr>
            </w:pPr>
            <w:r>
              <w:rPr>
                <w:rFonts w:ascii="Arial" w:hAnsi="Arial" w:cs="Arial"/>
                <w:szCs w:val="21"/>
                <w:highlight w:val="none"/>
              </w:rPr>
              <w:t>以满足招标文件要求且投标价格最低的投标报价为评标基准价，其价格分为满分。其他供应商的价格分统一按照下列公式计算：投标报价得分=（评标基准价/投标报价）×投标报价分满分分值。</w:t>
            </w:r>
          </w:p>
        </w:tc>
        <w:tc>
          <w:tcPr>
            <w:tcW w:w="2412" w:type="dxa"/>
            <w:vAlign w:val="center"/>
          </w:tcPr>
          <w:p>
            <w:pPr>
              <w:spacing w:line="360" w:lineRule="auto"/>
              <w:rPr>
                <w:rFonts w:ascii="Arial" w:hAnsi="Arial" w:cs="Arial"/>
                <w:szCs w:val="21"/>
                <w:highlight w:val="none"/>
              </w:rPr>
            </w:pPr>
            <w:r>
              <w:rPr>
                <w:rFonts w:ascii="Arial" w:hAnsi="Arial" w:cs="Arial"/>
                <w:szCs w:val="21"/>
                <w:highlight w:val="none"/>
              </w:rPr>
              <w:t>投标报价计算时均为供应商的实际投标报价进行政策性扣除后的价格，最终中标金额＝投标报价。</w:t>
            </w:r>
            <w:r>
              <w:rPr>
                <w:rFonts w:ascii="Arial" w:hAnsi="Arial" w:cs="Arial"/>
                <w:bCs/>
                <w:szCs w:val="21"/>
                <w:highlight w:val="none"/>
              </w:rPr>
              <w:t>政策性扣除计算方法见后。</w:t>
            </w:r>
          </w:p>
        </w:tc>
      </w:tr>
    </w:tbl>
    <w:p>
      <w:pPr>
        <w:spacing w:before="120" w:line="360" w:lineRule="auto"/>
        <w:outlineLvl w:val="1"/>
        <w:rPr>
          <w:rFonts w:ascii="Arial" w:hAnsi="Arial" w:cs="Arial"/>
          <w:szCs w:val="21"/>
          <w:highlight w:val="none"/>
        </w:rPr>
      </w:pPr>
      <w:r>
        <w:rPr>
          <w:rFonts w:hint="eastAsia" w:ascii="Arial" w:hAnsi="Arial" w:cs="Arial"/>
          <w:szCs w:val="21"/>
          <w:highlight w:val="none"/>
          <w:lang w:val="zh-CN"/>
        </w:rPr>
        <w:t>4</w:t>
      </w:r>
      <w:r>
        <w:rPr>
          <w:rFonts w:ascii="Arial" w:hAnsi="Arial" w:cs="Arial"/>
          <w:szCs w:val="21"/>
          <w:highlight w:val="none"/>
          <w:lang w:val="zh-CN"/>
        </w:rPr>
        <w:t>、综</w:t>
      </w:r>
      <w:r>
        <w:rPr>
          <w:rFonts w:ascii="Arial" w:hAnsi="Arial" w:cs="Arial"/>
          <w:szCs w:val="21"/>
          <w:highlight w:val="none"/>
        </w:rPr>
        <w:t>合得分</w:t>
      </w:r>
      <w:r>
        <w:rPr>
          <w:rFonts w:hint="eastAsia" w:ascii="Arial" w:hAnsi="Arial" w:cs="Arial"/>
          <w:szCs w:val="21"/>
          <w:highlight w:val="none"/>
        </w:rPr>
        <w:t>（100分）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szCs w:val="21"/>
                <w:highlight w:val="none"/>
              </w:rPr>
            </w:pPr>
            <w:r>
              <w:rPr>
                <w:rFonts w:ascii="Arial" w:hAnsi="Arial" w:cs="Arial"/>
                <w:szCs w:val="21"/>
                <w:highlight w:val="none"/>
              </w:rPr>
              <w:t>综合得分</w:t>
            </w:r>
          </w:p>
        </w:tc>
        <w:tc>
          <w:tcPr>
            <w:tcW w:w="7735" w:type="dxa"/>
            <w:tcBorders>
              <w:top w:val="single" w:color="auto" w:sz="4" w:space="0"/>
              <w:left w:val="single" w:color="auto" w:sz="4" w:space="0"/>
              <w:bottom w:val="single" w:color="auto" w:sz="4" w:space="0"/>
            </w:tcBorders>
            <w:vAlign w:val="center"/>
          </w:tcPr>
          <w:p>
            <w:pPr>
              <w:spacing w:line="360" w:lineRule="auto"/>
              <w:rPr>
                <w:rFonts w:ascii="Arial" w:hAnsi="Arial" w:cs="Arial"/>
                <w:szCs w:val="21"/>
                <w:highlight w:val="none"/>
              </w:rPr>
            </w:pPr>
            <w:r>
              <w:rPr>
                <w:rFonts w:ascii="Arial" w:hAnsi="Arial" w:cs="Arial"/>
                <w:szCs w:val="21"/>
                <w:highlight w:val="none"/>
              </w:rPr>
              <w:t>=1+2+3 （各项评分分值计算保留小数点后两位，小数点后第三位“四舍五入”）</w:t>
            </w:r>
          </w:p>
        </w:tc>
      </w:tr>
    </w:tbl>
    <w:p>
      <w:pPr>
        <w:spacing w:line="360" w:lineRule="auto"/>
        <w:rPr>
          <w:rFonts w:ascii="Arial" w:hAnsi="Arial" w:cs="Arial"/>
          <w:bCs/>
          <w:kern w:val="0"/>
          <w:szCs w:val="21"/>
          <w:highlight w:val="none"/>
        </w:rPr>
      </w:pPr>
    </w:p>
    <w:bookmarkEnd w:id="164"/>
    <w:bookmarkEnd w:id="165"/>
    <w:p>
      <w:pPr>
        <w:spacing w:before="120" w:line="360" w:lineRule="auto"/>
        <w:outlineLvl w:val="1"/>
        <w:rPr>
          <w:rFonts w:ascii="Arial" w:hAnsi="Arial" w:cs="Arial"/>
          <w:bCs/>
          <w:kern w:val="0"/>
          <w:szCs w:val="21"/>
          <w:highlight w:val="none"/>
        </w:rPr>
      </w:pPr>
      <w:r>
        <w:rPr>
          <w:rFonts w:ascii="Arial" w:hAnsi="Arial" w:cs="Arial"/>
          <w:bCs/>
          <w:kern w:val="0"/>
          <w:szCs w:val="21"/>
          <w:highlight w:val="none"/>
        </w:rPr>
        <w:br w:type="page"/>
      </w:r>
      <w:r>
        <w:rPr>
          <w:rFonts w:ascii="Arial" w:hAnsi="Arial" w:cs="Arial"/>
          <w:bCs/>
          <w:kern w:val="0"/>
          <w:szCs w:val="21"/>
          <w:highlight w:val="none"/>
        </w:rPr>
        <w:t>（二）政府采购政策应用说明</w:t>
      </w:r>
    </w:p>
    <w:p>
      <w:pPr>
        <w:spacing w:before="120" w:line="360" w:lineRule="auto"/>
        <w:ind w:firstLine="422" w:firstLineChars="200"/>
        <w:rPr>
          <w:rFonts w:ascii="Arial" w:hAnsi="Arial" w:cs="Arial"/>
          <w:b/>
          <w:bCs/>
          <w:kern w:val="0"/>
          <w:szCs w:val="21"/>
          <w:highlight w:val="none"/>
        </w:rPr>
      </w:pPr>
      <w:r>
        <w:rPr>
          <w:rFonts w:ascii="Arial" w:hAnsi="Arial" w:cs="Arial"/>
          <w:b/>
          <w:bCs/>
          <w:kern w:val="0"/>
          <w:szCs w:val="21"/>
          <w:highlight w:val="none"/>
        </w:rPr>
        <w:t>1、政策性加分说明</w:t>
      </w:r>
    </w:p>
    <w:p>
      <w:pPr>
        <w:spacing w:before="120" w:line="360" w:lineRule="auto"/>
        <w:ind w:firstLine="420" w:firstLineChars="200"/>
        <w:rPr>
          <w:rFonts w:ascii="Arial" w:hAnsi="Arial" w:cs="Arial"/>
          <w:szCs w:val="21"/>
          <w:highlight w:val="none"/>
        </w:rPr>
      </w:pPr>
      <w:r>
        <w:rPr>
          <w:rFonts w:ascii="Arial" w:hAnsi="Arial" w:cs="Arial"/>
          <w:bCs/>
          <w:szCs w:val="21"/>
          <w:highlight w:val="none"/>
        </w:rPr>
        <w:t>（1）</w:t>
      </w:r>
      <w:r>
        <w:rPr>
          <w:rFonts w:ascii="Arial" w:hAnsi="Arial" w:cs="Arial"/>
          <w:szCs w:val="21"/>
          <w:highlight w:val="none"/>
        </w:rPr>
        <w:t>节能产品、环境标志产品</w:t>
      </w:r>
    </w:p>
    <w:p>
      <w:pPr>
        <w:spacing w:before="120" w:line="360" w:lineRule="auto"/>
        <w:ind w:firstLine="420" w:firstLineChars="200"/>
        <w:rPr>
          <w:rFonts w:ascii="Arial" w:hAnsi="Arial" w:cs="Arial"/>
          <w:bCs/>
          <w:szCs w:val="21"/>
          <w:highlight w:val="none"/>
        </w:rPr>
      </w:pPr>
      <w:r>
        <w:rPr>
          <w:rFonts w:ascii="Arial" w:hAnsi="Arial" w:cs="Arial"/>
          <w:bCs/>
          <w:szCs w:val="21"/>
          <w:highlight w:val="none"/>
        </w:rPr>
        <w:t>节能、环境标志产品以</w:t>
      </w:r>
      <w:r>
        <w:rPr>
          <w:rFonts w:ascii="Arial" w:hAnsi="Arial" w:cs="Arial"/>
          <w:highlight w:val="none"/>
        </w:rPr>
        <w:t>国家财政部等部门</w:t>
      </w:r>
      <w:r>
        <w:rPr>
          <w:rFonts w:ascii="Arial" w:hAnsi="Arial" w:cs="Arial"/>
          <w:bCs/>
          <w:szCs w:val="21"/>
          <w:highlight w:val="none"/>
        </w:rPr>
        <w:t>颁布的</w:t>
      </w:r>
      <w:r>
        <w:rPr>
          <w:rFonts w:ascii="Arial" w:hAnsi="Arial" w:cs="Arial"/>
          <w:highlight w:val="none"/>
        </w:rPr>
        <w:t>节能产品政府采购品目清单和环境标志产品政府采购品目清单为准</w:t>
      </w:r>
      <w:r>
        <w:rPr>
          <w:rFonts w:ascii="Arial" w:hAnsi="Arial" w:cs="Arial"/>
          <w:bCs/>
          <w:szCs w:val="21"/>
          <w:highlight w:val="none"/>
        </w:rPr>
        <w:t>，</w:t>
      </w:r>
      <w:r>
        <w:rPr>
          <w:rFonts w:ascii="Arial" w:hAnsi="Arial" w:cs="Arial"/>
          <w:szCs w:val="21"/>
          <w:highlight w:val="none"/>
        </w:rPr>
        <w:t>采购人或采购代理机构通过中国政府采购网“节能产品查询”及“环境标志产品查询”进行。</w:t>
      </w:r>
    </w:p>
    <w:p>
      <w:pPr>
        <w:spacing w:before="120" w:line="360" w:lineRule="auto"/>
        <w:ind w:firstLine="420" w:firstLineChars="200"/>
        <w:rPr>
          <w:rFonts w:ascii="Arial" w:hAnsi="Arial" w:cs="Arial"/>
          <w:bCs/>
          <w:szCs w:val="21"/>
          <w:highlight w:val="none"/>
        </w:rPr>
      </w:pPr>
      <w:r>
        <w:rPr>
          <w:rFonts w:ascii="Arial" w:hAnsi="Arial" w:cs="Arial"/>
          <w:bCs/>
          <w:szCs w:val="21"/>
          <w:highlight w:val="none"/>
        </w:rPr>
        <w:t>（2）广西工业产品</w:t>
      </w:r>
    </w:p>
    <w:p>
      <w:pPr>
        <w:spacing w:before="120" w:line="360" w:lineRule="auto"/>
        <w:ind w:firstLine="420" w:firstLineChars="200"/>
        <w:rPr>
          <w:rFonts w:ascii="Arial" w:hAnsi="Arial" w:cs="Arial"/>
          <w:szCs w:val="21"/>
          <w:highlight w:val="none"/>
        </w:rPr>
      </w:pPr>
      <w:r>
        <w:rPr>
          <w:rFonts w:ascii="Arial" w:hAnsi="Arial" w:cs="Arial"/>
          <w:szCs w:val="21"/>
          <w:highlight w:val="none"/>
        </w:rPr>
        <w:t>广西工业产品，是指在广西境内生产的工业产品，具体以生产企业的工商营业执照注册所在地为准。使用广西工业产品80%以上，是指参加政府采购项目时供货范围中采用广西工业产品的金额占本次投标总金额的80%以上(含)；或者工程建设使用广西工业产品占工程建设所需产品总金额的80%以上(含)。供应商须提供生产企业营业执照复印件、《广西工业产品声明函》原件以及供应商认为需提供的其他证明材料。使用广西工业产品比例小于80%的及未按要求提供证明材料的不得分。</w:t>
      </w:r>
    </w:p>
    <w:p>
      <w:pPr>
        <w:spacing w:before="120" w:line="360" w:lineRule="auto"/>
        <w:ind w:firstLine="420" w:firstLineChars="200"/>
        <w:rPr>
          <w:rFonts w:ascii="Arial" w:hAnsi="Arial" w:cs="Arial"/>
          <w:szCs w:val="21"/>
          <w:highlight w:val="none"/>
        </w:rPr>
      </w:pPr>
      <w:r>
        <w:rPr>
          <w:rFonts w:ascii="Arial" w:hAnsi="Arial" w:cs="Arial"/>
          <w:szCs w:val="21"/>
          <w:highlight w:val="none"/>
        </w:rPr>
        <w:t>供应商在参加采购活动中应诚实守信，如实提供《广西工业产品声明函》，评标委员会在评标过程中应认真核对供应商的相应内容。发现供应商提供虚假材料、采购单位履约过程中</w:t>
      </w:r>
      <w:r>
        <w:rPr>
          <w:rFonts w:hint="eastAsia" w:ascii="Arial" w:hAnsi="Arial" w:cs="Arial"/>
          <w:szCs w:val="21"/>
          <w:highlight w:val="none"/>
        </w:rPr>
        <w:t>中标供应商</w:t>
      </w:r>
      <w:r>
        <w:rPr>
          <w:rFonts w:ascii="Arial" w:hAnsi="Arial" w:cs="Arial"/>
          <w:szCs w:val="21"/>
          <w:highlight w:val="none"/>
        </w:rPr>
        <w:t>未按投标文件《广西工业产品声明函》中使用广西工业产品或者使用广西工业产品比例小于80%的，按照有关法律法规追究其相关责任。</w:t>
      </w:r>
    </w:p>
    <w:p>
      <w:pPr>
        <w:spacing w:before="120" w:line="360" w:lineRule="auto"/>
        <w:ind w:firstLine="422" w:firstLineChars="200"/>
        <w:rPr>
          <w:rFonts w:ascii="Arial" w:hAnsi="Arial" w:cs="Arial"/>
          <w:b/>
          <w:bCs/>
          <w:kern w:val="0"/>
          <w:szCs w:val="21"/>
          <w:highlight w:val="none"/>
        </w:rPr>
      </w:pPr>
      <w:r>
        <w:rPr>
          <w:rFonts w:ascii="Arial" w:hAnsi="Arial" w:cs="Arial"/>
          <w:b/>
          <w:bCs/>
          <w:kern w:val="0"/>
          <w:szCs w:val="21"/>
          <w:highlight w:val="none"/>
        </w:rPr>
        <w:t>2、政策性扣除计算方法</w:t>
      </w:r>
    </w:p>
    <w:p>
      <w:pPr>
        <w:spacing w:before="120" w:line="360" w:lineRule="auto"/>
        <w:ind w:firstLine="420" w:firstLineChars="200"/>
        <w:rPr>
          <w:rFonts w:ascii="Arial" w:hAnsi="Arial" w:cs="Arial"/>
          <w:szCs w:val="21"/>
          <w:highlight w:val="none"/>
        </w:rPr>
      </w:pPr>
      <w:r>
        <w:rPr>
          <w:rFonts w:ascii="Arial" w:hAnsi="Arial" w:cs="Arial"/>
          <w:szCs w:val="21"/>
          <w:highlight w:val="none"/>
        </w:rPr>
        <w:t>供应商符合小型、微型企业、监狱企业或残疾人福利性单位条件的，其投标报价将按相应比例进行扣除，用扣除后的价格参与评审（计算价格分）。</w:t>
      </w:r>
    </w:p>
    <w:p>
      <w:pPr>
        <w:spacing w:before="120" w:line="360" w:lineRule="auto"/>
        <w:ind w:firstLine="420" w:firstLineChars="200"/>
        <w:rPr>
          <w:rFonts w:ascii="Arial" w:hAnsi="Arial" w:cs="Arial"/>
          <w:szCs w:val="21"/>
          <w:highlight w:val="none"/>
        </w:rPr>
      </w:pPr>
      <w:r>
        <w:rPr>
          <w:rFonts w:ascii="Arial" w:hAnsi="Arial" w:cs="Arial"/>
          <w:szCs w:val="21"/>
          <w:highlight w:val="none"/>
        </w:rPr>
        <w:t>（1）小型、微型企业</w:t>
      </w:r>
    </w:p>
    <w:p>
      <w:pPr>
        <w:spacing w:before="120" w:line="360" w:lineRule="auto"/>
        <w:ind w:firstLine="420" w:firstLineChars="200"/>
        <w:rPr>
          <w:rFonts w:ascii="Arial" w:hAnsi="Arial" w:cs="Arial"/>
          <w:szCs w:val="21"/>
          <w:highlight w:val="none"/>
        </w:rPr>
      </w:pPr>
      <w:r>
        <w:rPr>
          <w:rFonts w:ascii="Arial" w:hAnsi="Arial" w:cs="Arial"/>
          <w:szCs w:val="21"/>
          <w:highlight w:val="none"/>
        </w:rPr>
        <w:t>供应商为非联合体的情况下投标报价扣除方式：对小型、微型企业投标报价给予</w:t>
      </w:r>
      <w:r>
        <w:rPr>
          <w:rFonts w:hint="eastAsia" w:ascii="Arial" w:hAnsi="Arial" w:cs="Arial"/>
          <w:szCs w:val="21"/>
          <w:highlight w:val="none"/>
        </w:rPr>
        <w:t>10</w:t>
      </w:r>
      <w:r>
        <w:rPr>
          <w:rFonts w:ascii="Arial" w:hAnsi="Arial" w:cs="Arial"/>
          <w:szCs w:val="21"/>
          <w:highlight w:val="none"/>
        </w:rPr>
        <w:t>%的扣除，以扣除后的投标报价参与评审（计算价格分）。</w:t>
      </w:r>
    </w:p>
    <w:p>
      <w:pPr>
        <w:spacing w:before="120" w:line="360" w:lineRule="auto"/>
        <w:ind w:firstLine="420" w:firstLineChars="200"/>
        <w:rPr>
          <w:rFonts w:ascii="Arial" w:hAnsi="Arial" w:cs="Arial"/>
          <w:szCs w:val="21"/>
          <w:highlight w:val="none"/>
        </w:rPr>
      </w:pPr>
      <w:r>
        <w:rPr>
          <w:rFonts w:ascii="Arial" w:hAnsi="Arial" w:cs="Arial"/>
          <w:szCs w:val="21"/>
          <w:highlight w:val="none"/>
        </w:rPr>
        <w:t>（2）监狱企业</w:t>
      </w:r>
    </w:p>
    <w:p>
      <w:pPr>
        <w:spacing w:before="120" w:line="360" w:lineRule="auto"/>
        <w:ind w:firstLine="420" w:firstLineChars="200"/>
        <w:rPr>
          <w:rFonts w:ascii="Arial" w:hAnsi="Arial" w:cs="Arial"/>
          <w:szCs w:val="21"/>
          <w:highlight w:val="none"/>
        </w:rPr>
      </w:pPr>
      <w:r>
        <w:rPr>
          <w:rFonts w:ascii="Arial" w:hAnsi="Arial" w:cs="Arial"/>
          <w:szCs w:val="21"/>
          <w:highlight w:val="none"/>
        </w:rPr>
        <w:t>根据财政部、司法部关于政府采购支持监狱企业发展有关问题的通知（财库[2014]68号），监狱企业视同小型、微型企业，享受小型、微型企业评审时</w:t>
      </w:r>
      <w:r>
        <w:rPr>
          <w:rFonts w:ascii="Arial" w:hAnsi="Arial" w:cs="Arial"/>
          <w:bCs/>
          <w:szCs w:val="21"/>
          <w:highlight w:val="none"/>
        </w:rPr>
        <w:t>投标</w:t>
      </w:r>
      <w:r>
        <w:rPr>
          <w:rFonts w:ascii="Arial" w:hAnsi="Arial" w:cs="Arial"/>
          <w:szCs w:val="21"/>
          <w:highlight w:val="none"/>
        </w:rPr>
        <w:t>价格扣除</w:t>
      </w:r>
      <w:r>
        <w:rPr>
          <w:rFonts w:hint="eastAsia" w:ascii="Arial" w:hAnsi="Arial" w:cs="Arial"/>
          <w:szCs w:val="21"/>
          <w:highlight w:val="none"/>
        </w:rPr>
        <w:t>10</w:t>
      </w:r>
      <w:r>
        <w:rPr>
          <w:rFonts w:ascii="Arial" w:hAnsi="Arial" w:cs="Arial"/>
          <w:szCs w:val="21"/>
          <w:highlight w:val="none"/>
        </w:rPr>
        <w:t>%的政府采购政策。</w:t>
      </w:r>
    </w:p>
    <w:p>
      <w:pPr>
        <w:spacing w:before="120" w:line="360" w:lineRule="auto"/>
        <w:ind w:firstLine="420" w:firstLineChars="200"/>
        <w:rPr>
          <w:rFonts w:ascii="Arial" w:hAnsi="Arial" w:cs="Arial"/>
          <w:szCs w:val="21"/>
          <w:highlight w:val="none"/>
        </w:rPr>
      </w:pPr>
      <w:r>
        <w:rPr>
          <w:rFonts w:ascii="Arial" w:hAnsi="Arial" w:cs="Arial"/>
          <w:szCs w:val="21"/>
          <w:highlight w:val="none"/>
        </w:rPr>
        <w:t>（3）残疾人福利性单位</w:t>
      </w:r>
    </w:p>
    <w:p>
      <w:pPr>
        <w:spacing w:before="120" w:line="360" w:lineRule="auto"/>
        <w:ind w:firstLine="420" w:firstLineChars="200"/>
        <w:rPr>
          <w:rFonts w:ascii="Arial" w:hAnsi="Arial" w:cs="Arial"/>
          <w:szCs w:val="21"/>
          <w:highlight w:val="none"/>
        </w:rPr>
      </w:pPr>
      <w:r>
        <w:rPr>
          <w:rFonts w:ascii="Arial" w:hAnsi="Arial" w:cs="Arial"/>
          <w:szCs w:val="21"/>
          <w:highlight w:val="none"/>
        </w:rPr>
        <w:t>根据财政部、民政部、中国残疾人联合会三部门发布的关于促进残疾人就业政府采购政策的通知（财库〔2017〕141号），残疾人福利性单位视同小型、微型企业，享受小型、微型企业评标时投标报价扣除</w:t>
      </w:r>
      <w:r>
        <w:rPr>
          <w:rFonts w:hint="eastAsia" w:ascii="Arial" w:hAnsi="Arial" w:cs="Arial"/>
          <w:szCs w:val="21"/>
          <w:highlight w:val="none"/>
        </w:rPr>
        <w:t>10</w:t>
      </w:r>
      <w:r>
        <w:rPr>
          <w:rFonts w:ascii="Arial" w:hAnsi="Arial" w:cs="Arial"/>
          <w:szCs w:val="21"/>
          <w:highlight w:val="none"/>
        </w:rPr>
        <w:t>%的政府采购政策。供应商既属于残疾人福利性单位又属于小型、微型企业的，其只能享受投标报价一次性</w:t>
      </w:r>
      <w:r>
        <w:rPr>
          <w:rFonts w:hint="eastAsia" w:ascii="Arial" w:hAnsi="Arial" w:cs="Arial"/>
          <w:szCs w:val="21"/>
          <w:highlight w:val="none"/>
        </w:rPr>
        <w:t>10</w:t>
      </w:r>
      <w:r>
        <w:rPr>
          <w:rFonts w:ascii="Arial" w:hAnsi="Arial" w:cs="Arial"/>
          <w:szCs w:val="21"/>
          <w:highlight w:val="none"/>
        </w:rPr>
        <w:t>%的扣除，不重复享受政策。</w:t>
      </w:r>
    </w:p>
    <w:p>
      <w:pPr>
        <w:spacing w:before="120" w:line="360" w:lineRule="auto"/>
        <w:ind w:firstLine="420" w:firstLineChars="200"/>
        <w:rPr>
          <w:rFonts w:ascii="Arial" w:hAnsi="Arial" w:cs="Arial"/>
          <w:bCs/>
          <w:szCs w:val="21"/>
          <w:highlight w:val="none"/>
        </w:rPr>
      </w:pPr>
      <w:r>
        <w:rPr>
          <w:rFonts w:ascii="Arial" w:hAnsi="Arial" w:cs="Arial"/>
          <w:szCs w:val="21"/>
          <w:highlight w:val="none"/>
        </w:rPr>
        <w:t>3、</w:t>
      </w:r>
      <w:r>
        <w:rPr>
          <w:rFonts w:ascii="Arial" w:hAnsi="Arial" w:cs="Arial"/>
          <w:b/>
          <w:bCs/>
          <w:kern w:val="0"/>
          <w:szCs w:val="21"/>
          <w:highlight w:val="none"/>
        </w:rPr>
        <w:t>符合政府采购政策的相关条件</w:t>
      </w:r>
    </w:p>
    <w:p>
      <w:pPr>
        <w:spacing w:before="120" w:line="360" w:lineRule="auto"/>
        <w:ind w:firstLine="420" w:firstLineChars="200"/>
        <w:rPr>
          <w:rFonts w:ascii="Arial" w:hAnsi="Arial" w:cs="Arial"/>
          <w:szCs w:val="21"/>
          <w:highlight w:val="none"/>
        </w:rPr>
      </w:pPr>
      <w:r>
        <w:rPr>
          <w:rFonts w:ascii="Arial" w:hAnsi="Arial" w:cs="Arial"/>
          <w:szCs w:val="21"/>
          <w:highlight w:val="none"/>
        </w:rPr>
        <w:t>（1）小型、微型企业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依照《关于印发《政府采购促进中小企业发展管理办法》的通知》（财库〔2020〕46号）之规定， 供应商提供的货物、工程或者服务符合下列情形的，享受本办法规定的中小企业扶持政策：</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供应商声明制造商为中小企业的，应按招标文件规定在投标文件中提供声明函。</w:t>
      </w:r>
    </w:p>
    <w:bookmarkEnd w:id="169"/>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（2）监狱企业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依照《财政部、司法部关于政府采购支持监狱企业发展有关问题的通知》（财库〔2014〕68号）之规定，监狱企业应当符合以下条件：</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②监狱企业参加政府采购活动时，应当提供由省级以上监狱管理局、戒毒管理局（含新疆生产建设兵团）或财政部门出具的属于监狱企业的证明文件，视同小型、微型企业。</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注：供应商声明制造商为监狱企业的，应按招标文件规定在投标文件中提供相关证明文件。</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（3）残疾人福利性单位</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①安置的残疾人占本单位在职职工人数的比例不低于25%（含25%），并且安置的残疾人人数不少于10人（含10人）；</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②依法与安置的每位残疾人签订了一年以上（含一年）的劳动合同或服务协议；</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③为安置的每位残疾人按月足额缴纳了基本养老保险、基本医疗保险、失业保险、工伤保险和生育保险等社会保险费；</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④通过银行等金融机构向安置的每位残疾人，按月支付了不低于单位所在区县适用的经省级人民政府批准的月最低工资标准的工资；</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⑤提供本单位制造的货物、承担的工程或者服务（以下简称产品），或者提供其他残疾人福利性单位制造的货物（不包括使用非残疾人福利性单位注册商标的货物）。</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60" w:lineRule="auto"/>
        <w:ind w:firstLine="420" w:firstLineChars="200"/>
        <w:rPr>
          <w:rFonts w:ascii="Arial" w:hAnsi="Arial" w:cs="Arial"/>
          <w:szCs w:val="21"/>
          <w:highlight w:val="none"/>
        </w:rPr>
      </w:pPr>
      <w:r>
        <w:rPr>
          <w:rFonts w:hint="eastAsia" w:ascii="Arial" w:hAnsi="Arial" w:cs="Arial"/>
          <w:szCs w:val="21"/>
          <w:highlight w:val="none"/>
        </w:rPr>
        <w:t>注：制造商符合残疾人福利性单位的，应当提供《残疾人福利性单位声明函》，并对声明的真实性负责。</w:t>
      </w:r>
    </w:p>
    <w:p>
      <w:pPr>
        <w:spacing w:line="340" w:lineRule="exact"/>
        <w:ind w:left="-13" w:leftChars="-6" w:firstLine="420" w:firstLineChars="200"/>
        <w:rPr>
          <w:rFonts w:ascii="Arial" w:hAnsi="Arial" w:cs="Arial"/>
          <w:szCs w:val="21"/>
          <w:highlight w:val="none"/>
        </w:rPr>
      </w:pPr>
      <w:r>
        <w:rPr>
          <w:rFonts w:hint="eastAsia" w:ascii="Arial" w:hAnsi="Arial" w:cs="Arial"/>
          <w:szCs w:val="21"/>
          <w:highlight w:val="none"/>
        </w:rPr>
        <w:br w:type="page"/>
      </w:r>
      <w:r>
        <w:rPr>
          <w:rFonts w:ascii="Arial" w:hAnsi="Arial" w:cs="Arial"/>
          <w:szCs w:val="21"/>
          <w:highlight w:val="none"/>
        </w:rPr>
        <w:t>附表</w:t>
      </w:r>
    </w:p>
    <w:p>
      <w:pPr>
        <w:spacing w:line="528" w:lineRule="exact"/>
        <w:ind w:firstLine="280" w:firstLineChars="100"/>
        <w:jc w:val="center"/>
        <w:rPr>
          <w:rFonts w:ascii="Arial" w:hAnsi="Arial" w:cs="Arial"/>
          <w:sz w:val="28"/>
          <w:szCs w:val="28"/>
          <w:highlight w:val="none"/>
        </w:rPr>
      </w:pPr>
      <w:r>
        <w:rPr>
          <w:rFonts w:ascii="Arial" w:hAnsi="Arial" w:cs="Arial"/>
          <w:sz w:val="28"/>
          <w:szCs w:val="28"/>
          <w:highlight w:val="none"/>
        </w:rPr>
        <w:t>中小微企业划型标准</w:t>
      </w:r>
    </w:p>
    <w:tbl>
      <w:tblPr>
        <w:tblStyle w:val="54"/>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6000≤Y＜80000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300≤Y＜6000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5000≤Z＜80000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300≤Z＜5000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ind w:firstLine="315" w:firstLineChars="150"/>
              <w:rPr>
                <w:rFonts w:ascii="Arial" w:hAnsi="Arial" w:cs="Arial"/>
                <w:szCs w:val="21"/>
                <w:highlight w:val="none"/>
              </w:rPr>
            </w:pPr>
            <w:r>
              <w:rPr>
                <w:rFonts w:ascii="Arial" w:hAnsi="Arial" w:cs="Arial"/>
                <w:szCs w:val="21"/>
                <w:highlight w:val="none"/>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5≤X＜20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10≤X＜50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200≤Y＜3000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100≤X＜2000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1000≤Y＜100000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1000≤Y＜200000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5000≤Z＜10000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2000≤Y＜5000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1000≤Y＜5000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500≤Y＜1000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8000≤Z＜120000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100≤Z＜8000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highlight w:val="none"/>
              </w:rPr>
            </w:pPr>
            <w:r>
              <w:rPr>
                <w:rFonts w:ascii="Arial" w:hAnsi="Arial" w:cs="Arial"/>
                <w:szCs w:val="21"/>
                <w:highlight w:val="none"/>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szCs w:val="21"/>
                <w:highlight w:val="none"/>
              </w:rPr>
            </w:pPr>
            <w:r>
              <w:rPr>
                <w:rFonts w:ascii="Arial" w:hAnsi="Arial" w:cs="Arial"/>
                <w:szCs w:val="21"/>
                <w:highlight w:val="none"/>
              </w:rPr>
              <w:t>X＜10</w:t>
            </w:r>
          </w:p>
        </w:tc>
      </w:tr>
    </w:tbl>
    <w:p>
      <w:pPr>
        <w:spacing w:line="360" w:lineRule="auto"/>
        <w:ind w:firstLine="525" w:firstLineChars="250"/>
        <w:rPr>
          <w:rFonts w:ascii="Arial" w:hAnsi="Arial" w:cs="Arial"/>
          <w:szCs w:val="21"/>
          <w:highlight w:val="none"/>
        </w:rPr>
      </w:pPr>
      <w:r>
        <w:rPr>
          <w:rFonts w:ascii="Arial" w:hAnsi="Arial" w:cs="Arial"/>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before="120" w:line="360" w:lineRule="auto"/>
        <w:ind w:firstLine="420" w:firstLineChars="200"/>
        <w:rPr>
          <w:rFonts w:ascii="Arial" w:hAnsi="Arial" w:cs="Arial"/>
          <w:szCs w:val="21"/>
          <w:highlight w:val="none"/>
        </w:rPr>
        <w:sectPr>
          <w:headerReference r:id="rId15" w:type="default"/>
          <w:pgSz w:w="11906" w:h="16838"/>
          <w:pgMar w:top="1418" w:right="1133" w:bottom="1246" w:left="1418" w:header="851" w:footer="992" w:gutter="0"/>
          <w:pgNumType w:fmt="decimal"/>
          <w:cols w:space="720" w:num="1"/>
          <w:docGrid w:linePitch="312" w:charSpace="0"/>
        </w:sectPr>
      </w:pPr>
    </w:p>
    <w:p>
      <w:pPr>
        <w:pStyle w:val="28"/>
        <w:snapToGrid w:val="0"/>
        <w:spacing w:before="120" w:after="120" w:line="360" w:lineRule="auto"/>
        <w:jc w:val="center"/>
        <w:outlineLvl w:val="0"/>
        <w:rPr>
          <w:rFonts w:ascii="Arial" w:hAnsi="Arial" w:cs="Arial"/>
          <w:sz w:val="32"/>
          <w:szCs w:val="32"/>
          <w:highlight w:val="none"/>
        </w:rPr>
      </w:pPr>
      <w:bookmarkStart w:id="182" w:name="_Toc17562"/>
      <w:r>
        <w:rPr>
          <w:rFonts w:ascii="Arial" w:hAnsi="Arial" w:cs="Arial"/>
          <w:sz w:val="32"/>
          <w:szCs w:val="32"/>
          <w:highlight w:val="none"/>
        </w:rPr>
        <w:t>第五章  合同主要条款格式</w:t>
      </w:r>
      <w:bookmarkEnd w:id="182"/>
    </w:p>
    <w:p>
      <w:pPr>
        <w:spacing w:before="120" w:line="360" w:lineRule="auto"/>
        <w:ind w:firstLine="422" w:firstLineChars="200"/>
        <w:jc w:val="center"/>
        <w:outlineLvl w:val="1"/>
        <w:rPr>
          <w:b/>
          <w:bCs/>
          <w:kern w:val="0"/>
          <w:szCs w:val="21"/>
          <w:highlight w:val="none"/>
        </w:rPr>
      </w:pPr>
      <w:r>
        <w:rPr>
          <w:b/>
          <w:bCs/>
          <w:kern w:val="0"/>
          <w:szCs w:val="21"/>
          <w:highlight w:val="none"/>
        </w:rPr>
        <w:t>广西壮族自治区政府采购合同</w:t>
      </w:r>
    </w:p>
    <w:p>
      <w:pPr>
        <w:snapToGrid w:val="0"/>
        <w:spacing w:line="360" w:lineRule="auto"/>
        <w:ind w:right="480" w:firstLine="5985" w:firstLineChars="2850"/>
        <w:rPr>
          <w:bCs/>
          <w:szCs w:val="21"/>
          <w:highlight w:val="none"/>
        </w:rPr>
      </w:pPr>
    </w:p>
    <w:p>
      <w:pPr>
        <w:snapToGrid w:val="0"/>
        <w:spacing w:line="360" w:lineRule="auto"/>
        <w:ind w:right="480" w:firstLine="5985" w:firstLineChars="2850"/>
        <w:rPr>
          <w:bCs/>
          <w:szCs w:val="21"/>
          <w:highlight w:val="none"/>
          <w:u w:val="single"/>
        </w:rPr>
      </w:pPr>
      <w:r>
        <w:rPr>
          <w:bCs/>
          <w:szCs w:val="21"/>
          <w:highlight w:val="none"/>
        </w:rPr>
        <w:t>合同编号：</w:t>
      </w:r>
    </w:p>
    <w:p>
      <w:pPr>
        <w:snapToGrid w:val="0"/>
        <w:spacing w:line="360" w:lineRule="auto"/>
        <w:rPr>
          <w:szCs w:val="21"/>
          <w:highlight w:val="none"/>
        </w:rPr>
      </w:pPr>
    </w:p>
    <w:p>
      <w:pPr>
        <w:snapToGrid w:val="0"/>
        <w:spacing w:line="360" w:lineRule="auto"/>
        <w:rPr>
          <w:szCs w:val="21"/>
          <w:highlight w:val="none"/>
          <w:u w:val="single"/>
        </w:rPr>
      </w:pPr>
      <w:r>
        <w:rPr>
          <w:szCs w:val="21"/>
          <w:highlight w:val="none"/>
        </w:rPr>
        <w:t>采购单位（甲方）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r>
        <w:rPr>
          <w:spacing w:val="-20"/>
          <w:szCs w:val="21"/>
          <w:highlight w:val="none"/>
        </w:rPr>
        <w:t>采 购 计 划 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napToGrid w:val="0"/>
        <w:spacing w:line="360" w:lineRule="auto"/>
        <w:rPr>
          <w:szCs w:val="21"/>
          <w:highlight w:val="none"/>
          <w:u w:val="single"/>
        </w:rPr>
      </w:pPr>
      <w:r>
        <w:rPr>
          <w:szCs w:val="21"/>
          <w:highlight w:val="none"/>
        </w:rPr>
        <w:t>供 应 商（乙方）</w:t>
      </w:r>
      <w:r>
        <w:rPr>
          <w:szCs w:val="21"/>
          <w:highlight w:val="none"/>
          <w:u w:val="single"/>
        </w:rPr>
        <w:t xml:space="preserve">                          </w:t>
      </w:r>
      <w:r>
        <w:rPr>
          <w:szCs w:val="21"/>
          <w:highlight w:val="none"/>
        </w:rPr>
        <w:t xml:space="preserve">  项目名称</w:t>
      </w:r>
      <w:r>
        <w:rPr>
          <w:spacing w:val="-20"/>
          <w:szCs w:val="21"/>
          <w:highlight w:val="none"/>
        </w:rPr>
        <w:t>编</w:t>
      </w:r>
      <w:r>
        <w:rPr>
          <w:rFonts w:hint="eastAsia"/>
          <w:spacing w:val="-20"/>
          <w:szCs w:val="21"/>
          <w:highlight w:val="none"/>
        </w:rPr>
        <w:t xml:space="preserve"> </w:t>
      </w:r>
      <w:r>
        <w:rPr>
          <w:spacing w:val="-20"/>
          <w:szCs w:val="21"/>
          <w:highlight w:val="none"/>
        </w:rPr>
        <w:t>号</w:t>
      </w:r>
      <w:r>
        <w:rPr>
          <w:szCs w:val="21"/>
          <w:highlight w:val="none"/>
          <w:u w:val="single"/>
        </w:rPr>
        <w:t xml:space="preserve">                       </w:t>
      </w:r>
    </w:p>
    <w:p>
      <w:pPr>
        <w:snapToGrid w:val="0"/>
        <w:spacing w:line="360" w:lineRule="auto"/>
        <w:rPr>
          <w:szCs w:val="21"/>
          <w:highlight w:val="none"/>
          <w:u w:val="single"/>
        </w:rPr>
      </w:pPr>
      <w:r>
        <w:rPr>
          <w:szCs w:val="21"/>
          <w:highlight w:val="none"/>
        </w:rPr>
        <w:t xml:space="preserve">签  订  地  点  </w:t>
      </w:r>
      <w:r>
        <w:rPr>
          <w:szCs w:val="21"/>
          <w:highlight w:val="none"/>
          <w:u w:val="single"/>
        </w:rPr>
        <w:t xml:space="preserve">                          </w:t>
      </w:r>
      <w:r>
        <w:rPr>
          <w:szCs w:val="21"/>
          <w:highlight w:val="none"/>
        </w:rPr>
        <w:t xml:space="preserve">  签 订 时 间</w:t>
      </w:r>
      <w:r>
        <w:rPr>
          <w:szCs w:val="21"/>
          <w:highlight w:val="none"/>
          <w:u w:val="single"/>
        </w:rPr>
        <w:t xml:space="preserve">                       </w:t>
      </w:r>
    </w:p>
    <w:p>
      <w:pPr>
        <w:snapToGrid w:val="0"/>
        <w:spacing w:line="360" w:lineRule="auto"/>
        <w:ind w:firstLine="420" w:firstLineChars="200"/>
        <w:rPr>
          <w:szCs w:val="21"/>
          <w:highlight w:val="none"/>
        </w:rPr>
      </w:pP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根据《中华人民共和国政府采购法》</w:t>
      </w:r>
      <w:r>
        <w:rPr>
          <w:rFonts w:ascii="Times New Roman" w:hAnsi="Times New Roman" w:cs="Times New Roman"/>
          <w:kern w:val="0"/>
          <w:highlight w:val="none"/>
        </w:rPr>
        <w:t>、《政府采购货物和服务招标投标管理办法》、</w:t>
      </w:r>
      <w:r>
        <w:rPr>
          <w:rFonts w:ascii="Times New Roman" w:hAnsi="Times New Roman" w:cs="Times New Roman"/>
          <w:highlight w:val="none"/>
        </w:rPr>
        <w:t>《中华人民共和国</w:t>
      </w:r>
      <w:r>
        <w:rPr>
          <w:rFonts w:hint="eastAsia" w:ascii="Times New Roman" w:hAnsi="Times New Roman" w:cs="Times New Roman"/>
          <w:highlight w:val="none"/>
        </w:rPr>
        <w:t>民法典</w:t>
      </w:r>
      <w:r>
        <w:rPr>
          <w:rFonts w:ascii="Times New Roman" w:hAnsi="Times New Roman" w:cs="Times New Roman"/>
          <w:highlight w:val="none"/>
        </w:rPr>
        <w:t>》等法律、法规规定，按照招标文件规定条款和乙方投标文件及其承诺，甲乙双方签订本合同。</w:t>
      </w:r>
    </w:p>
    <w:p>
      <w:pPr>
        <w:snapToGrid w:val="0"/>
        <w:spacing w:line="360" w:lineRule="auto"/>
        <w:ind w:firstLine="422" w:firstLineChars="200"/>
        <w:rPr>
          <w:b/>
          <w:szCs w:val="21"/>
          <w:highlight w:val="none"/>
        </w:rPr>
      </w:pPr>
      <w:r>
        <w:rPr>
          <w:b/>
          <w:szCs w:val="21"/>
          <w:highlight w:val="none"/>
        </w:rPr>
        <w:t>第一条　合同标的</w:t>
      </w:r>
    </w:p>
    <w:p>
      <w:pPr>
        <w:snapToGrid w:val="0"/>
        <w:spacing w:line="360" w:lineRule="auto"/>
        <w:ind w:firstLine="420" w:firstLineChars="200"/>
        <w:rPr>
          <w:szCs w:val="21"/>
          <w:highlight w:val="none"/>
        </w:rPr>
      </w:pPr>
      <w:r>
        <w:rPr>
          <w:szCs w:val="21"/>
          <w:highlight w:val="none"/>
        </w:rPr>
        <w:t>1.供货一览表</w:t>
      </w:r>
    </w:p>
    <w:tbl>
      <w:tblPr>
        <w:tblStyle w:val="5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360" w:lineRule="auto"/>
              <w:jc w:val="center"/>
              <w:rPr>
                <w:szCs w:val="21"/>
                <w:highlight w:val="none"/>
              </w:rPr>
            </w:pPr>
            <w:r>
              <w:rPr>
                <w:szCs w:val="21"/>
                <w:highlight w:val="none"/>
              </w:rPr>
              <w:t>序号</w:t>
            </w:r>
          </w:p>
        </w:tc>
        <w:tc>
          <w:tcPr>
            <w:tcW w:w="1304" w:type="dxa"/>
            <w:vAlign w:val="center"/>
          </w:tcPr>
          <w:p>
            <w:pPr>
              <w:snapToGrid w:val="0"/>
              <w:spacing w:line="360" w:lineRule="auto"/>
              <w:jc w:val="center"/>
              <w:rPr>
                <w:szCs w:val="21"/>
                <w:highlight w:val="none"/>
              </w:rPr>
            </w:pPr>
            <w:r>
              <w:rPr>
                <w:szCs w:val="21"/>
                <w:highlight w:val="none"/>
              </w:rPr>
              <w:t>标的</w:t>
            </w:r>
          </w:p>
          <w:p>
            <w:pPr>
              <w:snapToGrid w:val="0"/>
              <w:spacing w:line="360" w:lineRule="auto"/>
              <w:jc w:val="center"/>
              <w:rPr>
                <w:szCs w:val="21"/>
                <w:highlight w:val="none"/>
              </w:rPr>
            </w:pPr>
            <w:r>
              <w:rPr>
                <w:szCs w:val="21"/>
                <w:highlight w:val="none"/>
              </w:rPr>
              <w:t>名称</w:t>
            </w:r>
          </w:p>
        </w:tc>
        <w:tc>
          <w:tcPr>
            <w:tcW w:w="1081" w:type="dxa"/>
            <w:vAlign w:val="center"/>
          </w:tcPr>
          <w:p>
            <w:pPr>
              <w:snapToGrid w:val="0"/>
              <w:spacing w:line="360" w:lineRule="auto"/>
              <w:jc w:val="center"/>
              <w:rPr>
                <w:szCs w:val="21"/>
                <w:highlight w:val="none"/>
              </w:rPr>
            </w:pPr>
            <w:r>
              <w:rPr>
                <w:szCs w:val="21"/>
                <w:highlight w:val="none"/>
              </w:rPr>
              <w:t>商标</w:t>
            </w:r>
          </w:p>
          <w:p>
            <w:pPr>
              <w:snapToGrid w:val="0"/>
              <w:spacing w:line="360" w:lineRule="auto"/>
              <w:jc w:val="center"/>
              <w:rPr>
                <w:szCs w:val="21"/>
                <w:highlight w:val="none"/>
              </w:rPr>
            </w:pPr>
            <w:r>
              <w:rPr>
                <w:szCs w:val="21"/>
                <w:highlight w:val="none"/>
              </w:rPr>
              <w:t>品牌</w:t>
            </w:r>
          </w:p>
        </w:tc>
        <w:tc>
          <w:tcPr>
            <w:tcW w:w="1194" w:type="dxa"/>
            <w:vAlign w:val="center"/>
          </w:tcPr>
          <w:p>
            <w:pPr>
              <w:snapToGrid w:val="0"/>
              <w:spacing w:line="360" w:lineRule="auto"/>
              <w:jc w:val="center"/>
              <w:rPr>
                <w:szCs w:val="21"/>
                <w:highlight w:val="none"/>
              </w:rPr>
            </w:pPr>
            <w:r>
              <w:rPr>
                <w:szCs w:val="21"/>
                <w:highlight w:val="none"/>
              </w:rPr>
              <w:t>型号</w:t>
            </w:r>
          </w:p>
          <w:p>
            <w:pPr>
              <w:snapToGrid w:val="0"/>
              <w:spacing w:line="360" w:lineRule="auto"/>
              <w:jc w:val="center"/>
              <w:rPr>
                <w:szCs w:val="21"/>
                <w:highlight w:val="none"/>
              </w:rPr>
            </w:pPr>
            <w:r>
              <w:rPr>
                <w:szCs w:val="21"/>
                <w:highlight w:val="none"/>
              </w:rPr>
              <w:t>参数</w:t>
            </w:r>
          </w:p>
        </w:tc>
        <w:tc>
          <w:tcPr>
            <w:tcW w:w="1193" w:type="dxa"/>
            <w:vAlign w:val="center"/>
          </w:tcPr>
          <w:p>
            <w:pPr>
              <w:snapToGrid w:val="0"/>
              <w:spacing w:line="360" w:lineRule="auto"/>
              <w:jc w:val="center"/>
              <w:rPr>
                <w:szCs w:val="21"/>
                <w:highlight w:val="none"/>
              </w:rPr>
            </w:pPr>
            <w:r>
              <w:rPr>
                <w:szCs w:val="21"/>
                <w:highlight w:val="none"/>
              </w:rPr>
              <w:t>生产</w:t>
            </w:r>
          </w:p>
          <w:p>
            <w:pPr>
              <w:snapToGrid w:val="0"/>
              <w:spacing w:line="360" w:lineRule="auto"/>
              <w:jc w:val="center"/>
              <w:rPr>
                <w:szCs w:val="21"/>
                <w:highlight w:val="none"/>
              </w:rPr>
            </w:pPr>
            <w:r>
              <w:rPr>
                <w:szCs w:val="21"/>
                <w:highlight w:val="none"/>
              </w:rPr>
              <w:t>厂家</w:t>
            </w:r>
          </w:p>
        </w:tc>
        <w:tc>
          <w:tcPr>
            <w:tcW w:w="672" w:type="dxa"/>
            <w:vAlign w:val="center"/>
          </w:tcPr>
          <w:p>
            <w:pPr>
              <w:snapToGrid w:val="0"/>
              <w:spacing w:line="360" w:lineRule="auto"/>
              <w:jc w:val="center"/>
              <w:rPr>
                <w:szCs w:val="21"/>
                <w:highlight w:val="none"/>
              </w:rPr>
            </w:pPr>
            <w:r>
              <w:rPr>
                <w:szCs w:val="21"/>
                <w:highlight w:val="none"/>
              </w:rPr>
              <w:t>数  量</w:t>
            </w:r>
          </w:p>
        </w:tc>
        <w:tc>
          <w:tcPr>
            <w:tcW w:w="1080" w:type="dxa"/>
            <w:vAlign w:val="center"/>
          </w:tcPr>
          <w:p>
            <w:pPr>
              <w:snapToGrid w:val="0"/>
              <w:spacing w:line="360" w:lineRule="auto"/>
              <w:jc w:val="center"/>
              <w:rPr>
                <w:szCs w:val="21"/>
                <w:highlight w:val="none"/>
              </w:rPr>
            </w:pPr>
            <w:r>
              <w:rPr>
                <w:szCs w:val="21"/>
                <w:highlight w:val="none"/>
              </w:rPr>
              <w:t>单位</w:t>
            </w:r>
          </w:p>
        </w:tc>
        <w:tc>
          <w:tcPr>
            <w:tcW w:w="1080" w:type="dxa"/>
            <w:vAlign w:val="center"/>
          </w:tcPr>
          <w:p>
            <w:pPr>
              <w:snapToGrid w:val="0"/>
              <w:spacing w:line="360" w:lineRule="auto"/>
              <w:jc w:val="center"/>
              <w:rPr>
                <w:szCs w:val="21"/>
                <w:highlight w:val="none"/>
              </w:rPr>
            </w:pPr>
            <w:r>
              <w:rPr>
                <w:szCs w:val="21"/>
                <w:highlight w:val="none"/>
              </w:rPr>
              <w:t>单  价</w:t>
            </w:r>
          </w:p>
          <w:p>
            <w:pPr>
              <w:snapToGrid w:val="0"/>
              <w:spacing w:line="360" w:lineRule="auto"/>
              <w:jc w:val="center"/>
              <w:rPr>
                <w:szCs w:val="21"/>
                <w:highlight w:val="none"/>
              </w:rPr>
            </w:pPr>
            <w:r>
              <w:rPr>
                <w:szCs w:val="21"/>
                <w:highlight w:val="none"/>
              </w:rPr>
              <w:t>（元）</w:t>
            </w:r>
          </w:p>
        </w:tc>
        <w:tc>
          <w:tcPr>
            <w:tcW w:w="1440" w:type="dxa"/>
            <w:vAlign w:val="center"/>
          </w:tcPr>
          <w:p>
            <w:pPr>
              <w:snapToGrid w:val="0"/>
              <w:spacing w:line="360" w:lineRule="auto"/>
              <w:jc w:val="center"/>
              <w:rPr>
                <w:szCs w:val="21"/>
                <w:highlight w:val="none"/>
              </w:rPr>
            </w:pPr>
            <w:r>
              <w:rPr>
                <w:szCs w:val="21"/>
                <w:highlight w:val="none"/>
              </w:rPr>
              <w:t>金  额</w:t>
            </w:r>
          </w:p>
          <w:p>
            <w:pPr>
              <w:snapToGrid w:val="0"/>
              <w:spacing w:line="360" w:lineRule="auto"/>
              <w:jc w:val="center"/>
              <w:rPr>
                <w:szCs w:val="21"/>
                <w:highlight w:val="none"/>
              </w:rPr>
            </w:pPr>
            <w:r>
              <w:rPr>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vAlign w:val="center"/>
          </w:tcPr>
          <w:p>
            <w:pPr>
              <w:snapToGrid w:val="0"/>
              <w:spacing w:line="360" w:lineRule="auto"/>
              <w:jc w:val="center"/>
              <w:rPr>
                <w:szCs w:val="21"/>
                <w:highlight w:val="none"/>
              </w:rPr>
            </w:pPr>
            <w:r>
              <w:rPr>
                <w:szCs w:val="21"/>
                <w:highlight w:val="none"/>
              </w:rPr>
              <w:t>1</w:t>
            </w:r>
          </w:p>
        </w:tc>
        <w:tc>
          <w:tcPr>
            <w:tcW w:w="1304" w:type="dxa"/>
            <w:vAlign w:val="center"/>
          </w:tcPr>
          <w:p>
            <w:pPr>
              <w:snapToGrid w:val="0"/>
              <w:spacing w:line="360" w:lineRule="auto"/>
              <w:jc w:val="center"/>
              <w:rPr>
                <w:szCs w:val="21"/>
                <w:highlight w:val="none"/>
              </w:rPr>
            </w:pPr>
          </w:p>
        </w:tc>
        <w:tc>
          <w:tcPr>
            <w:tcW w:w="1081" w:type="dxa"/>
            <w:vAlign w:val="center"/>
          </w:tcPr>
          <w:p>
            <w:pPr>
              <w:snapToGrid w:val="0"/>
              <w:spacing w:line="360" w:lineRule="auto"/>
              <w:jc w:val="center"/>
              <w:rPr>
                <w:szCs w:val="21"/>
                <w:highlight w:val="none"/>
              </w:rPr>
            </w:pPr>
          </w:p>
        </w:tc>
        <w:tc>
          <w:tcPr>
            <w:tcW w:w="1194" w:type="dxa"/>
            <w:vAlign w:val="center"/>
          </w:tcPr>
          <w:p>
            <w:pPr>
              <w:snapToGrid w:val="0"/>
              <w:spacing w:line="360" w:lineRule="auto"/>
              <w:jc w:val="center"/>
              <w:rPr>
                <w:szCs w:val="21"/>
                <w:highlight w:val="none"/>
              </w:rPr>
            </w:pPr>
          </w:p>
        </w:tc>
        <w:tc>
          <w:tcPr>
            <w:tcW w:w="1193" w:type="dxa"/>
          </w:tcPr>
          <w:p>
            <w:pPr>
              <w:snapToGrid w:val="0"/>
              <w:spacing w:line="360" w:lineRule="auto"/>
              <w:jc w:val="center"/>
              <w:rPr>
                <w:szCs w:val="21"/>
                <w:highlight w:val="none"/>
              </w:rPr>
            </w:pPr>
          </w:p>
        </w:tc>
        <w:tc>
          <w:tcPr>
            <w:tcW w:w="672" w:type="dxa"/>
          </w:tcPr>
          <w:p>
            <w:pPr>
              <w:snapToGrid w:val="0"/>
              <w:spacing w:line="360" w:lineRule="auto"/>
              <w:jc w:val="center"/>
              <w:rPr>
                <w:szCs w:val="21"/>
                <w:highlight w:val="none"/>
              </w:rPr>
            </w:pPr>
          </w:p>
        </w:tc>
        <w:tc>
          <w:tcPr>
            <w:tcW w:w="1080" w:type="dxa"/>
          </w:tcPr>
          <w:p>
            <w:pPr>
              <w:snapToGrid w:val="0"/>
              <w:spacing w:line="360" w:lineRule="auto"/>
              <w:jc w:val="center"/>
              <w:rPr>
                <w:szCs w:val="21"/>
                <w:highlight w:val="none"/>
              </w:rPr>
            </w:pPr>
          </w:p>
        </w:tc>
        <w:tc>
          <w:tcPr>
            <w:tcW w:w="1080" w:type="dxa"/>
            <w:vAlign w:val="center"/>
          </w:tcPr>
          <w:p>
            <w:pPr>
              <w:snapToGrid w:val="0"/>
              <w:spacing w:line="360" w:lineRule="auto"/>
              <w:jc w:val="center"/>
              <w:rPr>
                <w:szCs w:val="21"/>
                <w:highlight w:val="none"/>
              </w:rPr>
            </w:pPr>
          </w:p>
        </w:tc>
        <w:tc>
          <w:tcPr>
            <w:tcW w:w="1440" w:type="dxa"/>
            <w:vAlign w:val="center"/>
          </w:tcPr>
          <w:p>
            <w:pPr>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vAlign w:val="center"/>
          </w:tcPr>
          <w:p>
            <w:pPr>
              <w:snapToGrid w:val="0"/>
              <w:spacing w:line="360" w:lineRule="auto"/>
              <w:jc w:val="center"/>
              <w:rPr>
                <w:szCs w:val="21"/>
                <w:highlight w:val="none"/>
              </w:rPr>
            </w:pPr>
            <w:r>
              <w:rPr>
                <w:szCs w:val="21"/>
                <w:highlight w:val="none"/>
              </w:rPr>
              <w:t>2</w:t>
            </w:r>
          </w:p>
        </w:tc>
        <w:tc>
          <w:tcPr>
            <w:tcW w:w="1304" w:type="dxa"/>
            <w:vAlign w:val="center"/>
          </w:tcPr>
          <w:p>
            <w:pPr>
              <w:snapToGrid w:val="0"/>
              <w:spacing w:line="360" w:lineRule="auto"/>
              <w:jc w:val="center"/>
              <w:rPr>
                <w:szCs w:val="21"/>
                <w:highlight w:val="none"/>
              </w:rPr>
            </w:pPr>
          </w:p>
        </w:tc>
        <w:tc>
          <w:tcPr>
            <w:tcW w:w="1081" w:type="dxa"/>
            <w:vAlign w:val="center"/>
          </w:tcPr>
          <w:p>
            <w:pPr>
              <w:snapToGrid w:val="0"/>
              <w:spacing w:line="360" w:lineRule="auto"/>
              <w:jc w:val="center"/>
              <w:rPr>
                <w:szCs w:val="21"/>
                <w:highlight w:val="none"/>
              </w:rPr>
            </w:pPr>
          </w:p>
        </w:tc>
        <w:tc>
          <w:tcPr>
            <w:tcW w:w="1194" w:type="dxa"/>
            <w:vAlign w:val="center"/>
          </w:tcPr>
          <w:p>
            <w:pPr>
              <w:snapToGrid w:val="0"/>
              <w:spacing w:line="360" w:lineRule="auto"/>
              <w:jc w:val="center"/>
              <w:rPr>
                <w:szCs w:val="21"/>
                <w:highlight w:val="none"/>
              </w:rPr>
            </w:pPr>
          </w:p>
        </w:tc>
        <w:tc>
          <w:tcPr>
            <w:tcW w:w="1193" w:type="dxa"/>
          </w:tcPr>
          <w:p>
            <w:pPr>
              <w:snapToGrid w:val="0"/>
              <w:spacing w:line="360" w:lineRule="auto"/>
              <w:jc w:val="center"/>
              <w:rPr>
                <w:szCs w:val="21"/>
                <w:highlight w:val="none"/>
              </w:rPr>
            </w:pPr>
          </w:p>
        </w:tc>
        <w:tc>
          <w:tcPr>
            <w:tcW w:w="672" w:type="dxa"/>
          </w:tcPr>
          <w:p>
            <w:pPr>
              <w:snapToGrid w:val="0"/>
              <w:spacing w:line="360" w:lineRule="auto"/>
              <w:jc w:val="center"/>
              <w:rPr>
                <w:szCs w:val="21"/>
                <w:highlight w:val="none"/>
              </w:rPr>
            </w:pPr>
          </w:p>
        </w:tc>
        <w:tc>
          <w:tcPr>
            <w:tcW w:w="1080" w:type="dxa"/>
          </w:tcPr>
          <w:p>
            <w:pPr>
              <w:snapToGrid w:val="0"/>
              <w:spacing w:line="360" w:lineRule="auto"/>
              <w:jc w:val="center"/>
              <w:rPr>
                <w:szCs w:val="21"/>
                <w:highlight w:val="none"/>
              </w:rPr>
            </w:pPr>
          </w:p>
        </w:tc>
        <w:tc>
          <w:tcPr>
            <w:tcW w:w="1080" w:type="dxa"/>
            <w:vAlign w:val="center"/>
          </w:tcPr>
          <w:p>
            <w:pPr>
              <w:snapToGrid w:val="0"/>
              <w:spacing w:line="360" w:lineRule="auto"/>
              <w:jc w:val="center"/>
              <w:rPr>
                <w:szCs w:val="21"/>
                <w:highlight w:val="none"/>
              </w:rPr>
            </w:pPr>
          </w:p>
        </w:tc>
        <w:tc>
          <w:tcPr>
            <w:tcW w:w="1440" w:type="dxa"/>
            <w:vAlign w:val="center"/>
          </w:tcPr>
          <w:p>
            <w:pPr>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vAlign w:val="center"/>
          </w:tcPr>
          <w:p>
            <w:pPr>
              <w:snapToGrid w:val="0"/>
              <w:spacing w:line="360" w:lineRule="auto"/>
              <w:jc w:val="center"/>
              <w:rPr>
                <w:szCs w:val="21"/>
                <w:highlight w:val="none"/>
              </w:rPr>
            </w:pPr>
            <w:r>
              <w:rPr>
                <w:szCs w:val="21"/>
                <w:highlight w:val="none"/>
              </w:rPr>
              <w:t>3</w:t>
            </w:r>
          </w:p>
        </w:tc>
        <w:tc>
          <w:tcPr>
            <w:tcW w:w="1304" w:type="dxa"/>
            <w:vAlign w:val="center"/>
          </w:tcPr>
          <w:p>
            <w:pPr>
              <w:snapToGrid w:val="0"/>
              <w:spacing w:line="360" w:lineRule="auto"/>
              <w:jc w:val="center"/>
              <w:rPr>
                <w:szCs w:val="21"/>
                <w:highlight w:val="none"/>
              </w:rPr>
            </w:pPr>
          </w:p>
        </w:tc>
        <w:tc>
          <w:tcPr>
            <w:tcW w:w="1081" w:type="dxa"/>
            <w:vAlign w:val="center"/>
          </w:tcPr>
          <w:p>
            <w:pPr>
              <w:snapToGrid w:val="0"/>
              <w:spacing w:line="360" w:lineRule="auto"/>
              <w:jc w:val="center"/>
              <w:rPr>
                <w:szCs w:val="21"/>
                <w:highlight w:val="none"/>
              </w:rPr>
            </w:pPr>
          </w:p>
        </w:tc>
        <w:tc>
          <w:tcPr>
            <w:tcW w:w="1194" w:type="dxa"/>
            <w:vAlign w:val="center"/>
          </w:tcPr>
          <w:p>
            <w:pPr>
              <w:snapToGrid w:val="0"/>
              <w:spacing w:line="360" w:lineRule="auto"/>
              <w:jc w:val="center"/>
              <w:rPr>
                <w:szCs w:val="21"/>
                <w:highlight w:val="none"/>
              </w:rPr>
            </w:pPr>
          </w:p>
        </w:tc>
        <w:tc>
          <w:tcPr>
            <w:tcW w:w="1193" w:type="dxa"/>
          </w:tcPr>
          <w:p>
            <w:pPr>
              <w:snapToGrid w:val="0"/>
              <w:spacing w:line="360" w:lineRule="auto"/>
              <w:jc w:val="center"/>
              <w:rPr>
                <w:szCs w:val="21"/>
                <w:highlight w:val="none"/>
              </w:rPr>
            </w:pPr>
          </w:p>
        </w:tc>
        <w:tc>
          <w:tcPr>
            <w:tcW w:w="672" w:type="dxa"/>
          </w:tcPr>
          <w:p>
            <w:pPr>
              <w:snapToGrid w:val="0"/>
              <w:spacing w:line="360" w:lineRule="auto"/>
              <w:jc w:val="center"/>
              <w:rPr>
                <w:szCs w:val="21"/>
                <w:highlight w:val="none"/>
              </w:rPr>
            </w:pPr>
          </w:p>
        </w:tc>
        <w:tc>
          <w:tcPr>
            <w:tcW w:w="1080" w:type="dxa"/>
          </w:tcPr>
          <w:p>
            <w:pPr>
              <w:snapToGrid w:val="0"/>
              <w:spacing w:line="360" w:lineRule="auto"/>
              <w:jc w:val="center"/>
              <w:rPr>
                <w:szCs w:val="21"/>
                <w:highlight w:val="none"/>
              </w:rPr>
            </w:pPr>
          </w:p>
        </w:tc>
        <w:tc>
          <w:tcPr>
            <w:tcW w:w="1080" w:type="dxa"/>
            <w:vAlign w:val="center"/>
          </w:tcPr>
          <w:p>
            <w:pPr>
              <w:snapToGrid w:val="0"/>
              <w:spacing w:line="360" w:lineRule="auto"/>
              <w:jc w:val="center"/>
              <w:rPr>
                <w:szCs w:val="21"/>
                <w:highlight w:val="none"/>
              </w:rPr>
            </w:pPr>
          </w:p>
        </w:tc>
        <w:tc>
          <w:tcPr>
            <w:tcW w:w="1440" w:type="dxa"/>
            <w:vAlign w:val="center"/>
          </w:tcPr>
          <w:p>
            <w:pPr>
              <w:snapToGrid w:val="0"/>
              <w:spacing w:line="36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pPr>
              <w:snapToGrid w:val="0"/>
              <w:spacing w:line="360" w:lineRule="auto"/>
              <w:rPr>
                <w:szCs w:val="21"/>
                <w:highlight w:val="none"/>
              </w:rPr>
            </w:pPr>
            <w:r>
              <w:rPr>
                <w:szCs w:val="21"/>
                <w:highlight w:val="none"/>
              </w:rPr>
              <w:t xml:space="preserve">人民币合计金额（大写）                          （小写）                 </w:t>
            </w:r>
          </w:p>
        </w:tc>
      </w:tr>
    </w:tbl>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2.合同合计金额包括</w:t>
      </w:r>
      <w:r>
        <w:rPr>
          <w:highlight w:val="none"/>
        </w:rPr>
        <w:t>产品价、运输费（含装卸费）、保险费、安装调试费、税费、培训费、产品检测费</w:t>
      </w:r>
      <w:r>
        <w:rPr>
          <w:rFonts w:hint="eastAsia"/>
          <w:highlight w:val="none"/>
        </w:rPr>
        <w:t>、</w:t>
      </w:r>
      <w:r>
        <w:rPr>
          <w:highlight w:val="none"/>
        </w:rPr>
        <w:t>产品质保期内维护等费用。</w:t>
      </w:r>
      <w:r>
        <w:rPr>
          <w:rFonts w:ascii="Times New Roman" w:hAnsi="Times New Roman" w:cs="Times New Roman"/>
          <w:highlight w:val="none"/>
        </w:rPr>
        <w:t>如招投标文件对其另有规定的，从其规定。</w:t>
      </w:r>
    </w:p>
    <w:p>
      <w:pPr>
        <w:pStyle w:val="28"/>
        <w:spacing w:line="360" w:lineRule="auto"/>
        <w:ind w:firstLine="420" w:firstLineChars="200"/>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w:t>
      </w:r>
      <w:r>
        <w:rPr>
          <w:rFonts w:hint="eastAsia" w:ascii="Times New Roman" w:hAnsi="Times New Roman" w:cs="Times New Roman"/>
          <w:highlight w:val="none"/>
        </w:rPr>
        <w:t xml:space="preserve"> 政府采购合同履行中，甲方需追加与合同标的相同的货物的，在不改变合同其他条款的前提下，可以与乙方协商签订补充合同，但所有补充合同的采购金额不得超过原合同采购金额的10%。</w:t>
      </w:r>
    </w:p>
    <w:p>
      <w:pPr>
        <w:snapToGrid w:val="0"/>
        <w:spacing w:line="360" w:lineRule="auto"/>
        <w:ind w:firstLine="422" w:firstLineChars="200"/>
        <w:rPr>
          <w:szCs w:val="21"/>
          <w:highlight w:val="none"/>
        </w:rPr>
      </w:pPr>
      <w:r>
        <w:rPr>
          <w:b/>
          <w:szCs w:val="21"/>
          <w:highlight w:val="none"/>
        </w:rPr>
        <w:t>第二条　质量保证</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1.乙方所提供的货物型号、技术规格、技术参数等质量必须与招投标文件和承诺相一致。乙方提供的节能和环保产品必须是列入政府采购清单的产品。</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2.乙方所提供的货物必须是全新、未使用的原装产品，且在正常安装、使用和保养条件下，其使用寿命期内各项指标均达到质量要求。</w:t>
      </w:r>
    </w:p>
    <w:p>
      <w:pPr>
        <w:snapToGrid w:val="0"/>
        <w:spacing w:line="360" w:lineRule="auto"/>
        <w:ind w:firstLine="422" w:firstLineChars="200"/>
        <w:rPr>
          <w:szCs w:val="21"/>
          <w:highlight w:val="none"/>
        </w:rPr>
      </w:pPr>
      <w:r>
        <w:rPr>
          <w:b/>
          <w:szCs w:val="21"/>
          <w:highlight w:val="none"/>
        </w:rPr>
        <w:t>第三条  权利保证</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乙方应保证所提供货物在使用时不会侵犯任何第三方的专利权、商标权、工业设计权或其他权利。</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乙方应按招标文件规定的时间向甲方提供使用货物的有关技术资料。</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乙方保证所交付的货物的所有权完全属于乙方且无任何抵押、质押、查封等产权瑕疵。</w:t>
      </w:r>
    </w:p>
    <w:p>
      <w:pPr>
        <w:snapToGrid w:val="0"/>
        <w:spacing w:line="360" w:lineRule="auto"/>
        <w:ind w:firstLine="422" w:firstLineChars="200"/>
        <w:rPr>
          <w:b/>
          <w:szCs w:val="21"/>
          <w:highlight w:val="none"/>
        </w:rPr>
      </w:pPr>
      <w:r>
        <w:rPr>
          <w:b/>
          <w:szCs w:val="21"/>
          <w:highlight w:val="none"/>
        </w:rPr>
        <w:t>第四条  包装和运输</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1.乙方提供的货物均应按招投标文件要求的包装材料、包装标准、包装方式进行包装，每一包装单元内应附详细的装箱单和质量合格证。</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2.货物的运输方式：</w:t>
      </w:r>
      <w:r>
        <w:rPr>
          <w:rFonts w:ascii="Times New Roman" w:hAnsi="Times New Roman" w:cs="Times New Roman"/>
          <w:highlight w:val="none"/>
          <w:u w:val="single"/>
        </w:rPr>
        <w:t>乙方自定</w:t>
      </w:r>
      <w:r>
        <w:rPr>
          <w:rFonts w:ascii="Times New Roman" w:hAnsi="Times New Roman" w:cs="Times New Roman"/>
          <w:highlight w:val="none"/>
        </w:rPr>
        <w:t>。</w:t>
      </w:r>
    </w:p>
    <w:p>
      <w:pPr>
        <w:pStyle w:val="28"/>
        <w:spacing w:line="360" w:lineRule="auto"/>
        <w:ind w:firstLine="420" w:firstLineChars="200"/>
        <w:rPr>
          <w:rFonts w:ascii="Times New Roman" w:hAnsi="Times New Roman" w:cs="Times New Roman"/>
          <w:highlight w:val="none"/>
        </w:rPr>
      </w:pPr>
      <w:r>
        <w:rPr>
          <w:rFonts w:ascii="Times New Roman" w:hAnsi="Times New Roman" w:cs="Times New Roman"/>
          <w:highlight w:val="none"/>
        </w:rPr>
        <w:t>3.乙方负责货物运输，货物运输合理损耗及计算方法：</w:t>
      </w:r>
      <w:r>
        <w:rPr>
          <w:rFonts w:ascii="Times New Roman" w:hAnsi="Times New Roman" w:cs="Times New Roman"/>
          <w:highlight w:val="none"/>
          <w:u w:val="single"/>
        </w:rPr>
        <w:t xml:space="preserve">由乙方负责 </w:t>
      </w:r>
      <w:r>
        <w:rPr>
          <w:rFonts w:ascii="Times New Roman" w:hAnsi="Times New Roman" w:cs="Times New Roman"/>
          <w:highlight w:val="none"/>
        </w:rPr>
        <w:t>。</w:t>
      </w:r>
    </w:p>
    <w:p>
      <w:pPr>
        <w:snapToGrid w:val="0"/>
        <w:spacing w:line="360" w:lineRule="auto"/>
        <w:ind w:firstLine="422" w:firstLineChars="200"/>
        <w:rPr>
          <w:szCs w:val="21"/>
          <w:highlight w:val="none"/>
        </w:rPr>
      </w:pPr>
      <w:r>
        <w:rPr>
          <w:b/>
          <w:szCs w:val="21"/>
          <w:highlight w:val="none"/>
        </w:rPr>
        <w:t>第五条  交付和验收</w:t>
      </w:r>
    </w:p>
    <w:p>
      <w:pPr>
        <w:snapToGrid w:val="0"/>
        <w:spacing w:line="360" w:lineRule="auto"/>
        <w:ind w:firstLine="420" w:firstLineChars="200"/>
        <w:rPr>
          <w:szCs w:val="21"/>
          <w:highlight w:val="none"/>
        </w:rPr>
      </w:pPr>
      <w:r>
        <w:rPr>
          <w:szCs w:val="21"/>
          <w:highlight w:val="none"/>
        </w:rPr>
        <w:t>1.交付使用时间：</w:t>
      </w:r>
      <w:r>
        <w:rPr>
          <w:szCs w:val="21"/>
          <w:highlight w:val="none"/>
          <w:u w:val="single"/>
        </w:rPr>
        <w:t>按乙方投标文件中所承诺的时间</w:t>
      </w:r>
      <w:r>
        <w:rPr>
          <w:szCs w:val="21"/>
          <w:highlight w:val="none"/>
        </w:rPr>
        <w:t>；地点：</w:t>
      </w:r>
      <w:r>
        <w:rPr>
          <w:szCs w:val="21"/>
          <w:highlight w:val="none"/>
          <w:u w:val="single"/>
        </w:rPr>
        <w:t xml:space="preserve"> 甲方指定地点。</w:t>
      </w:r>
    </w:p>
    <w:p>
      <w:pPr>
        <w:snapToGrid w:val="0"/>
        <w:spacing w:line="360" w:lineRule="auto"/>
        <w:ind w:firstLine="420" w:firstLineChars="200"/>
        <w:rPr>
          <w:szCs w:val="21"/>
          <w:highlight w:val="none"/>
        </w:rPr>
      </w:pPr>
      <w:r>
        <w:rPr>
          <w:szCs w:val="21"/>
          <w:highlight w:val="none"/>
        </w:rPr>
        <w:t>2.乙方提供不符合招投标文件和本合同规定的货物，甲方有权拒绝接受。</w:t>
      </w:r>
    </w:p>
    <w:p>
      <w:pPr>
        <w:snapToGrid w:val="0"/>
        <w:spacing w:line="360" w:lineRule="auto"/>
        <w:ind w:firstLine="420" w:firstLineChars="200"/>
        <w:rPr>
          <w:szCs w:val="21"/>
          <w:highlight w:val="none"/>
        </w:rPr>
      </w:pPr>
      <w:r>
        <w:rPr>
          <w:szCs w:val="21"/>
          <w:highlight w:val="none"/>
        </w:rPr>
        <w:t>3.乙方应将所提供货物的装箱清单、用户手册、原厂保修卡、随机资料、工具和备品、备件等交付给甲方，如有缺失应及时补齐，否则视为逾期交货。</w:t>
      </w:r>
    </w:p>
    <w:p>
      <w:pPr>
        <w:snapToGrid w:val="0"/>
        <w:spacing w:line="360" w:lineRule="auto"/>
        <w:ind w:firstLine="420" w:firstLineChars="200"/>
        <w:rPr>
          <w:szCs w:val="21"/>
          <w:highlight w:val="none"/>
        </w:rPr>
      </w:pPr>
      <w:r>
        <w:rPr>
          <w:szCs w:val="21"/>
          <w:highlight w:val="none"/>
        </w:rPr>
        <w:t>4.甲方应当在到货并安装、调试完后七个工作日内进行</w:t>
      </w:r>
      <w:r>
        <w:rPr>
          <w:rFonts w:hint="eastAsia"/>
          <w:szCs w:val="21"/>
          <w:highlight w:val="none"/>
        </w:rPr>
        <w:t>初步</w:t>
      </w:r>
      <w:r>
        <w:rPr>
          <w:szCs w:val="21"/>
          <w:highlight w:val="none"/>
        </w:rPr>
        <w:t>验收，逾期不验收的，乙方可视同验收合格。验收合格后由甲乙双方签署货物验收单并加盖采购单位公章，甲乙双方各执一份。</w:t>
      </w:r>
    </w:p>
    <w:p>
      <w:pPr>
        <w:snapToGrid w:val="0"/>
        <w:spacing w:line="360" w:lineRule="auto"/>
        <w:ind w:firstLine="420" w:firstLineChars="200"/>
        <w:rPr>
          <w:szCs w:val="21"/>
          <w:highlight w:val="none"/>
        </w:rPr>
      </w:pPr>
      <w:r>
        <w:rPr>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szCs w:val="21"/>
          <w:highlight w:val="none"/>
        </w:rPr>
      </w:pPr>
      <w:r>
        <w:rPr>
          <w:szCs w:val="21"/>
          <w:highlight w:val="none"/>
        </w:rPr>
        <w:t>6.甲方对验收有异议的，在验收后五个工作日内以书面形式向乙方提出，乙方应自收到甲方书面异议后</w:t>
      </w:r>
      <w:r>
        <w:rPr>
          <w:szCs w:val="21"/>
          <w:highlight w:val="none"/>
          <w:u w:val="single"/>
        </w:rPr>
        <w:t xml:space="preserve"> 7 </w:t>
      </w:r>
      <w:r>
        <w:rPr>
          <w:szCs w:val="21"/>
          <w:highlight w:val="none"/>
        </w:rPr>
        <w:t>日内及时予以解决。</w:t>
      </w:r>
    </w:p>
    <w:p>
      <w:pPr>
        <w:snapToGrid w:val="0"/>
        <w:spacing w:line="360" w:lineRule="auto"/>
        <w:ind w:firstLine="422" w:firstLineChars="200"/>
        <w:rPr>
          <w:b/>
          <w:szCs w:val="21"/>
          <w:highlight w:val="none"/>
        </w:rPr>
      </w:pPr>
      <w:r>
        <w:rPr>
          <w:b/>
          <w:szCs w:val="21"/>
          <w:highlight w:val="none"/>
        </w:rPr>
        <w:t>第六条  安装和培训</w:t>
      </w:r>
    </w:p>
    <w:p>
      <w:pPr>
        <w:snapToGrid w:val="0"/>
        <w:spacing w:line="360" w:lineRule="auto"/>
        <w:ind w:firstLine="420" w:firstLineChars="200"/>
        <w:rPr>
          <w:szCs w:val="21"/>
          <w:highlight w:val="none"/>
        </w:rPr>
      </w:pPr>
      <w:r>
        <w:rPr>
          <w:szCs w:val="21"/>
          <w:highlight w:val="none"/>
        </w:rPr>
        <w:t>1.甲方应提供必要安装条件（如场地、电源、水源等）。</w:t>
      </w:r>
    </w:p>
    <w:p>
      <w:pPr>
        <w:snapToGrid w:val="0"/>
        <w:spacing w:line="360" w:lineRule="auto"/>
        <w:ind w:firstLine="420" w:firstLineChars="200"/>
        <w:rPr>
          <w:szCs w:val="21"/>
          <w:highlight w:val="none"/>
          <w:u w:val="single"/>
        </w:rPr>
      </w:pPr>
      <w:r>
        <w:rPr>
          <w:szCs w:val="21"/>
          <w:highlight w:val="none"/>
        </w:rPr>
        <w:t>2.乙方负责甲方有关人员的培训。培训时间、地点：</w:t>
      </w:r>
      <w:r>
        <w:rPr>
          <w:szCs w:val="21"/>
          <w:highlight w:val="none"/>
          <w:u w:val="single"/>
        </w:rPr>
        <w:t xml:space="preserve"> 由甲方决定。</w:t>
      </w:r>
    </w:p>
    <w:p>
      <w:pPr>
        <w:snapToGrid w:val="0"/>
        <w:spacing w:line="360" w:lineRule="auto"/>
        <w:ind w:firstLine="422" w:firstLineChars="200"/>
        <w:rPr>
          <w:b/>
          <w:szCs w:val="21"/>
          <w:highlight w:val="none"/>
        </w:rPr>
      </w:pPr>
      <w:r>
        <w:rPr>
          <w:b/>
          <w:szCs w:val="21"/>
          <w:highlight w:val="none"/>
        </w:rPr>
        <w:t>第七条  售后服务、质保期</w:t>
      </w:r>
    </w:p>
    <w:p>
      <w:pPr>
        <w:snapToGrid w:val="0"/>
        <w:spacing w:line="360" w:lineRule="auto"/>
        <w:ind w:firstLine="420" w:firstLineChars="200"/>
        <w:rPr>
          <w:szCs w:val="21"/>
          <w:highlight w:val="none"/>
        </w:rPr>
      </w:pPr>
      <w:r>
        <w:rPr>
          <w:szCs w:val="21"/>
          <w:highlight w:val="none"/>
        </w:rPr>
        <w:t>1.乙方应按照国家有关法律法规和“三包”规定以及招投标文件和本合同附件，为甲方提供售后服务。</w:t>
      </w:r>
    </w:p>
    <w:p>
      <w:pPr>
        <w:snapToGrid w:val="0"/>
        <w:spacing w:line="360" w:lineRule="auto"/>
        <w:ind w:firstLine="420" w:firstLineChars="200"/>
        <w:rPr>
          <w:szCs w:val="21"/>
          <w:highlight w:val="none"/>
          <w:u w:val="single"/>
        </w:rPr>
      </w:pPr>
      <w:r>
        <w:rPr>
          <w:szCs w:val="21"/>
          <w:highlight w:val="none"/>
        </w:rPr>
        <w:t>2.货物质保期：</w:t>
      </w:r>
      <w:r>
        <w:rPr>
          <w:szCs w:val="21"/>
          <w:highlight w:val="none"/>
          <w:u w:val="single"/>
        </w:rPr>
        <w:t>按乙方承诺，但是不得低于国家相关标准</w:t>
      </w:r>
      <w:r>
        <w:rPr>
          <w:szCs w:val="21"/>
          <w:highlight w:val="none"/>
        </w:rPr>
        <w:t>。</w:t>
      </w:r>
    </w:p>
    <w:p>
      <w:pPr>
        <w:snapToGrid w:val="0"/>
        <w:spacing w:line="360" w:lineRule="auto"/>
        <w:ind w:firstLine="420" w:firstLineChars="200"/>
        <w:rPr>
          <w:szCs w:val="21"/>
          <w:highlight w:val="none"/>
          <w:u w:val="single"/>
        </w:rPr>
      </w:pPr>
      <w:r>
        <w:rPr>
          <w:szCs w:val="21"/>
          <w:highlight w:val="none"/>
        </w:rPr>
        <w:t>3.乙方提供的服务承诺和售后服务及质保期责任等其它具体约定事项。（见合同附件）</w:t>
      </w:r>
    </w:p>
    <w:p>
      <w:pPr>
        <w:snapToGrid w:val="0"/>
        <w:spacing w:line="360" w:lineRule="auto"/>
        <w:ind w:firstLine="422" w:firstLineChars="200"/>
        <w:rPr>
          <w:szCs w:val="21"/>
          <w:highlight w:val="none"/>
        </w:rPr>
      </w:pPr>
      <w:r>
        <w:rPr>
          <w:b/>
          <w:szCs w:val="21"/>
          <w:highlight w:val="none"/>
        </w:rPr>
        <w:t>第八条　付款方式</w:t>
      </w:r>
    </w:p>
    <w:p>
      <w:pPr>
        <w:snapToGrid w:val="0"/>
        <w:spacing w:line="360" w:lineRule="auto"/>
        <w:ind w:firstLine="420" w:firstLineChars="200"/>
        <w:rPr>
          <w:szCs w:val="21"/>
          <w:highlight w:val="none"/>
        </w:rPr>
      </w:pPr>
      <w:r>
        <w:rPr>
          <w:rFonts w:hint="eastAsia"/>
          <w:szCs w:val="21"/>
          <w:highlight w:val="none"/>
        </w:rPr>
        <w:t>1</w:t>
      </w:r>
      <w:r>
        <w:rPr>
          <w:szCs w:val="21"/>
          <w:highlight w:val="none"/>
        </w:rPr>
        <w:t>.资金性质：</w:t>
      </w:r>
      <w:r>
        <w:rPr>
          <w:rFonts w:hint="eastAsia"/>
          <w:szCs w:val="21"/>
          <w:highlight w:val="none"/>
          <w:u w:val="single"/>
        </w:rPr>
        <w:t>财政性</w:t>
      </w:r>
      <w:r>
        <w:rPr>
          <w:szCs w:val="21"/>
          <w:highlight w:val="none"/>
          <w:u w:val="single"/>
        </w:rPr>
        <w:t>资金</w:t>
      </w:r>
      <w:r>
        <w:rPr>
          <w:szCs w:val="21"/>
          <w:highlight w:val="none"/>
        </w:rPr>
        <w:t>。</w:t>
      </w:r>
    </w:p>
    <w:p>
      <w:pPr>
        <w:snapToGrid w:val="0"/>
        <w:spacing w:line="360" w:lineRule="auto"/>
        <w:ind w:firstLine="420" w:firstLineChars="200"/>
        <w:rPr>
          <w:rFonts w:ascii="Arial" w:hAnsi="Arial"/>
          <w:szCs w:val="21"/>
          <w:highlight w:val="none"/>
          <w:u w:val="single"/>
        </w:rPr>
      </w:pPr>
      <w:r>
        <w:rPr>
          <w:rFonts w:hint="eastAsia"/>
          <w:szCs w:val="21"/>
          <w:highlight w:val="none"/>
        </w:rPr>
        <w:t>2</w:t>
      </w:r>
      <w:r>
        <w:rPr>
          <w:szCs w:val="21"/>
          <w:highlight w:val="none"/>
        </w:rPr>
        <w:t>.付款方式：</w:t>
      </w:r>
      <w:r>
        <w:rPr>
          <w:rFonts w:hint="eastAsia" w:ascii="Arial" w:hAnsi="Arial"/>
          <w:szCs w:val="21"/>
          <w:highlight w:val="none"/>
          <w:u w:val="single"/>
        </w:rPr>
        <w:t xml:space="preserve">  第1期为(首付款)：支付比例40%，本项目合同签订后，甲方在收到乙方的相应金额</w:t>
      </w:r>
      <w:r>
        <w:rPr>
          <w:rFonts w:hint="eastAsia" w:ascii="Arial" w:hAnsi="Arial"/>
          <w:szCs w:val="21"/>
          <w:highlight w:val="none"/>
          <w:u w:val="single"/>
          <w:lang w:eastAsia="zh-CN"/>
        </w:rPr>
        <w:t>增值税普通发票</w:t>
      </w:r>
      <w:r>
        <w:rPr>
          <w:rFonts w:hint="eastAsia" w:ascii="Arial" w:hAnsi="Arial"/>
          <w:szCs w:val="21"/>
          <w:highlight w:val="none"/>
          <w:u w:val="single"/>
        </w:rPr>
        <w:t>后，在10个工作日内付首付启动款，即合同总金额40%。</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第2期为(上线款)：支付比例30%，当子系统完成模拟网调试，并结束用户培训及上线正常使用10个工作日内，甲方收到乙方的相应金额</w:t>
      </w:r>
      <w:r>
        <w:rPr>
          <w:rFonts w:hint="eastAsia" w:ascii="Arial" w:hAnsi="Arial"/>
          <w:szCs w:val="21"/>
          <w:highlight w:val="none"/>
          <w:u w:val="single"/>
          <w:lang w:eastAsia="zh-CN"/>
        </w:rPr>
        <w:t>增值税普通发票</w:t>
      </w:r>
      <w:r>
        <w:rPr>
          <w:rFonts w:hint="eastAsia" w:ascii="Arial" w:hAnsi="Arial"/>
          <w:szCs w:val="21"/>
          <w:highlight w:val="none"/>
          <w:u w:val="single"/>
        </w:rPr>
        <w:t>后，支付合同总金额30%。</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第3期为(验收款)：支付比例25%，项目通过验收后，甲方收到乙方的相应金额</w:t>
      </w:r>
      <w:r>
        <w:rPr>
          <w:rFonts w:hint="eastAsia" w:ascii="Arial" w:hAnsi="Arial"/>
          <w:szCs w:val="21"/>
          <w:highlight w:val="none"/>
          <w:u w:val="single"/>
          <w:lang w:eastAsia="zh-CN"/>
        </w:rPr>
        <w:t>增值税普通发票</w:t>
      </w:r>
      <w:r>
        <w:rPr>
          <w:rFonts w:hint="eastAsia" w:ascii="Arial" w:hAnsi="Arial"/>
          <w:szCs w:val="21"/>
          <w:highlight w:val="none"/>
          <w:u w:val="single"/>
        </w:rPr>
        <w:t>后，在10个工作日内支付合同总金额25%。</w:t>
      </w:r>
    </w:p>
    <w:p>
      <w:pPr>
        <w:snapToGrid w:val="0"/>
        <w:spacing w:line="360" w:lineRule="auto"/>
        <w:ind w:firstLine="420" w:firstLineChars="200"/>
        <w:rPr>
          <w:rFonts w:ascii="Arial" w:hAnsi="Arial"/>
          <w:szCs w:val="21"/>
          <w:highlight w:val="none"/>
        </w:rPr>
      </w:pPr>
      <w:r>
        <w:rPr>
          <w:rFonts w:hint="eastAsia" w:ascii="Arial" w:hAnsi="Arial"/>
          <w:szCs w:val="21"/>
          <w:highlight w:val="none"/>
          <w:u w:val="single"/>
        </w:rPr>
        <w:t>第4期为(尾款)：支付比例5%，项目通过验收1年后，甲方收到乙方的相应金额</w:t>
      </w:r>
      <w:r>
        <w:rPr>
          <w:rFonts w:hint="eastAsia" w:ascii="Arial" w:hAnsi="Arial"/>
          <w:szCs w:val="21"/>
          <w:highlight w:val="none"/>
          <w:u w:val="single"/>
          <w:lang w:eastAsia="zh-CN"/>
        </w:rPr>
        <w:t>增值税普通发票</w:t>
      </w:r>
      <w:r>
        <w:rPr>
          <w:rFonts w:hint="eastAsia" w:ascii="Arial" w:hAnsi="Arial"/>
          <w:szCs w:val="21"/>
          <w:highlight w:val="none"/>
          <w:u w:val="single"/>
        </w:rPr>
        <w:t xml:space="preserve">后，在10个工作日内支付合同总金额5%。 </w:t>
      </w:r>
      <w:r>
        <w:rPr>
          <w:rFonts w:hint="eastAsia" w:ascii="Arial" w:hAnsi="Arial"/>
          <w:szCs w:val="21"/>
          <w:highlight w:val="none"/>
        </w:rPr>
        <w:t>。</w:t>
      </w:r>
    </w:p>
    <w:p>
      <w:pPr>
        <w:snapToGrid w:val="0"/>
        <w:spacing w:line="360" w:lineRule="auto"/>
        <w:ind w:firstLine="422" w:firstLineChars="200"/>
        <w:rPr>
          <w:b/>
          <w:szCs w:val="21"/>
          <w:highlight w:val="none"/>
        </w:rPr>
      </w:pPr>
      <w:r>
        <w:rPr>
          <w:b/>
          <w:szCs w:val="21"/>
          <w:highlight w:val="none"/>
        </w:rPr>
        <w:t xml:space="preserve">第九条 履约保证金   </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履约保证金：履约保证金金额：合同金额的5%，如为中小微企业，则不收取履约保证金</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履约保证金缴纳形式：供应商可以选择电汇、转账、支票、汇票、本票、保函等形式缴纳或提交；采用保函形式缴纳的，甲方在保证期限届满后及时对收取的保证金进行核实和结算。</w:t>
      </w:r>
    </w:p>
    <w:p>
      <w:pPr>
        <w:snapToGrid w:val="0"/>
        <w:spacing w:line="360" w:lineRule="auto"/>
        <w:ind w:firstLine="420" w:firstLineChars="200"/>
        <w:rPr>
          <w:rFonts w:ascii="Arial" w:hAnsi="Arial"/>
          <w:szCs w:val="21"/>
          <w:highlight w:val="none"/>
          <w:u w:val="single"/>
        </w:rPr>
      </w:pPr>
      <w:r>
        <w:rPr>
          <w:rFonts w:hint="eastAsia" w:ascii="Arial" w:hAnsi="Arial"/>
          <w:szCs w:val="21"/>
          <w:highlight w:val="none"/>
          <w:u w:val="single"/>
        </w:rPr>
        <w:t>履约保证金退还方式及时间、条件、不予退还的情形：履约保证金自合同生效之日起生效至合同材料验收证书或进度款支付函签署之日起28天后失效，项目验收合格后，</w:t>
      </w:r>
      <w:bookmarkStart w:id="183" w:name="OLE_LINK3"/>
      <w:r>
        <w:rPr>
          <w:rFonts w:hint="eastAsia" w:ascii="Arial" w:hAnsi="Arial"/>
          <w:szCs w:val="21"/>
          <w:highlight w:val="none"/>
          <w:u w:val="single"/>
        </w:rPr>
        <w:t>乙方</w:t>
      </w:r>
      <w:bookmarkEnd w:id="183"/>
      <w:r>
        <w:rPr>
          <w:rFonts w:hint="eastAsia" w:ascii="Arial" w:hAnsi="Arial"/>
          <w:szCs w:val="21"/>
          <w:highlight w:val="none"/>
          <w:u w:val="single"/>
        </w:rPr>
        <w:t xml:space="preserve">可向甲方申请办理履约保证金的退付手续；如果乙方不履行合同约定的义务或其履行不符合合同的 约定，甲方有权扣划全部或相应金额的履约保证金。 </w:t>
      </w:r>
    </w:p>
    <w:p>
      <w:pPr>
        <w:snapToGrid w:val="0"/>
        <w:spacing w:line="360" w:lineRule="auto"/>
        <w:ind w:firstLine="420" w:firstLineChars="200"/>
        <w:rPr>
          <w:szCs w:val="21"/>
          <w:highlight w:val="none"/>
          <w:u w:val="single"/>
        </w:rPr>
      </w:pPr>
      <w:r>
        <w:rPr>
          <w:rFonts w:hint="eastAsia" w:ascii="Arial" w:hAnsi="Arial"/>
          <w:szCs w:val="21"/>
          <w:highlight w:val="none"/>
          <w:u w:val="single"/>
        </w:rPr>
        <w:t>履约保证金符合退还条件的，甲方在收到乙方提交的履约保证金退付申请之日起28天内退还履约保证金，如未在规定时间内退还的，乙方可予以催告，经乙方催告后28天内仍未退还履约保证金的，甲方应按中国人民银行发布的同期同类贷款基准利率向乙方支付自催告日期起的利息</w:t>
      </w:r>
      <w:r>
        <w:rPr>
          <w:szCs w:val="21"/>
          <w:highlight w:val="none"/>
          <w:u w:val="single"/>
        </w:rPr>
        <w:t>。</w:t>
      </w:r>
    </w:p>
    <w:p>
      <w:pPr>
        <w:snapToGrid w:val="0"/>
        <w:spacing w:line="360" w:lineRule="auto"/>
        <w:ind w:firstLine="422" w:firstLineChars="200"/>
        <w:rPr>
          <w:b/>
          <w:szCs w:val="21"/>
          <w:highlight w:val="none"/>
        </w:rPr>
      </w:pPr>
      <w:r>
        <w:rPr>
          <w:b/>
          <w:szCs w:val="21"/>
          <w:highlight w:val="none"/>
        </w:rPr>
        <w:t>第十条 税费</w:t>
      </w:r>
    </w:p>
    <w:p>
      <w:pPr>
        <w:snapToGrid w:val="0"/>
        <w:spacing w:line="360" w:lineRule="auto"/>
        <w:ind w:firstLine="420" w:firstLineChars="200"/>
        <w:rPr>
          <w:szCs w:val="21"/>
          <w:highlight w:val="none"/>
        </w:rPr>
      </w:pPr>
      <w:r>
        <w:rPr>
          <w:szCs w:val="21"/>
          <w:highlight w:val="none"/>
        </w:rPr>
        <w:t>本合同执行中相关的一切税费均由乙方负担。</w:t>
      </w:r>
    </w:p>
    <w:p>
      <w:pPr>
        <w:snapToGrid w:val="0"/>
        <w:spacing w:line="360" w:lineRule="auto"/>
        <w:ind w:firstLine="422" w:firstLineChars="200"/>
        <w:rPr>
          <w:b/>
          <w:szCs w:val="21"/>
          <w:highlight w:val="none"/>
        </w:rPr>
      </w:pPr>
      <w:r>
        <w:rPr>
          <w:b/>
          <w:szCs w:val="21"/>
          <w:highlight w:val="none"/>
        </w:rPr>
        <w:t>第十一条 质量保证及售后服务</w:t>
      </w:r>
    </w:p>
    <w:p>
      <w:pPr>
        <w:snapToGrid w:val="0"/>
        <w:spacing w:line="360" w:lineRule="auto"/>
        <w:ind w:firstLine="420" w:firstLineChars="200"/>
        <w:rPr>
          <w:szCs w:val="21"/>
          <w:highlight w:val="none"/>
        </w:rPr>
      </w:pPr>
      <w:r>
        <w:rPr>
          <w:szCs w:val="21"/>
          <w:highlight w:val="none"/>
        </w:rPr>
        <w:t>1. 乙方应按招标文件规定的货物性能、技术要求、质量标准向甲方提供未经使用的全新产品。乙方提供货物的质量保证期按交货验收合格之日起计（期限见《项目采购需求》中各</w:t>
      </w:r>
      <w:r>
        <w:rPr>
          <w:rFonts w:hint="eastAsia"/>
          <w:szCs w:val="21"/>
          <w:highlight w:val="none"/>
        </w:rPr>
        <w:t>分标</w:t>
      </w:r>
      <w:r>
        <w:rPr>
          <w:szCs w:val="21"/>
          <w:highlight w:val="none"/>
        </w:rPr>
        <w:t>的要求）。在保证期内因货物本身的质量问题发生故障，乙方应负责免费修理和更换零部件。对达不到技术要求者，根据实际情况，经双方协商，可按以下办法处理：</w:t>
      </w:r>
    </w:p>
    <w:p>
      <w:pPr>
        <w:snapToGrid w:val="0"/>
        <w:spacing w:line="360" w:lineRule="auto"/>
        <w:ind w:firstLine="420" w:firstLineChars="200"/>
        <w:rPr>
          <w:szCs w:val="21"/>
          <w:highlight w:val="none"/>
        </w:rPr>
      </w:pPr>
      <w:r>
        <w:rPr>
          <w:szCs w:val="21"/>
          <w:highlight w:val="none"/>
        </w:rPr>
        <w:t>（1）更换：由乙方承担所发生的全部费用。</w:t>
      </w:r>
    </w:p>
    <w:p>
      <w:pPr>
        <w:snapToGrid w:val="0"/>
        <w:spacing w:line="360" w:lineRule="auto"/>
        <w:ind w:firstLine="420" w:firstLineChars="200"/>
        <w:rPr>
          <w:szCs w:val="21"/>
          <w:highlight w:val="none"/>
        </w:rPr>
      </w:pPr>
      <w:r>
        <w:rPr>
          <w:szCs w:val="21"/>
          <w:highlight w:val="none"/>
        </w:rPr>
        <w:t>（2）贬值处理：由甲乙双方合议定价。</w:t>
      </w:r>
    </w:p>
    <w:p>
      <w:pPr>
        <w:snapToGrid w:val="0"/>
        <w:spacing w:line="360" w:lineRule="auto"/>
        <w:ind w:firstLine="420" w:firstLineChars="200"/>
        <w:rPr>
          <w:szCs w:val="21"/>
          <w:highlight w:val="none"/>
        </w:rPr>
      </w:pPr>
      <w:r>
        <w:rPr>
          <w:szCs w:val="21"/>
          <w:highlight w:val="none"/>
        </w:rPr>
        <w:t>（3）退货处理：乙方应退还甲方支付的合同款，同时应承担该货物的直接费用（运输、保险、检验、货款利息及银行手续费等）。</w:t>
      </w:r>
    </w:p>
    <w:p>
      <w:pPr>
        <w:pStyle w:val="28"/>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2. 如在使用过程中发生质量问题，乙方在接到甲方通知后在</w:t>
      </w:r>
      <w:r>
        <w:rPr>
          <w:rFonts w:ascii="Times New Roman" w:hAnsi="Times New Roman" w:cs="Times New Roman"/>
          <w:highlight w:val="none"/>
          <w:u w:val="single"/>
        </w:rPr>
        <w:t xml:space="preserve">    </w:t>
      </w:r>
      <w:r>
        <w:rPr>
          <w:rFonts w:ascii="Times New Roman" w:hAnsi="Times New Roman" w:cs="Times New Roman"/>
          <w:highlight w:val="none"/>
        </w:rPr>
        <w:t>小时内到达甲方现场。</w:t>
      </w:r>
    </w:p>
    <w:p>
      <w:pPr>
        <w:pStyle w:val="28"/>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3. 在质保期内，乙方应对货物出现的质量及安全问题负责处理解决并承担一切费用。</w:t>
      </w:r>
    </w:p>
    <w:p>
      <w:pPr>
        <w:pStyle w:val="28"/>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4.上述的货物因人为因素出现的故障不在免费保修范围内。超过质保期的机器设备，终生维修，维修时只收部件成本费。</w:t>
      </w:r>
    </w:p>
    <w:p>
      <w:pPr>
        <w:pStyle w:val="28"/>
        <w:snapToGrid w:val="0"/>
        <w:spacing w:before="120" w:after="120" w:line="360" w:lineRule="auto"/>
        <w:ind w:firstLine="422" w:firstLineChars="200"/>
        <w:rPr>
          <w:rFonts w:ascii="Times New Roman" w:hAnsi="Times New Roman" w:cs="Times New Roman"/>
          <w:highlight w:val="none"/>
        </w:rPr>
      </w:pPr>
      <w:r>
        <w:rPr>
          <w:rFonts w:ascii="Times New Roman" w:hAnsi="Times New Roman" w:cs="Times New Roman"/>
          <w:b/>
          <w:highlight w:val="none"/>
        </w:rPr>
        <w:t>第十二条 货物包装、发运及运输</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1. 乙方应在货物发运前对其进行满足运输距离、防潮、防震、防锈和防破损装卸等要求包装，以保证货物安全运达甲方指定地点。</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2. 使用说明书、质量检验证明书、随配附件和工具以及清单一并附于货物内。</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3. 乙方在货物发运手续办理完毕后二十四小时内或货到甲方四十八小时前通知甲方，以准备接货。</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4. 货物在交付甲方前发生的风险均由乙方负责。</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5. 货物在规定的交付期限内由乙方送达甲方指定的地点并初步验收合格后视为交付，乙方同时需通知甲方货物已送达。</w:t>
      </w:r>
    </w:p>
    <w:p>
      <w:pPr>
        <w:pStyle w:val="28"/>
        <w:snapToGrid w:val="0"/>
        <w:spacing w:before="120" w:after="120" w:line="360" w:lineRule="auto"/>
        <w:ind w:firstLine="413" w:firstLineChars="196"/>
        <w:rPr>
          <w:rFonts w:ascii="Times New Roman" w:hAnsi="Times New Roman" w:cs="Times New Roman"/>
          <w:b/>
          <w:highlight w:val="none"/>
        </w:rPr>
      </w:pPr>
      <w:bookmarkStart w:id="184" w:name="_Toc217446110"/>
      <w:r>
        <w:rPr>
          <w:rFonts w:ascii="Times New Roman" w:hAnsi="Times New Roman" w:cs="Times New Roman"/>
          <w:b/>
          <w:highlight w:val="none"/>
        </w:rPr>
        <w:t>第十三条 交货及验收</w:t>
      </w:r>
      <w:bookmarkEnd w:id="184"/>
      <w:r>
        <w:rPr>
          <w:rFonts w:ascii="Times New Roman" w:hAnsi="Times New Roman" w:cs="Times New Roman"/>
          <w:b/>
          <w:highlight w:val="none"/>
        </w:rPr>
        <w:t>要求</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1. 甲方对乙方提交的货物依据招标文件上的技术规格要求和国家有关质量标准进行现场初步验收，外观、说明书符合招标文件技术要求的，给予签收，初步验收不合格的不予签收。货到后，</w:t>
      </w:r>
      <w:r>
        <w:rPr>
          <w:rFonts w:ascii="Times New Roman" w:hAnsi="Times New Roman" w:cs="Times New Roman"/>
          <w:bCs/>
          <w:highlight w:val="none"/>
        </w:rPr>
        <w:t>甲方应当在到货并安装、调试完后七个工作日内进行验收</w:t>
      </w:r>
      <w:r>
        <w:rPr>
          <w:rFonts w:ascii="Times New Roman" w:hAnsi="Times New Roman" w:cs="Times New Roman"/>
          <w:highlight w:val="none"/>
        </w:rPr>
        <w:t>。</w:t>
      </w:r>
    </w:p>
    <w:p>
      <w:pPr>
        <w:pStyle w:val="28"/>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28"/>
        <w:snapToGrid w:val="0"/>
        <w:spacing w:before="120" w:after="120" w:line="360" w:lineRule="auto"/>
        <w:ind w:firstLine="420" w:firstLineChars="200"/>
        <w:rPr>
          <w:rFonts w:ascii="Times New Roman" w:hAnsi="Times New Roman" w:cs="Times New Roman"/>
          <w:highlight w:val="none"/>
          <w:u w:val="single"/>
        </w:rPr>
      </w:pPr>
      <w:r>
        <w:rPr>
          <w:rFonts w:ascii="Times New Roman" w:hAnsi="Times New Roman" w:cs="Times New Roman"/>
          <w:highlight w:val="none"/>
        </w:rPr>
        <w:t>3. 甲方对乙方提供的货物在使用前进行调试时，乙方需负责安装并培训甲方的使用操作人员，并协助甲方一起调试，直到符合技术要求，甲方才做最终验收。</w:t>
      </w:r>
    </w:p>
    <w:p>
      <w:pPr>
        <w:pStyle w:val="28"/>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4. 验收由甲方组织，乙方配合进行。对技术复杂的货物，甲方应请国家认可的专业检测机构参与初步验收及最终验收，并由其出具质量检测报告。</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（1） 货物在乙方通知安装调试完毕后</w:t>
      </w:r>
      <w:r>
        <w:rPr>
          <w:rFonts w:ascii="Times New Roman" w:hAnsi="Times New Roman" w:cs="Times New Roman"/>
          <w:bCs/>
          <w:highlight w:val="none"/>
          <w:u w:val="single"/>
        </w:rPr>
        <w:t>七个工作日</w:t>
      </w:r>
      <w:r>
        <w:rPr>
          <w:rFonts w:ascii="Times New Roman" w:hAnsi="Times New Roman" w:cs="Times New Roman"/>
          <w:highlight w:val="none"/>
        </w:rPr>
        <w:t>内初步验收。初步验收合格后，进入</w:t>
      </w:r>
      <w:r>
        <w:rPr>
          <w:rFonts w:hint="eastAsia" w:ascii="Times New Roman" w:hAnsi="Times New Roman" w:cs="Times New Roman"/>
          <w:highlight w:val="none"/>
          <w:u w:val="single"/>
        </w:rPr>
        <w:t>一个月</w:t>
      </w:r>
      <w:r>
        <w:rPr>
          <w:rFonts w:ascii="Times New Roman" w:hAnsi="Times New Roman" w:cs="Times New Roman"/>
          <w:highlight w:val="none"/>
        </w:rPr>
        <w:t>试用期；试用期间发生重大质量问题，修复后试用相应顺延；试用期结束后</w:t>
      </w:r>
      <w:r>
        <w:rPr>
          <w:rFonts w:hint="eastAsia" w:ascii="Times New Roman" w:hAnsi="Times New Roman" w:cs="Times New Roman"/>
          <w:highlight w:val="none"/>
          <w:u w:val="single"/>
        </w:rPr>
        <w:t>七个工作</w:t>
      </w:r>
      <w:r>
        <w:rPr>
          <w:rFonts w:ascii="Times New Roman" w:hAnsi="Times New Roman" w:cs="Times New Roman"/>
          <w:highlight w:val="none"/>
          <w:u w:val="single"/>
        </w:rPr>
        <w:t>日</w:t>
      </w:r>
      <w:r>
        <w:rPr>
          <w:rFonts w:ascii="Times New Roman" w:hAnsi="Times New Roman" w:cs="Times New Roman"/>
          <w:highlight w:val="none"/>
        </w:rPr>
        <w:t>内完成最终验收；</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（4）如货物经乙方</w:t>
      </w:r>
      <w:r>
        <w:rPr>
          <w:rFonts w:ascii="Times New Roman" w:hAnsi="Times New Roman" w:cs="Times New Roman"/>
          <w:highlight w:val="none"/>
          <w:u w:val="single"/>
        </w:rPr>
        <w:t xml:space="preserve">   </w:t>
      </w:r>
      <w:r>
        <w:rPr>
          <w:rFonts w:ascii="Times New Roman" w:hAnsi="Times New Roman" w:cs="Times New Roman"/>
          <w:highlight w:val="none"/>
        </w:rPr>
        <w:t>次维修仍不能达到合同约定的质量标准，甲方有权退货，并视作乙方不能交付货物而须支付违约赔偿金给甲方，甲方还可依法追究乙方的违约责任。 </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（5） 验收结束后，应当出具验收书，列明各项标准的验收情况及项目总体评价，由验收双方共同签署。</w:t>
      </w:r>
    </w:p>
    <w:p>
      <w:pPr>
        <w:pStyle w:val="28"/>
        <w:snapToGrid w:val="0"/>
        <w:spacing w:before="120" w:after="120" w:line="360" w:lineRule="auto"/>
        <w:ind w:firstLine="420" w:firstLineChars="200"/>
        <w:rPr>
          <w:rFonts w:ascii="Times New Roman" w:hAnsi="Times New Roman" w:cs="Times New Roman"/>
          <w:highlight w:val="none"/>
        </w:rPr>
      </w:pPr>
      <w:r>
        <w:rPr>
          <w:rFonts w:ascii="Times New Roman" w:hAnsi="Times New Roman" w:cs="Times New Roman"/>
          <w:highlight w:val="none"/>
        </w:rPr>
        <w:t>5.货物安装完成后</w:t>
      </w:r>
      <w:r>
        <w:rPr>
          <w:rFonts w:ascii="Times New Roman" w:hAnsi="Times New Roman" w:cs="Times New Roman"/>
          <w:bCs/>
          <w:highlight w:val="none"/>
          <w:u w:val="single"/>
        </w:rPr>
        <w:t>七个工作日</w:t>
      </w:r>
      <w:r>
        <w:rPr>
          <w:rFonts w:ascii="Times New Roman" w:hAnsi="Times New Roman" w:cs="Times New Roman"/>
          <w:highlight w:val="none"/>
        </w:rPr>
        <w:t>内，甲方无故不进行验收工作并已使用货物的，视同已安装调试完成并验收合格。验收合格的项目，甲方在验收书签署之日后</w:t>
      </w:r>
      <w:r>
        <w:rPr>
          <w:rFonts w:ascii="Times New Roman" w:hAnsi="Times New Roman" w:cs="Times New Roman"/>
          <w:highlight w:val="none"/>
          <w:u w:val="single"/>
        </w:rPr>
        <w:t xml:space="preserve">    </w:t>
      </w:r>
      <w:r>
        <w:rPr>
          <w:rFonts w:ascii="Times New Roman" w:hAnsi="Times New Roman" w:cs="Times New Roman"/>
          <w:highlight w:val="none"/>
        </w:rPr>
        <w:t>日内向乙方支付采购资金，</w:t>
      </w:r>
      <w:r>
        <w:rPr>
          <w:rFonts w:ascii="Times New Roman" w:hAnsi="Times New Roman" w:cs="Times New Roman"/>
          <w:highlight w:val="none"/>
          <w:u w:val="single"/>
        </w:rPr>
        <w:t xml:space="preserve">            </w:t>
      </w:r>
      <w:r>
        <w:rPr>
          <w:rFonts w:ascii="Times New Roman" w:hAnsi="Times New Roman" w:cs="Times New Roman"/>
          <w:highlight w:val="none"/>
        </w:rPr>
        <w:t>在</w:t>
      </w:r>
      <w:r>
        <w:rPr>
          <w:rFonts w:ascii="Times New Roman" w:hAnsi="Times New Roman" w:cs="Times New Roman"/>
          <w:highlight w:val="none"/>
          <w:u w:val="single"/>
        </w:rPr>
        <w:t xml:space="preserve">    </w:t>
      </w:r>
      <w:r>
        <w:rPr>
          <w:rFonts w:ascii="Times New Roman" w:hAnsi="Times New Roman" w:cs="Times New Roman"/>
          <w:highlight w:val="none"/>
        </w:rPr>
        <w:t>日内退还履约保证金（如有）。验收不合格的项目，将按本合同第十四条违约责任处理，未作约定的，按照《</w:t>
      </w:r>
      <w:r>
        <w:rPr>
          <w:rFonts w:hint="eastAsia" w:ascii="Times New Roman" w:hAnsi="Times New Roman" w:cs="Times New Roman"/>
          <w:highlight w:val="none"/>
        </w:rPr>
        <w:t>民法典</w:t>
      </w:r>
      <w:r>
        <w:rPr>
          <w:rFonts w:ascii="Times New Roman" w:hAnsi="Times New Roman" w:cs="Times New Roman"/>
          <w:highlight w:val="none"/>
        </w:rPr>
        <w:t xml:space="preserve">》规定处理。    </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6. 验收时乙方必须在现场，验收完毕后作出验收结果报告（验收书）；验收费用由乙方负责。费用标准参照国家或自治区有关规定执行。</w:t>
      </w:r>
    </w:p>
    <w:p>
      <w:pPr>
        <w:pStyle w:val="28"/>
        <w:snapToGrid w:val="0"/>
        <w:spacing w:before="120" w:after="120" w:line="360" w:lineRule="auto"/>
        <w:ind w:firstLine="420" w:firstLineChars="200"/>
        <w:jc w:val="left"/>
        <w:rPr>
          <w:rFonts w:ascii="Times New Roman" w:hAnsi="Times New Roman" w:cs="Times New Roman"/>
          <w:highlight w:val="none"/>
        </w:rPr>
      </w:pPr>
      <w:r>
        <w:rPr>
          <w:rFonts w:ascii="Times New Roman" w:hAnsi="Times New Roman" w:cs="Times New Roman"/>
          <w:highlight w:val="none"/>
        </w:rPr>
        <w:t>7.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auto"/>
        <w:ind w:firstLine="422" w:firstLineChars="200"/>
        <w:rPr>
          <w:b/>
          <w:szCs w:val="21"/>
          <w:highlight w:val="none"/>
        </w:rPr>
      </w:pPr>
      <w:r>
        <w:rPr>
          <w:b/>
          <w:szCs w:val="21"/>
          <w:highlight w:val="none"/>
        </w:rPr>
        <w:t>第十四条　违约责任</w:t>
      </w:r>
    </w:p>
    <w:p>
      <w:pPr>
        <w:snapToGrid w:val="0"/>
        <w:spacing w:line="360" w:lineRule="auto"/>
        <w:ind w:firstLine="420" w:firstLineChars="200"/>
        <w:rPr>
          <w:szCs w:val="21"/>
          <w:highlight w:val="none"/>
        </w:rPr>
      </w:pPr>
      <w:r>
        <w:rPr>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w:t>
      </w:r>
      <w:r>
        <w:rPr>
          <w:szCs w:val="21"/>
          <w:highlight w:val="none"/>
          <w:u w:val="single"/>
        </w:rPr>
        <w:t>5%</w:t>
      </w:r>
      <w:r>
        <w:rPr>
          <w:szCs w:val="21"/>
          <w:highlight w:val="none"/>
        </w:rPr>
        <w:t xml:space="preserve">违约金并赔偿甲方经济损失。                                       </w:t>
      </w:r>
    </w:p>
    <w:p>
      <w:pPr>
        <w:snapToGrid w:val="0"/>
        <w:spacing w:line="360" w:lineRule="auto"/>
        <w:ind w:firstLine="420" w:firstLineChars="200"/>
        <w:rPr>
          <w:szCs w:val="21"/>
          <w:highlight w:val="none"/>
        </w:rPr>
      </w:pPr>
      <w:r>
        <w:rPr>
          <w:szCs w:val="21"/>
          <w:highlight w:val="none"/>
        </w:rPr>
        <w:t>2.乙方提供的货物如侵犯了第三方合法权益而引发的任何纠纷或诉讼，均由乙方负责交涉并承担全部责任。</w:t>
      </w:r>
    </w:p>
    <w:p>
      <w:pPr>
        <w:snapToGrid w:val="0"/>
        <w:spacing w:line="360" w:lineRule="auto"/>
        <w:ind w:firstLine="420" w:firstLineChars="200"/>
        <w:rPr>
          <w:szCs w:val="21"/>
          <w:highlight w:val="none"/>
        </w:rPr>
      </w:pPr>
      <w:r>
        <w:rPr>
          <w:szCs w:val="21"/>
          <w:highlight w:val="none"/>
        </w:rPr>
        <w:t>3.因包装、运输引起的货物损坏，按质量不合格处罚。</w:t>
      </w:r>
    </w:p>
    <w:p>
      <w:pPr>
        <w:snapToGrid w:val="0"/>
        <w:spacing w:line="360" w:lineRule="auto"/>
        <w:ind w:firstLine="420" w:firstLineChars="200"/>
        <w:rPr>
          <w:szCs w:val="21"/>
          <w:highlight w:val="none"/>
        </w:rPr>
      </w:pPr>
      <w:r>
        <w:rPr>
          <w:szCs w:val="21"/>
          <w:highlight w:val="none"/>
        </w:rPr>
        <w:t>4.甲方无故延期接收货物、乙方逾期交货的，每天向对方偿付违约货款额3‰违约金，但违约金累计不得超过违约货款额</w:t>
      </w:r>
      <w:r>
        <w:rPr>
          <w:szCs w:val="21"/>
          <w:highlight w:val="none"/>
          <w:u w:val="single"/>
        </w:rPr>
        <w:t>5%</w:t>
      </w:r>
      <w:r>
        <w:rPr>
          <w:szCs w:val="21"/>
          <w:highlight w:val="none"/>
        </w:rPr>
        <w:t>，超过</w:t>
      </w:r>
      <w:r>
        <w:rPr>
          <w:szCs w:val="21"/>
          <w:highlight w:val="none"/>
          <w:u w:val="single"/>
        </w:rPr>
        <w:t xml:space="preserve"> 30 </w:t>
      </w:r>
      <w:r>
        <w:rPr>
          <w:szCs w:val="21"/>
          <w:highlight w:val="none"/>
        </w:rPr>
        <w:t>天对方有权解除合同，违约方承担因此给对方造成经济损失；甲方延期付货款的，每天向乙方偿付延期货款额</w:t>
      </w:r>
      <w:r>
        <w:rPr>
          <w:szCs w:val="21"/>
          <w:highlight w:val="none"/>
          <w:u w:val="single"/>
        </w:rPr>
        <w:t xml:space="preserve">3‰ </w:t>
      </w:r>
      <w:r>
        <w:rPr>
          <w:szCs w:val="21"/>
          <w:highlight w:val="none"/>
        </w:rPr>
        <w:t>滞纳金，但滞纳金累计不得超过延期货款额</w:t>
      </w:r>
      <w:r>
        <w:rPr>
          <w:szCs w:val="21"/>
          <w:highlight w:val="none"/>
          <w:u w:val="single"/>
        </w:rPr>
        <w:t>5%</w:t>
      </w:r>
      <w:r>
        <w:rPr>
          <w:szCs w:val="21"/>
          <w:highlight w:val="none"/>
        </w:rPr>
        <w:t>。</w:t>
      </w:r>
    </w:p>
    <w:p>
      <w:pPr>
        <w:snapToGrid w:val="0"/>
        <w:spacing w:line="360" w:lineRule="auto"/>
        <w:ind w:firstLine="420" w:firstLineChars="200"/>
        <w:rPr>
          <w:szCs w:val="21"/>
          <w:highlight w:val="none"/>
        </w:rPr>
      </w:pPr>
      <w:r>
        <w:rPr>
          <w:szCs w:val="21"/>
          <w:highlight w:val="none"/>
        </w:rPr>
        <w:t>5.乙方未按本合同和投标文件中规定的服务承诺提供售后服务的，乙方应按本合同合计金额</w:t>
      </w:r>
      <w:r>
        <w:rPr>
          <w:szCs w:val="21"/>
          <w:highlight w:val="none"/>
          <w:u w:val="single"/>
        </w:rPr>
        <w:t xml:space="preserve"> 5%</w:t>
      </w:r>
      <w:r>
        <w:rPr>
          <w:szCs w:val="21"/>
          <w:highlight w:val="none"/>
        </w:rPr>
        <w:t>向甲方支付违约金。</w:t>
      </w:r>
    </w:p>
    <w:p>
      <w:pPr>
        <w:snapToGrid w:val="0"/>
        <w:spacing w:line="360" w:lineRule="auto"/>
        <w:ind w:firstLine="420" w:firstLineChars="200"/>
        <w:rPr>
          <w:szCs w:val="21"/>
          <w:highlight w:val="none"/>
        </w:rPr>
      </w:pPr>
      <w:r>
        <w:rPr>
          <w:szCs w:val="21"/>
          <w:highlight w:val="none"/>
        </w:rPr>
        <w:t>6.乙方提供的货物在质量保证期内，因设计、工艺或材料的缺陷和其它质量原因造成的问题，由乙方负责，费用从质量保证金中扣除，质量保证金不足以支付的，由乙方另行支付。</w:t>
      </w:r>
    </w:p>
    <w:p>
      <w:pPr>
        <w:snapToGrid w:val="0"/>
        <w:spacing w:line="360" w:lineRule="auto"/>
        <w:ind w:firstLine="420" w:firstLineChars="200"/>
        <w:rPr>
          <w:szCs w:val="21"/>
          <w:highlight w:val="none"/>
        </w:rPr>
      </w:pPr>
      <w:r>
        <w:rPr>
          <w:szCs w:val="21"/>
          <w:highlight w:val="none"/>
        </w:rPr>
        <w:t>7.其它违约行为按违约货款额5%收取违约金并赔偿经济损失。</w:t>
      </w:r>
    </w:p>
    <w:p>
      <w:pPr>
        <w:snapToGrid w:val="0"/>
        <w:spacing w:line="360" w:lineRule="auto"/>
        <w:ind w:firstLine="420" w:firstLineChars="200"/>
        <w:rPr>
          <w:szCs w:val="21"/>
          <w:highlight w:val="none"/>
        </w:rPr>
      </w:pPr>
      <w:bookmarkStart w:id="185" w:name="_Hlk19114097"/>
      <w:r>
        <w:rPr>
          <w:szCs w:val="21"/>
          <w:highlight w:val="none"/>
        </w:rPr>
        <w:t>8.</w:t>
      </w:r>
      <w:r>
        <w:rPr>
          <w:rFonts w:hint="eastAsia"/>
          <w:szCs w:val="21"/>
          <w:highlight w:val="none"/>
        </w:rPr>
        <w:t>因甲方原因导致变更、中止或者终止政府采购合同的，应当依照合同约定对乙方受到的损失予以赔偿或者补偿。</w:t>
      </w:r>
      <w:r>
        <w:rPr>
          <w:szCs w:val="21"/>
          <w:highlight w:val="none"/>
        </w:rPr>
        <w:t>赔偿（补偿）标准：</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按实际损失赔偿</w:t>
      </w:r>
      <w:r>
        <w:rPr>
          <w:szCs w:val="21"/>
          <w:highlight w:val="none"/>
          <w:u w:val="single"/>
        </w:rPr>
        <w:t xml:space="preserve">  </w:t>
      </w:r>
      <w:r>
        <w:rPr>
          <w:rFonts w:hint="eastAsia"/>
          <w:szCs w:val="21"/>
          <w:highlight w:val="none"/>
        </w:rPr>
        <w:t>。</w:t>
      </w:r>
      <w:bookmarkEnd w:id="185"/>
    </w:p>
    <w:p>
      <w:pPr>
        <w:pStyle w:val="28"/>
        <w:snapToGrid w:val="0"/>
        <w:spacing w:before="120" w:after="120" w:line="360" w:lineRule="auto"/>
        <w:ind w:firstLine="413" w:firstLineChars="196"/>
        <w:rPr>
          <w:rFonts w:ascii="Times New Roman" w:hAnsi="Times New Roman" w:cs="Times New Roman"/>
          <w:b/>
          <w:highlight w:val="none"/>
        </w:rPr>
      </w:pPr>
      <w:r>
        <w:rPr>
          <w:rFonts w:ascii="Times New Roman" w:hAnsi="Times New Roman" w:cs="Times New Roman"/>
          <w:b/>
          <w:highlight w:val="none"/>
        </w:rPr>
        <w:t>第十五条 不可抗力事件处理</w:t>
      </w:r>
    </w:p>
    <w:p>
      <w:pPr>
        <w:snapToGrid w:val="0"/>
        <w:spacing w:line="360" w:lineRule="auto"/>
        <w:ind w:firstLine="420" w:firstLineChars="200"/>
        <w:rPr>
          <w:szCs w:val="21"/>
          <w:highlight w:val="none"/>
        </w:rPr>
      </w:pPr>
      <w:r>
        <w:rPr>
          <w:szCs w:val="21"/>
          <w:highlight w:val="none"/>
        </w:rPr>
        <w:t>1. 在合同有效期内，任何一方因不可抗力事件导致不能履行合同，则合同履行期可延长，其延长期与不可抗力影响期相同。</w:t>
      </w:r>
    </w:p>
    <w:p>
      <w:pPr>
        <w:snapToGrid w:val="0"/>
        <w:spacing w:line="360" w:lineRule="auto"/>
        <w:ind w:firstLine="420" w:firstLineChars="200"/>
        <w:rPr>
          <w:szCs w:val="21"/>
          <w:highlight w:val="none"/>
        </w:rPr>
      </w:pPr>
      <w:r>
        <w:rPr>
          <w:szCs w:val="21"/>
          <w:highlight w:val="none"/>
        </w:rPr>
        <w:t>2. 不可抗力事件发生后，应立即通知对方，并寄送有关权威机构出具的证明。</w:t>
      </w:r>
    </w:p>
    <w:p>
      <w:pPr>
        <w:snapToGrid w:val="0"/>
        <w:spacing w:line="360" w:lineRule="auto"/>
        <w:ind w:firstLine="420" w:firstLineChars="200"/>
        <w:rPr>
          <w:szCs w:val="21"/>
          <w:highlight w:val="none"/>
        </w:rPr>
      </w:pPr>
      <w:r>
        <w:rPr>
          <w:szCs w:val="21"/>
          <w:highlight w:val="none"/>
        </w:rPr>
        <w:t>3. 不可抗力事件延续一百二十天以上，双方应通过友好协商，确定是否继续履行合同。</w:t>
      </w:r>
    </w:p>
    <w:p>
      <w:pPr>
        <w:snapToGrid w:val="0"/>
        <w:spacing w:line="360" w:lineRule="auto"/>
        <w:ind w:firstLine="422" w:firstLineChars="200"/>
        <w:rPr>
          <w:szCs w:val="21"/>
          <w:highlight w:val="none"/>
        </w:rPr>
      </w:pPr>
      <w:r>
        <w:rPr>
          <w:b/>
          <w:szCs w:val="21"/>
          <w:highlight w:val="none"/>
        </w:rPr>
        <w:t>第十六条  合同争议解决</w:t>
      </w:r>
    </w:p>
    <w:p>
      <w:pPr>
        <w:snapToGrid w:val="0"/>
        <w:spacing w:line="360" w:lineRule="auto"/>
        <w:ind w:firstLine="420" w:firstLineChars="200"/>
        <w:rPr>
          <w:szCs w:val="21"/>
          <w:highlight w:val="none"/>
        </w:rPr>
      </w:pPr>
      <w:r>
        <w:rPr>
          <w:szCs w:val="21"/>
          <w:highlight w:val="none"/>
        </w:rPr>
        <w:t>1 因货物质量问题发生争议的，应邀请国家认可的质量检测机构按照国家标准对货物质量进行验收。货物符合国家标准的，鉴定费由甲方承担；货物不符合国家标准的，鉴定费由乙方承担。</w:t>
      </w:r>
    </w:p>
    <w:p>
      <w:pPr>
        <w:snapToGrid w:val="0"/>
        <w:spacing w:line="360" w:lineRule="auto"/>
        <w:ind w:firstLine="420" w:firstLineChars="200"/>
        <w:rPr>
          <w:szCs w:val="21"/>
          <w:highlight w:val="none"/>
        </w:rPr>
      </w:pPr>
      <w:r>
        <w:rPr>
          <w:szCs w:val="21"/>
          <w:highlight w:val="none"/>
        </w:rPr>
        <w:t>2 因履行本合同引起的或与本合同有关的争议，甲乙双方应首先通过友好协商解决，如果协商不能解决，可向甲方所在地人民法院提起诉讼。</w:t>
      </w:r>
    </w:p>
    <w:p>
      <w:pPr>
        <w:snapToGrid w:val="0"/>
        <w:spacing w:line="360" w:lineRule="auto"/>
        <w:ind w:firstLine="420" w:firstLineChars="200"/>
        <w:rPr>
          <w:szCs w:val="21"/>
          <w:highlight w:val="none"/>
        </w:rPr>
      </w:pPr>
      <w:r>
        <w:rPr>
          <w:szCs w:val="21"/>
          <w:highlight w:val="none"/>
        </w:rPr>
        <w:t>3 诉讼期间，本合同继续履行。</w:t>
      </w:r>
    </w:p>
    <w:p>
      <w:pPr>
        <w:pStyle w:val="28"/>
        <w:snapToGrid w:val="0"/>
        <w:spacing w:before="120" w:after="120" w:line="360" w:lineRule="auto"/>
        <w:ind w:firstLine="422" w:firstLineChars="200"/>
        <w:rPr>
          <w:rFonts w:ascii="Times New Roman" w:hAnsi="Times New Roman" w:cs="Times New Roman"/>
          <w:b/>
          <w:highlight w:val="none"/>
        </w:rPr>
      </w:pPr>
      <w:r>
        <w:rPr>
          <w:rFonts w:ascii="Times New Roman" w:hAnsi="Times New Roman" w:cs="Times New Roman"/>
          <w:b/>
          <w:highlight w:val="none"/>
        </w:rPr>
        <w:t>第十七条 合同生效及其它</w:t>
      </w:r>
    </w:p>
    <w:p>
      <w:pPr>
        <w:snapToGrid w:val="0"/>
        <w:spacing w:line="360" w:lineRule="auto"/>
        <w:ind w:firstLine="420" w:firstLineChars="200"/>
        <w:rPr>
          <w:szCs w:val="21"/>
          <w:highlight w:val="none"/>
        </w:rPr>
      </w:pPr>
      <w:r>
        <w:rPr>
          <w:szCs w:val="21"/>
          <w:highlight w:val="none"/>
        </w:rPr>
        <w:t>1．本合同履行期限为：</w:t>
      </w:r>
      <w:r>
        <w:rPr>
          <w:rFonts w:hint="eastAsia"/>
          <w:szCs w:val="21"/>
          <w:highlight w:val="none"/>
          <w:u w:val="single"/>
        </w:rPr>
        <w:t xml:space="preserve">                       </w:t>
      </w:r>
      <w:r>
        <w:rPr>
          <w:szCs w:val="21"/>
          <w:highlight w:val="none"/>
        </w:rPr>
        <w:t>；合同履行地点为：</w:t>
      </w:r>
      <w:r>
        <w:rPr>
          <w:rFonts w:hint="eastAsia"/>
          <w:szCs w:val="21"/>
          <w:highlight w:val="none"/>
          <w:u w:val="single"/>
        </w:rPr>
        <w:t xml:space="preserve">                  </w:t>
      </w:r>
      <w:r>
        <w:rPr>
          <w:szCs w:val="21"/>
          <w:highlight w:val="none"/>
        </w:rPr>
        <w:t>；合同履行的方式：</w:t>
      </w:r>
      <w:r>
        <w:rPr>
          <w:szCs w:val="21"/>
          <w:highlight w:val="none"/>
          <w:u w:val="single"/>
        </w:rPr>
        <w:t xml:space="preserve"> 按照本合同约定  </w:t>
      </w:r>
      <w:r>
        <w:rPr>
          <w:szCs w:val="21"/>
          <w:highlight w:val="none"/>
        </w:rPr>
        <w:t>。</w:t>
      </w:r>
    </w:p>
    <w:p>
      <w:pPr>
        <w:snapToGrid w:val="0"/>
        <w:spacing w:line="360" w:lineRule="auto"/>
        <w:ind w:firstLine="420" w:firstLineChars="200"/>
        <w:rPr>
          <w:szCs w:val="21"/>
          <w:highlight w:val="none"/>
        </w:rPr>
      </w:pPr>
      <w:r>
        <w:rPr>
          <w:szCs w:val="21"/>
          <w:highlight w:val="none"/>
        </w:rPr>
        <w:t>2．合同经双方法定代表人或授权代表签字并加盖单位公章后生效。</w:t>
      </w:r>
    </w:p>
    <w:p>
      <w:pPr>
        <w:snapToGrid w:val="0"/>
        <w:spacing w:line="360" w:lineRule="auto"/>
        <w:ind w:firstLine="420" w:firstLineChars="200"/>
        <w:rPr>
          <w:szCs w:val="21"/>
          <w:highlight w:val="none"/>
        </w:rPr>
      </w:pPr>
      <w:r>
        <w:rPr>
          <w:szCs w:val="21"/>
          <w:highlight w:val="none"/>
        </w:rPr>
        <w:t>3．合同执行中涉及采购资金和采购内容修改或补充的，须经财政部门审批，并签书面补充协议报财政部门备案，方可作为主合同不可分割的一部分。</w:t>
      </w:r>
    </w:p>
    <w:p>
      <w:pPr>
        <w:snapToGrid w:val="0"/>
        <w:spacing w:line="360" w:lineRule="auto"/>
        <w:ind w:firstLine="420" w:firstLineChars="200"/>
        <w:rPr>
          <w:szCs w:val="21"/>
          <w:highlight w:val="none"/>
        </w:rPr>
      </w:pPr>
      <w:r>
        <w:rPr>
          <w:szCs w:val="21"/>
          <w:highlight w:val="none"/>
        </w:rPr>
        <w:t>4．本合同未尽事宜，遵照《</w:t>
      </w:r>
      <w:r>
        <w:rPr>
          <w:rFonts w:hint="eastAsia"/>
          <w:szCs w:val="21"/>
          <w:highlight w:val="none"/>
        </w:rPr>
        <w:t>民法典</w:t>
      </w:r>
      <w:r>
        <w:rPr>
          <w:szCs w:val="21"/>
          <w:highlight w:val="none"/>
        </w:rPr>
        <w:t>》有关条文执行。</w:t>
      </w:r>
    </w:p>
    <w:p>
      <w:pPr>
        <w:snapToGrid w:val="0"/>
        <w:spacing w:line="360" w:lineRule="auto"/>
        <w:ind w:firstLine="422" w:firstLineChars="200"/>
        <w:rPr>
          <w:b/>
          <w:szCs w:val="21"/>
          <w:highlight w:val="none"/>
        </w:rPr>
      </w:pPr>
      <w:r>
        <w:rPr>
          <w:b/>
          <w:szCs w:val="21"/>
          <w:highlight w:val="none"/>
        </w:rPr>
        <w:t>第十八条　合同的变更、终止与转让</w:t>
      </w:r>
    </w:p>
    <w:p>
      <w:pPr>
        <w:snapToGrid w:val="0"/>
        <w:spacing w:line="360" w:lineRule="auto"/>
        <w:ind w:firstLine="420" w:firstLineChars="200"/>
        <w:rPr>
          <w:szCs w:val="21"/>
          <w:highlight w:val="none"/>
        </w:rPr>
      </w:pPr>
      <w:r>
        <w:rPr>
          <w:szCs w:val="21"/>
          <w:highlight w:val="none"/>
        </w:rPr>
        <w:t>1.除《中华人民共和国政府采购法》第五十条规定的情形外，本合同一经签订，甲乙双方不得擅自变更、中止或终止。</w:t>
      </w:r>
    </w:p>
    <w:p>
      <w:pPr>
        <w:snapToGrid w:val="0"/>
        <w:spacing w:line="360" w:lineRule="auto"/>
        <w:ind w:firstLine="420" w:firstLineChars="200"/>
        <w:rPr>
          <w:szCs w:val="21"/>
          <w:highlight w:val="none"/>
        </w:rPr>
      </w:pPr>
      <w:r>
        <w:rPr>
          <w:szCs w:val="21"/>
          <w:highlight w:val="none"/>
        </w:rPr>
        <w:t>2.未经甲方书面同意，乙方不得擅自转让（无进口资格的乙方委托进口货物除外）其应履行的合同义务。</w:t>
      </w:r>
    </w:p>
    <w:p>
      <w:pPr>
        <w:snapToGrid w:val="0"/>
        <w:spacing w:line="360" w:lineRule="auto"/>
        <w:ind w:firstLine="422" w:firstLineChars="200"/>
        <w:rPr>
          <w:b/>
          <w:szCs w:val="21"/>
          <w:highlight w:val="none"/>
        </w:rPr>
      </w:pPr>
      <w:r>
        <w:rPr>
          <w:b/>
          <w:szCs w:val="21"/>
          <w:highlight w:val="none"/>
        </w:rPr>
        <w:t>第十九条　签订本合同依据</w:t>
      </w:r>
    </w:p>
    <w:p>
      <w:pPr>
        <w:snapToGrid w:val="0"/>
        <w:spacing w:line="360" w:lineRule="auto"/>
        <w:ind w:firstLine="420" w:firstLineChars="200"/>
        <w:rPr>
          <w:szCs w:val="21"/>
          <w:highlight w:val="none"/>
        </w:rPr>
      </w:pPr>
      <w:r>
        <w:rPr>
          <w:szCs w:val="21"/>
          <w:highlight w:val="none"/>
        </w:rPr>
        <w:t>1.政府采购招标文件；</w:t>
      </w:r>
    </w:p>
    <w:p>
      <w:pPr>
        <w:snapToGrid w:val="0"/>
        <w:spacing w:line="360" w:lineRule="auto"/>
        <w:ind w:firstLine="420" w:firstLineChars="200"/>
        <w:rPr>
          <w:szCs w:val="21"/>
          <w:highlight w:val="none"/>
        </w:rPr>
      </w:pPr>
      <w:r>
        <w:rPr>
          <w:szCs w:val="21"/>
          <w:highlight w:val="none"/>
        </w:rPr>
        <w:t>2.乙方提供的投标文件；</w:t>
      </w:r>
    </w:p>
    <w:p>
      <w:pPr>
        <w:snapToGrid w:val="0"/>
        <w:spacing w:line="360" w:lineRule="auto"/>
        <w:ind w:firstLine="420" w:firstLineChars="200"/>
        <w:rPr>
          <w:szCs w:val="21"/>
          <w:highlight w:val="none"/>
        </w:rPr>
      </w:pPr>
      <w:r>
        <w:rPr>
          <w:szCs w:val="21"/>
          <w:highlight w:val="none"/>
        </w:rPr>
        <w:t>3.投标承诺书；</w:t>
      </w:r>
    </w:p>
    <w:p>
      <w:pPr>
        <w:snapToGrid w:val="0"/>
        <w:spacing w:line="360" w:lineRule="auto"/>
        <w:ind w:firstLine="420" w:firstLineChars="200"/>
        <w:rPr>
          <w:szCs w:val="21"/>
          <w:highlight w:val="none"/>
          <w:u w:val="single"/>
        </w:rPr>
      </w:pPr>
      <w:r>
        <w:rPr>
          <w:szCs w:val="21"/>
          <w:highlight w:val="none"/>
        </w:rPr>
        <w:t>4.中标通知书。</w:t>
      </w:r>
    </w:p>
    <w:p>
      <w:pPr>
        <w:snapToGrid w:val="0"/>
        <w:spacing w:line="360" w:lineRule="auto"/>
        <w:ind w:firstLine="422" w:firstLineChars="200"/>
        <w:rPr>
          <w:szCs w:val="21"/>
          <w:highlight w:val="none"/>
        </w:rPr>
      </w:pPr>
      <w:r>
        <w:rPr>
          <w:b/>
          <w:szCs w:val="21"/>
          <w:highlight w:val="none"/>
        </w:rPr>
        <w:t>第二十条　</w:t>
      </w:r>
      <w:r>
        <w:rPr>
          <w:szCs w:val="21"/>
          <w:highlight w:val="none"/>
        </w:rPr>
        <w:t>本合同一式</w:t>
      </w:r>
      <w:r>
        <w:rPr>
          <w:rFonts w:hint="eastAsia"/>
          <w:szCs w:val="21"/>
          <w:highlight w:val="none"/>
          <w:u w:val="single"/>
        </w:rPr>
        <w:t xml:space="preserve">  </w:t>
      </w:r>
      <w:r>
        <w:rPr>
          <w:szCs w:val="21"/>
          <w:highlight w:val="none"/>
        </w:rPr>
        <w:t>份，具有同等法律效力。</w:t>
      </w:r>
      <w:r>
        <w:rPr>
          <w:spacing w:val="4"/>
          <w:szCs w:val="21"/>
          <w:highlight w:val="none"/>
        </w:rPr>
        <w:t>政府采购监督管理部门、采购代理机构</w:t>
      </w:r>
      <w:r>
        <w:rPr>
          <w:szCs w:val="21"/>
          <w:highlight w:val="none"/>
        </w:rPr>
        <w:t>各一份，甲方</w:t>
      </w:r>
      <w:r>
        <w:rPr>
          <w:rFonts w:hint="eastAsia"/>
          <w:szCs w:val="21"/>
          <w:highlight w:val="none"/>
          <w:u w:val="single"/>
        </w:rPr>
        <w:t xml:space="preserve">   </w:t>
      </w:r>
      <w:r>
        <w:rPr>
          <w:szCs w:val="21"/>
          <w:highlight w:val="none"/>
        </w:rPr>
        <w:t>份，乙方</w:t>
      </w:r>
      <w:r>
        <w:rPr>
          <w:rFonts w:hint="eastAsia"/>
          <w:szCs w:val="21"/>
          <w:highlight w:val="none"/>
          <w:u w:val="single"/>
        </w:rPr>
        <w:t xml:space="preserve">   </w:t>
      </w:r>
      <w:r>
        <w:rPr>
          <w:szCs w:val="21"/>
          <w:highlight w:val="none"/>
        </w:rPr>
        <w:t>份。</w:t>
      </w:r>
    </w:p>
    <w:p>
      <w:pPr>
        <w:snapToGrid w:val="0"/>
        <w:spacing w:line="360" w:lineRule="auto"/>
        <w:ind w:firstLine="420" w:firstLineChars="200"/>
        <w:rPr>
          <w:szCs w:val="21"/>
          <w:highlight w:val="none"/>
        </w:rPr>
      </w:pPr>
      <w:r>
        <w:rPr>
          <w:szCs w:val="21"/>
          <w:highlight w:val="none"/>
        </w:rPr>
        <w:t>本合同经甲乙双方法定代表人或授权代表签字并加盖单位公章后生效。</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auto"/>
              <w:rPr>
                <w:szCs w:val="21"/>
                <w:highlight w:val="none"/>
              </w:rPr>
            </w:pPr>
            <w:r>
              <w:rPr>
                <w:szCs w:val="21"/>
                <w:highlight w:val="none"/>
              </w:rPr>
              <w:t xml:space="preserve">甲方（章）           </w:t>
            </w:r>
          </w:p>
          <w:p>
            <w:pPr>
              <w:snapToGrid w:val="0"/>
              <w:spacing w:line="360" w:lineRule="auto"/>
              <w:rPr>
                <w:szCs w:val="21"/>
                <w:highlight w:val="none"/>
              </w:rPr>
            </w:pPr>
          </w:p>
          <w:p>
            <w:pPr>
              <w:snapToGrid w:val="0"/>
              <w:spacing w:line="360" w:lineRule="auto"/>
              <w:rPr>
                <w:szCs w:val="21"/>
                <w:highlight w:val="none"/>
              </w:rPr>
            </w:pPr>
          </w:p>
          <w:p>
            <w:pPr>
              <w:snapToGrid w:val="0"/>
              <w:spacing w:line="360" w:lineRule="auto"/>
              <w:ind w:firstLine="945" w:firstLineChars="450"/>
              <w:jc w:val="right"/>
              <w:rPr>
                <w:szCs w:val="21"/>
                <w:highlight w:val="none"/>
              </w:rPr>
            </w:pPr>
            <w:r>
              <w:rPr>
                <w:szCs w:val="21"/>
                <w:highlight w:val="none"/>
              </w:rPr>
              <w:t xml:space="preserve">   </w:t>
            </w:r>
          </w:p>
        </w:tc>
        <w:tc>
          <w:tcPr>
            <w:tcW w:w="4688" w:type="dxa"/>
            <w:vAlign w:val="center"/>
          </w:tcPr>
          <w:p>
            <w:pPr>
              <w:snapToGrid w:val="0"/>
              <w:spacing w:line="360" w:lineRule="auto"/>
              <w:rPr>
                <w:szCs w:val="21"/>
                <w:highlight w:val="none"/>
              </w:rPr>
            </w:pPr>
            <w:r>
              <w:rPr>
                <w:szCs w:val="21"/>
                <w:highlight w:val="none"/>
              </w:rPr>
              <w:t xml:space="preserve">乙方（章）              </w:t>
            </w:r>
          </w:p>
          <w:p>
            <w:pPr>
              <w:snapToGrid w:val="0"/>
              <w:spacing w:line="360" w:lineRule="auto"/>
              <w:rPr>
                <w:szCs w:val="21"/>
                <w:highlight w:val="none"/>
              </w:rPr>
            </w:pPr>
          </w:p>
          <w:p>
            <w:pPr>
              <w:snapToGrid w:val="0"/>
              <w:spacing w:line="360" w:lineRule="auto"/>
              <w:rPr>
                <w:szCs w:val="21"/>
                <w:highlight w:val="none"/>
              </w:rPr>
            </w:pPr>
          </w:p>
          <w:p>
            <w:pPr>
              <w:snapToGrid w:val="0"/>
              <w:spacing w:line="360" w:lineRule="auto"/>
              <w:jc w:val="right"/>
              <w:rPr>
                <w:szCs w:val="21"/>
                <w:highlight w:val="none"/>
              </w:rPr>
            </w:pPr>
            <w:r>
              <w:rPr>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vAlign w:val="center"/>
          </w:tcPr>
          <w:p>
            <w:pPr>
              <w:snapToGrid w:val="0"/>
              <w:spacing w:line="360" w:lineRule="auto"/>
              <w:rPr>
                <w:szCs w:val="21"/>
                <w:highlight w:val="none"/>
              </w:rPr>
            </w:pPr>
            <w:r>
              <w:rPr>
                <w:szCs w:val="21"/>
                <w:highlight w:val="none"/>
              </w:rPr>
              <w:t>单位地址：</w:t>
            </w:r>
          </w:p>
        </w:tc>
        <w:tc>
          <w:tcPr>
            <w:tcW w:w="4688" w:type="dxa"/>
            <w:vAlign w:val="center"/>
          </w:tcPr>
          <w:p>
            <w:pPr>
              <w:snapToGrid w:val="0"/>
              <w:spacing w:line="360" w:lineRule="auto"/>
              <w:rPr>
                <w:szCs w:val="21"/>
                <w:highlight w:val="none"/>
              </w:rPr>
            </w:pPr>
            <w:r>
              <w:rPr>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vAlign w:val="center"/>
          </w:tcPr>
          <w:p>
            <w:pPr>
              <w:snapToGrid w:val="0"/>
              <w:spacing w:line="360" w:lineRule="auto"/>
              <w:rPr>
                <w:szCs w:val="21"/>
                <w:highlight w:val="none"/>
              </w:rPr>
            </w:pPr>
            <w:r>
              <w:rPr>
                <w:szCs w:val="21"/>
                <w:highlight w:val="none"/>
              </w:rPr>
              <w:t>法定代表人：</w:t>
            </w:r>
          </w:p>
        </w:tc>
        <w:tc>
          <w:tcPr>
            <w:tcW w:w="4688" w:type="dxa"/>
            <w:vAlign w:val="center"/>
          </w:tcPr>
          <w:p>
            <w:pPr>
              <w:snapToGrid w:val="0"/>
              <w:spacing w:line="360" w:lineRule="auto"/>
              <w:rPr>
                <w:szCs w:val="21"/>
                <w:highlight w:val="none"/>
              </w:rPr>
            </w:pPr>
            <w:r>
              <w:rPr>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vAlign w:val="center"/>
          </w:tcPr>
          <w:p>
            <w:pPr>
              <w:snapToGrid w:val="0"/>
              <w:spacing w:line="360" w:lineRule="auto"/>
              <w:rPr>
                <w:szCs w:val="21"/>
                <w:highlight w:val="none"/>
              </w:rPr>
            </w:pPr>
            <w:r>
              <w:rPr>
                <w:szCs w:val="21"/>
                <w:highlight w:val="none"/>
              </w:rPr>
              <w:t>委托代理人：</w:t>
            </w:r>
          </w:p>
        </w:tc>
        <w:tc>
          <w:tcPr>
            <w:tcW w:w="4688" w:type="dxa"/>
            <w:vAlign w:val="center"/>
          </w:tcPr>
          <w:p>
            <w:pPr>
              <w:snapToGrid w:val="0"/>
              <w:spacing w:line="360" w:lineRule="auto"/>
              <w:rPr>
                <w:szCs w:val="21"/>
                <w:highlight w:val="none"/>
              </w:rPr>
            </w:pPr>
            <w:r>
              <w:rPr>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vAlign w:val="center"/>
          </w:tcPr>
          <w:p>
            <w:pPr>
              <w:snapToGrid w:val="0"/>
              <w:spacing w:line="360" w:lineRule="auto"/>
              <w:rPr>
                <w:szCs w:val="21"/>
                <w:highlight w:val="none"/>
              </w:rPr>
            </w:pPr>
            <w:r>
              <w:rPr>
                <w:szCs w:val="21"/>
                <w:highlight w:val="none"/>
              </w:rPr>
              <w:t>电话：</w:t>
            </w:r>
          </w:p>
        </w:tc>
        <w:tc>
          <w:tcPr>
            <w:tcW w:w="4688" w:type="dxa"/>
            <w:vAlign w:val="center"/>
          </w:tcPr>
          <w:p>
            <w:pPr>
              <w:snapToGrid w:val="0"/>
              <w:spacing w:line="360" w:lineRule="auto"/>
              <w:rPr>
                <w:szCs w:val="21"/>
                <w:highlight w:val="none"/>
              </w:rPr>
            </w:pPr>
            <w:r>
              <w:rPr>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auto"/>
              <w:rPr>
                <w:szCs w:val="21"/>
                <w:highlight w:val="none"/>
              </w:rPr>
            </w:pPr>
            <w:r>
              <w:rPr>
                <w:szCs w:val="21"/>
                <w:highlight w:val="none"/>
              </w:rPr>
              <w:t>电子邮箱：</w:t>
            </w:r>
          </w:p>
        </w:tc>
        <w:tc>
          <w:tcPr>
            <w:tcW w:w="4688" w:type="dxa"/>
            <w:vAlign w:val="center"/>
          </w:tcPr>
          <w:p>
            <w:pPr>
              <w:snapToGrid w:val="0"/>
              <w:spacing w:line="360" w:lineRule="auto"/>
              <w:rPr>
                <w:szCs w:val="21"/>
                <w:highlight w:val="none"/>
              </w:rPr>
            </w:pPr>
            <w:r>
              <w:rPr>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vAlign w:val="center"/>
          </w:tcPr>
          <w:p>
            <w:pPr>
              <w:snapToGrid w:val="0"/>
              <w:spacing w:line="360" w:lineRule="auto"/>
              <w:rPr>
                <w:szCs w:val="21"/>
                <w:highlight w:val="none"/>
              </w:rPr>
            </w:pPr>
            <w:r>
              <w:rPr>
                <w:szCs w:val="21"/>
                <w:highlight w:val="none"/>
              </w:rPr>
              <w:t>开户银行：</w:t>
            </w:r>
          </w:p>
        </w:tc>
        <w:tc>
          <w:tcPr>
            <w:tcW w:w="4688" w:type="dxa"/>
            <w:vAlign w:val="center"/>
          </w:tcPr>
          <w:p>
            <w:pPr>
              <w:snapToGrid w:val="0"/>
              <w:spacing w:line="360" w:lineRule="auto"/>
              <w:rPr>
                <w:szCs w:val="21"/>
                <w:highlight w:val="none"/>
              </w:rPr>
            </w:pPr>
            <w:r>
              <w:rPr>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vAlign w:val="center"/>
          </w:tcPr>
          <w:p>
            <w:pPr>
              <w:snapToGrid w:val="0"/>
              <w:spacing w:line="360" w:lineRule="auto"/>
              <w:rPr>
                <w:szCs w:val="21"/>
                <w:highlight w:val="none"/>
              </w:rPr>
            </w:pPr>
            <w:r>
              <w:rPr>
                <w:szCs w:val="21"/>
                <w:highlight w:val="none"/>
              </w:rPr>
              <w:t>账号：</w:t>
            </w:r>
          </w:p>
        </w:tc>
        <w:tc>
          <w:tcPr>
            <w:tcW w:w="4688" w:type="dxa"/>
            <w:vAlign w:val="center"/>
          </w:tcPr>
          <w:p>
            <w:pPr>
              <w:snapToGrid w:val="0"/>
              <w:spacing w:line="360" w:lineRule="auto"/>
              <w:rPr>
                <w:szCs w:val="21"/>
                <w:highlight w:val="none"/>
              </w:rPr>
            </w:pPr>
            <w:r>
              <w:rPr>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vAlign w:val="center"/>
          </w:tcPr>
          <w:p>
            <w:pPr>
              <w:snapToGrid w:val="0"/>
              <w:spacing w:line="360" w:lineRule="auto"/>
              <w:rPr>
                <w:szCs w:val="21"/>
                <w:highlight w:val="none"/>
              </w:rPr>
            </w:pPr>
            <w:r>
              <w:rPr>
                <w:szCs w:val="21"/>
                <w:highlight w:val="none"/>
              </w:rPr>
              <w:t>邮政编码：</w:t>
            </w:r>
          </w:p>
        </w:tc>
        <w:tc>
          <w:tcPr>
            <w:tcW w:w="4688" w:type="dxa"/>
            <w:vAlign w:val="center"/>
          </w:tcPr>
          <w:p>
            <w:pPr>
              <w:snapToGrid w:val="0"/>
              <w:spacing w:line="360" w:lineRule="auto"/>
              <w:rPr>
                <w:szCs w:val="21"/>
                <w:highlight w:val="none"/>
              </w:rPr>
            </w:pPr>
            <w:r>
              <w:rPr>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9125" w:type="dxa"/>
            <w:gridSpan w:val="2"/>
          </w:tcPr>
          <w:p>
            <w:pPr>
              <w:snapToGrid w:val="0"/>
              <w:spacing w:line="360" w:lineRule="auto"/>
              <w:rPr>
                <w:szCs w:val="21"/>
                <w:highlight w:val="none"/>
              </w:rPr>
            </w:pPr>
            <w:r>
              <w:rPr>
                <w:rFonts w:hint="eastAsia"/>
                <w:szCs w:val="21"/>
                <w:highlight w:val="none"/>
              </w:rPr>
              <w:t>签订时间</w:t>
            </w:r>
            <w:r>
              <w:rPr>
                <w:szCs w:val="21"/>
                <w:highlight w:val="none"/>
              </w:rPr>
              <w:t>：</w:t>
            </w:r>
          </w:p>
          <w:p>
            <w:pPr>
              <w:snapToGrid w:val="0"/>
              <w:spacing w:line="360" w:lineRule="auto"/>
              <w:ind w:firstLine="1680" w:firstLineChars="800"/>
              <w:rPr>
                <w:szCs w:val="21"/>
                <w:highlight w:val="none"/>
              </w:rPr>
            </w:pPr>
            <w:r>
              <w:rPr>
                <w:szCs w:val="21"/>
                <w:highlight w:val="none"/>
              </w:rPr>
              <w:t xml:space="preserve">年   </w:t>
            </w:r>
            <w:r>
              <w:rPr>
                <w:rFonts w:hint="eastAsia"/>
                <w:szCs w:val="21"/>
                <w:highlight w:val="none"/>
              </w:rPr>
              <w:t xml:space="preserve"> </w:t>
            </w:r>
            <w:r>
              <w:rPr>
                <w:szCs w:val="21"/>
                <w:highlight w:val="none"/>
              </w:rPr>
              <w:t xml:space="preserve"> </w:t>
            </w:r>
            <w:r>
              <w:rPr>
                <w:rFonts w:hint="eastAsia"/>
                <w:szCs w:val="21"/>
                <w:highlight w:val="none"/>
              </w:rPr>
              <w:t xml:space="preserve"> </w:t>
            </w:r>
            <w:r>
              <w:rPr>
                <w:szCs w:val="21"/>
                <w:highlight w:val="none"/>
              </w:rPr>
              <w:t xml:space="preserve">月   </w:t>
            </w:r>
            <w:r>
              <w:rPr>
                <w:rFonts w:hint="eastAsia"/>
                <w:szCs w:val="21"/>
                <w:highlight w:val="none"/>
              </w:rPr>
              <w:t xml:space="preserve">  </w:t>
            </w:r>
            <w:r>
              <w:rPr>
                <w:szCs w:val="21"/>
                <w:highlight w:val="none"/>
              </w:rPr>
              <w:t>日</w:t>
            </w:r>
          </w:p>
        </w:tc>
      </w:tr>
    </w:tbl>
    <w:p>
      <w:pPr>
        <w:spacing w:before="120" w:line="360" w:lineRule="auto"/>
        <w:jc w:val="left"/>
        <w:outlineLvl w:val="1"/>
        <w:rPr>
          <w:szCs w:val="21"/>
          <w:highlight w:val="none"/>
        </w:rPr>
      </w:pPr>
    </w:p>
    <w:p>
      <w:pPr>
        <w:spacing w:before="120" w:line="360" w:lineRule="auto"/>
        <w:jc w:val="left"/>
        <w:outlineLvl w:val="1"/>
        <w:rPr>
          <w:b/>
          <w:bCs/>
          <w:kern w:val="0"/>
          <w:szCs w:val="21"/>
          <w:highlight w:val="none"/>
        </w:rPr>
      </w:pPr>
      <w:r>
        <w:rPr>
          <w:rFonts w:hint="eastAsia"/>
          <w:szCs w:val="21"/>
          <w:highlight w:val="none"/>
        </w:rPr>
        <w:t>注：乙方签订合同的开户银行及银行账号需与乙方开具发票的开户银行及银行账号完全一致。</w:t>
      </w:r>
      <w:r>
        <w:rPr>
          <w:szCs w:val="21"/>
          <w:highlight w:val="none"/>
        </w:rPr>
        <w:br w:type="page"/>
      </w:r>
      <w:r>
        <w:rPr>
          <w:b/>
          <w:bCs/>
          <w:kern w:val="0"/>
          <w:szCs w:val="21"/>
          <w:highlight w:val="none"/>
        </w:rPr>
        <w:t>合同附件1</w:t>
      </w:r>
    </w:p>
    <w:p>
      <w:pPr>
        <w:snapToGrid w:val="0"/>
        <w:spacing w:line="360" w:lineRule="auto"/>
        <w:jc w:val="center"/>
        <w:rPr>
          <w:b/>
          <w:bCs/>
          <w:szCs w:val="21"/>
          <w:highlight w:val="none"/>
        </w:rPr>
      </w:pPr>
      <w:r>
        <w:rPr>
          <w:b/>
          <w:bCs/>
          <w:szCs w:val="21"/>
          <w:highlight w:val="none"/>
        </w:rPr>
        <w:t>投标承诺书</w:t>
      </w:r>
    </w:p>
    <w:p>
      <w:pPr>
        <w:spacing w:line="360" w:lineRule="auto"/>
        <w:rPr>
          <w:szCs w:val="21"/>
          <w:highlight w:val="none"/>
        </w:rPr>
      </w:pPr>
      <w:r>
        <w:rPr>
          <w:szCs w:val="21"/>
          <w:highlight w:val="none"/>
        </w:rPr>
        <w:t>一般货物类</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ind w:right="210"/>
              <w:jc w:val="left"/>
              <w:rPr>
                <w:szCs w:val="21"/>
                <w:highlight w:val="none"/>
              </w:rPr>
            </w:pPr>
            <w:r>
              <w:rPr>
                <w:szCs w:val="21"/>
                <w:highlight w:val="none"/>
              </w:rPr>
              <w:t>1．乙方承诺具体事项：</w:t>
            </w:r>
          </w:p>
          <w:p>
            <w:pPr>
              <w:spacing w:line="360" w:lineRule="auto"/>
              <w:ind w:right="210"/>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rPr>
                <w:szCs w:val="21"/>
                <w:highlight w:val="none"/>
              </w:rPr>
            </w:pPr>
            <w:r>
              <w:rPr>
                <w:szCs w:val="21"/>
                <w:highlight w:val="none"/>
              </w:rPr>
              <w:t>2．售后服务具体事项：</w:t>
            </w:r>
          </w:p>
          <w:p>
            <w:pPr>
              <w:spacing w:line="36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rPr>
                <w:szCs w:val="21"/>
                <w:highlight w:val="none"/>
              </w:rPr>
            </w:pPr>
            <w:r>
              <w:rPr>
                <w:szCs w:val="21"/>
                <w:highlight w:val="none"/>
              </w:rPr>
              <w:t>3．质保期责任：</w:t>
            </w:r>
          </w:p>
          <w:p>
            <w:pPr>
              <w:spacing w:line="36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spacing w:line="360" w:lineRule="auto"/>
              <w:rPr>
                <w:szCs w:val="21"/>
                <w:highlight w:val="none"/>
              </w:rPr>
            </w:pPr>
            <w:r>
              <w:rPr>
                <w:szCs w:val="21"/>
                <w:highlight w:val="none"/>
              </w:rPr>
              <w:t>4．其他具体事项：</w:t>
            </w:r>
          </w:p>
          <w:p>
            <w:pPr>
              <w:spacing w:line="36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spacing w:line="360" w:lineRule="auto"/>
              <w:rPr>
                <w:szCs w:val="21"/>
                <w:highlight w:val="none"/>
              </w:rPr>
            </w:pPr>
            <w:r>
              <w:rPr>
                <w:szCs w:val="21"/>
                <w:highlight w:val="none"/>
              </w:rPr>
              <w:t>甲方(章)</w:t>
            </w:r>
          </w:p>
          <w:p>
            <w:pPr>
              <w:spacing w:line="360" w:lineRule="auto"/>
              <w:rPr>
                <w:szCs w:val="21"/>
                <w:highlight w:val="none"/>
              </w:rPr>
            </w:pPr>
          </w:p>
          <w:p>
            <w:pPr>
              <w:spacing w:line="360" w:lineRule="auto"/>
              <w:rPr>
                <w:szCs w:val="21"/>
                <w:highlight w:val="none"/>
              </w:rPr>
            </w:pPr>
          </w:p>
          <w:p>
            <w:pPr>
              <w:spacing w:line="360" w:lineRule="auto"/>
              <w:jc w:val="right"/>
              <w:rPr>
                <w:szCs w:val="21"/>
                <w:highlight w:val="none"/>
              </w:rPr>
            </w:pPr>
            <w:r>
              <w:rPr>
                <w:szCs w:val="21"/>
                <w:highlight w:val="none"/>
              </w:rPr>
              <w:t xml:space="preserve"> 年  月   日</w:t>
            </w:r>
          </w:p>
        </w:tc>
        <w:tc>
          <w:tcPr>
            <w:tcW w:w="4285" w:type="dxa"/>
            <w:vAlign w:val="center"/>
          </w:tcPr>
          <w:p>
            <w:pPr>
              <w:spacing w:line="360" w:lineRule="auto"/>
              <w:rPr>
                <w:szCs w:val="21"/>
                <w:highlight w:val="none"/>
              </w:rPr>
            </w:pPr>
            <w:r>
              <w:rPr>
                <w:szCs w:val="21"/>
                <w:highlight w:val="none"/>
              </w:rPr>
              <w:t>乙方(章)</w:t>
            </w:r>
          </w:p>
          <w:p>
            <w:pPr>
              <w:spacing w:line="360" w:lineRule="auto"/>
              <w:rPr>
                <w:szCs w:val="21"/>
                <w:highlight w:val="none"/>
              </w:rPr>
            </w:pPr>
          </w:p>
          <w:p>
            <w:pPr>
              <w:spacing w:line="360" w:lineRule="auto"/>
              <w:rPr>
                <w:szCs w:val="21"/>
                <w:highlight w:val="none"/>
              </w:rPr>
            </w:pPr>
          </w:p>
          <w:p>
            <w:pPr>
              <w:spacing w:line="360" w:lineRule="auto"/>
              <w:jc w:val="right"/>
              <w:rPr>
                <w:szCs w:val="21"/>
                <w:highlight w:val="none"/>
              </w:rPr>
            </w:pPr>
            <w:r>
              <w:rPr>
                <w:szCs w:val="21"/>
                <w:highlight w:val="none"/>
              </w:rPr>
              <w:t xml:space="preserve"> 年  月   日</w:t>
            </w:r>
          </w:p>
        </w:tc>
      </w:tr>
    </w:tbl>
    <w:p>
      <w:pPr>
        <w:snapToGrid w:val="0"/>
        <w:spacing w:line="360" w:lineRule="auto"/>
        <w:rPr>
          <w:b/>
          <w:bCs/>
          <w:szCs w:val="21"/>
          <w:highlight w:val="none"/>
        </w:rPr>
      </w:pPr>
      <w:r>
        <w:rPr>
          <w:szCs w:val="21"/>
          <w:highlight w:val="none"/>
        </w:rPr>
        <w:t>注：售后服务事项填不下时可另加附页。</w:t>
      </w:r>
    </w:p>
    <w:p>
      <w:pPr>
        <w:pStyle w:val="21"/>
        <w:spacing w:line="360" w:lineRule="auto"/>
        <w:ind w:firstLine="0" w:firstLineChars="0"/>
        <w:jc w:val="left"/>
        <w:rPr>
          <w:rFonts w:ascii="Times New Roman"/>
          <w:highlight w:val="none"/>
        </w:rPr>
      </w:pPr>
      <w:r>
        <w:rPr>
          <w:sz w:val="18"/>
          <w:szCs w:val="18"/>
          <w:highlight w:val="none"/>
        </w:rPr>
        <w:br w:type="page"/>
      </w:r>
      <w:r>
        <w:rPr>
          <w:rFonts w:ascii="Times New Roman" w:eastAsia="宋体"/>
          <w:b/>
          <w:bCs/>
          <w:kern w:val="0"/>
          <w:sz w:val="21"/>
          <w:szCs w:val="21"/>
          <w:highlight w:val="none"/>
        </w:rPr>
        <w:t>合同附件</w:t>
      </w:r>
      <w:r>
        <w:rPr>
          <w:rFonts w:hint="eastAsia" w:ascii="Times New Roman" w:eastAsia="宋体"/>
          <w:b/>
          <w:bCs/>
          <w:kern w:val="0"/>
          <w:sz w:val="21"/>
          <w:szCs w:val="21"/>
          <w:highlight w:val="none"/>
        </w:rPr>
        <w:t>2</w:t>
      </w:r>
    </w:p>
    <w:p>
      <w:pPr>
        <w:snapToGrid w:val="0"/>
        <w:spacing w:line="360" w:lineRule="auto"/>
        <w:jc w:val="center"/>
        <w:rPr>
          <w:b/>
          <w:bCs/>
          <w:szCs w:val="21"/>
          <w:highlight w:val="none"/>
        </w:rPr>
      </w:pPr>
      <w:r>
        <w:rPr>
          <w:b/>
          <w:bCs/>
          <w:szCs w:val="21"/>
          <w:highlight w:val="none"/>
        </w:rPr>
        <w:t>广西壮族自治区政府采购项目合同验收书</w:t>
      </w:r>
    </w:p>
    <w:p>
      <w:pPr>
        <w:widowControl/>
        <w:snapToGrid w:val="0"/>
        <w:spacing w:before="100" w:beforeAutospacing="1" w:after="100" w:afterAutospacing="1" w:line="360" w:lineRule="auto"/>
        <w:ind w:left="-359" w:leftChars="-171" w:firstLine="420" w:firstLineChars="200"/>
        <w:jc w:val="left"/>
        <w:rPr>
          <w:kern w:val="0"/>
          <w:szCs w:val="21"/>
          <w:highlight w:val="none"/>
        </w:rPr>
      </w:pPr>
      <w:r>
        <w:rPr>
          <w:kern w:val="0"/>
          <w:szCs w:val="21"/>
          <w:highlight w:val="none"/>
        </w:rPr>
        <w:t>根据政府采购项目（</w:t>
      </w:r>
      <w:r>
        <w:rPr>
          <w:kern w:val="0"/>
          <w:szCs w:val="21"/>
          <w:highlight w:val="none"/>
          <w:u w:val="single"/>
        </w:rPr>
        <w:t xml:space="preserve">采购合同编号：     </w:t>
      </w:r>
      <w:r>
        <w:rPr>
          <w:kern w:val="0"/>
          <w:szCs w:val="21"/>
          <w:highlight w:val="none"/>
        </w:rPr>
        <w:t>）的约定，我单位对（</w:t>
      </w:r>
      <w:r>
        <w:rPr>
          <w:kern w:val="0"/>
          <w:szCs w:val="21"/>
          <w:highlight w:val="none"/>
          <w:u w:val="single"/>
        </w:rPr>
        <w:t xml:space="preserve">  项目名称   </w:t>
      </w:r>
      <w:r>
        <w:rPr>
          <w:kern w:val="0"/>
          <w:szCs w:val="21"/>
          <w:highlight w:val="none"/>
        </w:rPr>
        <w:t>）政府采购项目中标（或成交）供应商（</w:t>
      </w:r>
      <w:r>
        <w:rPr>
          <w:kern w:val="0"/>
          <w:szCs w:val="21"/>
          <w:highlight w:val="none"/>
          <w:u w:val="single"/>
        </w:rPr>
        <w:t xml:space="preserve">            公司名称              </w:t>
      </w:r>
      <w:r>
        <w:rPr>
          <w:kern w:val="0"/>
          <w:szCs w:val="21"/>
          <w:highlight w:val="none"/>
        </w:rPr>
        <w:t>）提供的货物（或工程、服务）进行了验收，验收情况如下：</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 w:firstLineChars="2"/>
              <w:jc w:val="center"/>
              <w:rPr>
                <w:kern w:val="0"/>
                <w:szCs w:val="21"/>
                <w:highlight w:val="none"/>
              </w:rPr>
            </w:pPr>
            <w:r>
              <w:rPr>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center"/>
              <w:rPr>
                <w:kern w:val="0"/>
                <w:szCs w:val="21"/>
                <w:highlight w:val="none"/>
              </w:rPr>
            </w:pPr>
            <w:r>
              <w:rPr>
                <w:kern w:val="0"/>
                <w:szCs w:val="21"/>
                <w:highlight w:val="none"/>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2" w:firstLineChars="1"/>
              <w:jc w:val="center"/>
              <w:rPr>
                <w:kern w:val="0"/>
                <w:szCs w:val="21"/>
                <w:highlight w:val="none"/>
              </w:rPr>
            </w:pPr>
            <w:r>
              <w:rPr>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2" w:firstLineChars="1"/>
              <w:jc w:val="center"/>
              <w:rPr>
                <w:kern w:val="0"/>
                <w:szCs w:val="21"/>
                <w:highlight w:val="none"/>
              </w:rPr>
            </w:pPr>
            <w:r>
              <w:rPr>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2" w:firstLineChars="1"/>
              <w:jc w:val="center"/>
              <w:rPr>
                <w:kern w:val="0"/>
                <w:szCs w:val="21"/>
                <w:highlight w:val="none"/>
              </w:rPr>
            </w:pPr>
            <w:r>
              <w:rPr>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jc w:val="center"/>
              <w:rPr>
                <w:kern w:val="0"/>
                <w:szCs w:val="21"/>
                <w:highlight w:val="none"/>
              </w:rPr>
            </w:pPr>
            <w:r>
              <w:rPr>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2" w:firstLineChars="1"/>
              <w:jc w:val="center"/>
              <w:rPr>
                <w:kern w:val="0"/>
                <w:szCs w:val="21"/>
                <w:highlight w:val="none"/>
              </w:rPr>
            </w:pPr>
            <w:r>
              <w:rPr>
                <w:kern w:val="0"/>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 w:firstLineChars="2"/>
              <w:jc w:val="left"/>
              <w:rPr>
                <w:kern w:val="0"/>
                <w:szCs w:val="21"/>
                <w:highlight w:val="none"/>
              </w:rPr>
            </w:pPr>
            <w:r>
              <w:rPr>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20" w:firstLineChars="200"/>
              <w:jc w:val="left"/>
              <w:rPr>
                <w:kern w:val="0"/>
                <w:szCs w:val="21"/>
                <w:highlight w:val="none"/>
              </w:rPr>
            </w:pPr>
            <w:r>
              <w:rPr>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left="-3" w:firstLine="4" w:firstLineChars="2"/>
              <w:jc w:val="left"/>
              <w:rPr>
                <w:kern w:val="0"/>
                <w:szCs w:val="21"/>
                <w:highlight w:val="none"/>
              </w:rPr>
            </w:pPr>
            <w:r>
              <w:rPr>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420" w:firstLineChars="200"/>
              <w:jc w:val="left"/>
              <w:rPr>
                <w:kern w:val="0"/>
                <w:szCs w:val="21"/>
                <w:highlight w:val="none"/>
              </w:rPr>
            </w:pPr>
            <w:r>
              <w:rPr>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2" w:firstLineChars="1"/>
              <w:jc w:val="left"/>
              <w:rPr>
                <w:kern w:val="0"/>
                <w:szCs w:val="21"/>
                <w:highlight w:val="none"/>
              </w:rPr>
            </w:pPr>
            <w:r>
              <w:rPr>
                <w:kern w:val="0"/>
                <w:szCs w:val="21"/>
                <w:highlight w:val="none"/>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auto"/>
              <w:ind w:firstLine="2" w:firstLineChars="1"/>
              <w:jc w:val="left"/>
              <w:rPr>
                <w:kern w:val="0"/>
                <w:szCs w:val="21"/>
                <w:highlight w:val="none"/>
              </w:rPr>
            </w:pPr>
            <w:r>
              <w:rPr>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420" w:firstLineChars="200"/>
              <w:jc w:val="left"/>
              <w:rPr>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39" w:firstLineChars="19"/>
              <w:jc w:val="center"/>
              <w:rPr>
                <w:kern w:val="0"/>
                <w:szCs w:val="21"/>
                <w:highlight w:val="none"/>
              </w:rPr>
            </w:pPr>
            <w:r>
              <w:rPr>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420" w:firstLineChars="200"/>
              <w:jc w:val="left"/>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kern w:val="0"/>
                <w:szCs w:val="21"/>
                <w:highlight w:val="none"/>
              </w:rPr>
            </w:pPr>
            <w:r>
              <w:rPr>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auto"/>
              <w:jc w:val="left"/>
              <w:rPr>
                <w:kern w:val="0"/>
                <w:szCs w:val="21"/>
                <w:highlight w:val="none"/>
              </w:rPr>
            </w:pPr>
            <w:r>
              <w:rPr>
                <w:szCs w:val="21"/>
                <w:highlight w:val="none"/>
              </w:rPr>
              <w:t>（应</w:t>
            </w:r>
            <w:r>
              <w:rPr>
                <w:kern w:val="0"/>
                <w:szCs w:val="21"/>
                <w:highlight w:val="none"/>
              </w:rPr>
              <w:t>按采购合同、招标文件、投标响应文件及验收方案等进行验收；并核对</w:t>
            </w:r>
            <w:r>
              <w:rPr>
                <w:szCs w:val="21"/>
                <w:highlight w:val="none"/>
              </w:rPr>
              <w:t>中标或者成交供应商在安装调试等方面是否违反合同约定或服务规范要求、提供的质量保证证明材料是否齐全、应有的配件及附件是否达到合同约定等</w:t>
            </w:r>
            <w:r>
              <w:rPr>
                <w:kern w:val="0"/>
                <w:szCs w:val="21"/>
                <w:highlight w:val="none"/>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kern w:val="0"/>
                <w:szCs w:val="21"/>
                <w:highlight w:val="none"/>
              </w:rPr>
            </w:pPr>
            <w:r>
              <w:rPr>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60" w:lineRule="auto"/>
              <w:jc w:val="left"/>
              <w:rPr>
                <w:kern w:val="0"/>
                <w:szCs w:val="21"/>
                <w:highlight w:val="none"/>
              </w:rPr>
            </w:pPr>
            <w:r>
              <w:rPr>
                <w:kern w:val="0"/>
                <w:szCs w:val="21"/>
                <w:highlight w:val="none"/>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60" w:lineRule="auto"/>
              <w:jc w:val="left"/>
              <w:rPr>
                <w:kern w:val="0"/>
                <w:szCs w:val="21"/>
                <w:highlight w:val="none"/>
              </w:rPr>
            </w:pPr>
            <w:r>
              <w:rPr>
                <w:kern w:val="0"/>
                <w:szCs w:val="21"/>
                <w:highlight w:val="none"/>
              </w:rPr>
              <w:t>有异议的意见和说明理由：</w:t>
            </w:r>
          </w:p>
          <w:p>
            <w:pPr>
              <w:spacing w:before="100" w:beforeAutospacing="1" w:after="100" w:afterAutospacing="1" w:line="360" w:lineRule="auto"/>
              <w:jc w:val="left"/>
              <w:rPr>
                <w:kern w:val="0"/>
                <w:szCs w:val="21"/>
                <w:highlight w:val="none"/>
              </w:rPr>
            </w:pPr>
            <w:r>
              <w:rPr>
                <w:kern w:val="0"/>
                <w:szCs w:val="21"/>
                <w:highlight w:val="none"/>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kern w:val="0"/>
                <w:szCs w:val="21"/>
                <w:highlight w:val="none"/>
              </w:rPr>
            </w:pPr>
            <w:r>
              <w:rPr>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uto"/>
              <w:jc w:val="left"/>
              <w:rPr>
                <w:kern w:val="0"/>
                <w:szCs w:val="21"/>
                <w:highlight w:val="none"/>
              </w:rPr>
            </w:pPr>
            <w:r>
              <w:rPr>
                <w:kern w:val="0"/>
                <w:szCs w:val="21"/>
                <w:highlight w:val="none"/>
              </w:rPr>
              <w:t>监督人员或其他相关人员签字：</w:t>
            </w:r>
          </w:p>
          <w:p>
            <w:pPr>
              <w:widowControl/>
              <w:spacing w:before="100" w:beforeAutospacing="1" w:after="100" w:afterAutospacing="1" w:line="360" w:lineRule="auto"/>
              <w:ind w:firstLine="65" w:firstLineChars="31"/>
              <w:jc w:val="left"/>
              <w:rPr>
                <w:kern w:val="0"/>
                <w:szCs w:val="21"/>
                <w:highlight w:val="none"/>
              </w:rPr>
            </w:pPr>
            <w:r>
              <w:rPr>
                <w:kern w:val="0"/>
                <w:szCs w:val="21"/>
                <w:highlight w:val="none"/>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auto"/>
              <w:ind w:firstLine="65" w:firstLineChars="31"/>
              <w:jc w:val="left"/>
              <w:rPr>
                <w:kern w:val="0"/>
                <w:szCs w:val="21"/>
                <w:highlight w:val="none"/>
              </w:rPr>
            </w:pPr>
            <w:r>
              <w:rPr>
                <w:kern w:val="0"/>
                <w:szCs w:val="21"/>
                <w:highlight w:val="none"/>
              </w:rPr>
              <w:t>中标或者成交供应商负责人签字或盖章：</w:t>
            </w:r>
          </w:p>
          <w:p>
            <w:pPr>
              <w:widowControl/>
              <w:spacing w:before="100" w:beforeAutospacing="1" w:after="100" w:afterAutospacing="1" w:line="360" w:lineRule="auto"/>
              <w:jc w:val="left"/>
              <w:rPr>
                <w:kern w:val="0"/>
                <w:szCs w:val="21"/>
                <w:highlight w:val="none"/>
              </w:rPr>
            </w:pPr>
            <w:r>
              <w:rPr>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60" w:lineRule="auto"/>
              <w:jc w:val="left"/>
              <w:rPr>
                <w:kern w:val="0"/>
                <w:szCs w:val="21"/>
                <w:highlight w:val="none"/>
              </w:rPr>
            </w:pPr>
            <w:r>
              <w:rPr>
                <w:kern w:val="0"/>
                <w:szCs w:val="21"/>
                <w:highlight w:val="none"/>
              </w:rPr>
              <w:t> 采购人或受托机构的意见（盖章）：</w:t>
            </w:r>
          </w:p>
          <w:p>
            <w:pPr>
              <w:widowControl/>
              <w:spacing w:before="100" w:beforeAutospacing="1" w:after="100" w:afterAutospacing="1" w:line="360" w:lineRule="auto"/>
              <w:jc w:val="left"/>
              <w:rPr>
                <w:kern w:val="0"/>
                <w:szCs w:val="21"/>
                <w:highlight w:val="none"/>
              </w:rPr>
            </w:pPr>
            <w:r>
              <w:rPr>
                <w:kern w:val="0"/>
                <w:szCs w:val="21"/>
                <w:highlight w:val="none"/>
              </w:rPr>
              <w:t>联系电话：                 年   月   日</w:t>
            </w:r>
          </w:p>
        </w:tc>
      </w:tr>
    </w:tbl>
    <w:p>
      <w:pPr>
        <w:widowControl/>
        <w:spacing w:line="360" w:lineRule="auto"/>
        <w:jc w:val="left"/>
        <w:rPr>
          <w:spacing w:val="-10"/>
          <w:kern w:val="0"/>
          <w:szCs w:val="21"/>
          <w:highlight w:val="none"/>
        </w:rPr>
      </w:pPr>
      <w:r>
        <w:rPr>
          <w:spacing w:val="-10"/>
          <w:kern w:val="0"/>
          <w:szCs w:val="21"/>
          <w:highlight w:val="none"/>
        </w:rPr>
        <w:t>备注：本报告单一式4份（采购单位1份、供应商1份、采购监督部门备案1份、采购代理机构1份）。</w:t>
      </w:r>
    </w:p>
    <w:p>
      <w:pPr>
        <w:pStyle w:val="28"/>
        <w:snapToGrid w:val="0"/>
        <w:spacing w:before="120" w:after="120" w:line="360" w:lineRule="auto"/>
        <w:jc w:val="center"/>
        <w:outlineLvl w:val="0"/>
        <w:rPr>
          <w:rFonts w:ascii="Arial" w:hAnsi="Arial" w:cs="Arial"/>
          <w:sz w:val="32"/>
          <w:szCs w:val="32"/>
          <w:highlight w:val="none"/>
        </w:rPr>
      </w:pPr>
      <w:r>
        <w:rPr>
          <w:highlight w:val="none"/>
        </w:rPr>
        <w:br w:type="page"/>
      </w:r>
      <w:bookmarkStart w:id="186" w:name="_Toc7841"/>
      <w:r>
        <w:rPr>
          <w:rFonts w:ascii="Arial" w:hAnsi="Arial" w:cs="Arial"/>
          <w:sz w:val="32"/>
          <w:szCs w:val="32"/>
          <w:highlight w:val="none"/>
        </w:rPr>
        <w:t>第六章  投标文件格式</w:t>
      </w:r>
      <w:bookmarkEnd w:id="186"/>
    </w:p>
    <w:p>
      <w:pPr>
        <w:spacing w:line="360" w:lineRule="auto"/>
        <w:rPr>
          <w:rFonts w:ascii="Arial" w:hAnsi="Arial" w:cs="Arial"/>
          <w:sz w:val="28"/>
          <w:szCs w:val="28"/>
          <w:highlight w:val="none"/>
        </w:rPr>
      </w:pPr>
    </w:p>
    <w:p>
      <w:pPr>
        <w:spacing w:line="360" w:lineRule="auto"/>
        <w:rPr>
          <w:rFonts w:ascii="Arial" w:hAnsi="Arial" w:cs="Arial"/>
          <w:sz w:val="28"/>
          <w:szCs w:val="28"/>
          <w:highlight w:val="none"/>
        </w:rPr>
      </w:pPr>
    </w:p>
    <w:p>
      <w:pPr>
        <w:spacing w:line="360" w:lineRule="auto"/>
        <w:ind w:firstLine="560" w:firstLineChars="200"/>
        <w:rPr>
          <w:rFonts w:ascii="Arial" w:hAnsi="Arial" w:cs="Arial"/>
          <w:sz w:val="28"/>
          <w:szCs w:val="28"/>
          <w:highlight w:val="none"/>
        </w:rPr>
      </w:pPr>
      <w:bookmarkStart w:id="187" w:name="_Hlk19114175"/>
      <w:r>
        <w:rPr>
          <w:rFonts w:ascii="Arial" w:hAnsi="Arial" w:cs="Arial"/>
          <w:sz w:val="28"/>
          <w:szCs w:val="28"/>
          <w:highlight w:val="none"/>
        </w:rPr>
        <w:t>注：本章标注“必须提供”的，应按要求必须提供；有签字、盖章要求的应按要求签字、盖章。未标注“必须提供”的，供应商可自行决定是否提供。</w:t>
      </w:r>
    </w:p>
    <w:bookmarkEnd w:id="187"/>
    <w:p>
      <w:pPr>
        <w:spacing w:line="360" w:lineRule="auto"/>
        <w:ind w:firstLine="480" w:firstLineChars="200"/>
        <w:rPr>
          <w:rFonts w:ascii="Arial" w:hAnsi="Arial" w:cs="Arial"/>
          <w:sz w:val="24"/>
          <w:highlight w:val="none"/>
        </w:rPr>
      </w:pPr>
    </w:p>
    <w:p>
      <w:pPr>
        <w:spacing w:line="360" w:lineRule="auto"/>
        <w:ind w:firstLine="480" w:firstLineChars="200"/>
        <w:rPr>
          <w:rFonts w:ascii="Arial" w:hAnsi="Arial" w:cs="Arial"/>
          <w:bCs/>
          <w:sz w:val="24"/>
          <w:highlight w:val="none"/>
        </w:rPr>
      </w:pPr>
      <w:r>
        <w:rPr>
          <w:rFonts w:ascii="Arial" w:hAnsi="Arial" w:cs="Arial"/>
          <w:sz w:val="24"/>
          <w:highlight w:val="none"/>
        </w:rPr>
        <w:br w:type="page"/>
      </w:r>
      <w:bookmarkEnd w:id="0"/>
      <w:bookmarkEnd w:id="1"/>
      <w:r>
        <w:rPr>
          <w:rFonts w:ascii="Arial" w:hAnsi="Arial" w:cs="Arial"/>
          <w:bCs/>
          <w:sz w:val="24"/>
          <w:highlight w:val="none"/>
        </w:rPr>
        <w:t>一、投标文件第1个密封袋的包装封面参考格式：</w:t>
      </w:r>
    </w:p>
    <w:p>
      <w:pPr>
        <w:spacing w:line="360" w:lineRule="auto"/>
        <w:rPr>
          <w:rFonts w:ascii="Arial" w:hAnsi="Arial" w:cs="Arial"/>
          <w:highlight w:val="none"/>
        </w:rPr>
      </w:pPr>
    </w:p>
    <w:p>
      <w:pPr>
        <w:snapToGrid w:val="0"/>
        <w:spacing w:before="120" w:beforeLines="50" w:after="50" w:line="360" w:lineRule="auto"/>
        <w:jc w:val="center"/>
        <w:rPr>
          <w:rFonts w:ascii="Arial" w:hAnsi="Arial" w:cs="Arial"/>
          <w:bCs/>
          <w:sz w:val="2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投 标 文 件</w:t>
      </w: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项目名称：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项目编号：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分标号：（若无留空或写“/”）</w:t>
      </w:r>
    </w:p>
    <w:p>
      <w:pPr>
        <w:pStyle w:val="9"/>
        <w:snapToGrid w:val="0"/>
        <w:spacing w:before="50" w:after="50" w:line="360" w:lineRule="auto"/>
        <w:ind w:left="718" w:leftChars="342" w:firstLine="0"/>
        <w:rPr>
          <w:rFonts w:ascii="Arial" w:hAnsi="Arial" w:cs="Arial"/>
          <w:bCs/>
          <w:sz w:val="24"/>
          <w:szCs w:val="24"/>
          <w:highlight w:val="none"/>
        </w:rPr>
      </w:pPr>
      <w:r>
        <w:rPr>
          <w:rFonts w:ascii="Arial" w:hAnsi="Arial" w:cs="Arial"/>
          <w:bCs/>
          <w:sz w:val="24"/>
          <w:szCs w:val="24"/>
          <w:highlight w:val="none"/>
        </w:rPr>
        <w:t>投标文件名称：第一册</w:t>
      </w:r>
      <w:r>
        <w:rPr>
          <w:rFonts w:ascii="Arial" w:hAnsi="Arial" w:cs="Arial"/>
          <w:bCs/>
          <w:sz w:val="24"/>
          <w:highlight w:val="none"/>
        </w:rPr>
        <w:t>资格审查文件、第二册</w:t>
      </w:r>
      <w:r>
        <w:rPr>
          <w:rFonts w:ascii="Arial" w:hAnsi="Arial" w:cs="Arial"/>
          <w:bCs/>
          <w:sz w:val="24"/>
          <w:szCs w:val="24"/>
          <w:highlight w:val="none"/>
        </w:rPr>
        <w:t>商务技术报价文件、</w:t>
      </w:r>
      <w:r>
        <w:rPr>
          <w:rFonts w:ascii="Arial" w:hAnsi="Arial" w:cs="Arial"/>
          <w:bCs/>
          <w:sz w:val="24"/>
          <w:highlight w:val="none"/>
        </w:rPr>
        <w:t>电子版投标文件</w:t>
      </w:r>
      <w:r>
        <w:rPr>
          <w:rFonts w:ascii="Arial" w:hAnsi="Arial" w:cs="Arial"/>
          <w:bCs/>
          <w:sz w:val="24"/>
          <w:szCs w:val="24"/>
          <w:highlight w:val="none"/>
        </w:rPr>
        <w:t>供应商名称：</w:t>
      </w:r>
    </w:p>
    <w:p>
      <w:pPr>
        <w:pStyle w:val="9"/>
        <w:snapToGrid w:val="0"/>
        <w:spacing w:before="50" w:after="50" w:line="360" w:lineRule="auto"/>
        <w:ind w:firstLine="720" w:firstLineChars="300"/>
        <w:rPr>
          <w:rFonts w:ascii="Arial" w:hAnsi="Arial" w:cs="Arial"/>
          <w:bCs/>
          <w:sz w:val="24"/>
          <w:szCs w:val="24"/>
          <w:highlight w:val="none"/>
        </w:rPr>
      </w:pPr>
      <w:r>
        <w:rPr>
          <w:rFonts w:ascii="Arial" w:hAnsi="Arial" w:cs="Arial"/>
          <w:bCs/>
          <w:sz w:val="24"/>
          <w:szCs w:val="24"/>
          <w:highlight w:val="none"/>
        </w:rPr>
        <w:t>供应商地址：</w:t>
      </w:r>
    </w:p>
    <w:p>
      <w:pPr>
        <w:pStyle w:val="9"/>
        <w:snapToGrid w:val="0"/>
        <w:spacing w:before="50" w:after="50" w:line="360" w:lineRule="auto"/>
        <w:ind w:firstLine="720" w:firstLineChars="300"/>
        <w:rPr>
          <w:rFonts w:ascii="Arial" w:hAnsi="Arial" w:cs="Arial"/>
          <w:bCs/>
          <w:sz w:val="24"/>
          <w:szCs w:val="24"/>
          <w:highlight w:val="none"/>
        </w:rPr>
      </w:pPr>
      <w:r>
        <w:rPr>
          <w:rFonts w:ascii="Arial" w:hAnsi="Arial" w:cs="Arial"/>
          <w:bCs/>
          <w:sz w:val="24"/>
          <w:szCs w:val="24"/>
          <w:highlight w:val="none"/>
        </w:rPr>
        <w:t>在  年  月  日  时  分之前不得启封</w:t>
      </w:r>
    </w:p>
    <w:p>
      <w:pPr>
        <w:pStyle w:val="9"/>
        <w:snapToGrid w:val="0"/>
        <w:spacing w:before="50" w:after="50" w:line="360" w:lineRule="auto"/>
        <w:ind w:firstLine="720" w:firstLineChars="300"/>
        <w:rPr>
          <w:rFonts w:ascii="Arial" w:hAnsi="Arial" w:cs="Arial"/>
          <w:bCs/>
          <w:sz w:val="24"/>
          <w:szCs w:val="24"/>
          <w:highlight w:val="none"/>
        </w:rPr>
      </w:pPr>
      <w:r>
        <w:rPr>
          <w:rFonts w:ascii="Arial" w:hAnsi="Arial" w:cs="Arial"/>
          <w:bCs/>
          <w:sz w:val="24"/>
          <w:szCs w:val="24"/>
          <w:highlight w:val="none"/>
        </w:rPr>
        <w:t>开标时启封</w:t>
      </w:r>
    </w:p>
    <w:p>
      <w:pPr>
        <w:snapToGrid w:val="0"/>
        <w:spacing w:before="120" w:beforeLines="50" w:after="50" w:line="360" w:lineRule="auto"/>
        <w:ind w:firstLine="4080" w:firstLineChars="1700"/>
        <w:rPr>
          <w:rFonts w:ascii="Arial" w:hAnsi="Arial" w:cs="Arial"/>
          <w:bCs/>
          <w:sz w:val="24"/>
          <w:highlight w:val="none"/>
        </w:rPr>
      </w:pPr>
    </w:p>
    <w:p>
      <w:pPr>
        <w:snapToGrid w:val="0"/>
        <w:spacing w:before="120" w:beforeLines="50" w:after="50" w:line="360" w:lineRule="auto"/>
        <w:ind w:firstLine="645"/>
        <w:jc w:val="center"/>
        <w:rPr>
          <w:rFonts w:ascii="Arial" w:hAnsi="Arial" w:cs="Arial"/>
          <w:bCs/>
          <w:sz w:val="24"/>
          <w:highlight w:val="none"/>
        </w:rPr>
      </w:pPr>
      <w:r>
        <w:rPr>
          <w:rFonts w:ascii="Arial" w:hAnsi="Arial" w:cs="Arial"/>
          <w:bCs/>
          <w:sz w:val="24"/>
          <w:highlight w:val="none"/>
        </w:rPr>
        <w:t xml:space="preserve">                        年  月  日</w:t>
      </w:r>
    </w:p>
    <w:p>
      <w:pPr>
        <w:snapToGrid w:val="0"/>
        <w:spacing w:before="120" w:beforeLines="50" w:after="50" w:line="360" w:lineRule="auto"/>
        <w:jc w:val="left"/>
        <w:outlineLvl w:val="1"/>
        <w:rPr>
          <w:rFonts w:ascii="Arial" w:hAnsi="Arial" w:cs="Arial"/>
          <w:bCs/>
          <w:sz w:val="24"/>
          <w:highlight w:val="none"/>
        </w:rPr>
      </w:pPr>
      <w:r>
        <w:rPr>
          <w:rFonts w:ascii="Arial" w:hAnsi="Arial" w:cs="Arial"/>
          <w:sz w:val="24"/>
          <w:highlight w:val="none"/>
        </w:rPr>
        <w:br w:type="page"/>
      </w:r>
      <w:r>
        <w:rPr>
          <w:rFonts w:ascii="Arial" w:hAnsi="Arial" w:cs="Arial"/>
          <w:bCs/>
          <w:sz w:val="24"/>
          <w:highlight w:val="none"/>
        </w:rPr>
        <w:t xml:space="preserve">1．投标文件第一册封面参考格式： </w:t>
      </w:r>
    </w:p>
    <w:p>
      <w:pPr>
        <w:snapToGrid w:val="0"/>
        <w:spacing w:before="120" w:beforeLines="50" w:after="50" w:line="360" w:lineRule="auto"/>
        <w:rPr>
          <w:rFonts w:ascii="Arial" w:hAnsi="Arial" w:cs="Arial"/>
          <w:sz w:val="24"/>
          <w:highlight w:val="none"/>
        </w:rPr>
      </w:pPr>
    </w:p>
    <w:p>
      <w:pPr>
        <w:snapToGrid w:val="0"/>
        <w:spacing w:before="120" w:beforeLines="50" w:after="50" w:line="360" w:lineRule="auto"/>
        <w:jc w:val="right"/>
        <w:rPr>
          <w:rFonts w:ascii="Arial" w:hAnsi="Arial" w:cs="Arial"/>
          <w:bCs/>
          <w:sz w:val="24"/>
          <w:highlight w:val="none"/>
        </w:rPr>
      </w:pPr>
      <w:r>
        <w:rPr>
          <w:rFonts w:ascii="Arial" w:hAnsi="Arial" w:cs="Arial"/>
          <w:bCs/>
          <w:sz w:val="24"/>
          <w:highlight w:val="none"/>
        </w:rPr>
        <w:t>正本/副本</w:t>
      </w:r>
    </w:p>
    <w:p>
      <w:pPr>
        <w:snapToGrid w:val="0"/>
        <w:spacing w:before="120" w:beforeLines="50" w:after="50" w:line="360" w:lineRule="auto"/>
        <w:jc w:val="center"/>
        <w:rPr>
          <w:rFonts w:ascii="Arial" w:hAnsi="Arial" w:cs="Arial"/>
          <w:bCs/>
          <w:sz w:val="2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投标文件</w:t>
      </w: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第一册  资格审查文件</w:t>
      </w: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项目名称：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项目编号：</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分标号：（若无留空或写“/”）</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供应商名称：</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供应商地址：</w:t>
      </w:r>
    </w:p>
    <w:p>
      <w:pPr>
        <w:pStyle w:val="9"/>
        <w:snapToGrid w:val="0"/>
        <w:spacing w:before="50" w:after="50" w:line="360" w:lineRule="auto"/>
        <w:ind w:firstLine="960" w:firstLineChars="400"/>
        <w:rPr>
          <w:rFonts w:ascii="Arial" w:hAnsi="Arial" w:cs="Arial"/>
          <w:bCs/>
          <w:sz w:val="24"/>
          <w:szCs w:val="24"/>
          <w:highlight w:val="none"/>
        </w:rPr>
      </w:pPr>
    </w:p>
    <w:p>
      <w:pPr>
        <w:snapToGrid w:val="0"/>
        <w:spacing w:before="120" w:beforeLines="50" w:after="50" w:line="360" w:lineRule="auto"/>
        <w:jc w:val="center"/>
        <w:rPr>
          <w:rFonts w:ascii="Arial" w:hAnsi="Arial" w:cs="Arial"/>
          <w:sz w:val="24"/>
          <w:highlight w:val="none"/>
        </w:rPr>
      </w:pPr>
      <w:r>
        <w:rPr>
          <w:rFonts w:ascii="Arial" w:hAnsi="Arial" w:cs="Arial"/>
          <w:sz w:val="24"/>
          <w:highlight w:val="none"/>
        </w:rPr>
        <w:t xml:space="preserve">                        年  月  日</w:t>
      </w:r>
    </w:p>
    <w:p>
      <w:pPr>
        <w:spacing w:line="360" w:lineRule="auto"/>
        <w:rPr>
          <w:rFonts w:ascii="Arial" w:hAnsi="Arial" w:cs="Arial"/>
          <w:highlight w:val="none"/>
        </w:rPr>
      </w:pPr>
      <w:bookmarkStart w:id="188" w:name="_Toc254970698"/>
      <w:bookmarkStart w:id="189" w:name="_Toc254970557"/>
      <w:r>
        <w:rPr>
          <w:rFonts w:ascii="Arial" w:hAnsi="Arial" w:cs="Arial"/>
          <w:highlight w:val="none"/>
        </w:rPr>
        <w:br w:type="page"/>
      </w:r>
      <w:bookmarkEnd w:id="188"/>
      <w:bookmarkEnd w:id="189"/>
      <w:r>
        <w:rPr>
          <w:rFonts w:ascii="Arial" w:hAnsi="Arial" w:cs="Arial"/>
          <w:b/>
          <w:bCs/>
          <w:highlight w:val="none"/>
        </w:rPr>
        <w:t xml:space="preserve"> </w:t>
      </w:r>
    </w:p>
    <w:p>
      <w:pPr>
        <w:snapToGrid w:val="0"/>
        <w:spacing w:before="50" w:after="50" w:line="360" w:lineRule="auto"/>
        <w:ind w:firstLine="138" w:firstLineChars="49"/>
        <w:jc w:val="center"/>
        <w:rPr>
          <w:rFonts w:ascii="Arial" w:hAnsi="Arial" w:cs="Arial"/>
          <w:b/>
          <w:sz w:val="28"/>
          <w:szCs w:val="28"/>
          <w:highlight w:val="none"/>
        </w:rPr>
      </w:pPr>
      <w:r>
        <w:rPr>
          <w:rFonts w:ascii="Arial" w:hAnsi="Arial" w:cs="Arial"/>
          <w:b/>
          <w:sz w:val="28"/>
          <w:szCs w:val="28"/>
          <w:highlight w:val="none"/>
        </w:rPr>
        <w:t>目录</w:t>
      </w:r>
    </w:p>
    <w:p>
      <w:pPr>
        <w:snapToGrid w:val="0"/>
        <w:spacing w:before="50" w:after="50" w:line="360" w:lineRule="auto"/>
        <w:ind w:firstLine="118" w:firstLineChars="49"/>
        <w:jc w:val="center"/>
        <w:rPr>
          <w:rFonts w:ascii="Arial" w:hAnsi="Arial" w:cs="Arial"/>
          <w:b/>
          <w:sz w:val="24"/>
          <w:highlight w:val="none"/>
        </w:rPr>
      </w:pPr>
      <w:r>
        <w:rPr>
          <w:rFonts w:ascii="Arial" w:hAnsi="Arial" w:cs="Arial"/>
          <w:b/>
          <w:sz w:val="24"/>
          <w:highlight w:val="none"/>
        </w:rPr>
        <w:t>（应有页码）</w:t>
      </w:r>
    </w:p>
    <w:p>
      <w:pPr>
        <w:snapToGrid w:val="0"/>
        <w:spacing w:before="50" w:after="50" w:line="360" w:lineRule="auto"/>
        <w:ind w:firstLine="118" w:firstLineChars="49"/>
        <w:jc w:val="center"/>
        <w:rPr>
          <w:rFonts w:ascii="Arial" w:hAnsi="Arial" w:cs="Arial"/>
          <w:b/>
          <w:sz w:val="24"/>
          <w:highlight w:val="none"/>
        </w:rPr>
      </w:pPr>
      <w:r>
        <w:rPr>
          <w:rFonts w:ascii="Arial" w:hAnsi="Arial" w:cs="Arial"/>
          <w:b/>
          <w:sz w:val="24"/>
          <w:highlight w:val="none"/>
        </w:rPr>
        <w:br w:type="page"/>
      </w:r>
    </w:p>
    <w:p>
      <w:pPr>
        <w:snapToGrid w:val="0"/>
        <w:spacing w:before="50" w:after="50" w:line="360" w:lineRule="auto"/>
        <w:jc w:val="left"/>
        <w:rPr>
          <w:rFonts w:ascii="Arial" w:hAnsi="Arial" w:cs="Arial"/>
          <w:b/>
          <w:szCs w:val="21"/>
          <w:highlight w:val="none"/>
        </w:rPr>
      </w:pPr>
      <w:bookmarkStart w:id="190" w:name="_Hlk19114217"/>
      <w:r>
        <w:rPr>
          <w:rFonts w:ascii="Arial" w:hAnsi="Arial" w:cs="Arial"/>
          <w:b/>
          <w:szCs w:val="21"/>
          <w:highlight w:val="none"/>
        </w:rPr>
        <w:t>1．投标声明书格式（必须提供）：</w:t>
      </w:r>
    </w:p>
    <w:p>
      <w:pPr>
        <w:snapToGrid w:val="0"/>
        <w:spacing w:before="120" w:beforeLines="50" w:after="50" w:line="360" w:lineRule="auto"/>
        <w:jc w:val="center"/>
        <w:rPr>
          <w:rFonts w:ascii="Arial" w:hAnsi="Arial" w:cs="Arial"/>
          <w:b/>
          <w:szCs w:val="21"/>
          <w:highlight w:val="none"/>
        </w:rPr>
      </w:pPr>
    </w:p>
    <w:p>
      <w:pPr>
        <w:snapToGrid w:val="0"/>
        <w:spacing w:before="120" w:beforeLines="50" w:after="50" w:line="360" w:lineRule="auto"/>
        <w:jc w:val="center"/>
        <w:rPr>
          <w:rFonts w:ascii="Arial" w:hAnsi="Arial" w:cs="Arial"/>
          <w:b/>
          <w:szCs w:val="21"/>
          <w:highlight w:val="none"/>
        </w:rPr>
      </w:pPr>
      <w:r>
        <w:rPr>
          <w:rFonts w:ascii="Arial" w:hAnsi="Arial" w:cs="Arial"/>
          <w:b/>
          <w:szCs w:val="21"/>
          <w:highlight w:val="none"/>
        </w:rPr>
        <w:t>投标声明书</w:t>
      </w:r>
    </w:p>
    <w:p>
      <w:pPr>
        <w:snapToGrid w:val="0"/>
        <w:spacing w:before="120" w:beforeLines="50" w:after="50" w:line="360" w:lineRule="auto"/>
        <w:jc w:val="center"/>
        <w:rPr>
          <w:rFonts w:ascii="Arial" w:hAnsi="Arial" w:cs="Arial"/>
          <w:szCs w:val="21"/>
          <w:highlight w:val="none"/>
        </w:rPr>
      </w:pPr>
    </w:p>
    <w:p>
      <w:pPr>
        <w:snapToGrid w:val="0"/>
        <w:spacing w:before="120" w:beforeLines="50" w:after="50" w:line="360" w:lineRule="auto"/>
        <w:rPr>
          <w:rFonts w:ascii="Arial" w:hAnsi="Arial" w:cs="Arial"/>
          <w:szCs w:val="21"/>
          <w:highlight w:val="none"/>
        </w:rPr>
      </w:pPr>
      <w:r>
        <w:rPr>
          <w:rFonts w:ascii="Arial" w:hAnsi="Arial" w:cs="Arial"/>
          <w:szCs w:val="21"/>
          <w:highlight w:val="none"/>
        </w:rPr>
        <w:t>致：</w:t>
      </w:r>
      <w:r>
        <w:rPr>
          <w:rFonts w:ascii="Arial" w:hAnsi="Arial" w:cs="Arial"/>
          <w:i/>
          <w:iCs/>
          <w:szCs w:val="21"/>
          <w:highlight w:val="none"/>
          <w:u w:val="single"/>
        </w:rPr>
        <w:t>（采购人名称）</w:t>
      </w:r>
      <w:r>
        <w:rPr>
          <w:rFonts w:ascii="Arial" w:hAnsi="Arial" w:cs="Arial"/>
          <w:szCs w:val="21"/>
          <w:highlight w:val="none"/>
        </w:rPr>
        <w:t>：</w:t>
      </w:r>
    </w:p>
    <w:p>
      <w:pPr>
        <w:snapToGrid w:val="0"/>
        <w:spacing w:before="120" w:beforeLines="50" w:after="50" w:line="360" w:lineRule="auto"/>
        <w:ind w:firstLine="630" w:firstLineChars="300"/>
        <w:rPr>
          <w:rFonts w:ascii="Arial" w:hAnsi="Arial" w:cs="Arial"/>
          <w:szCs w:val="21"/>
          <w:highlight w:val="none"/>
        </w:rPr>
      </w:pPr>
      <w:r>
        <w:rPr>
          <w:rFonts w:ascii="Arial" w:hAnsi="Arial" w:cs="Arial"/>
          <w:i/>
          <w:iCs/>
          <w:szCs w:val="21"/>
          <w:highlight w:val="none"/>
          <w:u w:val="single"/>
        </w:rPr>
        <w:t>（供应商名称）</w:t>
      </w:r>
      <w:r>
        <w:rPr>
          <w:rFonts w:ascii="Arial" w:hAnsi="Arial" w:cs="Arial"/>
          <w:szCs w:val="21"/>
          <w:highlight w:val="none"/>
        </w:rPr>
        <w:t>系中华人民共和国合法企业，</w:t>
      </w:r>
      <w:r>
        <w:rPr>
          <w:rFonts w:ascii="Arial" w:hAnsi="Arial" w:cs="Arial"/>
          <w:szCs w:val="21"/>
          <w:highlight w:val="none"/>
          <w:u w:val="single"/>
        </w:rPr>
        <w:t xml:space="preserve"> </w:t>
      </w:r>
      <w:r>
        <w:rPr>
          <w:rFonts w:ascii="Arial" w:hAnsi="Arial" w:cs="Arial"/>
          <w:i/>
          <w:iCs/>
          <w:szCs w:val="21"/>
          <w:highlight w:val="none"/>
          <w:u w:val="single"/>
        </w:rPr>
        <w:t xml:space="preserve"> （经营地址）  </w:t>
      </w:r>
      <w:r>
        <w:rPr>
          <w:rFonts w:ascii="Arial" w:hAnsi="Arial" w:cs="Arial"/>
          <w:szCs w:val="21"/>
          <w:highlight w:val="none"/>
          <w:u w:val="single"/>
        </w:rPr>
        <w:t xml:space="preserve"> </w:t>
      </w:r>
      <w:r>
        <w:rPr>
          <w:rFonts w:ascii="Arial" w:hAnsi="Arial" w:cs="Arial"/>
          <w:szCs w:val="21"/>
          <w:highlight w:val="none"/>
        </w:rPr>
        <w:t>。</w:t>
      </w:r>
    </w:p>
    <w:p>
      <w:pPr>
        <w:snapToGrid w:val="0"/>
        <w:spacing w:before="120" w:beforeLines="50" w:after="50" w:line="360" w:lineRule="auto"/>
        <w:ind w:firstLine="645"/>
        <w:rPr>
          <w:rFonts w:ascii="Arial" w:hAnsi="Arial" w:cs="Arial"/>
          <w:szCs w:val="21"/>
          <w:highlight w:val="none"/>
        </w:rPr>
      </w:pPr>
      <w:r>
        <w:rPr>
          <w:rFonts w:ascii="Arial" w:hAnsi="Arial" w:cs="Arial"/>
          <w:szCs w:val="21"/>
          <w:highlight w:val="none"/>
        </w:rPr>
        <w:t>我</w:t>
      </w:r>
      <w:r>
        <w:rPr>
          <w:rFonts w:ascii="Arial" w:hAnsi="Arial" w:cs="Arial"/>
          <w:i/>
          <w:iCs/>
          <w:szCs w:val="21"/>
          <w:highlight w:val="none"/>
          <w:u w:val="single"/>
        </w:rPr>
        <w:t xml:space="preserve">（姓名） </w:t>
      </w:r>
      <w:r>
        <w:rPr>
          <w:rFonts w:ascii="Arial" w:hAnsi="Arial" w:cs="Arial"/>
          <w:szCs w:val="21"/>
          <w:highlight w:val="none"/>
        </w:rPr>
        <w:t>系</w:t>
      </w:r>
      <w:r>
        <w:rPr>
          <w:rFonts w:ascii="Arial" w:hAnsi="Arial" w:cs="Arial"/>
          <w:i/>
          <w:iCs/>
          <w:szCs w:val="21"/>
          <w:highlight w:val="none"/>
          <w:u w:val="single"/>
        </w:rPr>
        <w:t>（供应商名称）</w:t>
      </w:r>
      <w:r>
        <w:rPr>
          <w:rFonts w:ascii="Arial" w:hAnsi="Arial" w:cs="Arial"/>
          <w:szCs w:val="21"/>
          <w:highlight w:val="none"/>
        </w:rPr>
        <w:t xml:space="preserve">的法定代表人，我方愿意参加贵方组织的 </w:t>
      </w:r>
      <w:r>
        <w:rPr>
          <w:rFonts w:ascii="Arial" w:hAnsi="Arial" w:cs="Arial"/>
          <w:i/>
          <w:iCs/>
          <w:szCs w:val="21"/>
          <w:highlight w:val="none"/>
          <w:u w:val="single"/>
        </w:rPr>
        <w:t xml:space="preserve">（项目名称） </w:t>
      </w:r>
      <w:r>
        <w:rPr>
          <w:rFonts w:ascii="Arial" w:hAnsi="Arial" w:cs="Arial"/>
          <w:szCs w:val="21"/>
          <w:highlight w:val="none"/>
        </w:rPr>
        <w:t>项目的投标，为便于贵方公正、择优地确定</w:t>
      </w:r>
      <w:r>
        <w:rPr>
          <w:rFonts w:hint="eastAsia" w:ascii="Arial" w:hAnsi="Arial" w:cs="Arial"/>
          <w:szCs w:val="21"/>
          <w:highlight w:val="none"/>
        </w:rPr>
        <w:t>中标供应商</w:t>
      </w:r>
      <w:r>
        <w:rPr>
          <w:rFonts w:ascii="Arial" w:hAnsi="Arial" w:cs="Arial"/>
          <w:szCs w:val="21"/>
          <w:highlight w:val="none"/>
        </w:rPr>
        <w:t>及其投标产品和服务，我方就本次投标有关事项郑重声明如下：</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（1）我方向贵方提交的所有投标文件、资料都是准确的和真实的。</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（2）我方不是采购人的附属机构；也不是为本项目提供整体设计、规范编制或者项目管理、监理、检测等服务的供应商或其附属机构。</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（3）我方承诺在参加本政府采购项目活动前，没有被纳入政府部门或银行认定的失信名单，我方具有良好的商业信誉。</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（5）我方承诺具有履行本项目合同所必需的设备和专业技术能力。</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6）我方承诺未被列入失信被执行人、重大税收违法案件当事人名单、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（7）我方承诺中标后按规定缴纳代理服务费。</w:t>
      </w:r>
    </w:p>
    <w:p>
      <w:pPr>
        <w:snapToGrid w:val="0"/>
        <w:spacing w:before="120" w:beforeLines="50" w:line="360" w:lineRule="auto"/>
        <w:ind w:firstLine="420" w:firstLineChars="200"/>
        <w:rPr>
          <w:rFonts w:ascii="Arial" w:hAnsi="Arial" w:cs="Arial"/>
          <w:szCs w:val="21"/>
          <w:highlight w:val="none"/>
        </w:rPr>
      </w:pPr>
      <w:r>
        <w:rPr>
          <w:rFonts w:ascii="Arial" w:hAnsi="Arial" w:cs="Arial"/>
          <w:szCs w:val="21"/>
          <w:highlight w:val="none"/>
        </w:rPr>
        <w:t>我方对以上声明负全部法律责任。如有虚假或隐瞒，我方愿意承担一切后果，并不再寻求任何旨在减轻或免除法律责任的辩解。</w:t>
      </w:r>
      <w:bookmarkEnd w:id="190"/>
    </w:p>
    <w:p>
      <w:pPr>
        <w:snapToGrid w:val="0"/>
        <w:spacing w:before="120" w:beforeLines="50" w:line="360" w:lineRule="auto"/>
        <w:ind w:firstLine="3509" w:firstLineChars="1671"/>
        <w:rPr>
          <w:rFonts w:ascii="Arial" w:hAnsi="Arial" w:cs="Arial"/>
          <w:szCs w:val="21"/>
          <w:highlight w:val="none"/>
          <w:u w:val="single"/>
        </w:rPr>
      </w:pPr>
      <w:r>
        <w:rPr>
          <w:rFonts w:ascii="Arial" w:hAnsi="Arial" w:cs="Arial"/>
          <w:szCs w:val="21"/>
          <w:highlight w:val="none"/>
        </w:rPr>
        <w:t>法定代表人签字或盖章：</w:t>
      </w:r>
      <w:r>
        <w:rPr>
          <w:rFonts w:ascii="Arial" w:hAnsi="Arial" w:cs="Arial"/>
          <w:szCs w:val="21"/>
          <w:highlight w:val="none"/>
          <w:u w:val="single"/>
        </w:rPr>
        <w:t xml:space="preserve">             </w:t>
      </w:r>
    </w:p>
    <w:p>
      <w:pPr>
        <w:snapToGrid w:val="0"/>
        <w:spacing w:before="120" w:beforeLines="50" w:after="50" w:line="360" w:lineRule="auto"/>
        <w:ind w:firstLine="3570" w:firstLineChars="170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p>
    <w:p>
      <w:pPr>
        <w:snapToGrid w:val="0"/>
        <w:spacing w:before="120" w:beforeLines="50" w:after="50" w:line="360" w:lineRule="auto"/>
        <w:ind w:firstLine="210" w:firstLineChars="100"/>
        <w:rPr>
          <w:rFonts w:ascii="Arial" w:hAnsi="Arial" w:cs="Arial"/>
          <w:szCs w:val="21"/>
          <w:highlight w:val="none"/>
        </w:rPr>
      </w:pPr>
      <w:r>
        <w:rPr>
          <w:rFonts w:ascii="Arial" w:hAnsi="Arial" w:cs="Arial"/>
          <w:szCs w:val="21"/>
          <w:highlight w:val="none"/>
        </w:rPr>
        <w:t xml:space="preserve">                                          年    月    日</w:t>
      </w:r>
    </w:p>
    <w:p>
      <w:pPr>
        <w:snapToGrid w:val="0"/>
        <w:spacing w:before="120" w:beforeLines="50" w:after="50" w:line="360" w:lineRule="auto"/>
        <w:rPr>
          <w:rFonts w:ascii="Arial" w:hAnsi="Arial" w:cs="Arial"/>
          <w:szCs w:val="21"/>
          <w:highlight w:val="none"/>
        </w:rPr>
      </w:pPr>
      <w:r>
        <w:rPr>
          <w:rFonts w:ascii="Arial" w:hAnsi="Arial" w:cs="Arial"/>
          <w:szCs w:val="21"/>
          <w:highlight w:val="none"/>
        </w:rPr>
        <w:br w:type="page"/>
      </w:r>
      <w:r>
        <w:rPr>
          <w:rFonts w:ascii="Arial" w:hAnsi="Arial" w:cs="Arial"/>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r>
        <w:rPr>
          <w:rFonts w:ascii="Arial" w:hAnsi="Arial" w:cs="Arial"/>
          <w:b/>
          <w:szCs w:val="21"/>
          <w:highlight w:val="none"/>
        </w:rPr>
        <w:t>（必须提供）</w:t>
      </w:r>
    </w:p>
    <w:p>
      <w:pPr>
        <w:snapToGrid w:val="0"/>
        <w:spacing w:before="120" w:beforeLines="50" w:after="50" w:line="360" w:lineRule="auto"/>
        <w:rPr>
          <w:rFonts w:ascii="Arial" w:hAnsi="Arial" w:cs="Arial"/>
          <w:sz w:val="18"/>
          <w:szCs w:val="18"/>
          <w:highlight w:val="none"/>
        </w:rPr>
      </w:pPr>
    </w:p>
    <w:p>
      <w:pPr>
        <w:pStyle w:val="97"/>
        <w:rPr>
          <w:color w:val="auto"/>
          <w:highlight w:val="none"/>
        </w:rPr>
      </w:pPr>
    </w:p>
    <w:p>
      <w:pPr>
        <w:snapToGrid w:val="0"/>
        <w:spacing w:before="120" w:beforeLines="50" w:after="50" w:line="360" w:lineRule="auto"/>
        <w:rPr>
          <w:rFonts w:ascii="Arial" w:hAnsi="Arial" w:cs="Arial"/>
          <w:b/>
          <w:szCs w:val="21"/>
          <w:highlight w:val="none"/>
        </w:rPr>
      </w:pPr>
      <w:bookmarkStart w:id="191" w:name="_Hlk19114230"/>
      <w:r>
        <w:rPr>
          <w:rFonts w:ascii="Arial" w:hAnsi="Arial" w:cs="Arial"/>
          <w:szCs w:val="21"/>
          <w:highlight w:val="none"/>
        </w:rPr>
        <w:t>3．财务状况报告（表）复印件或银行出具的资信证明复印件。</w:t>
      </w:r>
      <w:r>
        <w:rPr>
          <w:rFonts w:ascii="Arial" w:hAnsi="Arial" w:cs="Arial"/>
          <w:highlight w:val="none"/>
        </w:rPr>
        <w:t>对于从取得营业执照时间起到截标时间为止不足1年的供应商，只需提交</w:t>
      </w:r>
      <w:r>
        <w:rPr>
          <w:rFonts w:ascii="Arial" w:hAnsi="Arial" w:cs="Arial"/>
          <w:szCs w:val="21"/>
          <w:highlight w:val="none"/>
        </w:rPr>
        <w:t>截标时间前一个月的财务状况报告（表）复印件。（按“评标方法及评标标准” “资格审查表”规定提供）。（加盖供应商公章）。</w:t>
      </w:r>
      <w:r>
        <w:rPr>
          <w:rFonts w:ascii="Arial" w:hAnsi="Arial" w:cs="Arial"/>
          <w:b/>
          <w:szCs w:val="21"/>
          <w:highlight w:val="none"/>
        </w:rPr>
        <w:t>（必须提供）</w:t>
      </w:r>
    </w:p>
    <w:p>
      <w:pPr>
        <w:snapToGrid w:val="0"/>
        <w:spacing w:before="120" w:beforeLines="50" w:after="50" w:line="360" w:lineRule="auto"/>
        <w:rPr>
          <w:rFonts w:ascii="Arial" w:hAnsi="Arial" w:cs="Arial"/>
          <w:szCs w:val="21"/>
          <w:highlight w:val="none"/>
        </w:rPr>
      </w:pPr>
    </w:p>
    <w:p>
      <w:pPr>
        <w:pStyle w:val="97"/>
        <w:rPr>
          <w:color w:val="auto"/>
          <w:highlight w:val="none"/>
        </w:rPr>
      </w:pPr>
    </w:p>
    <w:bookmarkEnd w:id="191"/>
    <w:p>
      <w:pPr>
        <w:snapToGrid w:val="0"/>
        <w:spacing w:before="120" w:beforeLines="50" w:after="50" w:line="360" w:lineRule="auto"/>
        <w:rPr>
          <w:rFonts w:ascii="Arial" w:hAnsi="Arial" w:cs="Arial"/>
          <w:szCs w:val="21"/>
          <w:highlight w:val="none"/>
        </w:rPr>
      </w:pPr>
      <w:r>
        <w:rPr>
          <w:rFonts w:ascii="Arial" w:hAnsi="Arial" w:cs="Arial"/>
          <w:highlight w:val="none"/>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highlight w:val="none"/>
        </w:rPr>
        <w:t>（按“评标方法及评标标准” “资格审查表”规定提供）（加盖供应商公章）。</w:t>
      </w:r>
      <w:r>
        <w:rPr>
          <w:rFonts w:ascii="Arial" w:hAnsi="Arial" w:cs="Arial"/>
          <w:b/>
          <w:szCs w:val="21"/>
          <w:highlight w:val="none"/>
        </w:rPr>
        <w:t>（必须提供）</w:t>
      </w:r>
    </w:p>
    <w:p>
      <w:pPr>
        <w:snapToGrid w:val="0"/>
        <w:spacing w:before="50" w:after="120" w:afterLines="50" w:line="360" w:lineRule="auto"/>
        <w:jc w:val="left"/>
        <w:rPr>
          <w:rFonts w:ascii="Arial" w:hAnsi="Arial" w:cs="Arial"/>
          <w:highlight w:val="none"/>
        </w:rPr>
      </w:pPr>
    </w:p>
    <w:p>
      <w:pPr>
        <w:pStyle w:val="97"/>
        <w:rPr>
          <w:color w:val="auto"/>
          <w:highlight w:val="none"/>
        </w:rPr>
      </w:pPr>
    </w:p>
    <w:p>
      <w:pPr>
        <w:snapToGrid w:val="0"/>
        <w:spacing w:before="50" w:after="120" w:afterLines="50" w:line="360" w:lineRule="auto"/>
        <w:jc w:val="left"/>
        <w:rPr>
          <w:rFonts w:ascii="Arial" w:hAnsi="Arial" w:cs="Arial"/>
          <w:b/>
          <w:szCs w:val="21"/>
          <w:highlight w:val="none"/>
        </w:rPr>
      </w:pPr>
      <w:bookmarkStart w:id="192" w:name="_Hlk19114283"/>
      <w:r>
        <w:rPr>
          <w:rFonts w:ascii="Arial" w:hAnsi="Arial" w:cs="Arial"/>
          <w:szCs w:val="21"/>
          <w:highlight w:val="none"/>
        </w:rPr>
        <w:t>5．具备法律、行政法规规定的其他要求的证明材料</w:t>
      </w:r>
      <w:r>
        <w:rPr>
          <w:rFonts w:ascii="Arial" w:hAnsi="Arial" w:cs="Arial"/>
          <w:highlight w:val="none"/>
        </w:rPr>
        <w:t>（</w:t>
      </w:r>
      <w:r>
        <w:rPr>
          <w:rFonts w:ascii="Arial" w:hAnsi="Arial" w:cs="Arial"/>
          <w:szCs w:val="21"/>
          <w:highlight w:val="none"/>
        </w:rPr>
        <w:t>按“评标方法及评标标准” “资格审查表”规定提供</w:t>
      </w:r>
      <w:r>
        <w:rPr>
          <w:rFonts w:ascii="Arial" w:hAnsi="Arial" w:cs="Arial"/>
          <w:highlight w:val="none"/>
        </w:rPr>
        <w:t>）。</w:t>
      </w:r>
      <w:r>
        <w:rPr>
          <w:rFonts w:ascii="Arial" w:hAnsi="Arial" w:cs="Arial"/>
          <w:b/>
          <w:szCs w:val="21"/>
          <w:highlight w:val="none"/>
        </w:rPr>
        <w:t>（如招标文件有要求，则必须提供）</w:t>
      </w:r>
    </w:p>
    <w:p>
      <w:pPr>
        <w:snapToGrid w:val="0"/>
        <w:spacing w:before="50" w:after="120" w:afterLines="50" w:line="360" w:lineRule="auto"/>
        <w:jc w:val="left"/>
        <w:rPr>
          <w:rFonts w:ascii="Arial" w:hAnsi="Arial" w:cs="Arial"/>
          <w:highlight w:val="none"/>
        </w:rPr>
      </w:pPr>
    </w:p>
    <w:p>
      <w:pPr>
        <w:snapToGrid w:val="0"/>
        <w:spacing w:before="50" w:after="120" w:afterLines="50" w:line="360" w:lineRule="auto"/>
        <w:jc w:val="left"/>
        <w:rPr>
          <w:rFonts w:ascii="Arial" w:hAnsi="Arial" w:cs="Arial"/>
          <w:highlight w:val="none"/>
        </w:rPr>
      </w:pPr>
      <w:r>
        <w:rPr>
          <w:rFonts w:ascii="Arial" w:hAnsi="Arial" w:cs="Arial"/>
          <w:szCs w:val="21"/>
          <w:highlight w:val="none"/>
        </w:rPr>
        <w:t>6．</w:t>
      </w:r>
      <w:r>
        <w:rPr>
          <w:rFonts w:ascii="Arial" w:hAnsi="Arial" w:cs="Arial"/>
          <w:highlight w:val="none"/>
        </w:rPr>
        <w:t>满足供应商特定资格条件的其他证明材料</w:t>
      </w:r>
      <w:r>
        <w:rPr>
          <w:rFonts w:ascii="Arial" w:hAnsi="Arial" w:cs="Arial"/>
          <w:szCs w:val="21"/>
          <w:highlight w:val="none"/>
        </w:rPr>
        <w:t>加盖供应商公章</w:t>
      </w:r>
      <w:r>
        <w:rPr>
          <w:rFonts w:ascii="Arial" w:hAnsi="Arial" w:cs="Arial"/>
          <w:highlight w:val="none"/>
        </w:rPr>
        <w:t>（</w:t>
      </w:r>
      <w:r>
        <w:rPr>
          <w:rFonts w:ascii="Arial" w:hAnsi="Arial" w:cs="Arial"/>
          <w:szCs w:val="21"/>
          <w:highlight w:val="none"/>
        </w:rPr>
        <w:t>按“评标方法及评标标准” “资格审查表”“</w:t>
      </w:r>
      <w:r>
        <w:rPr>
          <w:rFonts w:ascii="Arial" w:hAnsi="Arial" w:cs="Arial"/>
          <w:szCs w:val="21"/>
          <w:highlight w:val="none"/>
          <w:lang w:val="zh-CN"/>
        </w:rPr>
        <w:t xml:space="preserve"> 供应商应符合的</w:t>
      </w:r>
      <w:r>
        <w:rPr>
          <w:rFonts w:ascii="Arial" w:hAnsi="Arial" w:cs="Arial"/>
          <w:szCs w:val="21"/>
          <w:highlight w:val="none"/>
        </w:rPr>
        <w:t>特定资格条件”规定提供</w:t>
      </w:r>
      <w:r>
        <w:rPr>
          <w:rFonts w:ascii="Arial" w:hAnsi="Arial" w:cs="Arial"/>
          <w:highlight w:val="none"/>
        </w:rPr>
        <w:t>）。</w:t>
      </w:r>
      <w:r>
        <w:rPr>
          <w:rFonts w:ascii="Arial" w:hAnsi="Arial" w:cs="Arial"/>
          <w:b/>
          <w:szCs w:val="21"/>
          <w:highlight w:val="none"/>
        </w:rPr>
        <w:t>（如招标文件有要求，则必须提供）</w:t>
      </w:r>
    </w:p>
    <w:p>
      <w:pPr>
        <w:snapToGrid w:val="0"/>
        <w:spacing w:before="50" w:after="120" w:afterLines="50" w:line="360" w:lineRule="auto"/>
        <w:jc w:val="left"/>
        <w:rPr>
          <w:rFonts w:ascii="Arial" w:hAnsi="Arial" w:cs="Arial"/>
          <w:szCs w:val="21"/>
          <w:highlight w:val="none"/>
        </w:rPr>
      </w:pPr>
      <w:r>
        <w:rPr>
          <w:rFonts w:hint="eastAsia" w:ascii="Arial" w:hAnsi="Arial" w:cs="Arial"/>
          <w:szCs w:val="21"/>
          <w:highlight w:val="none"/>
        </w:rPr>
        <w:t>6</w:t>
      </w:r>
      <w:r>
        <w:rPr>
          <w:rFonts w:ascii="Arial" w:hAnsi="Arial" w:cs="Arial"/>
          <w:szCs w:val="21"/>
          <w:highlight w:val="none"/>
        </w:rPr>
        <w:t>.1投标人直接控股股东信息表</w:t>
      </w:r>
    </w:p>
    <w:tbl>
      <w:tblPr>
        <w:tblStyle w:val="54"/>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bl>
    <w:p>
      <w:pPr>
        <w:snapToGrid w:val="0"/>
        <w:spacing w:line="360" w:lineRule="auto"/>
        <w:jc w:val="left"/>
        <w:rPr>
          <w:rFonts w:ascii="Arial" w:hAnsi="Arial" w:cs="Arial"/>
          <w:szCs w:val="21"/>
          <w:highlight w:val="none"/>
        </w:rPr>
      </w:pPr>
      <w:r>
        <w:rPr>
          <w:rFonts w:ascii="Arial" w:hAnsi="Arial" w:cs="Arial"/>
          <w:szCs w:val="21"/>
          <w:highlight w:val="none"/>
        </w:rPr>
        <w:t>注：</w:t>
      </w:r>
    </w:p>
    <w:p>
      <w:pPr>
        <w:snapToGrid w:val="0"/>
        <w:spacing w:line="360" w:lineRule="auto"/>
        <w:jc w:val="left"/>
        <w:rPr>
          <w:rFonts w:ascii="Arial" w:hAnsi="Arial" w:cs="Arial"/>
          <w:szCs w:val="21"/>
          <w:highlight w:val="none"/>
        </w:rPr>
      </w:pPr>
      <w:r>
        <w:rPr>
          <w:rFonts w:ascii="Arial" w:hAnsi="Arial" w:cs="Arial"/>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szCs w:val="21"/>
          <w:highlight w:val="none"/>
        </w:rPr>
      </w:pPr>
      <w:r>
        <w:rPr>
          <w:rFonts w:ascii="Arial" w:hAnsi="Arial" w:cs="Arial"/>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szCs w:val="21"/>
          <w:highlight w:val="none"/>
        </w:rPr>
      </w:pPr>
      <w:r>
        <w:rPr>
          <w:rFonts w:ascii="Arial" w:hAnsi="Arial" w:cs="Arial"/>
          <w:szCs w:val="21"/>
          <w:highlight w:val="none"/>
        </w:rPr>
        <w:t>3.供应商不存在直接控股股东的，则填“无”。</w:t>
      </w: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jc w:val="left"/>
        <w:rPr>
          <w:rFonts w:ascii="Arial" w:hAnsi="Arial" w:cs="Arial"/>
          <w:szCs w:val="21"/>
          <w:highlight w:val="none"/>
        </w:rPr>
      </w:pPr>
    </w:p>
    <w:p>
      <w:pPr>
        <w:snapToGrid w:val="0"/>
        <w:spacing w:line="360" w:lineRule="auto"/>
        <w:ind w:firstLine="4410" w:firstLineChars="2100"/>
        <w:rPr>
          <w:rFonts w:ascii="Arial" w:hAnsi="Arial" w:cs="Arial"/>
          <w:szCs w:val="21"/>
          <w:highlight w:val="none"/>
        </w:rPr>
      </w:pPr>
      <w:r>
        <w:rPr>
          <w:rFonts w:ascii="Arial" w:hAnsi="Arial" w:cs="Arial"/>
          <w:szCs w:val="21"/>
          <w:highlight w:val="none"/>
        </w:rPr>
        <w:t>供应商名称(电子签章)：</w:t>
      </w:r>
    </w:p>
    <w:p>
      <w:pPr>
        <w:snapToGrid w:val="0"/>
        <w:spacing w:line="360" w:lineRule="auto"/>
        <w:ind w:firstLine="4515" w:firstLineChars="2150"/>
        <w:rPr>
          <w:rFonts w:ascii="Arial" w:hAnsi="Arial" w:cs="Arial"/>
          <w:szCs w:val="21"/>
          <w:highlight w:val="none"/>
        </w:rPr>
      </w:pPr>
      <w:r>
        <w:rPr>
          <w:rFonts w:ascii="Arial" w:hAnsi="Arial" w:cs="Arial"/>
          <w:szCs w:val="21"/>
          <w:highlight w:val="none"/>
        </w:rPr>
        <w:t>日期：  年  月   日</w:t>
      </w:r>
    </w:p>
    <w:p>
      <w:pPr>
        <w:snapToGrid w:val="0"/>
        <w:jc w:val="center"/>
        <w:rPr>
          <w:rFonts w:ascii="Arial" w:hAnsi="Arial" w:cs="Arial"/>
          <w:b/>
          <w:sz w:val="28"/>
          <w:szCs w:val="28"/>
          <w:highlight w:val="none"/>
        </w:rPr>
      </w:pPr>
      <w:r>
        <w:rPr>
          <w:rFonts w:ascii="Arial" w:hAnsi="Arial" w:cs="Arial"/>
          <w:b/>
          <w:sz w:val="28"/>
          <w:szCs w:val="28"/>
          <w:highlight w:val="none"/>
        </w:rPr>
        <w:br w:type="page"/>
      </w:r>
    </w:p>
    <w:p>
      <w:pPr>
        <w:snapToGrid w:val="0"/>
        <w:spacing w:line="360" w:lineRule="auto"/>
        <w:jc w:val="left"/>
        <w:rPr>
          <w:rFonts w:ascii="Arial" w:hAnsi="Arial" w:cs="Arial"/>
          <w:szCs w:val="21"/>
          <w:highlight w:val="none"/>
        </w:rPr>
      </w:pPr>
      <w:r>
        <w:rPr>
          <w:rFonts w:hint="eastAsia" w:ascii="Arial" w:hAnsi="Arial" w:cs="Arial"/>
          <w:szCs w:val="21"/>
          <w:highlight w:val="none"/>
        </w:rPr>
        <w:t>6</w:t>
      </w:r>
      <w:r>
        <w:rPr>
          <w:rFonts w:ascii="Arial" w:hAnsi="Arial" w:cs="Arial"/>
          <w:szCs w:val="21"/>
          <w:highlight w:val="none"/>
        </w:rPr>
        <w:t>.2投标人直接管理关系信息表</w:t>
      </w:r>
    </w:p>
    <w:tbl>
      <w:tblPr>
        <w:tblStyle w:val="5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r>
              <w:rPr>
                <w:rFonts w:ascii="Arial" w:hAnsi="Arial" w:cs="Arial"/>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spacing w:line="360" w:lineRule="auto"/>
              <w:jc w:val="center"/>
              <w:rPr>
                <w:rFonts w:ascii="Arial" w:hAnsi="Arial" w:cs="Arial"/>
                <w:szCs w:val="21"/>
                <w:highlight w:val="none"/>
              </w:rPr>
            </w:pPr>
          </w:p>
        </w:tc>
      </w:tr>
    </w:tbl>
    <w:p>
      <w:pPr>
        <w:snapToGrid w:val="0"/>
        <w:spacing w:line="360" w:lineRule="auto"/>
        <w:jc w:val="left"/>
        <w:rPr>
          <w:rFonts w:ascii="Arial" w:hAnsi="Arial" w:cs="Arial"/>
          <w:szCs w:val="21"/>
          <w:highlight w:val="none"/>
        </w:rPr>
      </w:pPr>
      <w:r>
        <w:rPr>
          <w:rFonts w:ascii="Arial" w:hAnsi="Arial" w:cs="Arial"/>
          <w:szCs w:val="21"/>
          <w:highlight w:val="none"/>
        </w:rPr>
        <w:t>注：</w:t>
      </w:r>
    </w:p>
    <w:p>
      <w:pPr>
        <w:snapToGrid w:val="0"/>
        <w:spacing w:line="360" w:lineRule="auto"/>
        <w:ind w:firstLine="420" w:firstLineChars="200"/>
        <w:jc w:val="left"/>
        <w:rPr>
          <w:rFonts w:ascii="Arial" w:hAnsi="Arial" w:cs="Arial"/>
          <w:szCs w:val="21"/>
          <w:highlight w:val="none"/>
        </w:rPr>
      </w:pPr>
      <w:r>
        <w:rPr>
          <w:rFonts w:ascii="Arial" w:hAnsi="Arial" w:cs="Arial"/>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szCs w:val="21"/>
          <w:highlight w:val="none"/>
        </w:rPr>
      </w:pPr>
      <w:r>
        <w:rPr>
          <w:rFonts w:ascii="Arial" w:hAnsi="Arial" w:cs="Arial"/>
          <w:szCs w:val="21"/>
          <w:highlight w:val="none"/>
        </w:rPr>
        <w:t>2.本表所指的管理关系仅限于直接管理关系，不包括间接的管理关系。</w:t>
      </w:r>
    </w:p>
    <w:p>
      <w:pPr>
        <w:snapToGrid w:val="0"/>
        <w:spacing w:line="360" w:lineRule="auto"/>
        <w:ind w:firstLine="420" w:firstLineChars="200"/>
        <w:jc w:val="left"/>
        <w:rPr>
          <w:rFonts w:ascii="Arial" w:hAnsi="Arial" w:cs="Arial"/>
          <w:szCs w:val="21"/>
          <w:highlight w:val="none"/>
        </w:rPr>
      </w:pPr>
      <w:r>
        <w:rPr>
          <w:rFonts w:ascii="Arial" w:hAnsi="Arial" w:cs="Arial"/>
          <w:szCs w:val="21"/>
          <w:highlight w:val="none"/>
        </w:rPr>
        <w:t>3.供应商不存在直接管理关系的，则填“无”。</w:t>
      </w:r>
    </w:p>
    <w:p>
      <w:pPr>
        <w:snapToGrid w:val="0"/>
        <w:spacing w:before="50" w:after="120" w:afterLines="50" w:line="360" w:lineRule="auto"/>
        <w:jc w:val="left"/>
        <w:rPr>
          <w:rFonts w:ascii="Arial" w:hAnsi="Arial" w:cs="Arial"/>
          <w:highlight w:val="none"/>
        </w:rPr>
      </w:pPr>
    </w:p>
    <w:p>
      <w:pPr>
        <w:snapToGrid w:val="0"/>
        <w:spacing w:line="360" w:lineRule="auto"/>
        <w:jc w:val="left"/>
        <w:rPr>
          <w:rFonts w:ascii="Arial" w:hAnsi="Arial" w:cs="Arial"/>
          <w:b/>
          <w:bCs/>
          <w:szCs w:val="21"/>
          <w:highlight w:val="none"/>
        </w:rPr>
      </w:pPr>
      <w:r>
        <w:rPr>
          <w:rFonts w:hint="eastAsia" w:ascii="Arial" w:hAnsi="Arial" w:cs="Arial"/>
          <w:b/>
          <w:bCs/>
          <w:szCs w:val="21"/>
          <w:highlight w:val="none"/>
        </w:rPr>
        <w:t>6.3其他（如有）</w:t>
      </w:r>
    </w:p>
    <w:p>
      <w:pPr>
        <w:pStyle w:val="97"/>
        <w:spacing w:line="360" w:lineRule="auto"/>
        <w:rPr>
          <w:color w:val="auto"/>
          <w:highlight w:val="none"/>
        </w:rPr>
      </w:pPr>
      <w:r>
        <w:rPr>
          <w:color w:val="auto"/>
          <w:highlight w:val="none"/>
        </w:rPr>
        <w:br w:type="page"/>
      </w:r>
    </w:p>
    <w:p>
      <w:pPr>
        <w:snapToGrid w:val="0"/>
        <w:spacing w:before="50" w:after="120" w:afterLines="50" w:line="360" w:lineRule="auto"/>
        <w:jc w:val="left"/>
        <w:rPr>
          <w:b/>
          <w:bCs/>
          <w:szCs w:val="21"/>
          <w:highlight w:val="none"/>
        </w:rPr>
      </w:pPr>
      <w:r>
        <w:rPr>
          <w:rFonts w:hint="eastAsia" w:ascii="Arial" w:hAnsi="Arial" w:cs="Arial"/>
          <w:szCs w:val="21"/>
          <w:highlight w:val="none"/>
        </w:rPr>
        <w:t>7</w:t>
      </w:r>
      <w:r>
        <w:rPr>
          <w:szCs w:val="21"/>
          <w:highlight w:val="none"/>
        </w:rPr>
        <w:t>．</w:t>
      </w:r>
      <w:r>
        <w:rPr>
          <w:rFonts w:hint="eastAsia"/>
          <w:szCs w:val="21"/>
          <w:highlight w:val="none"/>
        </w:rPr>
        <w:t>按下表填写列入中国网络安全审查技术与认证中心</w:t>
      </w:r>
      <w:r>
        <w:rPr>
          <w:szCs w:val="21"/>
          <w:highlight w:val="none"/>
        </w:rPr>
        <w:t>网站载明</w:t>
      </w:r>
      <w:r>
        <w:rPr>
          <w:rFonts w:hint="eastAsia"/>
          <w:szCs w:val="21"/>
          <w:highlight w:val="none"/>
        </w:rPr>
        <w:t>的</w:t>
      </w:r>
      <w:r>
        <w:rPr>
          <w:szCs w:val="21"/>
          <w:highlight w:val="none"/>
        </w:rPr>
        <w:t>13种国家信息安全产品认证的</w:t>
      </w:r>
      <w:r>
        <w:rPr>
          <w:rFonts w:hint="eastAsia"/>
          <w:szCs w:val="21"/>
          <w:highlight w:val="none"/>
        </w:rPr>
        <w:t>货物投标产品列表。</w:t>
      </w:r>
      <w:r>
        <w:rPr>
          <w:rFonts w:hint="eastAsia"/>
          <w:b/>
          <w:szCs w:val="21"/>
          <w:highlight w:val="none"/>
        </w:rPr>
        <w:t>（</w:t>
      </w:r>
      <w:r>
        <w:rPr>
          <w:rFonts w:hint="eastAsia"/>
          <w:b/>
          <w:bCs/>
          <w:szCs w:val="21"/>
          <w:highlight w:val="none"/>
        </w:rPr>
        <w:t>采购标的包含时提供）</w:t>
      </w:r>
    </w:p>
    <w:p>
      <w:pPr>
        <w:spacing w:line="360" w:lineRule="auto"/>
        <w:jc w:val="center"/>
        <w:rPr>
          <w:szCs w:val="21"/>
          <w:highlight w:val="none"/>
        </w:rPr>
      </w:pPr>
      <w:r>
        <w:rPr>
          <w:szCs w:val="21"/>
          <w:highlight w:val="none"/>
        </w:rPr>
        <w:t>信息安全产品</w:t>
      </w:r>
      <w:r>
        <w:rPr>
          <w:rFonts w:hint="eastAsia"/>
          <w:szCs w:val="21"/>
          <w:highlight w:val="none"/>
        </w:rPr>
        <w:t>货物投标产品列表</w:t>
      </w:r>
    </w:p>
    <w:tbl>
      <w:tblPr>
        <w:tblStyle w:val="54"/>
        <w:tblW w:w="101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证书编号</w:t>
            </w:r>
          </w:p>
        </w:tc>
        <w:tc>
          <w:tcPr>
            <w:tcW w:w="897"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产品名称</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产品型号</w:t>
            </w:r>
          </w:p>
        </w:tc>
        <w:tc>
          <w:tcPr>
            <w:tcW w:w="1409"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生产企业</w:t>
            </w:r>
          </w:p>
        </w:tc>
        <w:tc>
          <w:tcPr>
            <w:tcW w:w="121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ascii="Helvetica" w:hAnsi="Helvetica" w:cs="Helvetica"/>
                <w:szCs w:val="21"/>
                <w:highlight w:val="none"/>
                <w:shd w:val="clear" w:color="auto" w:fill="FFFFFF"/>
              </w:rPr>
              <w:t>制造商</w:t>
            </w:r>
          </w:p>
        </w:tc>
        <w:tc>
          <w:tcPr>
            <w:tcW w:w="141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rFonts w:hint="eastAsia"/>
                <w:kern w:val="0"/>
                <w:szCs w:val="21"/>
                <w:highlight w:val="none"/>
              </w:rPr>
              <w:t>证书有效期至</w:t>
            </w:r>
          </w:p>
        </w:tc>
        <w:tc>
          <w:tcPr>
            <w:tcW w:w="1134" w:type="dxa"/>
            <w:tcBorders>
              <w:top w:val="single" w:color="auto" w:sz="12"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r>
              <w:rPr>
                <w:rFonts w:hint="eastAsia"/>
                <w:kern w:val="0"/>
                <w:szCs w:val="21"/>
                <w:highlight w:val="none"/>
              </w:rPr>
              <w:t>证书状态</w:t>
            </w:r>
          </w:p>
        </w:tc>
        <w:tc>
          <w:tcPr>
            <w:tcW w:w="1134" w:type="dxa"/>
            <w:tcBorders>
              <w:top w:val="single" w:color="auto" w:sz="12" w:space="0"/>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r>
              <w:rPr>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60" w:lineRule="auto"/>
              <w:jc w:val="center"/>
              <w:rPr>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60" w:lineRule="auto"/>
              <w:jc w:val="center"/>
              <w:rPr>
                <w:kern w:val="0"/>
                <w:szCs w:val="21"/>
                <w:highlight w:val="none"/>
              </w:rPr>
            </w:pPr>
          </w:p>
        </w:tc>
      </w:tr>
    </w:tbl>
    <w:p>
      <w:pPr>
        <w:snapToGrid w:val="0"/>
        <w:spacing w:before="50" w:after="120" w:afterLines="50" w:line="360" w:lineRule="auto"/>
        <w:jc w:val="left"/>
        <w:rPr>
          <w:szCs w:val="21"/>
          <w:highlight w:val="none"/>
        </w:rPr>
      </w:pPr>
      <w:r>
        <w:rPr>
          <w:rFonts w:hint="eastAsia"/>
          <w:szCs w:val="21"/>
          <w:highlight w:val="none"/>
        </w:rPr>
        <w:t>注：</w:t>
      </w:r>
      <w:r>
        <w:rPr>
          <w:rFonts w:hint="eastAsia"/>
          <w:kern w:val="0"/>
          <w:szCs w:val="21"/>
          <w:highlight w:val="none"/>
        </w:rPr>
        <w:t>产品名称须写全称</w:t>
      </w:r>
      <w:r>
        <w:rPr>
          <w:rFonts w:hint="eastAsia"/>
          <w:szCs w:val="21"/>
          <w:highlight w:val="none"/>
        </w:rPr>
        <w:t>。</w:t>
      </w:r>
    </w:p>
    <w:p>
      <w:pPr>
        <w:snapToGrid w:val="0"/>
        <w:spacing w:before="50" w:after="120" w:afterLines="50" w:line="360" w:lineRule="auto"/>
        <w:jc w:val="left"/>
        <w:rPr>
          <w:rFonts w:ascii="Arial" w:hAnsi="Arial" w:cs="Arial"/>
          <w:szCs w:val="21"/>
          <w:highlight w:val="none"/>
        </w:rPr>
      </w:pPr>
    </w:p>
    <w:p>
      <w:pPr>
        <w:pStyle w:val="97"/>
        <w:spacing w:line="360" w:lineRule="auto"/>
        <w:rPr>
          <w:color w:val="auto"/>
          <w:highlight w:val="none"/>
        </w:rPr>
      </w:pPr>
    </w:p>
    <w:p>
      <w:pPr>
        <w:snapToGrid w:val="0"/>
        <w:spacing w:before="50" w:after="120" w:afterLines="50" w:line="360" w:lineRule="auto"/>
        <w:jc w:val="left"/>
        <w:rPr>
          <w:rFonts w:ascii="Arial" w:hAnsi="Arial" w:cs="Arial"/>
          <w:bCs/>
          <w:sz w:val="24"/>
          <w:highlight w:val="none"/>
        </w:rPr>
      </w:pPr>
      <w:r>
        <w:rPr>
          <w:rFonts w:hint="eastAsia" w:ascii="Arial" w:hAnsi="Arial" w:cs="Arial"/>
          <w:szCs w:val="21"/>
          <w:highlight w:val="none"/>
        </w:rPr>
        <w:t>8.</w:t>
      </w:r>
      <w:r>
        <w:rPr>
          <w:rFonts w:ascii="Arial" w:hAnsi="Arial" w:cs="Arial"/>
          <w:szCs w:val="21"/>
          <w:highlight w:val="none"/>
        </w:rPr>
        <w:t>供应商认为应当要提交的其他资格证明材料。</w:t>
      </w:r>
      <w:r>
        <w:rPr>
          <w:rFonts w:ascii="Arial" w:hAnsi="Arial" w:cs="Arial"/>
          <w:bCs/>
          <w:sz w:val="24"/>
          <w:highlight w:val="none"/>
        </w:rPr>
        <w:t xml:space="preserve"> </w:t>
      </w:r>
    </w:p>
    <w:bookmarkEnd w:id="192"/>
    <w:p>
      <w:pPr>
        <w:snapToGrid w:val="0"/>
        <w:spacing w:before="120" w:beforeLines="50" w:after="50" w:line="360" w:lineRule="auto"/>
        <w:jc w:val="left"/>
        <w:outlineLvl w:val="1"/>
        <w:rPr>
          <w:rFonts w:ascii="Arial" w:hAnsi="Arial" w:cs="Arial"/>
          <w:bCs/>
          <w:sz w:val="24"/>
          <w:highlight w:val="none"/>
        </w:rPr>
      </w:pPr>
      <w:r>
        <w:rPr>
          <w:rFonts w:ascii="Arial" w:hAnsi="Arial" w:cs="Arial"/>
          <w:bCs/>
          <w:sz w:val="24"/>
          <w:highlight w:val="none"/>
        </w:rPr>
        <w:br w:type="page"/>
      </w:r>
      <w:r>
        <w:rPr>
          <w:rFonts w:ascii="Arial" w:hAnsi="Arial" w:cs="Arial"/>
          <w:bCs/>
          <w:sz w:val="24"/>
          <w:highlight w:val="none"/>
        </w:rPr>
        <w:t xml:space="preserve">2．投标文件第二册封面参考格式： </w:t>
      </w:r>
    </w:p>
    <w:p>
      <w:pPr>
        <w:snapToGrid w:val="0"/>
        <w:spacing w:before="50" w:after="120" w:afterLines="50" w:line="360" w:lineRule="auto"/>
        <w:jc w:val="left"/>
        <w:rPr>
          <w:rFonts w:ascii="Arial" w:hAnsi="Arial" w:cs="Arial"/>
          <w:bCs/>
          <w:sz w:val="24"/>
          <w:highlight w:val="none"/>
        </w:rPr>
      </w:pPr>
    </w:p>
    <w:p>
      <w:pPr>
        <w:snapToGrid w:val="0"/>
        <w:spacing w:before="120" w:beforeLines="50" w:after="50" w:line="360" w:lineRule="auto"/>
        <w:rPr>
          <w:rFonts w:ascii="Arial" w:hAnsi="Arial" w:cs="Arial"/>
          <w:sz w:val="24"/>
          <w:highlight w:val="none"/>
        </w:rPr>
      </w:pPr>
    </w:p>
    <w:p>
      <w:pPr>
        <w:snapToGrid w:val="0"/>
        <w:spacing w:before="120" w:beforeLines="50" w:after="50" w:line="360" w:lineRule="auto"/>
        <w:jc w:val="right"/>
        <w:rPr>
          <w:rFonts w:ascii="Arial" w:hAnsi="Arial" w:cs="Arial"/>
          <w:bCs/>
          <w:sz w:val="24"/>
          <w:highlight w:val="none"/>
        </w:rPr>
      </w:pPr>
      <w:r>
        <w:rPr>
          <w:rFonts w:ascii="Arial" w:hAnsi="Arial" w:cs="Arial"/>
          <w:bCs/>
          <w:sz w:val="24"/>
          <w:highlight w:val="none"/>
        </w:rPr>
        <w:t>正本/副本</w:t>
      </w:r>
    </w:p>
    <w:p>
      <w:pPr>
        <w:snapToGrid w:val="0"/>
        <w:spacing w:before="120" w:beforeLines="50" w:after="50" w:line="360" w:lineRule="auto"/>
        <w:jc w:val="center"/>
        <w:rPr>
          <w:rFonts w:ascii="Arial" w:hAnsi="Arial" w:cs="Arial"/>
          <w:bCs/>
          <w:sz w:val="2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投标文件</w:t>
      </w: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p>
    <w:p>
      <w:pPr>
        <w:snapToGrid w:val="0"/>
        <w:spacing w:before="120" w:beforeLines="50" w:after="50" w:line="360" w:lineRule="auto"/>
        <w:jc w:val="center"/>
        <w:rPr>
          <w:rFonts w:ascii="Arial" w:hAnsi="Arial" w:cs="Arial"/>
          <w:b/>
          <w:bCs/>
          <w:sz w:val="44"/>
          <w:szCs w:val="44"/>
          <w:highlight w:val="none"/>
        </w:rPr>
      </w:pPr>
      <w:r>
        <w:rPr>
          <w:rFonts w:ascii="Arial" w:hAnsi="Arial" w:cs="Arial"/>
          <w:b/>
          <w:bCs/>
          <w:sz w:val="44"/>
          <w:szCs w:val="44"/>
          <w:highlight w:val="none"/>
        </w:rPr>
        <w:t>第二册  商务技术报价文件</w:t>
      </w: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rPr>
          <w:rFonts w:ascii="Arial" w:hAnsi="Arial" w:cs="Arial"/>
          <w:bCs/>
          <w:sz w:val="24"/>
          <w:highlight w:val="none"/>
        </w:rPr>
      </w:pP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 xml:space="preserve">项目名称： </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项目编号：</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分标号：（若无留空或写“/”）</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供应商名称：</w:t>
      </w:r>
    </w:p>
    <w:p>
      <w:pPr>
        <w:snapToGrid w:val="0"/>
        <w:spacing w:before="120" w:beforeLines="50" w:after="50" w:line="360" w:lineRule="auto"/>
        <w:ind w:firstLine="720" w:firstLineChars="300"/>
        <w:rPr>
          <w:rFonts w:ascii="Arial" w:hAnsi="Arial" w:cs="Arial"/>
          <w:bCs/>
          <w:sz w:val="24"/>
          <w:highlight w:val="none"/>
        </w:rPr>
      </w:pPr>
      <w:r>
        <w:rPr>
          <w:rFonts w:ascii="Arial" w:hAnsi="Arial" w:cs="Arial"/>
          <w:bCs/>
          <w:sz w:val="24"/>
          <w:highlight w:val="none"/>
        </w:rPr>
        <w:t>供应商地址：</w:t>
      </w:r>
    </w:p>
    <w:p>
      <w:pPr>
        <w:pStyle w:val="9"/>
        <w:snapToGrid w:val="0"/>
        <w:spacing w:before="50" w:after="50" w:line="360" w:lineRule="auto"/>
        <w:ind w:firstLine="960" w:firstLineChars="400"/>
        <w:rPr>
          <w:rFonts w:ascii="Arial" w:hAnsi="Arial" w:cs="Arial"/>
          <w:bCs/>
          <w:sz w:val="24"/>
          <w:szCs w:val="24"/>
          <w:highlight w:val="none"/>
        </w:rPr>
      </w:pPr>
    </w:p>
    <w:p>
      <w:pPr>
        <w:snapToGrid w:val="0"/>
        <w:spacing w:before="120" w:beforeLines="50" w:after="50" w:line="360" w:lineRule="auto"/>
        <w:jc w:val="center"/>
        <w:rPr>
          <w:rFonts w:ascii="Arial" w:hAnsi="Arial" w:cs="Arial"/>
          <w:sz w:val="24"/>
          <w:highlight w:val="none"/>
        </w:rPr>
      </w:pPr>
      <w:r>
        <w:rPr>
          <w:rFonts w:ascii="Arial" w:hAnsi="Arial" w:cs="Arial"/>
          <w:sz w:val="24"/>
          <w:highlight w:val="none"/>
        </w:rPr>
        <w:t xml:space="preserve">                        年  月  日</w:t>
      </w:r>
    </w:p>
    <w:p>
      <w:pPr>
        <w:spacing w:line="360" w:lineRule="auto"/>
        <w:rPr>
          <w:rFonts w:ascii="Arial" w:hAnsi="Arial" w:cs="Arial"/>
          <w:highlight w:val="none"/>
        </w:rPr>
      </w:pPr>
      <w:r>
        <w:rPr>
          <w:rFonts w:ascii="Arial" w:hAnsi="Arial" w:cs="Arial"/>
          <w:highlight w:val="none"/>
        </w:rPr>
        <w:br w:type="page"/>
      </w:r>
    </w:p>
    <w:p>
      <w:pPr>
        <w:snapToGrid w:val="0"/>
        <w:spacing w:before="50" w:after="50" w:line="360" w:lineRule="auto"/>
        <w:ind w:firstLine="138" w:firstLineChars="49"/>
        <w:jc w:val="center"/>
        <w:rPr>
          <w:rFonts w:ascii="Arial" w:hAnsi="Arial" w:cs="Arial"/>
          <w:b/>
          <w:sz w:val="28"/>
          <w:szCs w:val="28"/>
          <w:highlight w:val="none"/>
        </w:rPr>
      </w:pPr>
      <w:r>
        <w:rPr>
          <w:rFonts w:ascii="Arial" w:hAnsi="Arial" w:cs="Arial"/>
          <w:b/>
          <w:sz w:val="28"/>
          <w:szCs w:val="28"/>
          <w:highlight w:val="none"/>
        </w:rPr>
        <w:t>目录</w:t>
      </w:r>
    </w:p>
    <w:p>
      <w:pPr>
        <w:snapToGrid w:val="0"/>
        <w:spacing w:before="50" w:after="50" w:line="360" w:lineRule="auto"/>
        <w:ind w:firstLine="118" w:firstLineChars="49"/>
        <w:jc w:val="center"/>
        <w:rPr>
          <w:rFonts w:ascii="Arial" w:hAnsi="Arial" w:cs="Arial"/>
          <w:b/>
          <w:sz w:val="24"/>
          <w:highlight w:val="none"/>
        </w:rPr>
      </w:pPr>
      <w:r>
        <w:rPr>
          <w:rFonts w:ascii="Arial" w:hAnsi="Arial" w:cs="Arial"/>
          <w:b/>
          <w:sz w:val="24"/>
          <w:highlight w:val="none"/>
        </w:rPr>
        <w:t>（应有页码）</w:t>
      </w:r>
    </w:p>
    <w:p>
      <w:pPr>
        <w:spacing w:line="360" w:lineRule="auto"/>
        <w:rPr>
          <w:rFonts w:ascii="Arial" w:hAnsi="Arial" w:cs="Arial"/>
          <w:b/>
          <w:szCs w:val="21"/>
          <w:highlight w:val="none"/>
        </w:rPr>
      </w:pPr>
      <w:r>
        <w:rPr>
          <w:rFonts w:ascii="Arial" w:hAnsi="Arial" w:cs="Arial"/>
          <w:highlight w:val="none"/>
        </w:rPr>
        <w:br w:type="page"/>
      </w:r>
      <w:bookmarkStart w:id="193" w:name="_Toc455309222"/>
      <w:bookmarkStart w:id="194" w:name="_Toc462223472"/>
      <w:bookmarkStart w:id="195" w:name="_Toc462320613"/>
      <w:bookmarkStart w:id="196" w:name="_Hlk19114325"/>
      <w:r>
        <w:rPr>
          <w:rFonts w:ascii="Arial" w:hAnsi="Arial" w:cs="Arial"/>
          <w:szCs w:val="21"/>
          <w:highlight w:val="none"/>
        </w:rPr>
        <w:t>1．法定代表人身份证明</w:t>
      </w:r>
      <w:r>
        <w:rPr>
          <w:rFonts w:ascii="Arial" w:hAnsi="Arial" w:cs="Arial"/>
          <w:b/>
          <w:szCs w:val="21"/>
          <w:highlight w:val="none"/>
        </w:rPr>
        <w:t>（无授权代表时必须提供）：</w:t>
      </w:r>
    </w:p>
    <w:p>
      <w:pPr>
        <w:snapToGrid w:val="0"/>
        <w:spacing w:before="120" w:beforeLines="50" w:after="50" w:line="360" w:lineRule="auto"/>
        <w:jc w:val="center"/>
        <w:rPr>
          <w:rFonts w:ascii="Arial" w:hAnsi="Arial" w:cs="Arial"/>
          <w:szCs w:val="21"/>
          <w:highlight w:val="none"/>
        </w:rPr>
      </w:pPr>
    </w:p>
    <w:p>
      <w:pPr>
        <w:snapToGrid w:val="0"/>
        <w:spacing w:before="120" w:beforeLines="50" w:after="50" w:line="360" w:lineRule="auto"/>
        <w:jc w:val="center"/>
        <w:rPr>
          <w:rFonts w:ascii="Arial" w:hAnsi="Arial" w:cs="Arial"/>
          <w:b/>
          <w:szCs w:val="21"/>
          <w:highlight w:val="none"/>
        </w:rPr>
      </w:pPr>
      <w:r>
        <w:rPr>
          <w:rFonts w:ascii="Arial" w:hAnsi="Arial" w:cs="Arial"/>
          <w:b/>
          <w:szCs w:val="21"/>
          <w:highlight w:val="none"/>
        </w:rPr>
        <w:t>法定代表人身份证明</w:t>
      </w:r>
      <w:bookmarkEnd w:id="193"/>
      <w:bookmarkEnd w:id="194"/>
      <w:bookmarkEnd w:id="195"/>
    </w:p>
    <w:p>
      <w:pPr>
        <w:spacing w:line="360" w:lineRule="auto"/>
        <w:rPr>
          <w:rFonts w:ascii="Arial" w:hAnsi="Arial" w:cs="Arial"/>
          <w:highlight w:val="none"/>
        </w:rPr>
      </w:pPr>
    </w:p>
    <w:p>
      <w:pPr>
        <w:spacing w:line="360" w:lineRule="auto"/>
        <w:rPr>
          <w:rFonts w:ascii="Arial" w:hAnsi="Arial" w:cs="Arial"/>
          <w:szCs w:val="21"/>
          <w:highlight w:val="none"/>
        </w:rPr>
      </w:pPr>
      <w:r>
        <w:rPr>
          <w:rFonts w:ascii="Arial" w:hAnsi="Arial" w:cs="Arial"/>
          <w:szCs w:val="21"/>
          <w:highlight w:val="none"/>
        </w:rPr>
        <w:t>供应商名称：</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单位性质：</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地址：</w:t>
      </w:r>
      <w:r>
        <w:rPr>
          <w:rFonts w:ascii="Arial" w:hAnsi="Arial" w:cs="Arial"/>
          <w:szCs w:val="21"/>
          <w:highlight w:val="none"/>
          <w:u w:val="single"/>
        </w:rPr>
        <w:t xml:space="preserve">                                               </w:t>
      </w:r>
    </w:p>
    <w:p>
      <w:pPr>
        <w:spacing w:line="360" w:lineRule="auto"/>
        <w:rPr>
          <w:rFonts w:ascii="Arial" w:hAnsi="Arial" w:cs="Arial"/>
          <w:szCs w:val="21"/>
          <w:highlight w:val="none"/>
          <w:u w:val="single"/>
        </w:rPr>
      </w:pPr>
      <w:r>
        <w:rPr>
          <w:rFonts w:ascii="Arial" w:hAnsi="Arial" w:cs="Arial"/>
          <w:szCs w:val="21"/>
          <w:highlight w:val="none"/>
        </w:rPr>
        <w:t>成立时间：</w:t>
      </w:r>
      <w:r>
        <w:rPr>
          <w:rFonts w:ascii="Arial" w:hAnsi="Arial" w:cs="Arial"/>
          <w:szCs w:val="21"/>
          <w:highlight w:val="none"/>
          <w:u w:val="single"/>
        </w:rPr>
        <w:t xml:space="preserve">          年        月        日</w:t>
      </w:r>
    </w:p>
    <w:p>
      <w:pPr>
        <w:spacing w:line="360" w:lineRule="auto"/>
        <w:rPr>
          <w:rFonts w:ascii="Arial" w:hAnsi="Arial" w:cs="Arial"/>
          <w:szCs w:val="21"/>
          <w:highlight w:val="none"/>
        </w:rPr>
      </w:pPr>
      <w:r>
        <w:rPr>
          <w:rFonts w:ascii="Arial" w:hAnsi="Arial" w:cs="Arial"/>
          <w:szCs w:val="21"/>
          <w:highlight w:val="none"/>
        </w:rPr>
        <w:t>经营期限：</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姓名：</w:t>
      </w:r>
      <w:r>
        <w:rPr>
          <w:rFonts w:ascii="Arial" w:hAnsi="Arial" w:cs="Arial"/>
          <w:szCs w:val="21"/>
          <w:highlight w:val="none"/>
          <w:u w:val="single"/>
        </w:rPr>
        <w:t xml:space="preserve">                   </w:t>
      </w:r>
      <w:r>
        <w:rPr>
          <w:rFonts w:ascii="Arial" w:hAnsi="Arial" w:cs="Arial"/>
          <w:szCs w:val="21"/>
          <w:highlight w:val="none"/>
        </w:rPr>
        <w:t>；性别：</w:t>
      </w:r>
      <w:r>
        <w:rPr>
          <w:rFonts w:ascii="Arial" w:hAnsi="Arial" w:cs="Arial"/>
          <w:szCs w:val="21"/>
          <w:highlight w:val="none"/>
          <w:u w:val="single"/>
        </w:rPr>
        <w:t xml:space="preserve">              </w:t>
      </w:r>
      <w:r>
        <w:rPr>
          <w:rFonts w:ascii="Arial" w:hAnsi="Arial" w:cs="Arial"/>
          <w:szCs w:val="21"/>
          <w:highlight w:val="none"/>
        </w:rPr>
        <w:t xml:space="preserve">        </w:t>
      </w:r>
    </w:p>
    <w:p>
      <w:pPr>
        <w:spacing w:line="360" w:lineRule="auto"/>
        <w:rPr>
          <w:rFonts w:ascii="Arial" w:hAnsi="Arial" w:cs="Arial"/>
          <w:szCs w:val="21"/>
          <w:highlight w:val="none"/>
        </w:rPr>
      </w:pPr>
      <w:r>
        <w:rPr>
          <w:rFonts w:ascii="Arial" w:hAnsi="Arial" w:cs="Arial"/>
          <w:szCs w:val="21"/>
          <w:highlight w:val="none"/>
        </w:rPr>
        <w:t>年龄：</w:t>
      </w:r>
      <w:r>
        <w:rPr>
          <w:rFonts w:ascii="Arial" w:hAnsi="Arial" w:cs="Arial"/>
          <w:szCs w:val="21"/>
          <w:highlight w:val="none"/>
          <w:u w:val="single"/>
        </w:rPr>
        <w:t xml:space="preserve">         </w:t>
      </w:r>
      <w:r>
        <w:rPr>
          <w:rFonts w:ascii="Arial" w:hAnsi="Arial" w:cs="Arial"/>
          <w:szCs w:val="21"/>
          <w:highlight w:val="none"/>
        </w:rPr>
        <w:t>；职务：</w:t>
      </w:r>
      <w:r>
        <w:rPr>
          <w:rFonts w:ascii="Arial" w:hAnsi="Arial" w:cs="Arial"/>
          <w:szCs w:val="21"/>
          <w:highlight w:val="none"/>
          <w:u w:val="single"/>
        </w:rPr>
        <w:t xml:space="preserve">              </w:t>
      </w:r>
      <w:r>
        <w:rPr>
          <w:rFonts w:ascii="Arial" w:hAnsi="Arial" w:cs="Arial"/>
          <w:szCs w:val="21"/>
          <w:highlight w:val="none"/>
        </w:rPr>
        <w:t>；身份证：</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系</w:t>
      </w:r>
      <w:r>
        <w:rPr>
          <w:rFonts w:ascii="Arial" w:hAnsi="Arial" w:cs="Arial"/>
          <w:szCs w:val="21"/>
          <w:highlight w:val="none"/>
          <w:u w:val="single"/>
        </w:rPr>
        <w:t xml:space="preserve">                                      （ 供应商名称）</w:t>
      </w:r>
      <w:r>
        <w:rPr>
          <w:rFonts w:ascii="Arial" w:hAnsi="Arial" w:cs="Arial"/>
          <w:szCs w:val="21"/>
          <w:highlight w:val="none"/>
        </w:rPr>
        <w:t>的法定代表人。</w:t>
      </w:r>
    </w:p>
    <w:p>
      <w:pPr>
        <w:spacing w:line="360" w:lineRule="auto"/>
        <w:rPr>
          <w:rFonts w:ascii="Arial" w:hAnsi="Arial" w:cs="Arial"/>
          <w:szCs w:val="21"/>
          <w:highlight w:val="none"/>
        </w:rPr>
      </w:pPr>
    </w:p>
    <w:p>
      <w:pPr>
        <w:spacing w:line="360" w:lineRule="auto"/>
        <w:ind w:firstLine="420" w:firstLineChars="200"/>
        <w:rPr>
          <w:rFonts w:ascii="Arial" w:hAnsi="Arial" w:cs="Arial"/>
          <w:szCs w:val="21"/>
          <w:highlight w:val="none"/>
        </w:rPr>
      </w:pPr>
      <w:r>
        <w:rPr>
          <w:rFonts w:ascii="Arial" w:hAnsi="Arial" w:cs="Arial"/>
          <w:szCs w:val="21"/>
          <w:highlight w:val="none"/>
        </w:rPr>
        <w:t>特此证明。</w:t>
      </w:r>
    </w:p>
    <w:p>
      <w:pPr>
        <w:spacing w:line="360" w:lineRule="auto"/>
        <w:ind w:firstLine="4830" w:firstLineChars="230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 xml:space="preserve">                                                   年       月       日 </w:t>
      </w:r>
    </w:p>
    <w:p>
      <w:pPr>
        <w:spacing w:line="360" w:lineRule="auto"/>
        <w:ind w:firstLine="420" w:firstLineChars="200"/>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附件：法定代表人身份证复印件</w:t>
      </w:r>
    </w:p>
    <w:p>
      <w:pPr>
        <w:spacing w:line="360" w:lineRule="auto"/>
        <w:rPr>
          <w:rFonts w:ascii="Arial" w:hAnsi="Arial" w:cs="Arial"/>
          <w:szCs w:val="21"/>
          <w:highlight w:val="none"/>
        </w:rPr>
      </w:pPr>
    </w:p>
    <w:p>
      <w:pPr>
        <w:spacing w:line="360" w:lineRule="auto"/>
        <w:rPr>
          <w:rFonts w:ascii="Arial" w:hAnsi="Arial" w:cs="Arial"/>
          <w:highlight w:val="none"/>
        </w:rPr>
      </w:pPr>
      <w:r>
        <w:rPr>
          <w:rFonts w:ascii="Arial" w:hAnsi="Arial" w:cs="Arial"/>
          <w:highlight w:val="none"/>
        </w:rPr>
        <w:t>注：法定代表人亲自出席开标会议时，须随身携带本“法定代表人身份证明”原件一份以及身份证原件，以备核查。</w:t>
      </w:r>
    </w:p>
    <w:bookmarkEnd w:id="196"/>
    <w:p>
      <w:pPr>
        <w:snapToGrid w:val="0"/>
        <w:spacing w:before="120" w:beforeLines="50" w:after="50" w:line="360" w:lineRule="auto"/>
        <w:rPr>
          <w:rFonts w:ascii="Arial" w:hAnsi="Arial" w:cs="Arial"/>
          <w:b/>
          <w:szCs w:val="21"/>
          <w:highlight w:val="none"/>
        </w:rPr>
      </w:pPr>
      <w:r>
        <w:rPr>
          <w:rFonts w:ascii="Arial" w:hAnsi="Arial" w:cs="Arial"/>
          <w:b/>
          <w:szCs w:val="21"/>
          <w:highlight w:val="none"/>
        </w:rPr>
        <w:br w:type="page"/>
      </w:r>
      <w:r>
        <w:rPr>
          <w:rFonts w:ascii="Arial" w:hAnsi="Arial" w:cs="Arial"/>
          <w:b/>
          <w:szCs w:val="21"/>
          <w:highlight w:val="none"/>
        </w:rPr>
        <w:t>1．授权委托书（有授权代表时必须提供）：</w:t>
      </w:r>
    </w:p>
    <w:p>
      <w:pPr>
        <w:snapToGrid w:val="0"/>
        <w:spacing w:before="120" w:beforeLines="50" w:after="50" w:line="360" w:lineRule="auto"/>
        <w:jc w:val="center"/>
        <w:rPr>
          <w:rFonts w:ascii="Arial" w:hAnsi="Arial" w:cs="Arial"/>
          <w:b/>
          <w:szCs w:val="21"/>
          <w:highlight w:val="none"/>
        </w:rPr>
      </w:pPr>
    </w:p>
    <w:p>
      <w:pPr>
        <w:snapToGrid w:val="0"/>
        <w:spacing w:before="120" w:beforeLines="50" w:after="50" w:line="360" w:lineRule="auto"/>
        <w:jc w:val="center"/>
        <w:rPr>
          <w:rFonts w:ascii="Arial" w:hAnsi="Arial" w:cs="Arial"/>
          <w:b/>
          <w:szCs w:val="21"/>
          <w:highlight w:val="none"/>
        </w:rPr>
      </w:pPr>
      <w:r>
        <w:rPr>
          <w:rFonts w:ascii="Arial" w:hAnsi="Arial" w:cs="Arial"/>
          <w:b/>
          <w:szCs w:val="21"/>
          <w:highlight w:val="none"/>
        </w:rPr>
        <w:t>法定代表人授权委托书</w:t>
      </w:r>
    </w:p>
    <w:p>
      <w:pPr>
        <w:snapToGrid w:val="0"/>
        <w:spacing w:before="120" w:beforeLines="50" w:after="50" w:line="360" w:lineRule="auto"/>
        <w:rPr>
          <w:rFonts w:ascii="Arial" w:hAnsi="Arial" w:cs="Arial"/>
          <w:b/>
          <w:bCs/>
          <w:szCs w:val="21"/>
          <w:highlight w:val="none"/>
        </w:rPr>
      </w:pPr>
      <w:r>
        <w:rPr>
          <w:rFonts w:ascii="Arial" w:hAnsi="Arial" w:cs="Arial"/>
          <w:bCs/>
          <w:szCs w:val="21"/>
          <w:highlight w:val="none"/>
        </w:rPr>
        <w:t>致：</w:t>
      </w:r>
      <w:r>
        <w:rPr>
          <w:rFonts w:ascii="Arial" w:hAnsi="Arial" w:cs="Arial"/>
          <w:i/>
          <w:iCs/>
          <w:szCs w:val="21"/>
          <w:highlight w:val="none"/>
          <w:u w:val="single"/>
        </w:rPr>
        <w:t>（采购人名称）</w:t>
      </w:r>
      <w:r>
        <w:rPr>
          <w:rFonts w:ascii="Arial" w:hAnsi="Arial" w:cs="Arial"/>
          <w:szCs w:val="21"/>
          <w:highlight w:val="none"/>
        </w:rPr>
        <w:t>：</w:t>
      </w:r>
    </w:p>
    <w:p>
      <w:pPr>
        <w:snapToGrid w:val="0"/>
        <w:spacing w:before="120" w:beforeLines="50" w:after="50" w:line="360" w:lineRule="auto"/>
        <w:ind w:firstLine="420" w:firstLineChars="200"/>
        <w:rPr>
          <w:rFonts w:ascii="Arial" w:hAnsi="Arial" w:cs="Arial"/>
          <w:szCs w:val="21"/>
          <w:highlight w:val="none"/>
        </w:rPr>
      </w:pPr>
      <w:r>
        <w:rPr>
          <w:rFonts w:ascii="Arial" w:hAnsi="Arial" w:cs="Arial"/>
          <w:szCs w:val="21"/>
          <w:highlight w:val="none"/>
        </w:rPr>
        <w:t>我__</w:t>
      </w:r>
      <w:r>
        <w:rPr>
          <w:rFonts w:ascii="Arial" w:hAnsi="Arial" w:cs="Arial"/>
          <w:i/>
          <w:iCs/>
          <w:szCs w:val="21"/>
          <w:highlight w:val="none"/>
          <w:u w:val="single"/>
        </w:rPr>
        <w:t>（法定代表人姓名）</w:t>
      </w:r>
      <w:r>
        <w:rPr>
          <w:rFonts w:ascii="Arial" w:hAnsi="Arial" w:cs="Arial"/>
          <w:szCs w:val="21"/>
          <w:highlight w:val="none"/>
        </w:rPr>
        <w:t>_系_</w:t>
      </w:r>
      <w:r>
        <w:rPr>
          <w:rFonts w:ascii="Arial" w:hAnsi="Arial" w:cs="Arial"/>
          <w:i/>
          <w:iCs/>
          <w:szCs w:val="21"/>
          <w:highlight w:val="none"/>
          <w:u w:val="single"/>
        </w:rPr>
        <w:t>（供应商名称）</w:t>
      </w:r>
      <w:r>
        <w:rPr>
          <w:rFonts w:ascii="Arial" w:hAnsi="Arial" w:cs="Arial"/>
          <w:szCs w:val="21"/>
          <w:highlight w:val="none"/>
        </w:rPr>
        <w:t xml:space="preserve">_的法定代表人，现授权委托本单位在职职工 </w:t>
      </w:r>
      <w:r>
        <w:rPr>
          <w:rFonts w:ascii="Arial" w:hAnsi="Arial" w:cs="Arial"/>
          <w:szCs w:val="21"/>
          <w:highlight w:val="none"/>
          <w:u w:val="single"/>
        </w:rPr>
        <w:t xml:space="preserve">        </w:t>
      </w:r>
      <w:r>
        <w:rPr>
          <w:rFonts w:ascii="Arial" w:hAnsi="Arial" w:cs="Arial"/>
          <w:szCs w:val="21"/>
          <w:highlight w:val="none"/>
        </w:rPr>
        <w:t>（姓名）以我方的名义参加</w:t>
      </w:r>
      <w:r>
        <w:rPr>
          <w:rFonts w:ascii="Arial" w:hAnsi="Arial" w:cs="Arial"/>
          <w:szCs w:val="21"/>
          <w:highlight w:val="none"/>
          <w:u w:val="single"/>
        </w:rPr>
        <w:t xml:space="preserve"> </w:t>
      </w:r>
      <w:r>
        <w:rPr>
          <w:rFonts w:ascii="Arial" w:hAnsi="Arial" w:cs="Arial"/>
          <w:i/>
          <w:iCs/>
          <w:szCs w:val="21"/>
          <w:highlight w:val="none"/>
          <w:u w:val="single"/>
        </w:rPr>
        <w:t>（项目名称）</w:t>
      </w:r>
      <w:r>
        <w:rPr>
          <w:rFonts w:ascii="Arial" w:hAnsi="Arial" w:cs="Arial"/>
          <w:szCs w:val="21"/>
          <w:highlight w:val="none"/>
          <w:u w:val="single"/>
        </w:rPr>
        <w:t xml:space="preserve"> </w:t>
      </w:r>
      <w:r>
        <w:rPr>
          <w:rFonts w:ascii="Arial" w:hAnsi="Arial" w:cs="Arial"/>
          <w:szCs w:val="21"/>
          <w:highlight w:val="none"/>
        </w:rPr>
        <w:t>项目的投标活动，并代表我方全权办理针对上述项目的投标、开标、评标、签约等具体事务和签署相关文件。</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 xml:space="preserve">    我方对被授权人的签名事项负全部责任。</w:t>
      </w:r>
    </w:p>
    <w:p>
      <w:pPr>
        <w:snapToGrid w:val="0"/>
        <w:spacing w:before="120" w:beforeLines="50" w:after="50" w:line="360" w:lineRule="auto"/>
        <w:ind w:firstLine="480"/>
        <w:rPr>
          <w:rFonts w:ascii="Arial" w:hAnsi="Arial" w:cs="Arial"/>
          <w:szCs w:val="21"/>
          <w:highlight w:val="none"/>
        </w:rPr>
      </w:pPr>
      <w:r>
        <w:rPr>
          <w:rFonts w:ascii="Arial" w:hAnsi="Arial" w:cs="Arial"/>
          <w:szCs w:val="21"/>
          <w:highlight w:val="none"/>
        </w:rPr>
        <w:t>在撤销授权的书面通知以前，本授权书一直有效。被授权人在授权书有效期内签署的所有文件不因授权的撤销而失效。</w:t>
      </w:r>
    </w:p>
    <w:p>
      <w:pPr>
        <w:snapToGrid w:val="0"/>
        <w:spacing w:before="120" w:beforeLines="50" w:after="50" w:line="360" w:lineRule="auto"/>
        <w:ind w:firstLine="480"/>
        <w:rPr>
          <w:rFonts w:ascii="Arial" w:hAnsi="Arial" w:cs="Arial"/>
          <w:szCs w:val="21"/>
          <w:highlight w:val="none"/>
        </w:rPr>
      </w:pPr>
      <w:r>
        <w:rPr>
          <w:rFonts w:ascii="Arial" w:hAnsi="Arial" w:cs="Arial"/>
          <w:szCs w:val="21"/>
          <w:highlight w:val="none"/>
        </w:rPr>
        <w:t>被授权人无转委托权，特此委托。</w:t>
      </w:r>
    </w:p>
    <w:p>
      <w:pPr>
        <w:snapToGrid w:val="0"/>
        <w:spacing w:before="120" w:beforeLines="50" w:after="50" w:line="360" w:lineRule="auto"/>
        <w:rPr>
          <w:rFonts w:ascii="Arial" w:hAnsi="Arial" w:cs="Arial"/>
          <w:szCs w:val="21"/>
          <w:highlight w:val="none"/>
          <w:u w:val="single"/>
        </w:rPr>
      </w:pPr>
      <w:r>
        <w:rPr>
          <w:rFonts w:ascii="Arial" w:hAnsi="Arial" w:cs="Arial"/>
          <w:szCs w:val="21"/>
          <w:highlight w:val="none"/>
        </w:rPr>
        <w:t>被授权人签字或盖章：</w:t>
      </w:r>
      <w:r>
        <w:rPr>
          <w:rFonts w:ascii="Arial" w:hAnsi="Arial" w:cs="Arial"/>
          <w:szCs w:val="21"/>
          <w:highlight w:val="none"/>
          <w:u w:val="single"/>
        </w:rPr>
        <w:t xml:space="preserve">          </w:t>
      </w:r>
      <w:r>
        <w:rPr>
          <w:rFonts w:ascii="Arial" w:hAnsi="Arial" w:cs="Arial"/>
          <w:szCs w:val="21"/>
          <w:highlight w:val="none"/>
        </w:rPr>
        <w:t xml:space="preserve">                           法定代表人签字或盖章：</w:t>
      </w:r>
      <w:r>
        <w:rPr>
          <w:rFonts w:ascii="Arial" w:hAnsi="Arial" w:cs="Arial"/>
          <w:szCs w:val="21"/>
          <w:highlight w:val="none"/>
          <w:u w:val="single"/>
        </w:rPr>
        <w:t xml:space="preserve">          </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职务：</w:t>
      </w:r>
      <w:r>
        <w:rPr>
          <w:rFonts w:ascii="Arial" w:hAnsi="Arial" w:cs="Arial"/>
          <w:szCs w:val="21"/>
          <w:highlight w:val="none"/>
          <w:u w:val="single"/>
        </w:rPr>
        <w:t xml:space="preserve">           </w:t>
      </w:r>
      <w:r>
        <w:rPr>
          <w:rFonts w:ascii="Arial" w:hAnsi="Arial" w:cs="Arial"/>
          <w:szCs w:val="21"/>
          <w:highlight w:val="none"/>
        </w:rPr>
        <w:t xml:space="preserve">                                  职务：</w:t>
      </w:r>
      <w:r>
        <w:rPr>
          <w:rFonts w:ascii="Arial" w:hAnsi="Arial" w:cs="Arial"/>
          <w:szCs w:val="21"/>
          <w:highlight w:val="none"/>
          <w:u w:val="single"/>
        </w:rPr>
        <w:t xml:space="preserve">           </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被授权人身份证号码：</w:t>
      </w:r>
      <w:r>
        <w:rPr>
          <w:rFonts w:ascii="Arial" w:hAnsi="Arial" w:cs="Arial"/>
          <w:szCs w:val="21"/>
          <w:highlight w:val="none"/>
          <w:u w:val="single"/>
        </w:rPr>
        <w:t xml:space="preserve">                   </w:t>
      </w:r>
      <w:r>
        <w:rPr>
          <w:rFonts w:ascii="Arial" w:hAnsi="Arial" w:cs="Arial"/>
          <w:szCs w:val="21"/>
          <w:highlight w:val="none"/>
        </w:rPr>
        <w:t xml:space="preserve">            授权人身份证号码：</w:t>
      </w:r>
      <w:r>
        <w:rPr>
          <w:rFonts w:ascii="Arial" w:hAnsi="Arial" w:cs="Arial"/>
          <w:szCs w:val="21"/>
          <w:highlight w:val="none"/>
          <w:u w:val="single"/>
        </w:rPr>
        <w:t xml:space="preserve">                 </w:t>
      </w:r>
    </w:p>
    <w:p>
      <w:pPr>
        <w:snapToGrid w:val="0"/>
        <w:spacing w:before="120" w:beforeLines="50" w:after="50" w:line="360" w:lineRule="auto"/>
        <w:rPr>
          <w:rFonts w:ascii="Arial" w:hAnsi="Arial" w:cs="Arial"/>
          <w:szCs w:val="21"/>
          <w:highlight w:val="none"/>
        </w:rPr>
      </w:pPr>
      <w:r>
        <w:rPr>
          <w:rFonts w:ascii="Arial" w:hAnsi="Arial" w:cs="Arial"/>
          <w:szCs w:val="21"/>
          <w:highlight w:val="none"/>
        </w:rPr>
        <w:t>被授权人邮箱：</w:t>
      </w:r>
      <w:r>
        <w:rPr>
          <w:rFonts w:ascii="Arial" w:hAnsi="Arial" w:cs="Arial"/>
          <w:szCs w:val="21"/>
          <w:highlight w:val="none"/>
          <w:u w:val="single"/>
        </w:rPr>
        <w:t xml:space="preserve">                        </w:t>
      </w:r>
      <w:r>
        <w:rPr>
          <w:rFonts w:ascii="Arial" w:hAnsi="Arial" w:cs="Arial"/>
          <w:szCs w:val="21"/>
          <w:highlight w:val="none"/>
        </w:rPr>
        <w:t xml:space="preserve">                                   </w:t>
      </w:r>
    </w:p>
    <w:p>
      <w:pPr>
        <w:snapToGrid w:val="0"/>
        <w:spacing w:before="120" w:beforeLines="50" w:after="50" w:line="360" w:lineRule="auto"/>
        <w:ind w:firstLine="5670" w:firstLineChars="2700"/>
        <w:rPr>
          <w:rFonts w:ascii="Arial" w:hAnsi="Arial" w:cs="Arial"/>
          <w:szCs w:val="21"/>
          <w:highlight w:val="none"/>
        </w:rPr>
      </w:pPr>
    </w:p>
    <w:p>
      <w:pPr>
        <w:snapToGrid w:val="0"/>
        <w:spacing w:before="120" w:beforeLines="50" w:after="50" w:line="360" w:lineRule="auto"/>
        <w:ind w:firstLine="5670" w:firstLineChars="270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p>
    <w:p>
      <w:pPr>
        <w:snapToGrid w:val="0"/>
        <w:spacing w:before="120" w:beforeLines="50" w:after="50" w:line="360" w:lineRule="auto"/>
        <w:jc w:val="center"/>
        <w:rPr>
          <w:rFonts w:ascii="Arial" w:hAnsi="Arial" w:cs="Arial"/>
          <w:szCs w:val="21"/>
          <w:highlight w:val="none"/>
        </w:rPr>
      </w:pPr>
      <w:r>
        <w:rPr>
          <w:rFonts w:ascii="Arial" w:hAnsi="Arial" w:cs="Arial"/>
          <w:szCs w:val="21"/>
          <w:highlight w:val="none"/>
        </w:rPr>
        <w:t xml:space="preserve">                                        年    月    日</w:t>
      </w:r>
    </w:p>
    <w:p>
      <w:pPr>
        <w:spacing w:line="360" w:lineRule="auto"/>
        <w:rPr>
          <w:rFonts w:ascii="Arial" w:hAnsi="Arial" w:cs="Arial"/>
          <w:szCs w:val="21"/>
          <w:highlight w:val="none"/>
        </w:rPr>
      </w:pPr>
      <w:r>
        <w:rPr>
          <w:rFonts w:ascii="Arial" w:hAnsi="Arial" w:cs="Arial"/>
          <w:szCs w:val="21"/>
          <w:highlight w:val="none"/>
        </w:rPr>
        <w:t>附件：法定代表人身份证复印件及授权代表身份证复印件</w:t>
      </w:r>
    </w:p>
    <w:p>
      <w:pPr>
        <w:spacing w:line="360" w:lineRule="auto"/>
        <w:rPr>
          <w:rFonts w:ascii="Arial" w:hAnsi="Arial" w:cs="Arial"/>
          <w:highlight w:val="none"/>
        </w:rPr>
      </w:pPr>
    </w:p>
    <w:p>
      <w:pPr>
        <w:spacing w:line="360" w:lineRule="auto"/>
        <w:rPr>
          <w:rFonts w:ascii="Arial" w:hAnsi="Arial" w:cs="Arial"/>
          <w:highlight w:val="none"/>
        </w:rPr>
      </w:pPr>
      <w:r>
        <w:rPr>
          <w:rFonts w:ascii="Arial" w:hAnsi="Arial" w:cs="Arial"/>
          <w:highlight w:val="none"/>
        </w:rPr>
        <w:t>注：授权代表出席开标会议时，须随身携带本“法定代表人授权委托书”原件一份以及本人身份证原件，以备核查。</w:t>
      </w:r>
    </w:p>
    <w:p>
      <w:pPr>
        <w:snapToGrid w:val="0"/>
        <w:spacing w:before="120" w:beforeLines="50" w:after="50" w:line="360" w:lineRule="auto"/>
        <w:jc w:val="center"/>
        <w:outlineLvl w:val="1"/>
        <w:rPr>
          <w:rFonts w:ascii="Arial" w:hAnsi="Arial" w:cs="Arial"/>
          <w:bCs/>
          <w:sz w:val="24"/>
          <w:highlight w:val="none"/>
        </w:rPr>
      </w:pPr>
      <w:r>
        <w:rPr>
          <w:rFonts w:ascii="Arial" w:hAnsi="Arial" w:cs="Arial"/>
          <w:bCs/>
          <w:sz w:val="24"/>
          <w:highlight w:val="none"/>
        </w:rPr>
        <w:br w:type="page"/>
      </w:r>
      <w:r>
        <w:rPr>
          <w:rFonts w:ascii="Arial" w:hAnsi="Arial" w:cs="Arial"/>
          <w:bCs/>
          <w:sz w:val="24"/>
          <w:highlight w:val="none"/>
        </w:rPr>
        <w:t>第一部分 商务文件</w:t>
      </w:r>
    </w:p>
    <w:p>
      <w:pPr>
        <w:spacing w:line="360" w:lineRule="auto"/>
        <w:jc w:val="center"/>
        <w:rPr>
          <w:rFonts w:ascii="Arial" w:hAnsi="Arial" w:cs="Arial"/>
          <w:bCs/>
          <w:sz w:val="24"/>
          <w:highlight w:val="none"/>
        </w:rPr>
      </w:pPr>
      <w:r>
        <w:rPr>
          <w:rFonts w:ascii="Arial" w:hAnsi="Arial" w:cs="Arial"/>
          <w:highlight w:val="none"/>
        </w:rPr>
        <w:t>（本商务文件除标注“必须提供”的部分外，其余部分供应商可自行编写，也可参照下述提纲编写）</w:t>
      </w:r>
    </w:p>
    <w:p>
      <w:pPr>
        <w:snapToGrid w:val="0"/>
        <w:spacing w:before="50" w:after="120" w:afterLines="50" w:line="360" w:lineRule="auto"/>
        <w:jc w:val="left"/>
        <w:rPr>
          <w:rFonts w:ascii="Arial" w:hAnsi="Arial" w:cs="Arial"/>
          <w:szCs w:val="21"/>
          <w:highlight w:val="none"/>
        </w:rPr>
      </w:pPr>
    </w:p>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1．对本项目第二章《项目采购需求》“本项目商务要求”的响应偏离表</w:t>
      </w:r>
      <w:r>
        <w:rPr>
          <w:rFonts w:ascii="Arial" w:hAnsi="Arial" w:cs="Arial"/>
          <w:b/>
          <w:szCs w:val="21"/>
          <w:highlight w:val="none"/>
        </w:rPr>
        <w:t>（</w:t>
      </w:r>
      <w:r>
        <w:rPr>
          <w:rFonts w:ascii="Arial" w:hAnsi="Arial" w:cs="Arial"/>
          <w:b/>
          <w:highlight w:val="none"/>
        </w:rPr>
        <w:t>必须提供</w:t>
      </w:r>
      <w:r>
        <w:rPr>
          <w:rFonts w:ascii="Arial" w:hAnsi="Arial" w:cs="Arial"/>
          <w:b/>
          <w:szCs w:val="21"/>
          <w:highlight w:val="none"/>
        </w:rPr>
        <w:t>）</w:t>
      </w:r>
      <w:r>
        <w:rPr>
          <w:rFonts w:ascii="Arial" w:hAnsi="Arial" w:cs="Arial"/>
          <w:szCs w:val="21"/>
          <w:highlight w:val="none"/>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630"/>
        <w:gridCol w:w="1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招标文件的商务要求</w:t>
            </w: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投标文件响应内容（可注明所在页码）</w:t>
            </w: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highlight w:val="none"/>
              </w:rPr>
              <w:t>偏离</w:t>
            </w:r>
            <w:r>
              <w:rPr>
                <w:rFonts w:ascii="Arial" w:hAnsi="Arial" w:cs="Arial"/>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463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bl>
    <w:p>
      <w:pPr>
        <w:pStyle w:val="28"/>
        <w:tabs>
          <w:tab w:val="left" w:pos="2127"/>
        </w:tabs>
        <w:spacing w:line="360" w:lineRule="auto"/>
        <w:ind w:firstLine="420" w:firstLineChars="200"/>
        <w:jc w:val="left"/>
        <w:rPr>
          <w:rFonts w:ascii="Arial" w:hAnsi="Arial" w:cs="Arial"/>
          <w:highlight w:val="none"/>
        </w:rPr>
      </w:pPr>
      <w:r>
        <w:rPr>
          <w:rFonts w:ascii="Arial" w:hAnsi="Arial" w:cs="Arial"/>
          <w:highlight w:val="none"/>
        </w:rPr>
        <w:t>注：（1）本表应对招标文件第二章《项目采购需求》中所列商务要求进行响应；</w:t>
      </w:r>
    </w:p>
    <w:p>
      <w:pPr>
        <w:pStyle w:val="28"/>
        <w:tabs>
          <w:tab w:val="left" w:pos="2127"/>
        </w:tabs>
        <w:spacing w:line="360" w:lineRule="auto"/>
        <w:ind w:firstLine="420" w:firstLineChars="200"/>
        <w:jc w:val="left"/>
        <w:rPr>
          <w:rFonts w:ascii="Arial" w:hAnsi="Arial" w:cs="Arial"/>
          <w:highlight w:val="none"/>
        </w:rPr>
      </w:pPr>
      <w:bookmarkStart w:id="197" w:name="_Hlk19049081"/>
      <w:r>
        <w:rPr>
          <w:rFonts w:ascii="Arial" w:hAnsi="Arial" w:cs="Arial"/>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97"/>
    <w:p>
      <w:pPr>
        <w:pStyle w:val="28"/>
        <w:tabs>
          <w:tab w:val="left" w:pos="2127"/>
        </w:tabs>
        <w:spacing w:line="360" w:lineRule="auto"/>
        <w:ind w:firstLine="420" w:firstLineChars="200"/>
        <w:jc w:val="left"/>
        <w:rPr>
          <w:rFonts w:ascii="Arial" w:hAnsi="Arial" w:cs="Arial"/>
          <w:highlight w:val="none"/>
        </w:rPr>
      </w:pPr>
      <w:r>
        <w:rPr>
          <w:rFonts w:ascii="Arial" w:hAnsi="Arial" w:cs="Arial"/>
          <w:highlight w:val="none"/>
        </w:rPr>
        <w:t>（3）本表可扩展。</w:t>
      </w:r>
    </w:p>
    <w:p>
      <w:pPr>
        <w:snapToGrid w:val="0"/>
        <w:spacing w:before="50" w:after="50" w:line="360" w:lineRule="auto"/>
        <w:rPr>
          <w:rFonts w:ascii="Arial" w:hAnsi="Arial" w:cs="Arial"/>
          <w:spacing w:val="20"/>
          <w:szCs w:val="21"/>
          <w:highlight w:val="none"/>
          <w:u w:val="single"/>
        </w:rPr>
      </w:pPr>
      <w:r>
        <w:rPr>
          <w:rFonts w:ascii="Arial" w:hAnsi="Arial" w:cs="Arial"/>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napToGrid w:val="0"/>
        <w:spacing w:before="50" w:after="120" w:afterLines="50" w:line="360" w:lineRule="auto"/>
        <w:jc w:val="left"/>
        <w:rPr>
          <w:rFonts w:ascii="Arial" w:hAnsi="Arial" w:cs="Arial"/>
          <w:strike/>
          <w:szCs w:val="21"/>
          <w:highlight w:val="none"/>
        </w:rPr>
      </w:pPr>
      <w:r>
        <w:rPr>
          <w:rFonts w:ascii="Arial" w:hAnsi="Arial" w:cs="Arial"/>
          <w:spacing w:val="20"/>
          <w:szCs w:val="21"/>
          <w:highlight w:val="none"/>
        </w:rPr>
        <w:t>供应商公章：</w:t>
      </w:r>
      <w:r>
        <w:rPr>
          <w:rFonts w:ascii="Arial" w:hAnsi="Arial" w:cs="Arial"/>
          <w:spacing w:val="20"/>
          <w:szCs w:val="21"/>
          <w:highlight w:val="none"/>
          <w:u w:val="single"/>
        </w:rPr>
        <w:t xml:space="preserve">            </w:t>
      </w:r>
      <w:r>
        <w:rPr>
          <w:rFonts w:ascii="Arial" w:hAnsi="Arial" w:cs="Arial"/>
          <w:spacing w:val="20"/>
          <w:szCs w:val="21"/>
          <w:highlight w:val="none"/>
        </w:rPr>
        <w:t xml:space="preserve">             日  期：</w:t>
      </w:r>
      <w:r>
        <w:rPr>
          <w:rFonts w:ascii="Arial" w:hAnsi="Arial" w:cs="Arial"/>
          <w:spacing w:val="20"/>
          <w:szCs w:val="21"/>
          <w:highlight w:val="none"/>
          <w:u w:val="single"/>
        </w:rPr>
        <w:t xml:space="preserve">        </w:t>
      </w:r>
    </w:p>
    <w:p>
      <w:pPr>
        <w:snapToGrid w:val="0"/>
        <w:spacing w:before="50" w:after="120" w:afterLines="50" w:line="360" w:lineRule="auto"/>
        <w:jc w:val="left"/>
        <w:rPr>
          <w:rFonts w:ascii="Arial" w:hAnsi="Arial" w:cs="Arial"/>
          <w:strike/>
          <w:szCs w:val="21"/>
          <w:highlight w:val="none"/>
        </w:rPr>
      </w:pPr>
      <w:r>
        <w:rPr>
          <w:rFonts w:ascii="Arial" w:hAnsi="Arial" w:cs="Arial"/>
          <w:szCs w:val="21"/>
          <w:highlight w:val="none"/>
        </w:rPr>
        <w:t>2．售后服务机构概况</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60"/>
              <w:jc w:val="left"/>
              <w:rPr>
                <w:rFonts w:ascii="Arial" w:hAnsi="Arial" w:cs="Arial"/>
                <w:szCs w:val="21"/>
                <w:highlight w:val="none"/>
              </w:rPr>
            </w:pPr>
            <w:r>
              <w:rPr>
                <w:rFonts w:ascii="Arial" w:hAnsi="Arial" w:cs="Arial"/>
                <w:szCs w:val="21"/>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ind w:firstLine="210" w:firstLineChars="100"/>
              <w:jc w:val="left"/>
              <w:rPr>
                <w:rFonts w:ascii="Arial" w:hAnsi="Arial" w:cs="Arial"/>
                <w:szCs w:val="21"/>
                <w:highlight w:val="none"/>
              </w:rPr>
            </w:pPr>
            <w:r>
              <w:rPr>
                <w:rFonts w:ascii="Arial" w:hAnsi="Arial" w:cs="Arial"/>
                <w:szCs w:val="21"/>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bl>
    <w:p>
      <w:pPr>
        <w:pStyle w:val="15"/>
        <w:snapToGrid w:val="0"/>
        <w:spacing w:line="360" w:lineRule="auto"/>
        <w:rPr>
          <w:rFonts w:eastAsia="宋体"/>
          <w:sz w:val="21"/>
          <w:szCs w:val="21"/>
          <w:highlight w:val="none"/>
          <w:u w:val="single"/>
        </w:rPr>
      </w:pPr>
      <w:r>
        <w:rPr>
          <w:rFonts w:eastAsia="宋体"/>
          <w:sz w:val="21"/>
          <w:szCs w:val="21"/>
          <w:highlight w:val="none"/>
        </w:rPr>
        <w:t>法定代表人或授权代表签字或盖章：</w:t>
      </w:r>
      <w:r>
        <w:rPr>
          <w:rFonts w:eastAsia="宋体"/>
          <w:sz w:val="21"/>
          <w:szCs w:val="21"/>
          <w:highlight w:val="none"/>
          <w:u w:val="single"/>
        </w:rPr>
        <w:t>　　　　　</w:t>
      </w:r>
    </w:p>
    <w:p>
      <w:pPr>
        <w:pStyle w:val="20"/>
        <w:snapToGrid w:val="0"/>
        <w:spacing w:line="360" w:lineRule="auto"/>
        <w:ind w:left="1260" w:hanging="420"/>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r>
        <w:rPr>
          <w:rFonts w:ascii="Arial" w:hAnsi="Arial" w:cs="Arial"/>
          <w:szCs w:val="21"/>
          <w:highlight w:val="none"/>
        </w:rPr>
        <w:t xml:space="preserve">                　 年    月　 日</w:t>
      </w:r>
    </w:p>
    <w:p>
      <w:pPr>
        <w:snapToGrid w:val="0"/>
        <w:spacing w:before="50" w:after="120" w:afterLines="50" w:line="360" w:lineRule="auto"/>
        <w:jc w:val="left"/>
        <w:rPr>
          <w:rFonts w:ascii="Arial" w:hAnsi="Arial" w:cs="Arial"/>
          <w:szCs w:val="21"/>
          <w:highlight w:val="none"/>
        </w:rPr>
      </w:pPr>
    </w:p>
    <w:p>
      <w:pPr>
        <w:snapToGrid w:val="0"/>
        <w:spacing w:before="50" w:after="120" w:afterLines="50" w:line="360" w:lineRule="auto"/>
        <w:jc w:val="left"/>
        <w:rPr>
          <w:rFonts w:ascii="Arial" w:hAnsi="Arial" w:cs="Arial"/>
          <w:spacing w:val="20"/>
          <w:szCs w:val="21"/>
          <w:highlight w:val="none"/>
          <w:u w:val="single"/>
        </w:rPr>
      </w:pPr>
      <w:r>
        <w:rPr>
          <w:rFonts w:ascii="Arial" w:hAnsi="Arial" w:cs="Arial"/>
          <w:szCs w:val="21"/>
          <w:highlight w:val="none"/>
        </w:rPr>
        <w:t>3．售后服务方案（如有，供应商自行编写）</w:t>
      </w:r>
    </w:p>
    <w:p>
      <w:pPr>
        <w:snapToGrid w:val="0"/>
        <w:spacing w:before="50" w:after="120" w:afterLines="50" w:line="360" w:lineRule="auto"/>
        <w:jc w:val="left"/>
        <w:rPr>
          <w:rFonts w:ascii="Arial" w:hAnsi="Arial" w:cs="Arial"/>
          <w:spacing w:val="20"/>
          <w:szCs w:val="21"/>
          <w:highlight w:val="none"/>
          <w:u w:val="single"/>
        </w:rPr>
      </w:pPr>
    </w:p>
    <w:p>
      <w:pPr>
        <w:pStyle w:val="97"/>
        <w:rPr>
          <w:rFonts w:ascii="Arial" w:hAnsi="Arial" w:cs="Arial"/>
          <w:color w:val="auto"/>
          <w:spacing w:val="20"/>
          <w:szCs w:val="21"/>
          <w:highlight w:val="none"/>
          <w:u w:val="single"/>
        </w:rPr>
      </w:pPr>
    </w:p>
    <w:p>
      <w:pPr>
        <w:pStyle w:val="97"/>
        <w:rPr>
          <w:rFonts w:ascii="Arial" w:hAnsi="Arial" w:cs="Arial"/>
          <w:color w:val="auto"/>
          <w:spacing w:val="20"/>
          <w:szCs w:val="21"/>
          <w:highlight w:val="none"/>
          <w:u w:val="single"/>
        </w:rPr>
      </w:pPr>
    </w:p>
    <w:p>
      <w:pPr>
        <w:snapToGrid w:val="0"/>
        <w:spacing w:before="50" w:after="120" w:afterLines="50" w:line="360" w:lineRule="auto"/>
        <w:jc w:val="left"/>
        <w:rPr>
          <w:rFonts w:ascii="Arial" w:hAnsi="Arial" w:cs="Arial"/>
          <w:szCs w:val="21"/>
          <w:highlight w:val="none"/>
        </w:rPr>
      </w:pPr>
      <w:r>
        <w:rPr>
          <w:rFonts w:hint="eastAsia" w:ascii="Arial" w:hAnsi="Arial" w:cs="Arial"/>
          <w:szCs w:val="21"/>
          <w:highlight w:val="none"/>
        </w:rPr>
        <w:t>4.供应商履约能力证明材料</w:t>
      </w:r>
      <w:r>
        <w:rPr>
          <w:rFonts w:ascii="Arial" w:hAnsi="Arial" w:cs="Arial"/>
          <w:szCs w:val="21"/>
          <w:highlight w:val="none"/>
        </w:rPr>
        <w:t>（如有）</w:t>
      </w: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r>
        <w:rPr>
          <w:rFonts w:hint="eastAsia" w:ascii="Arial" w:hAnsi="Arial" w:cs="Arial"/>
          <w:color w:val="auto"/>
          <w:spacing w:val="20"/>
          <w:szCs w:val="21"/>
          <w:highlight w:val="none"/>
        </w:rPr>
        <w:t>5.产品研发、集成建设能力</w:t>
      </w:r>
      <w:r>
        <w:rPr>
          <w:rFonts w:ascii="Arial" w:hAnsi="Arial" w:cs="Arial"/>
          <w:color w:val="auto"/>
          <w:szCs w:val="21"/>
          <w:highlight w:val="none"/>
        </w:rPr>
        <w:t>（如有）</w:t>
      </w: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pPr>
    </w:p>
    <w:p>
      <w:pPr>
        <w:pStyle w:val="97"/>
        <w:rPr>
          <w:rFonts w:ascii="Arial" w:hAnsi="Arial" w:cs="Arial"/>
          <w:color w:val="auto"/>
          <w:spacing w:val="20"/>
          <w:szCs w:val="21"/>
          <w:highlight w:val="none"/>
        </w:rPr>
        <w:sectPr>
          <w:headerReference r:id="rId17" w:type="first"/>
          <w:headerReference r:id="rId16" w:type="default"/>
          <w:footerReference r:id="rId18" w:type="default"/>
          <w:pgSz w:w="11906" w:h="16838"/>
          <w:pgMar w:top="1418" w:right="1133" w:bottom="1246" w:left="1418" w:header="851" w:footer="992" w:gutter="0"/>
          <w:pgNumType w:fmt="decimal"/>
          <w:cols w:space="720" w:num="1"/>
          <w:docGrid w:linePitch="312" w:charSpace="0"/>
        </w:sectPr>
      </w:pPr>
    </w:p>
    <w:p>
      <w:pPr>
        <w:pStyle w:val="97"/>
        <w:rPr>
          <w:rFonts w:ascii="Arial" w:hAnsi="Arial" w:cs="Arial"/>
          <w:b/>
          <w:color w:val="auto"/>
          <w:szCs w:val="21"/>
          <w:highlight w:val="none"/>
        </w:rPr>
      </w:pPr>
      <w:r>
        <w:rPr>
          <w:rFonts w:hint="eastAsia" w:ascii="Arial" w:hAnsi="Arial" w:cs="Arial"/>
          <w:color w:val="auto"/>
          <w:szCs w:val="21"/>
          <w:highlight w:val="none"/>
        </w:rPr>
        <w:t>6</w:t>
      </w:r>
      <w:r>
        <w:rPr>
          <w:rFonts w:ascii="Arial" w:hAnsi="Arial" w:cs="Arial"/>
          <w:color w:val="auto"/>
          <w:szCs w:val="21"/>
          <w:highlight w:val="none"/>
        </w:rPr>
        <w:t>．</w:t>
      </w:r>
      <w:r>
        <w:rPr>
          <w:rFonts w:ascii="Arial" w:hAnsi="Arial" w:cs="Arial"/>
          <w:b/>
          <w:color w:val="auto"/>
          <w:szCs w:val="21"/>
          <w:highlight w:val="none"/>
        </w:rPr>
        <w:t>类似成功案例业绩</w:t>
      </w:r>
    </w:p>
    <w:p>
      <w:pPr>
        <w:snapToGrid w:val="0"/>
        <w:spacing w:before="50" w:after="120" w:afterLines="50" w:line="360" w:lineRule="auto"/>
        <w:jc w:val="center"/>
        <w:rPr>
          <w:rFonts w:ascii="Arial" w:hAnsi="Arial" w:cs="Arial"/>
          <w:szCs w:val="21"/>
          <w:highlight w:val="none"/>
        </w:rPr>
      </w:pPr>
      <w:r>
        <w:rPr>
          <w:rFonts w:ascii="Arial" w:hAnsi="Arial" w:cs="Arial"/>
          <w:b/>
          <w:szCs w:val="21"/>
          <w:highlight w:val="none"/>
        </w:rPr>
        <w:t>类似成功案例业绩一览表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采购</w:t>
            </w:r>
          </w:p>
          <w:p>
            <w:pPr>
              <w:snapToGrid w:val="0"/>
              <w:spacing w:line="360" w:lineRule="auto"/>
              <w:jc w:val="center"/>
              <w:rPr>
                <w:rFonts w:ascii="Arial" w:hAnsi="Arial" w:cs="Arial"/>
                <w:szCs w:val="21"/>
                <w:highlight w:val="none"/>
              </w:rPr>
            </w:pPr>
            <w:r>
              <w:rPr>
                <w:rFonts w:ascii="Arial" w:hAnsi="Arial" w:cs="Arial"/>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cs="Arial"/>
                <w:szCs w:val="21"/>
                <w:highlight w:val="none"/>
              </w:rPr>
            </w:pPr>
            <w:r>
              <w:rPr>
                <w:rFonts w:ascii="Arial" w:hAnsi="Arial" w:cs="Arial"/>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pPr>
              <w:spacing w:line="360" w:lineRule="auto"/>
              <w:jc w:val="center"/>
              <w:rPr>
                <w:rFonts w:ascii="Arial" w:hAnsi="Arial" w:cs="Arial"/>
                <w:szCs w:val="21"/>
                <w:highlight w:val="none"/>
              </w:rPr>
            </w:pPr>
            <w:r>
              <w:rPr>
                <w:rFonts w:ascii="Arial" w:hAnsi="Arial" w:cs="Arial"/>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Arial" w:hAnsi="Arial" w:cs="Arial"/>
                <w:szCs w:val="21"/>
                <w:highlight w:val="none"/>
              </w:rPr>
            </w:pPr>
          </w:p>
        </w:tc>
        <w:tc>
          <w:tcPr>
            <w:tcW w:w="3181" w:type="dxa"/>
            <w:vMerge w:val="continue"/>
            <w:tcBorders>
              <w:left w:val="single" w:color="auto" w:sz="4" w:space="0"/>
              <w:bottom w:val="single" w:color="auto" w:sz="4" w:space="0"/>
              <w:right w:val="single" w:color="auto" w:sz="4" w:space="0"/>
            </w:tcBorders>
          </w:tcPr>
          <w:p>
            <w:pPr>
              <w:snapToGrid w:val="0"/>
              <w:spacing w:line="360" w:lineRule="auto"/>
              <w:jc w:val="center"/>
              <w:rPr>
                <w:rFonts w:ascii="Arial" w:hAnsi="Arial" w:cs="Arial"/>
                <w:strike/>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Arial" w:hAnsi="Arial" w:cs="Arial"/>
                <w:szCs w:val="21"/>
                <w:highlight w:val="none"/>
              </w:rPr>
            </w:pPr>
          </w:p>
        </w:tc>
      </w:tr>
    </w:tbl>
    <w:p>
      <w:pPr>
        <w:pStyle w:val="15"/>
        <w:snapToGrid w:val="0"/>
        <w:spacing w:line="360" w:lineRule="auto"/>
        <w:rPr>
          <w:rFonts w:eastAsia="宋体"/>
          <w:sz w:val="21"/>
          <w:szCs w:val="21"/>
          <w:highlight w:val="none"/>
        </w:rPr>
      </w:pPr>
      <w:r>
        <w:rPr>
          <w:rFonts w:eastAsia="宋体"/>
          <w:sz w:val="21"/>
          <w:szCs w:val="21"/>
          <w:highlight w:val="none"/>
        </w:rPr>
        <w:t>注：</w:t>
      </w:r>
      <w:bookmarkStart w:id="198" w:name="_Hlk19049505"/>
      <w:r>
        <w:rPr>
          <w:rFonts w:eastAsia="宋体"/>
          <w:sz w:val="21"/>
          <w:szCs w:val="21"/>
          <w:highlight w:val="none"/>
        </w:rPr>
        <w:t>本表可拓展并逐页签字及盖章。</w:t>
      </w:r>
      <w:bookmarkEnd w:id="198"/>
    </w:p>
    <w:p>
      <w:pPr>
        <w:pStyle w:val="15"/>
        <w:snapToGrid w:val="0"/>
        <w:spacing w:line="360" w:lineRule="auto"/>
        <w:rPr>
          <w:rFonts w:eastAsia="宋体"/>
          <w:sz w:val="21"/>
          <w:szCs w:val="21"/>
          <w:highlight w:val="none"/>
          <w:u w:val="single"/>
        </w:rPr>
      </w:pPr>
      <w:r>
        <w:rPr>
          <w:rFonts w:eastAsia="宋体"/>
          <w:sz w:val="21"/>
          <w:szCs w:val="21"/>
          <w:highlight w:val="none"/>
        </w:rPr>
        <w:t>法定代表人或授权代表签字或盖章：</w:t>
      </w:r>
      <w:r>
        <w:rPr>
          <w:rFonts w:eastAsia="宋体"/>
          <w:sz w:val="21"/>
          <w:szCs w:val="21"/>
          <w:highlight w:val="none"/>
          <w:u w:val="single"/>
        </w:rPr>
        <w:t>　　　　　</w:t>
      </w:r>
    </w:p>
    <w:p>
      <w:pPr>
        <w:snapToGrid w:val="0"/>
        <w:spacing w:before="50" w:line="360" w:lineRule="auto"/>
        <w:jc w:val="left"/>
        <w:rPr>
          <w:rFonts w:ascii="Arial" w:hAnsi="Arial" w:cs="Arial"/>
          <w:szCs w:val="21"/>
          <w:highlight w:val="none"/>
        </w:rPr>
      </w:pPr>
      <w:r>
        <w:rPr>
          <w:rFonts w:ascii="Arial" w:hAnsi="Arial" w:cs="Arial"/>
          <w:szCs w:val="21"/>
          <w:highlight w:val="none"/>
        </w:rPr>
        <w:t>供应商公章：</w:t>
      </w:r>
      <w:r>
        <w:rPr>
          <w:rFonts w:ascii="Arial" w:hAnsi="Arial" w:cs="Arial"/>
          <w:szCs w:val="21"/>
          <w:highlight w:val="none"/>
          <w:u w:val="single"/>
        </w:rPr>
        <w:t xml:space="preserve">                 </w:t>
      </w:r>
      <w:r>
        <w:rPr>
          <w:rFonts w:ascii="Arial" w:hAnsi="Arial" w:cs="Arial"/>
          <w:szCs w:val="21"/>
          <w:highlight w:val="none"/>
        </w:rPr>
        <w:t xml:space="preserve">                                           年    月   日</w:t>
      </w:r>
    </w:p>
    <w:p>
      <w:pPr>
        <w:snapToGrid w:val="0"/>
        <w:spacing w:before="50" w:line="360" w:lineRule="auto"/>
        <w:jc w:val="left"/>
        <w:rPr>
          <w:rFonts w:ascii="Arial" w:hAnsi="Arial" w:cs="Arial"/>
          <w:szCs w:val="21"/>
          <w:highlight w:val="none"/>
        </w:rPr>
      </w:pPr>
    </w:p>
    <w:p>
      <w:pPr>
        <w:snapToGrid w:val="0"/>
        <w:spacing w:before="50" w:line="360" w:lineRule="auto"/>
        <w:jc w:val="left"/>
        <w:rPr>
          <w:rFonts w:ascii="Arial" w:hAnsi="Arial" w:cs="Arial"/>
          <w:szCs w:val="21"/>
          <w:highlight w:val="none"/>
        </w:rPr>
      </w:pPr>
    </w:p>
    <w:p>
      <w:pPr>
        <w:pStyle w:val="97"/>
        <w:rPr>
          <w:rFonts w:ascii="Arial" w:hAnsi="Arial" w:cs="Arial"/>
          <w:color w:val="auto"/>
          <w:szCs w:val="21"/>
          <w:highlight w:val="none"/>
        </w:rPr>
      </w:pPr>
    </w:p>
    <w:p>
      <w:pPr>
        <w:snapToGrid w:val="0"/>
        <w:spacing w:before="50" w:after="120" w:afterLines="50" w:line="360" w:lineRule="auto"/>
        <w:jc w:val="left"/>
        <w:rPr>
          <w:rFonts w:ascii="Arial" w:hAnsi="Arial" w:cs="Arial"/>
          <w:szCs w:val="21"/>
          <w:highlight w:val="none"/>
        </w:rPr>
      </w:pPr>
      <w:bookmarkStart w:id="199" w:name="_Hlk19050322"/>
    </w:p>
    <w:bookmarkEnd w:id="199"/>
    <w:p>
      <w:pPr>
        <w:pStyle w:val="97"/>
        <w:rPr>
          <w:rFonts w:ascii="Arial" w:hAnsi="Arial" w:cs="Arial"/>
          <w:color w:val="auto"/>
          <w:szCs w:val="21"/>
          <w:highlight w:val="none"/>
        </w:rPr>
        <w:sectPr>
          <w:pgSz w:w="16838" w:h="11906" w:orient="landscape"/>
          <w:pgMar w:top="1418" w:right="1418" w:bottom="1133" w:left="1246" w:header="851" w:footer="992" w:gutter="0"/>
          <w:pgNumType w:fmt="decimal"/>
          <w:cols w:space="720" w:num="1"/>
          <w:docGrid w:linePitch="312" w:charSpace="0"/>
        </w:sectPr>
      </w:pPr>
    </w:p>
    <w:p>
      <w:pPr>
        <w:spacing w:line="360" w:lineRule="auto"/>
        <w:rPr>
          <w:rFonts w:ascii="Arial" w:hAnsi="Arial" w:cs="Arial"/>
          <w:szCs w:val="21"/>
          <w:highlight w:val="none"/>
        </w:rPr>
      </w:pPr>
      <w:r>
        <w:rPr>
          <w:rFonts w:hint="eastAsia" w:ascii="Arial" w:hAnsi="Arial" w:cs="Arial"/>
          <w:szCs w:val="21"/>
          <w:highlight w:val="none"/>
        </w:rPr>
        <w:t>7</w:t>
      </w:r>
      <w:r>
        <w:rPr>
          <w:rFonts w:ascii="Arial" w:hAnsi="Arial" w:cs="Arial"/>
          <w:szCs w:val="21"/>
          <w:highlight w:val="none"/>
        </w:rPr>
        <w:t>．供应商认为需提供的其他材料（根据招标文件编写）</w:t>
      </w:r>
    </w:p>
    <w:p>
      <w:pPr>
        <w:spacing w:line="360" w:lineRule="auto"/>
        <w:rPr>
          <w:rFonts w:ascii="Arial" w:hAnsi="Arial" w:cs="Arial"/>
          <w:b/>
          <w:bCs/>
          <w:szCs w:val="21"/>
          <w:highlight w:val="none"/>
        </w:rPr>
      </w:pPr>
    </w:p>
    <w:p>
      <w:pPr>
        <w:snapToGrid w:val="0"/>
        <w:spacing w:before="50" w:after="120" w:afterLines="50"/>
        <w:jc w:val="left"/>
        <w:rPr>
          <w:szCs w:val="21"/>
          <w:highlight w:val="none"/>
        </w:rPr>
      </w:pPr>
      <w:r>
        <w:rPr>
          <w:rFonts w:hint="eastAsia"/>
          <w:szCs w:val="21"/>
          <w:highlight w:val="none"/>
        </w:rPr>
        <w:t>8</w:t>
      </w:r>
      <w:r>
        <w:rPr>
          <w:rFonts w:ascii="Arial" w:hAnsi="Arial" w:cs="Arial"/>
          <w:szCs w:val="21"/>
          <w:highlight w:val="none"/>
        </w:rPr>
        <w:t>．</w:t>
      </w:r>
      <w:r>
        <w:rPr>
          <w:szCs w:val="21"/>
          <w:highlight w:val="none"/>
        </w:rPr>
        <w:t>代理服务费承诺书</w:t>
      </w:r>
    </w:p>
    <w:p>
      <w:pPr>
        <w:spacing w:line="360" w:lineRule="exact"/>
        <w:rPr>
          <w:szCs w:val="21"/>
          <w:highlight w:val="none"/>
        </w:rPr>
      </w:pPr>
      <w:r>
        <w:rPr>
          <w:szCs w:val="21"/>
          <w:highlight w:val="none"/>
        </w:rPr>
        <w:t>致：广西机电设备招标有限公司</w:t>
      </w:r>
    </w:p>
    <w:p>
      <w:pPr>
        <w:spacing w:line="360" w:lineRule="exact"/>
        <w:ind w:firstLine="420" w:firstLineChars="200"/>
        <w:rPr>
          <w:szCs w:val="21"/>
          <w:highlight w:val="none"/>
        </w:rPr>
      </w:pPr>
      <w:bookmarkStart w:id="200" w:name="_Hlk19050395"/>
      <w:r>
        <w:rPr>
          <w:szCs w:val="21"/>
          <w:highlight w:val="none"/>
        </w:rPr>
        <w:t>我单位参加了贵方组织的招标项目编号为</w:t>
      </w:r>
      <w:r>
        <w:rPr>
          <w:b/>
          <w:szCs w:val="21"/>
          <w:highlight w:val="none"/>
        </w:rPr>
        <w:t>（</w:t>
      </w:r>
      <w:r>
        <w:rPr>
          <w:szCs w:val="21"/>
          <w:highlight w:val="none"/>
          <w:u w:val="single"/>
        </w:rPr>
        <w:t xml:space="preserve">                    )</w:t>
      </w:r>
      <w:r>
        <w:rPr>
          <w:szCs w:val="21"/>
          <w:highlight w:val="none"/>
        </w:rPr>
        <w:t>的投标，并递交了投标保证金</w:t>
      </w:r>
      <w:bookmarkStart w:id="201" w:name="_Hlk19050352"/>
      <w:r>
        <w:rPr>
          <w:szCs w:val="21"/>
          <w:highlight w:val="none"/>
        </w:rPr>
        <w:t>（</w:t>
      </w:r>
      <w:r>
        <w:rPr>
          <w:kern w:val="0"/>
          <w:szCs w:val="21"/>
          <w:highlight w:val="none"/>
        </w:rPr>
        <w:t>¥</w:t>
      </w:r>
      <w:r>
        <w:rPr>
          <w:szCs w:val="21"/>
          <w:highlight w:val="none"/>
          <w:u w:val="single"/>
        </w:rPr>
        <w:t xml:space="preserve">       </w:t>
      </w:r>
      <w:r>
        <w:rPr>
          <w:szCs w:val="21"/>
          <w:highlight w:val="none"/>
        </w:rPr>
        <w:t>）</w:t>
      </w:r>
      <w:bookmarkEnd w:id="201"/>
      <w:r>
        <w:rPr>
          <w:szCs w:val="21"/>
          <w:highlight w:val="none"/>
        </w:rPr>
        <w:t>，在此我方说明如下：</w:t>
      </w:r>
    </w:p>
    <w:bookmarkEnd w:id="200"/>
    <w:p>
      <w:pPr>
        <w:spacing w:line="360" w:lineRule="exact"/>
        <w:ind w:firstLine="420" w:firstLineChars="200"/>
        <w:rPr>
          <w:szCs w:val="21"/>
          <w:highlight w:val="none"/>
        </w:rPr>
      </w:pPr>
      <w:r>
        <w:rPr>
          <w:szCs w:val="21"/>
          <w:highlight w:val="none"/>
        </w:rPr>
        <w:t>1．我方承诺，若我单位中标，保证在领取中标通知书之前，按本项目招标文件的规定标准向贵单位支付代理服务费。如我单位未按规定缴纳代理服务费，贵方可</w:t>
      </w:r>
      <w:r>
        <w:rPr>
          <w:rFonts w:hint="eastAsia"/>
          <w:szCs w:val="21"/>
          <w:highlight w:val="none"/>
        </w:rPr>
        <w:t>不退还</w:t>
      </w:r>
      <w:r>
        <w:rPr>
          <w:szCs w:val="21"/>
          <w:highlight w:val="none"/>
        </w:rPr>
        <w:t>我单位提交的投标保证金</w:t>
      </w:r>
      <w:r>
        <w:rPr>
          <w:rFonts w:hint="eastAsia"/>
          <w:szCs w:val="21"/>
          <w:highlight w:val="none"/>
        </w:rPr>
        <w:t>，并从中</w:t>
      </w:r>
      <w:r>
        <w:rPr>
          <w:szCs w:val="21"/>
          <w:highlight w:val="none"/>
        </w:rPr>
        <w:t>扣除</w:t>
      </w:r>
      <w:r>
        <w:rPr>
          <w:rFonts w:hint="eastAsia"/>
          <w:szCs w:val="21"/>
          <w:highlight w:val="none"/>
        </w:rPr>
        <w:t>代理服务费</w:t>
      </w:r>
      <w:r>
        <w:rPr>
          <w:szCs w:val="21"/>
          <w:highlight w:val="none"/>
        </w:rPr>
        <w:t>，余款按下列账户退回。</w:t>
      </w:r>
    </w:p>
    <w:p>
      <w:pPr>
        <w:spacing w:line="360" w:lineRule="exact"/>
        <w:ind w:firstLine="420" w:firstLineChars="200"/>
        <w:rPr>
          <w:szCs w:val="21"/>
          <w:highlight w:val="none"/>
        </w:rPr>
      </w:pPr>
      <w:bookmarkStart w:id="202" w:name="_Hlk19050518"/>
      <w:r>
        <w:rPr>
          <w:szCs w:val="21"/>
          <w:highlight w:val="none"/>
        </w:rPr>
        <w:t>我公司选择第</w:t>
      </w:r>
      <w:r>
        <w:rPr>
          <w:szCs w:val="21"/>
          <w:highlight w:val="none"/>
          <w:u w:val="single"/>
        </w:rPr>
        <w:t xml:space="preserve">     </w:t>
      </w:r>
      <w:r>
        <w:rPr>
          <w:szCs w:val="21"/>
          <w:highlight w:val="none"/>
        </w:rPr>
        <w:t>种方式缴纳代理服务费。</w:t>
      </w:r>
    </w:p>
    <w:p>
      <w:pPr>
        <w:spacing w:line="360" w:lineRule="exact"/>
        <w:ind w:firstLine="420" w:firstLineChars="200"/>
        <w:rPr>
          <w:szCs w:val="21"/>
          <w:highlight w:val="none"/>
        </w:rPr>
      </w:pPr>
      <w:r>
        <w:rPr>
          <w:szCs w:val="21"/>
          <w:highlight w:val="none"/>
        </w:rPr>
        <w:t>第一种方式：一次性足额缴纳代理服务费。</w:t>
      </w:r>
    </w:p>
    <w:p>
      <w:pPr>
        <w:spacing w:line="360" w:lineRule="exact"/>
        <w:ind w:firstLine="420" w:firstLineChars="200"/>
        <w:rPr>
          <w:szCs w:val="21"/>
          <w:highlight w:val="none"/>
        </w:rPr>
      </w:pPr>
      <w:r>
        <w:rPr>
          <w:szCs w:val="21"/>
          <w:highlight w:val="none"/>
        </w:rPr>
        <w:t>第二种方式：从投标保证金中抵扣代理服务费，不足部分补交。</w:t>
      </w:r>
    </w:p>
    <w:bookmarkEnd w:id="202"/>
    <w:p>
      <w:pPr>
        <w:spacing w:line="360" w:lineRule="exact"/>
        <w:ind w:firstLine="420" w:firstLineChars="200"/>
        <w:rPr>
          <w:szCs w:val="21"/>
          <w:highlight w:val="none"/>
        </w:rPr>
      </w:pPr>
      <w:r>
        <w:rPr>
          <w:szCs w:val="21"/>
          <w:highlight w:val="none"/>
        </w:rPr>
        <w:t>2．如我单位投标保证金无法原路返回，请按下表账户信息无息退还。</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收款户名</w:t>
            </w:r>
          </w:p>
        </w:tc>
        <w:tc>
          <w:tcPr>
            <w:tcW w:w="5431" w:type="dxa"/>
            <w:vAlign w:val="center"/>
          </w:tcPr>
          <w:p>
            <w:pPr>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账    号</w:t>
            </w:r>
          </w:p>
        </w:tc>
        <w:tc>
          <w:tcPr>
            <w:tcW w:w="5431" w:type="dxa"/>
            <w:vAlign w:val="center"/>
          </w:tcPr>
          <w:p>
            <w:pPr>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开户银行</w:t>
            </w:r>
          </w:p>
        </w:tc>
        <w:tc>
          <w:tcPr>
            <w:tcW w:w="5431" w:type="dxa"/>
            <w:vAlign w:val="center"/>
          </w:tcPr>
          <w:p>
            <w:pPr>
              <w:spacing w:line="3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szCs w:val="21"/>
                <w:highlight w:val="none"/>
              </w:rPr>
            </w:pPr>
            <w:r>
              <w:rPr>
                <w:szCs w:val="21"/>
                <w:highlight w:val="none"/>
              </w:rPr>
              <w:t>银行行号</w:t>
            </w:r>
          </w:p>
        </w:tc>
        <w:tc>
          <w:tcPr>
            <w:tcW w:w="5431" w:type="dxa"/>
            <w:vAlign w:val="center"/>
          </w:tcPr>
          <w:p>
            <w:pPr>
              <w:spacing w:line="360" w:lineRule="exact"/>
              <w:jc w:val="center"/>
              <w:rPr>
                <w:szCs w:val="21"/>
                <w:highlight w:val="none"/>
              </w:rPr>
            </w:pPr>
          </w:p>
        </w:tc>
      </w:tr>
    </w:tbl>
    <w:p>
      <w:pPr>
        <w:spacing w:line="360" w:lineRule="exact"/>
        <w:ind w:firstLine="420" w:firstLineChars="200"/>
        <w:rPr>
          <w:szCs w:val="21"/>
          <w:highlight w:val="none"/>
        </w:rPr>
      </w:pPr>
      <w:r>
        <w:rPr>
          <w:szCs w:val="21"/>
          <w:highlight w:val="none"/>
        </w:rPr>
        <w:t>3．如果我单位未遵守有关招标文件关于投标保证金的规定，贵方可以没收我单位投标保证金。</w:t>
      </w:r>
    </w:p>
    <w:p>
      <w:pPr>
        <w:spacing w:line="360" w:lineRule="exact"/>
        <w:ind w:firstLine="420" w:firstLineChars="200"/>
        <w:rPr>
          <w:szCs w:val="21"/>
          <w:highlight w:val="none"/>
        </w:rPr>
      </w:pPr>
      <w:r>
        <w:rPr>
          <w:szCs w:val="21"/>
          <w:highlight w:val="none"/>
        </w:rPr>
        <w:t>4. 我单位选择第</w:t>
      </w:r>
      <w:r>
        <w:rPr>
          <w:szCs w:val="21"/>
          <w:highlight w:val="none"/>
          <w:u w:val="single"/>
        </w:rPr>
        <w:t xml:space="preserve">     </w:t>
      </w:r>
      <w:r>
        <w:rPr>
          <w:szCs w:val="21"/>
          <w:highlight w:val="none"/>
        </w:rPr>
        <w:t>种方式作为代理服务费开票类型：</w:t>
      </w:r>
    </w:p>
    <w:p>
      <w:pPr>
        <w:spacing w:line="360" w:lineRule="exact"/>
        <w:ind w:firstLine="420" w:firstLineChars="200"/>
        <w:rPr>
          <w:szCs w:val="21"/>
          <w:highlight w:val="none"/>
        </w:rPr>
      </w:pPr>
      <w:r>
        <w:rPr>
          <w:szCs w:val="21"/>
          <w:highlight w:val="none"/>
        </w:rPr>
        <w:t>第一种方式：开具收据。</w:t>
      </w:r>
    </w:p>
    <w:p>
      <w:pPr>
        <w:spacing w:line="360" w:lineRule="exact"/>
        <w:ind w:firstLine="420" w:firstLineChars="200"/>
        <w:rPr>
          <w:szCs w:val="21"/>
          <w:highlight w:val="none"/>
        </w:rPr>
      </w:pPr>
      <w:r>
        <w:rPr>
          <w:szCs w:val="21"/>
          <w:highlight w:val="none"/>
        </w:rPr>
        <w:t>第二种方式：开具增值税普通发票。开票信息如下：1.公司名称</w:t>
      </w:r>
      <w:r>
        <w:rPr>
          <w:szCs w:val="21"/>
          <w:highlight w:val="none"/>
          <w:u w:val="single"/>
        </w:rPr>
        <w:t xml:space="preserve">                      </w:t>
      </w:r>
      <w:r>
        <w:rPr>
          <w:szCs w:val="21"/>
          <w:highlight w:val="none"/>
        </w:rPr>
        <w:t>；2.纳税人识别号</w:t>
      </w:r>
      <w:r>
        <w:rPr>
          <w:szCs w:val="21"/>
          <w:highlight w:val="none"/>
          <w:u w:val="single"/>
        </w:rPr>
        <w:t xml:space="preserve">                     </w:t>
      </w:r>
      <w:r>
        <w:rPr>
          <w:szCs w:val="21"/>
          <w:highlight w:val="none"/>
        </w:rPr>
        <w:t>；</w:t>
      </w:r>
    </w:p>
    <w:p>
      <w:pPr>
        <w:spacing w:line="360" w:lineRule="exact"/>
        <w:ind w:firstLine="420" w:firstLineChars="200"/>
        <w:rPr>
          <w:szCs w:val="21"/>
          <w:highlight w:val="none"/>
        </w:rPr>
      </w:pPr>
      <w:r>
        <w:rPr>
          <w:szCs w:val="21"/>
          <w:highlight w:val="none"/>
        </w:rPr>
        <w:t>第三种方式：开具</w:t>
      </w:r>
      <w:r>
        <w:rPr>
          <w:rFonts w:hint="eastAsia"/>
          <w:szCs w:val="21"/>
          <w:highlight w:val="none"/>
          <w:lang w:eastAsia="zh-CN"/>
        </w:rPr>
        <w:t>增值税普通发票</w:t>
      </w:r>
      <w:r>
        <w:rPr>
          <w:szCs w:val="21"/>
          <w:highlight w:val="none"/>
        </w:rPr>
        <w:t>，开票信息如下：1.公司名称</w:t>
      </w:r>
      <w:r>
        <w:rPr>
          <w:szCs w:val="21"/>
          <w:highlight w:val="none"/>
          <w:u w:val="single"/>
        </w:rPr>
        <w:t xml:space="preserve">                      </w:t>
      </w:r>
      <w:r>
        <w:rPr>
          <w:szCs w:val="21"/>
          <w:highlight w:val="none"/>
        </w:rPr>
        <w:t>；2.纳税人识别号</w:t>
      </w:r>
      <w:r>
        <w:rPr>
          <w:szCs w:val="21"/>
          <w:highlight w:val="none"/>
          <w:u w:val="single"/>
        </w:rPr>
        <w:t xml:space="preserve">                     </w:t>
      </w:r>
      <w:r>
        <w:rPr>
          <w:szCs w:val="21"/>
          <w:highlight w:val="none"/>
        </w:rPr>
        <w:t>；3.税局登记地址</w:t>
      </w:r>
      <w:r>
        <w:rPr>
          <w:szCs w:val="21"/>
          <w:highlight w:val="none"/>
          <w:u w:val="single"/>
        </w:rPr>
        <w:t xml:space="preserve">                     </w:t>
      </w:r>
      <w:r>
        <w:rPr>
          <w:szCs w:val="21"/>
          <w:highlight w:val="none"/>
        </w:rPr>
        <w:t>；4.税局登记电话</w:t>
      </w:r>
      <w:r>
        <w:rPr>
          <w:szCs w:val="21"/>
          <w:highlight w:val="none"/>
          <w:u w:val="single"/>
        </w:rPr>
        <w:t xml:space="preserve">             </w:t>
      </w:r>
      <w:r>
        <w:rPr>
          <w:szCs w:val="21"/>
          <w:highlight w:val="none"/>
        </w:rPr>
        <w:t>；5.开户银行</w:t>
      </w:r>
      <w:r>
        <w:rPr>
          <w:szCs w:val="21"/>
          <w:highlight w:val="none"/>
          <w:u w:val="single"/>
        </w:rPr>
        <w:t xml:space="preserve">                 </w:t>
      </w:r>
      <w:r>
        <w:rPr>
          <w:szCs w:val="21"/>
          <w:highlight w:val="none"/>
        </w:rPr>
        <w:t>；6.银行账户</w:t>
      </w:r>
      <w:r>
        <w:rPr>
          <w:szCs w:val="21"/>
          <w:highlight w:val="none"/>
          <w:u w:val="single"/>
        </w:rPr>
        <w:t xml:space="preserve">                         </w:t>
      </w:r>
      <w:r>
        <w:rPr>
          <w:szCs w:val="21"/>
          <w:highlight w:val="none"/>
        </w:rPr>
        <w:t>。</w:t>
      </w:r>
    </w:p>
    <w:p>
      <w:pPr>
        <w:spacing w:before="120" w:beforeLines="50" w:line="360" w:lineRule="auto"/>
        <w:jc w:val="left"/>
        <w:rPr>
          <w:szCs w:val="21"/>
          <w:highlight w:val="none"/>
        </w:rPr>
      </w:pPr>
    </w:p>
    <w:p>
      <w:pPr>
        <w:spacing w:before="120" w:beforeLines="50" w:line="360" w:lineRule="auto"/>
        <w:jc w:val="left"/>
        <w:rPr>
          <w:szCs w:val="21"/>
          <w:highlight w:val="none"/>
          <w:u w:val="single"/>
        </w:rPr>
      </w:pPr>
      <w:r>
        <w:rPr>
          <w:szCs w:val="21"/>
          <w:highlight w:val="none"/>
        </w:rPr>
        <w:t>供应商名称（盖章）：</w:t>
      </w:r>
      <w:r>
        <w:rPr>
          <w:szCs w:val="21"/>
          <w:highlight w:val="none"/>
          <w:u w:val="single"/>
        </w:rPr>
        <w:t xml:space="preserve">                              </w:t>
      </w:r>
    </w:p>
    <w:p>
      <w:pPr>
        <w:spacing w:before="120" w:beforeLines="50" w:line="360" w:lineRule="auto"/>
        <w:jc w:val="left"/>
        <w:rPr>
          <w:szCs w:val="21"/>
          <w:highlight w:val="none"/>
        </w:rPr>
      </w:pPr>
      <w:r>
        <w:rPr>
          <w:szCs w:val="21"/>
          <w:highlight w:val="none"/>
        </w:rPr>
        <w:t>供应商地址：</w:t>
      </w:r>
      <w:r>
        <w:rPr>
          <w:szCs w:val="21"/>
          <w:highlight w:val="none"/>
          <w:u w:val="single"/>
        </w:rPr>
        <w:t xml:space="preserve">                                     </w:t>
      </w:r>
    </w:p>
    <w:p>
      <w:pPr>
        <w:spacing w:before="120" w:beforeLines="50" w:line="360" w:lineRule="auto"/>
        <w:jc w:val="left"/>
        <w:rPr>
          <w:szCs w:val="21"/>
          <w:highlight w:val="none"/>
          <w:u w:val="single"/>
        </w:rPr>
      </w:pPr>
      <w:r>
        <w:rPr>
          <w:szCs w:val="21"/>
          <w:highlight w:val="none"/>
        </w:rPr>
        <w:t>法定代表人或授权代表签字或盖章：</w:t>
      </w:r>
      <w:r>
        <w:rPr>
          <w:szCs w:val="21"/>
          <w:highlight w:val="none"/>
          <w:u w:val="single"/>
        </w:rPr>
        <w:t xml:space="preserve">                          </w:t>
      </w:r>
    </w:p>
    <w:p>
      <w:pPr>
        <w:spacing w:before="120" w:beforeLines="50" w:line="360" w:lineRule="auto"/>
        <w:jc w:val="right"/>
        <w:rPr>
          <w:szCs w:val="21"/>
          <w:highlight w:val="none"/>
        </w:rPr>
      </w:pPr>
      <w:r>
        <w:rPr>
          <w:szCs w:val="21"/>
          <w:highlight w:val="none"/>
        </w:rPr>
        <w:t>日期：</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before="120" w:beforeLines="50"/>
        <w:jc w:val="left"/>
        <w:rPr>
          <w:szCs w:val="21"/>
          <w:highlight w:val="none"/>
        </w:rPr>
      </w:pPr>
      <w:r>
        <w:rPr>
          <w:szCs w:val="21"/>
          <w:highlight w:val="none"/>
        </w:rPr>
        <w:t>说明：</w:t>
      </w:r>
    </w:p>
    <w:p>
      <w:pPr>
        <w:spacing w:line="340" w:lineRule="exact"/>
        <w:ind w:firstLine="420" w:firstLineChars="200"/>
        <w:rPr>
          <w:szCs w:val="21"/>
          <w:highlight w:val="none"/>
        </w:rPr>
      </w:pPr>
      <w:r>
        <w:rPr>
          <w:szCs w:val="21"/>
          <w:highlight w:val="none"/>
        </w:rPr>
        <w:t>（1）为保障资金安全，上述账户不能为私人账户。</w:t>
      </w:r>
    </w:p>
    <w:p>
      <w:pPr>
        <w:spacing w:line="340" w:lineRule="exact"/>
        <w:ind w:firstLine="420" w:firstLineChars="200"/>
        <w:rPr>
          <w:szCs w:val="21"/>
          <w:highlight w:val="none"/>
        </w:rPr>
      </w:pPr>
      <w:r>
        <w:rPr>
          <w:szCs w:val="21"/>
          <w:highlight w:val="none"/>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jc w:val="center"/>
        <w:rPr>
          <w:rFonts w:ascii="Arial" w:hAnsi="Arial" w:cs="Arial"/>
          <w:b/>
          <w:bCs/>
          <w:szCs w:val="21"/>
          <w:highlight w:val="none"/>
        </w:rPr>
      </w:pPr>
      <w:r>
        <w:rPr>
          <w:highlight w:val="none"/>
        </w:rPr>
        <w:t>（3）如供应商未及时收到退回款项，请与广西机电设备招标有限公司财务部联系。广西机电设备招标有限公司财务部联系方式：联系人：吴茜；电话：0771-2821398；传真：0771-2843545。</w:t>
      </w:r>
    </w:p>
    <w:p>
      <w:pPr>
        <w:spacing w:line="360" w:lineRule="auto"/>
        <w:rPr>
          <w:rFonts w:ascii="Arial" w:hAnsi="Arial" w:cs="Arial"/>
          <w:b/>
          <w:bCs/>
          <w:szCs w:val="21"/>
          <w:highlight w:val="none"/>
        </w:rPr>
      </w:pPr>
      <w:r>
        <w:rPr>
          <w:rFonts w:ascii="Arial" w:hAnsi="Arial" w:cs="Arial"/>
          <w:b/>
          <w:bCs/>
          <w:szCs w:val="21"/>
          <w:highlight w:val="none"/>
        </w:rPr>
        <w:br w:type="page"/>
      </w:r>
    </w:p>
    <w:p>
      <w:pPr>
        <w:snapToGrid w:val="0"/>
        <w:spacing w:before="120" w:beforeLines="50" w:after="50" w:line="360" w:lineRule="auto"/>
        <w:jc w:val="center"/>
        <w:outlineLvl w:val="1"/>
        <w:rPr>
          <w:rFonts w:ascii="Arial" w:hAnsi="Arial" w:cs="Arial"/>
          <w:bCs/>
          <w:sz w:val="24"/>
          <w:highlight w:val="none"/>
        </w:rPr>
      </w:pPr>
      <w:r>
        <w:rPr>
          <w:rFonts w:ascii="Arial" w:hAnsi="Arial" w:cs="Arial"/>
          <w:bCs/>
          <w:sz w:val="24"/>
          <w:highlight w:val="none"/>
        </w:rPr>
        <w:t>第二部分 技术文件</w:t>
      </w:r>
    </w:p>
    <w:p>
      <w:pPr>
        <w:spacing w:line="360" w:lineRule="auto"/>
        <w:jc w:val="center"/>
        <w:rPr>
          <w:rFonts w:ascii="Arial" w:hAnsi="Arial" w:cs="Arial"/>
          <w:highlight w:val="none"/>
        </w:rPr>
      </w:pPr>
      <w:r>
        <w:rPr>
          <w:rFonts w:ascii="Arial" w:hAnsi="Arial" w:cs="Arial"/>
          <w:highlight w:val="none"/>
        </w:rPr>
        <w:t>（本技术文件除标注“必须提供”的部分外，其余部分供应商可自行编写，也可参照下述提纲编写）</w:t>
      </w:r>
    </w:p>
    <w:p>
      <w:pPr>
        <w:snapToGrid w:val="0"/>
        <w:spacing w:before="50" w:after="120" w:afterLines="50" w:line="360" w:lineRule="auto"/>
        <w:jc w:val="left"/>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1．对本项目第二章《项目采购需求》技术要求的响应偏离表</w:t>
      </w:r>
      <w:r>
        <w:rPr>
          <w:rFonts w:ascii="Arial" w:hAnsi="Arial" w:cs="Arial"/>
          <w:b/>
          <w:szCs w:val="21"/>
          <w:highlight w:val="none"/>
        </w:rPr>
        <w:t>（</w:t>
      </w:r>
      <w:r>
        <w:rPr>
          <w:rFonts w:ascii="Arial" w:hAnsi="Arial" w:cs="Arial"/>
          <w:b/>
          <w:highlight w:val="none"/>
        </w:rPr>
        <w:t>必须提供</w:t>
      </w:r>
      <w:r>
        <w:rPr>
          <w:rFonts w:ascii="Arial" w:hAnsi="Arial" w:cs="Arial"/>
          <w:b/>
          <w:szCs w:val="21"/>
          <w:highlight w:val="none"/>
        </w:rPr>
        <w:t>）</w:t>
      </w:r>
      <w:r>
        <w:rPr>
          <w:rFonts w:ascii="Arial" w:hAnsi="Arial" w:cs="Arial"/>
          <w:szCs w:val="21"/>
          <w:highlight w:val="none"/>
        </w:rPr>
        <w:t>：</w:t>
      </w:r>
    </w:p>
    <w:p>
      <w:pPr>
        <w:spacing w:line="360" w:lineRule="auto"/>
        <w:rPr>
          <w:rFonts w:ascii="Arial" w:hAnsi="Arial" w:cs="Arial"/>
          <w:szCs w:val="21"/>
          <w:highlight w:val="none"/>
        </w:rPr>
      </w:pPr>
    </w:p>
    <w:p>
      <w:pPr>
        <w:spacing w:line="360" w:lineRule="auto"/>
        <w:ind w:firstLine="420" w:firstLineChars="200"/>
        <w:jc w:val="center"/>
        <w:rPr>
          <w:rFonts w:ascii="Arial" w:hAnsi="Arial" w:cs="Arial"/>
          <w:szCs w:val="21"/>
          <w:highlight w:val="none"/>
        </w:rPr>
      </w:pPr>
      <w:r>
        <w:rPr>
          <w:rFonts w:ascii="Arial" w:hAnsi="Arial" w:cs="Arial"/>
          <w:szCs w:val="21"/>
          <w:highlight w:val="none"/>
        </w:rPr>
        <w:t>对照第二章《项目采购需求》</w:t>
      </w:r>
      <w:r>
        <w:rPr>
          <w:rFonts w:ascii="Arial" w:hAnsi="Arial" w:cs="Arial"/>
          <w:highlight w:val="none"/>
        </w:rPr>
        <w:t>中技术</w:t>
      </w:r>
      <w:r>
        <w:rPr>
          <w:rFonts w:hint="eastAsia" w:ascii="Arial" w:hAnsi="Arial" w:cs="Arial"/>
          <w:highlight w:val="none"/>
        </w:rPr>
        <w:t>内容</w:t>
      </w:r>
      <w:r>
        <w:rPr>
          <w:rFonts w:ascii="Arial" w:hAnsi="Arial" w:cs="Arial"/>
          <w:highlight w:val="none"/>
        </w:rPr>
        <w:t>的响应偏表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投标文件响应内容</w:t>
            </w:r>
          </w:p>
          <w:p>
            <w:pPr>
              <w:snapToGrid w:val="0"/>
              <w:spacing w:before="120" w:beforeLines="50" w:line="360" w:lineRule="auto"/>
              <w:jc w:val="center"/>
              <w:rPr>
                <w:rFonts w:ascii="Arial" w:hAnsi="Arial" w:cs="Arial"/>
                <w:szCs w:val="21"/>
                <w:highlight w:val="none"/>
              </w:rPr>
            </w:pPr>
            <w:r>
              <w:rPr>
                <w:rFonts w:ascii="Arial" w:hAnsi="Arial" w:cs="Arial"/>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highlight w:val="none"/>
              </w:rPr>
              <w:t>偏离</w:t>
            </w:r>
            <w:r>
              <w:rPr>
                <w:rFonts w:ascii="Arial" w:hAnsi="Arial" w:cs="Arial"/>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Arial" w:hAnsi="Arial" w:cs="Arial"/>
                <w:szCs w:val="21"/>
                <w:highlight w:val="none"/>
              </w:rPr>
            </w:pPr>
            <w:r>
              <w:rPr>
                <w:rFonts w:ascii="Arial" w:hAnsi="Arial" w:cs="Arial"/>
                <w:szCs w:val="21"/>
                <w:highlight w:val="none"/>
              </w:rPr>
              <w:t>……</w:t>
            </w:r>
          </w:p>
        </w:tc>
      </w:tr>
    </w:tbl>
    <w:p>
      <w:pPr>
        <w:spacing w:line="360" w:lineRule="auto"/>
        <w:rPr>
          <w:rFonts w:ascii="Arial" w:hAnsi="Arial" w:cs="Arial"/>
          <w:szCs w:val="21"/>
          <w:highlight w:val="none"/>
        </w:rPr>
      </w:pPr>
    </w:p>
    <w:p>
      <w:pPr>
        <w:spacing w:line="360" w:lineRule="auto"/>
        <w:rPr>
          <w:rFonts w:ascii="Arial" w:hAnsi="Arial" w:cs="Arial"/>
          <w:highlight w:val="none"/>
        </w:rPr>
      </w:pPr>
      <w:r>
        <w:rPr>
          <w:rFonts w:ascii="Arial" w:hAnsi="Arial" w:cs="Arial"/>
          <w:szCs w:val="21"/>
          <w:highlight w:val="none"/>
        </w:rPr>
        <w:t>注：</w:t>
      </w:r>
      <w:r>
        <w:rPr>
          <w:rFonts w:ascii="Arial" w:hAnsi="Arial" w:cs="Arial"/>
          <w:highlight w:val="none"/>
        </w:rPr>
        <w:t>（1）</w:t>
      </w:r>
      <w:r>
        <w:rPr>
          <w:rFonts w:hint="eastAsia" w:ascii="Arial" w:hAnsi="Arial" w:cs="Arial"/>
          <w:szCs w:val="21"/>
          <w:highlight w:val="none"/>
        </w:rPr>
        <w:t>供应商应对照第二章《项目采购需求》</w:t>
      </w:r>
      <w:r>
        <w:rPr>
          <w:rFonts w:hint="eastAsia" w:ascii="Arial" w:hAnsi="Arial" w:cs="Arial"/>
          <w:highlight w:val="none"/>
        </w:rPr>
        <w:t>“</w:t>
      </w:r>
      <w:r>
        <w:rPr>
          <w:rFonts w:hint="eastAsia" w:ascii="Arial" w:hAnsi="Arial" w:cs="Arial"/>
          <w:b/>
          <w:bCs/>
          <w:highlight w:val="none"/>
        </w:rPr>
        <w:t>4、</w:t>
      </w:r>
      <w:r>
        <w:rPr>
          <w:rFonts w:hint="eastAsia" w:ascii="Arial" w:hAnsi="Arial" w:cs="Arial"/>
          <w:b/>
          <w:bCs/>
          <w:szCs w:val="21"/>
          <w:highlight w:val="none"/>
        </w:rPr>
        <w:t>服务需求</w:t>
      </w:r>
      <w:r>
        <w:rPr>
          <w:rFonts w:hint="eastAsia" w:ascii="Arial" w:hAnsi="Arial" w:cs="Arial"/>
          <w:highlight w:val="none"/>
        </w:rPr>
        <w:t>”</w:t>
      </w:r>
      <w:r>
        <w:rPr>
          <w:rFonts w:hint="eastAsia" w:ascii="Arial" w:hAnsi="Arial" w:cs="Arial"/>
          <w:szCs w:val="21"/>
          <w:highlight w:val="none"/>
        </w:rPr>
        <w:t>中所列技术要求逐条在“偏离说明”栏注明“正偏离”、“负偏离”或“无偏离”</w:t>
      </w:r>
      <w:r>
        <w:rPr>
          <w:rFonts w:ascii="Arial" w:hAnsi="Arial" w:cs="Arial"/>
          <w:szCs w:val="21"/>
          <w:highlight w:val="none"/>
        </w:rPr>
        <w:t>。</w:t>
      </w:r>
      <w:r>
        <w:rPr>
          <w:rFonts w:hint="eastAsia" w:ascii="Arial" w:hAnsi="Arial" w:cs="Arial"/>
          <w:szCs w:val="21"/>
          <w:highlight w:val="none"/>
        </w:rPr>
        <w:t>填写“无偏离”时，如相应条款在投标文件其他部分描述明确不满足招标文件要求时，评标委员会将按不满足要求进行评审。</w:t>
      </w:r>
    </w:p>
    <w:p>
      <w:pPr>
        <w:spacing w:line="360" w:lineRule="auto"/>
        <w:rPr>
          <w:rFonts w:ascii="Arial" w:hAnsi="Arial" w:cs="Arial"/>
          <w:highlight w:val="none"/>
        </w:rPr>
      </w:pPr>
      <w:r>
        <w:rPr>
          <w:rFonts w:ascii="Arial" w:hAnsi="Arial" w:cs="Arial"/>
          <w:highlight w:val="none"/>
        </w:rPr>
        <w:t>（</w:t>
      </w:r>
      <w:r>
        <w:rPr>
          <w:rFonts w:hint="eastAsia" w:ascii="Arial" w:hAnsi="Arial" w:cs="Arial"/>
          <w:highlight w:val="none"/>
        </w:rPr>
        <w:t>2</w:t>
      </w:r>
      <w:r>
        <w:rPr>
          <w:rFonts w:ascii="Arial" w:hAnsi="Arial" w:cs="Arial"/>
          <w:highlight w:val="none"/>
        </w:rPr>
        <w:t>）本表可扩展。</w:t>
      </w:r>
    </w:p>
    <w:p>
      <w:pPr>
        <w:spacing w:line="360" w:lineRule="auto"/>
        <w:rPr>
          <w:rFonts w:ascii="Arial" w:hAnsi="Arial" w:cs="Arial"/>
          <w:szCs w:val="21"/>
          <w:highlight w:val="none"/>
        </w:rPr>
      </w:pPr>
    </w:p>
    <w:p>
      <w:pPr>
        <w:spacing w:line="360" w:lineRule="auto"/>
        <w:rPr>
          <w:rFonts w:ascii="Arial" w:hAnsi="Arial" w:cs="Arial"/>
          <w:spacing w:val="20"/>
          <w:szCs w:val="21"/>
          <w:highlight w:val="none"/>
          <w:u w:val="single"/>
        </w:rPr>
      </w:pPr>
      <w:r>
        <w:rPr>
          <w:rFonts w:ascii="Arial" w:hAnsi="Arial" w:cs="Arial"/>
          <w:szCs w:val="21"/>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r>
        <w:rPr>
          <w:rFonts w:ascii="Arial" w:hAnsi="Arial" w:cs="Arial"/>
          <w:spacing w:val="20"/>
          <w:szCs w:val="21"/>
          <w:highlight w:val="none"/>
        </w:rPr>
        <w:t>供应商公章：</w:t>
      </w:r>
      <w:r>
        <w:rPr>
          <w:rFonts w:ascii="Arial" w:hAnsi="Arial" w:cs="Arial"/>
          <w:spacing w:val="20"/>
          <w:szCs w:val="21"/>
          <w:highlight w:val="none"/>
          <w:u w:val="single"/>
        </w:rPr>
        <w:t xml:space="preserve">            </w:t>
      </w:r>
      <w:r>
        <w:rPr>
          <w:rFonts w:ascii="Arial" w:hAnsi="Arial" w:cs="Arial"/>
          <w:spacing w:val="20"/>
          <w:szCs w:val="21"/>
          <w:highlight w:val="none"/>
        </w:rPr>
        <w:t xml:space="preserve">              日 期：</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p>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t>2．货物或产品配置清单格式</w:t>
      </w:r>
      <w:r>
        <w:rPr>
          <w:rFonts w:hint="eastAsia" w:ascii="Arial" w:hAnsi="Arial" w:cs="Arial"/>
          <w:szCs w:val="21"/>
          <w:highlight w:val="none"/>
        </w:rPr>
        <w:t>（如有请提供）</w:t>
      </w:r>
      <w:r>
        <w:rPr>
          <w:rFonts w:ascii="Arial" w:hAnsi="Arial" w:cs="Arial"/>
          <w:szCs w:val="21"/>
          <w:highlight w:val="none"/>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货物或产品</w:t>
            </w:r>
          </w:p>
          <w:p>
            <w:pPr>
              <w:snapToGrid w:val="0"/>
              <w:spacing w:before="50" w:after="50" w:line="360" w:lineRule="auto"/>
              <w:jc w:val="center"/>
              <w:rPr>
                <w:rFonts w:ascii="Arial" w:hAnsi="Arial" w:cs="Arial"/>
                <w:szCs w:val="21"/>
                <w:highlight w:val="none"/>
              </w:rPr>
            </w:pPr>
            <w:r>
              <w:rPr>
                <w:rFonts w:ascii="Arial" w:hAnsi="Arial" w:cs="Arial"/>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r>
              <w:rPr>
                <w:rFonts w:ascii="Arial" w:hAnsi="Arial" w:cs="Arial"/>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Arial" w:hAnsi="Arial" w:cs="Arial"/>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Arial" w:hAnsi="Arial" w:cs="Arial"/>
                <w:szCs w:val="21"/>
                <w:highlight w:val="none"/>
              </w:rPr>
            </w:pPr>
          </w:p>
        </w:tc>
      </w:tr>
    </w:tbl>
    <w:p>
      <w:pPr>
        <w:snapToGrid w:val="0"/>
        <w:spacing w:before="50" w:after="50" w:line="360" w:lineRule="auto"/>
        <w:rPr>
          <w:rFonts w:ascii="Arial" w:hAnsi="Arial" w:cs="Arial"/>
          <w:spacing w:val="20"/>
          <w:szCs w:val="21"/>
          <w:highlight w:val="none"/>
          <w:u w:val="single"/>
        </w:rPr>
      </w:pPr>
      <w:r>
        <w:rPr>
          <w:rFonts w:ascii="Arial" w:hAnsi="Arial" w:cs="Arial"/>
          <w:szCs w:val="21"/>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napToGrid w:val="0"/>
        <w:spacing w:before="50" w:after="50" w:line="360" w:lineRule="auto"/>
        <w:rPr>
          <w:rFonts w:ascii="Arial" w:hAnsi="Arial" w:cs="Arial"/>
          <w:szCs w:val="21"/>
          <w:highlight w:val="none"/>
        </w:rPr>
      </w:pPr>
      <w:r>
        <w:rPr>
          <w:rFonts w:ascii="Arial" w:hAnsi="Arial" w:cs="Arial"/>
          <w:spacing w:val="20"/>
          <w:szCs w:val="21"/>
          <w:highlight w:val="none"/>
        </w:rPr>
        <w:t>供应商公章：</w:t>
      </w:r>
      <w:r>
        <w:rPr>
          <w:rFonts w:ascii="Arial" w:hAnsi="Arial" w:cs="Arial"/>
          <w:spacing w:val="20"/>
          <w:szCs w:val="21"/>
          <w:highlight w:val="none"/>
          <w:u w:val="single"/>
        </w:rPr>
        <w:t xml:space="preserve">            </w:t>
      </w:r>
      <w:r>
        <w:rPr>
          <w:rFonts w:ascii="Arial" w:hAnsi="Arial" w:cs="Arial"/>
          <w:spacing w:val="20"/>
          <w:szCs w:val="21"/>
          <w:highlight w:val="none"/>
        </w:rPr>
        <w:t xml:space="preserve">              日  期：</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p>
    <w:p>
      <w:pPr>
        <w:spacing w:line="360" w:lineRule="auto"/>
        <w:rPr>
          <w:rFonts w:ascii="Arial" w:hAnsi="Arial" w:cs="Arial"/>
          <w:szCs w:val="21"/>
          <w:highlight w:val="none"/>
        </w:rPr>
      </w:pPr>
      <w:bookmarkStart w:id="203" w:name="_Hlk19115689"/>
    </w:p>
    <w:bookmarkEnd w:id="203"/>
    <w:p>
      <w:pPr>
        <w:snapToGrid w:val="0"/>
        <w:spacing w:before="50" w:after="120" w:afterLines="50"/>
        <w:jc w:val="left"/>
        <w:rPr>
          <w:szCs w:val="21"/>
          <w:highlight w:val="none"/>
        </w:rPr>
      </w:pPr>
      <w:r>
        <w:rPr>
          <w:rFonts w:hint="eastAsia"/>
          <w:szCs w:val="21"/>
          <w:highlight w:val="none"/>
        </w:rPr>
        <w:t>3</w:t>
      </w:r>
      <w:r>
        <w:rPr>
          <w:szCs w:val="21"/>
          <w:highlight w:val="none"/>
        </w:rPr>
        <w:t>．</w:t>
      </w:r>
      <w:r>
        <w:rPr>
          <w:rFonts w:hint="eastAsia" w:ascii="Arial" w:hAnsi="Arial" w:cs="Arial"/>
          <w:szCs w:val="21"/>
          <w:highlight w:val="none"/>
        </w:rPr>
        <w:t>系统总体建设方案</w:t>
      </w: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4</w:t>
      </w:r>
      <w:r>
        <w:rPr>
          <w:szCs w:val="21"/>
          <w:highlight w:val="none"/>
        </w:rPr>
        <w:t>．</w:t>
      </w:r>
      <w:r>
        <w:rPr>
          <w:rFonts w:hint="eastAsia" w:ascii="Arial" w:hAnsi="Arial" w:cs="Arial"/>
          <w:szCs w:val="21"/>
          <w:highlight w:val="none"/>
        </w:rPr>
        <w:t>应急保障措施</w:t>
      </w: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5</w:t>
      </w:r>
      <w:r>
        <w:rPr>
          <w:szCs w:val="21"/>
          <w:highlight w:val="none"/>
        </w:rPr>
        <w:t>．项目拟投入服务团队人员结构表（包括但不限于学历、证书情况、职称、年龄等）</w:t>
      </w:r>
    </w:p>
    <w:p>
      <w:pPr>
        <w:snapToGrid w:val="0"/>
        <w:spacing w:before="120" w:beforeLines="50" w:after="50" w:line="400" w:lineRule="exact"/>
        <w:jc w:val="center"/>
        <w:rPr>
          <w:szCs w:val="21"/>
          <w:highlight w:val="none"/>
        </w:rPr>
      </w:pPr>
      <w:r>
        <w:rPr>
          <w:szCs w:val="21"/>
          <w:highlight w:val="none"/>
        </w:rPr>
        <w:t>项目拟投入服务团队人员（含项目负责人）一览表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szCs w:val="21"/>
                <w:highlight w:val="none"/>
              </w:rPr>
            </w:pPr>
            <w:r>
              <w:rPr>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szCs w:val="21"/>
                <w:highlight w:val="none"/>
              </w:rPr>
            </w:pPr>
            <w:r>
              <w:rPr>
                <w:bCs/>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pStyle w:val="30"/>
              <w:snapToGrid w:val="0"/>
              <w:spacing w:before="120" w:beforeLines="50" w:after="50"/>
              <w:ind w:left="5250"/>
              <w:rPr>
                <w:rFonts w:ascii="Times New Roman" w:hAnsi="Times New Roman"/>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szCs w:val="21"/>
                <w:highlight w:val="none"/>
              </w:rPr>
            </w:pPr>
          </w:p>
        </w:tc>
      </w:tr>
    </w:tbl>
    <w:p>
      <w:pPr>
        <w:snapToGrid w:val="0"/>
        <w:spacing w:before="50" w:after="120" w:afterLines="50" w:line="440" w:lineRule="exact"/>
        <w:jc w:val="left"/>
        <w:rPr>
          <w:szCs w:val="21"/>
          <w:highlight w:val="none"/>
        </w:rPr>
      </w:pPr>
      <w:r>
        <w:rPr>
          <w:szCs w:val="21"/>
          <w:highlight w:val="none"/>
        </w:rPr>
        <w:t>注：在填写时，如本表格不适合投标单位的实际情况，可根据本表格式自行划表填写。</w:t>
      </w:r>
    </w:p>
    <w:p>
      <w:pPr>
        <w:snapToGrid w:val="0"/>
        <w:spacing w:before="50" w:after="50" w:line="440" w:lineRule="exact"/>
        <w:rPr>
          <w:spacing w:val="20"/>
          <w:szCs w:val="21"/>
          <w:highlight w:val="none"/>
          <w:u w:val="single"/>
        </w:rPr>
      </w:pPr>
      <w:r>
        <w:rPr>
          <w:szCs w:val="21"/>
          <w:highlight w:val="none"/>
        </w:rPr>
        <w:t>法定代表人或授权代表签字或盖章</w:t>
      </w:r>
      <w:r>
        <w:rPr>
          <w:spacing w:val="20"/>
          <w:szCs w:val="21"/>
          <w:highlight w:val="none"/>
        </w:rPr>
        <w:t>：</w:t>
      </w:r>
      <w:r>
        <w:rPr>
          <w:spacing w:val="20"/>
          <w:szCs w:val="21"/>
          <w:highlight w:val="none"/>
          <w:u w:val="single"/>
        </w:rPr>
        <w:t xml:space="preserve">            </w:t>
      </w:r>
    </w:p>
    <w:p>
      <w:pPr>
        <w:rPr>
          <w:spacing w:val="20"/>
          <w:szCs w:val="21"/>
          <w:highlight w:val="none"/>
          <w:u w:val="single"/>
        </w:rPr>
      </w:pPr>
      <w:r>
        <w:rPr>
          <w:spacing w:val="20"/>
          <w:szCs w:val="21"/>
          <w:highlight w:val="none"/>
        </w:rPr>
        <w:t>供应商公章：</w:t>
      </w:r>
      <w:r>
        <w:rPr>
          <w:spacing w:val="20"/>
          <w:szCs w:val="21"/>
          <w:highlight w:val="none"/>
          <w:u w:val="single"/>
        </w:rPr>
        <w:t xml:space="preserve">            </w:t>
      </w:r>
      <w:r>
        <w:rPr>
          <w:spacing w:val="20"/>
          <w:szCs w:val="21"/>
          <w:highlight w:val="none"/>
        </w:rPr>
        <w:t xml:space="preserve">             日  期：</w:t>
      </w:r>
      <w:r>
        <w:rPr>
          <w:spacing w:val="20"/>
          <w:szCs w:val="21"/>
          <w:highlight w:val="none"/>
          <w:u w:val="single"/>
        </w:rPr>
        <w:t xml:space="preserve">        </w:t>
      </w:r>
    </w:p>
    <w:p>
      <w:pPr>
        <w:rPr>
          <w:spacing w:val="20"/>
          <w:szCs w:val="21"/>
          <w:highlight w:val="none"/>
          <w:u w:val="single"/>
        </w:rPr>
      </w:pPr>
    </w:p>
    <w:p>
      <w:pPr>
        <w:rPr>
          <w:szCs w:val="21"/>
          <w:highlight w:val="none"/>
        </w:rPr>
      </w:pPr>
    </w:p>
    <w:p>
      <w:pPr>
        <w:spacing w:line="360" w:lineRule="auto"/>
        <w:jc w:val="left"/>
        <w:rPr>
          <w:rFonts w:ascii="Arial" w:hAnsi="Arial" w:cs="Arial"/>
          <w:szCs w:val="21"/>
          <w:highlight w:val="none"/>
        </w:rPr>
      </w:pPr>
      <w:r>
        <w:rPr>
          <w:rFonts w:hint="eastAsia"/>
          <w:szCs w:val="21"/>
          <w:highlight w:val="none"/>
        </w:rPr>
        <w:t>6</w:t>
      </w:r>
      <w:r>
        <w:rPr>
          <w:szCs w:val="21"/>
          <w:highlight w:val="none"/>
        </w:rPr>
        <w:t>．</w:t>
      </w:r>
      <w:r>
        <w:rPr>
          <w:rFonts w:hint="eastAsia" w:ascii="Arial" w:hAnsi="Arial" w:cs="Arial"/>
          <w:szCs w:val="21"/>
          <w:highlight w:val="none"/>
        </w:rPr>
        <w:t>项目实施方案</w:t>
      </w:r>
    </w:p>
    <w:p>
      <w:pPr>
        <w:snapToGrid w:val="0"/>
        <w:spacing w:before="50" w:after="120" w:afterLines="50"/>
        <w:jc w:val="left"/>
        <w:rPr>
          <w:szCs w:val="21"/>
          <w:highlight w:val="none"/>
        </w:rPr>
      </w:pPr>
      <w:r>
        <w:rPr>
          <w:szCs w:val="21"/>
          <w:highlight w:val="none"/>
        </w:rPr>
        <w:t>。</w:t>
      </w: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7</w:t>
      </w:r>
      <w:r>
        <w:rPr>
          <w:szCs w:val="21"/>
          <w:highlight w:val="none"/>
        </w:rPr>
        <w:t>．</w:t>
      </w:r>
      <w:r>
        <w:rPr>
          <w:rFonts w:hint="eastAsia" w:ascii="Arial" w:hAnsi="Arial" w:cs="Arial"/>
          <w:szCs w:val="21"/>
          <w:highlight w:val="none"/>
        </w:rPr>
        <w:t>运维服务及售后服务</w:t>
      </w:r>
      <w:r>
        <w:rPr>
          <w:szCs w:val="21"/>
          <w:highlight w:val="none"/>
        </w:rPr>
        <w:t>。</w:t>
      </w: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p>
    <w:p>
      <w:pPr>
        <w:snapToGrid w:val="0"/>
        <w:spacing w:before="50" w:after="120" w:afterLines="50"/>
        <w:jc w:val="left"/>
        <w:rPr>
          <w:szCs w:val="21"/>
          <w:highlight w:val="none"/>
        </w:rPr>
      </w:pPr>
      <w:r>
        <w:rPr>
          <w:rFonts w:hint="eastAsia"/>
          <w:szCs w:val="21"/>
          <w:highlight w:val="none"/>
        </w:rPr>
        <w:t>8</w:t>
      </w:r>
      <w:r>
        <w:rPr>
          <w:szCs w:val="21"/>
          <w:highlight w:val="none"/>
        </w:rPr>
        <w:t>．供应商需要说明的其他文件和说明。</w:t>
      </w:r>
    </w:p>
    <w:p>
      <w:pPr>
        <w:spacing w:line="360" w:lineRule="auto"/>
        <w:rPr>
          <w:rFonts w:ascii="Arial" w:hAnsi="Arial" w:cs="Arial"/>
          <w:szCs w:val="21"/>
          <w:highlight w:val="none"/>
        </w:rPr>
      </w:pPr>
    </w:p>
    <w:p>
      <w:pPr>
        <w:spacing w:line="360" w:lineRule="auto"/>
        <w:rPr>
          <w:rFonts w:ascii="Arial" w:hAnsi="Arial" w:cs="Arial"/>
          <w:szCs w:val="21"/>
          <w:highlight w:val="none"/>
        </w:rPr>
      </w:pPr>
    </w:p>
    <w:p>
      <w:pPr>
        <w:spacing w:line="360" w:lineRule="auto"/>
        <w:jc w:val="center"/>
        <w:rPr>
          <w:rFonts w:ascii="Arial" w:hAnsi="Arial" w:cs="Arial"/>
          <w:b/>
          <w:bCs/>
          <w:szCs w:val="21"/>
          <w:highlight w:val="none"/>
        </w:rPr>
      </w:pPr>
      <w:r>
        <w:rPr>
          <w:rFonts w:ascii="Arial" w:hAnsi="Arial" w:cs="Arial"/>
          <w:b/>
          <w:szCs w:val="21"/>
          <w:highlight w:val="none"/>
        </w:rPr>
        <w:br w:type="page"/>
      </w:r>
      <w:r>
        <w:rPr>
          <w:rFonts w:ascii="Arial" w:hAnsi="Arial" w:cs="Arial"/>
          <w:b/>
          <w:bCs/>
          <w:szCs w:val="21"/>
          <w:highlight w:val="none"/>
        </w:rPr>
        <w:t xml:space="preserve"> </w:t>
      </w:r>
    </w:p>
    <w:p>
      <w:pPr>
        <w:snapToGrid w:val="0"/>
        <w:spacing w:before="120" w:beforeLines="50" w:after="50" w:line="360" w:lineRule="auto"/>
        <w:jc w:val="center"/>
        <w:outlineLvl w:val="1"/>
        <w:rPr>
          <w:rFonts w:ascii="Arial" w:hAnsi="Arial" w:cs="Arial"/>
          <w:bCs/>
          <w:sz w:val="24"/>
          <w:highlight w:val="none"/>
        </w:rPr>
      </w:pPr>
      <w:r>
        <w:rPr>
          <w:rFonts w:ascii="Arial" w:hAnsi="Arial" w:cs="Arial"/>
          <w:bCs/>
          <w:sz w:val="24"/>
          <w:highlight w:val="none"/>
        </w:rPr>
        <w:t>第三部分 报价文件</w:t>
      </w:r>
    </w:p>
    <w:p>
      <w:pPr>
        <w:spacing w:line="360" w:lineRule="auto"/>
        <w:jc w:val="center"/>
        <w:rPr>
          <w:rFonts w:ascii="Arial" w:hAnsi="Arial" w:cs="Arial"/>
          <w:b/>
          <w:bCs/>
          <w:szCs w:val="21"/>
          <w:highlight w:val="none"/>
        </w:rPr>
      </w:pPr>
    </w:p>
    <w:p>
      <w:pPr>
        <w:spacing w:line="360" w:lineRule="auto"/>
        <w:rPr>
          <w:rFonts w:ascii="Arial" w:hAnsi="Arial" w:cs="Arial"/>
          <w:highlight w:val="none"/>
        </w:rPr>
      </w:pPr>
      <w:bookmarkStart w:id="204" w:name="_Hlk19115777"/>
      <w:r>
        <w:rPr>
          <w:rFonts w:ascii="Arial" w:hAnsi="Arial" w:cs="Arial"/>
          <w:highlight w:val="none"/>
        </w:rPr>
        <w:t>1．投标函格式</w:t>
      </w:r>
      <w:r>
        <w:rPr>
          <w:rFonts w:ascii="Arial" w:hAnsi="Arial" w:cs="Arial"/>
          <w:b/>
          <w:highlight w:val="none"/>
        </w:rPr>
        <w:t>（</w:t>
      </w:r>
      <w:r>
        <w:rPr>
          <w:rFonts w:ascii="Arial" w:hAnsi="Arial" w:cs="Arial"/>
          <w:b/>
          <w:szCs w:val="21"/>
          <w:highlight w:val="none"/>
        </w:rPr>
        <w:t>必须提供</w:t>
      </w:r>
      <w:r>
        <w:rPr>
          <w:rFonts w:ascii="Arial" w:hAnsi="Arial" w:cs="Arial"/>
          <w:b/>
          <w:highlight w:val="none"/>
        </w:rPr>
        <w:t>）</w:t>
      </w:r>
      <w:r>
        <w:rPr>
          <w:rFonts w:ascii="Arial" w:hAnsi="Arial" w:cs="Arial"/>
          <w:highlight w:val="none"/>
        </w:rPr>
        <w:t>：</w:t>
      </w:r>
    </w:p>
    <w:p>
      <w:pPr>
        <w:spacing w:line="360" w:lineRule="auto"/>
        <w:jc w:val="center"/>
        <w:rPr>
          <w:rFonts w:ascii="Arial" w:hAnsi="Arial" w:cs="Arial"/>
          <w:b/>
          <w:szCs w:val="21"/>
          <w:highlight w:val="none"/>
        </w:rPr>
      </w:pPr>
    </w:p>
    <w:p>
      <w:pPr>
        <w:spacing w:line="360" w:lineRule="auto"/>
        <w:jc w:val="center"/>
        <w:rPr>
          <w:rFonts w:ascii="Arial" w:hAnsi="Arial" w:cs="Arial"/>
          <w:b/>
          <w:szCs w:val="21"/>
          <w:highlight w:val="none"/>
        </w:rPr>
      </w:pPr>
      <w:r>
        <w:rPr>
          <w:rFonts w:ascii="Arial" w:hAnsi="Arial" w:cs="Arial"/>
          <w:b/>
          <w:szCs w:val="21"/>
          <w:highlight w:val="none"/>
        </w:rPr>
        <w:t>投 标 函</w:t>
      </w:r>
    </w:p>
    <w:p>
      <w:pPr>
        <w:spacing w:line="360" w:lineRule="auto"/>
        <w:rPr>
          <w:rFonts w:ascii="Arial" w:hAnsi="Arial" w:cs="Arial"/>
          <w:b/>
          <w:szCs w:val="21"/>
          <w:highlight w:val="none"/>
        </w:rPr>
      </w:pPr>
    </w:p>
    <w:p>
      <w:pPr>
        <w:spacing w:line="360" w:lineRule="auto"/>
        <w:rPr>
          <w:rFonts w:ascii="Arial" w:hAnsi="Arial" w:cs="Arial"/>
          <w:szCs w:val="21"/>
          <w:highlight w:val="none"/>
        </w:rPr>
      </w:pPr>
      <w:r>
        <w:rPr>
          <w:rFonts w:ascii="Arial" w:hAnsi="Arial" w:cs="Arial"/>
          <w:szCs w:val="21"/>
          <w:highlight w:val="none"/>
        </w:rPr>
        <w:t>致：</w:t>
      </w:r>
      <w:bookmarkStart w:id="205" w:name="_Hlk19051378"/>
      <w:r>
        <w:rPr>
          <w:rFonts w:ascii="Arial" w:hAnsi="Arial" w:cs="Arial"/>
          <w:szCs w:val="21"/>
          <w:highlight w:val="none"/>
        </w:rPr>
        <w:t>_</w:t>
      </w:r>
      <w:r>
        <w:rPr>
          <w:rFonts w:ascii="Arial" w:hAnsi="Arial" w:cs="Arial"/>
          <w:i/>
          <w:iCs/>
          <w:szCs w:val="21"/>
          <w:highlight w:val="none"/>
          <w:u w:val="single"/>
        </w:rPr>
        <w:t>（采购人名称）</w:t>
      </w:r>
      <w:r>
        <w:rPr>
          <w:rFonts w:ascii="Arial" w:hAnsi="Arial" w:cs="Arial"/>
          <w:i/>
          <w:iCs/>
          <w:szCs w:val="21"/>
          <w:highlight w:val="none"/>
        </w:rPr>
        <w:t>_</w:t>
      </w:r>
      <w:bookmarkEnd w:id="205"/>
      <w:r>
        <w:rPr>
          <w:rFonts w:ascii="Arial" w:hAnsi="Arial" w:cs="Arial"/>
          <w:szCs w:val="21"/>
          <w:highlight w:val="none"/>
        </w:rPr>
        <w:t>：</w:t>
      </w:r>
    </w:p>
    <w:p>
      <w:pPr>
        <w:spacing w:line="360" w:lineRule="auto"/>
        <w:ind w:firstLine="420" w:firstLineChars="200"/>
        <w:rPr>
          <w:rFonts w:ascii="Arial" w:hAnsi="Arial" w:cs="Arial"/>
          <w:szCs w:val="21"/>
          <w:highlight w:val="none"/>
        </w:rPr>
      </w:pPr>
      <w:r>
        <w:rPr>
          <w:rFonts w:ascii="Arial" w:hAnsi="Arial" w:cs="Arial"/>
          <w:szCs w:val="21"/>
          <w:highlight w:val="none"/>
        </w:rPr>
        <w:t>我方已仔细研究了</w:t>
      </w:r>
      <w:bookmarkStart w:id="206" w:name="_Hlk19051388"/>
      <w:r>
        <w:rPr>
          <w:rFonts w:ascii="Arial" w:hAnsi="Arial" w:cs="Arial"/>
          <w:i/>
          <w:iCs/>
          <w:szCs w:val="21"/>
          <w:highlight w:val="none"/>
          <w:u w:val="single"/>
        </w:rPr>
        <w:t>（项目名称）</w:t>
      </w:r>
      <w:bookmarkEnd w:id="206"/>
      <w:r>
        <w:rPr>
          <w:rFonts w:ascii="Arial" w:hAnsi="Arial" w:cs="Arial"/>
          <w:szCs w:val="21"/>
          <w:highlight w:val="none"/>
        </w:rPr>
        <w:t>的招标文件的全部内容。签字代表</w:t>
      </w:r>
      <w:bookmarkStart w:id="207" w:name="_Hlk19051393"/>
      <w:r>
        <w:rPr>
          <w:rFonts w:ascii="Arial" w:hAnsi="Arial" w:cs="Arial"/>
          <w:i/>
          <w:iCs/>
          <w:szCs w:val="21"/>
          <w:highlight w:val="none"/>
          <w:u w:val="single"/>
        </w:rPr>
        <w:t>（授权代表姓名）</w:t>
      </w:r>
      <w:bookmarkEnd w:id="207"/>
      <w:r>
        <w:rPr>
          <w:rFonts w:ascii="Arial" w:hAnsi="Arial" w:cs="Arial"/>
          <w:szCs w:val="21"/>
          <w:highlight w:val="none"/>
        </w:rPr>
        <w:t>经正式授权并代表供应商_</w:t>
      </w:r>
      <w:bookmarkStart w:id="208" w:name="_Hlk19051402"/>
      <w:r>
        <w:rPr>
          <w:rFonts w:ascii="Arial" w:hAnsi="Arial" w:cs="Arial"/>
          <w:i/>
          <w:iCs/>
          <w:szCs w:val="21"/>
          <w:highlight w:val="none"/>
          <w:u w:val="single"/>
        </w:rPr>
        <w:t>（供应商名称）</w:t>
      </w:r>
      <w:bookmarkEnd w:id="208"/>
      <w:r>
        <w:rPr>
          <w:rFonts w:ascii="Arial" w:hAnsi="Arial" w:cs="Arial"/>
          <w:szCs w:val="21"/>
          <w:highlight w:val="none"/>
        </w:rPr>
        <w:t>提交投标文件正本一份、副本</w:t>
      </w:r>
      <w:r>
        <w:rPr>
          <w:rFonts w:ascii="Arial" w:hAnsi="Arial" w:cs="Arial"/>
          <w:szCs w:val="21"/>
          <w:highlight w:val="none"/>
          <w:u w:val="single"/>
        </w:rPr>
        <w:t xml:space="preserve">      </w:t>
      </w:r>
      <w:r>
        <w:rPr>
          <w:rFonts w:ascii="Arial" w:hAnsi="Arial" w:cs="Arial"/>
          <w:szCs w:val="21"/>
          <w:highlight w:val="none"/>
        </w:rPr>
        <w:t>份。</w:t>
      </w:r>
    </w:p>
    <w:p>
      <w:pPr>
        <w:spacing w:line="360" w:lineRule="auto"/>
        <w:ind w:firstLine="420" w:firstLineChars="200"/>
        <w:rPr>
          <w:rFonts w:ascii="Arial" w:hAnsi="Arial" w:cs="Arial"/>
          <w:szCs w:val="21"/>
          <w:highlight w:val="none"/>
        </w:rPr>
      </w:pPr>
      <w:r>
        <w:rPr>
          <w:rFonts w:ascii="Arial" w:hAnsi="Arial" w:cs="Arial"/>
          <w:szCs w:val="21"/>
          <w:highlight w:val="none"/>
        </w:rPr>
        <w:t>据此函，签字代表宣布同意如下：</w:t>
      </w:r>
    </w:p>
    <w:p>
      <w:pPr>
        <w:spacing w:line="360" w:lineRule="auto"/>
        <w:rPr>
          <w:rFonts w:ascii="Arial" w:hAnsi="Arial" w:cs="Arial"/>
          <w:szCs w:val="21"/>
          <w:highlight w:val="none"/>
        </w:rPr>
      </w:pPr>
      <w:r>
        <w:rPr>
          <w:rFonts w:ascii="Arial" w:hAnsi="Arial" w:cs="Arial"/>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szCs w:val="21"/>
          <w:highlight w:val="none"/>
        </w:rPr>
      </w:pPr>
      <w:r>
        <w:rPr>
          <w:rFonts w:ascii="Arial" w:hAnsi="Arial" w:cs="Arial"/>
          <w:szCs w:val="21"/>
          <w:highlight w:val="none"/>
        </w:rPr>
        <w:t>（2）我方在投标之前已经与贵方进行了充分的沟通，完全理解并接受招标文件的各项规定和要求，对招标文件的合理性、合法性不再有异议。</w:t>
      </w:r>
    </w:p>
    <w:p>
      <w:pPr>
        <w:spacing w:line="360" w:lineRule="auto"/>
        <w:rPr>
          <w:rFonts w:ascii="Arial" w:hAnsi="Arial" w:cs="Arial"/>
          <w:szCs w:val="21"/>
          <w:highlight w:val="none"/>
        </w:rPr>
      </w:pPr>
      <w:r>
        <w:rPr>
          <w:rFonts w:ascii="Arial" w:hAnsi="Arial" w:cs="Arial"/>
          <w:szCs w:val="21"/>
          <w:highlight w:val="none"/>
        </w:rPr>
        <w:t>（3）本投标有效期自投标截止之日起</w:t>
      </w:r>
      <w:r>
        <w:rPr>
          <w:rFonts w:ascii="Arial" w:hAnsi="Arial" w:cs="Arial"/>
          <w:szCs w:val="21"/>
          <w:highlight w:val="none"/>
          <w:u w:val="single"/>
        </w:rPr>
        <w:t xml:space="preserve">     </w:t>
      </w:r>
      <w:r>
        <w:rPr>
          <w:rFonts w:ascii="Arial" w:hAnsi="Arial" w:cs="Arial"/>
          <w:szCs w:val="21"/>
          <w:highlight w:val="none"/>
        </w:rPr>
        <w:t>天。</w:t>
      </w:r>
    </w:p>
    <w:p>
      <w:pPr>
        <w:spacing w:line="360" w:lineRule="auto"/>
        <w:rPr>
          <w:rFonts w:ascii="Arial" w:hAnsi="Arial" w:cs="Arial"/>
          <w:szCs w:val="21"/>
          <w:highlight w:val="none"/>
        </w:rPr>
      </w:pPr>
      <w:r>
        <w:rPr>
          <w:rFonts w:ascii="Arial" w:hAnsi="Arial" w:cs="Arial"/>
          <w:szCs w:val="21"/>
          <w:highlight w:val="none"/>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szCs w:val="21"/>
          <w:highlight w:val="none"/>
        </w:rPr>
      </w:pPr>
      <w:r>
        <w:rPr>
          <w:rFonts w:ascii="Arial" w:hAnsi="Arial" w:cs="Arial"/>
          <w:szCs w:val="21"/>
          <w:highlight w:val="none"/>
        </w:rPr>
        <w:t>（5）我方同意按照贵方要求提供与投标有关的一切数据或资料。</w:t>
      </w:r>
    </w:p>
    <w:p>
      <w:pPr>
        <w:spacing w:line="360" w:lineRule="auto"/>
        <w:rPr>
          <w:rFonts w:ascii="Arial" w:hAnsi="Arial" w:cs="Arial"/>
          <w:szCs w:val="21"/>
          <w:highlight w:val="none"/>
        </w:rPr>
      </w:pPr>
      <w:r>
        <w:rPr>
          <w:rFonts w:ascii="Arial" w:hAnsi="Arial" w:cs="Arial"/>
          <w:szCs w:val="21"/>
          <w:highlight w:val="none"/>
        </w:rPr>
        <w:t>（6）与本项目有关的一切正式往来信函请寄：</w:t>
      </w:r>
    </w:p>
    <w:p>
      <w:pPr>
        <w:spacing w:line="360" w:lineRule="auto"/>
        <w:rPr>
          <w:rFonts w:ascii="Arial" w:hAnsi="Arial" w:cs="Arial"/>
          <w:szCs w:val="21"/>
          <w:highlight w:val="none"/>
        </w:rPr>
      </w:pPr>
      <w:r>
        <w:rPr>
          <w:rFonts w:ascii="Arial" w:hAnsi="Arial" w:cs="Arial"/>
          <w:szCs w:val="21"/>
          <w:highlight w:val="none"/>
        </w:rPr>
        <w:t>地址：</w:t>
      </w:r>
      <w:r>
        <w:rPr>
          <w:rFonts w:ascii="Arial" w:hAnsi="Arial" w:cs="Arial"/>
          <w:szCs w:val="21"/>
          <w:highlight w:val="none"/>
          <w:u w:val="single"/>
        </w:rPr>
        <w:t xml:space="preserve">                      </w:t>
      </w:r>
      <w:r>
        <w:rPr>
          <w:rFonts w:ascii="Arial" w:hAnsi="Arial" w:cs="Arial"/>
          <w:szCs w:val="21"/>
          <w:highlight w:val="none"/>
        </w:rPr>
        <w:t>邮编：</w:t>
      </w:r>
      <w:r>
        <w:rPr>
          <w:rFonts w:ascii="Arial" w:hAnsi="Arial" w:cs="Arial"/>
          <w:szCs w:val="21"/>
          <w:highlight w:val="none"/>
          <w:u w:val="single"/>
        </w:rPr>
        <w:t xml:space="preserve">         </w:t>
      </w:r>
      <w:r>
        <w:rPr>
          <w:rFonts w:ascii="Arial" w:hAnsi="Arial" w:cs="Arial"/>
          <w:szCs w:val="21"/>
          <w:highlight w:val="none"/>
        </w:rPr>
        <w:t xml:space="preserve">  电话：</w:t>
      </w:r>
      <w:r>
        <w:rPr>
          <w:rFonts w:ascii="Arial" w:hAnsi="Arial" w:cs="Arial"/>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传真：</w:t>
      </w:r>
      <w:r>
        <w:rPr>
          <w:rFonts w:ascii="Arial" w:hAnsi="Arial" w:cs="Arial"/>
          <w:szCs w:val="21"/>
          <w:highlight w:val="none"/>
          <w:u w:val="single"/>
        </w:rPr>
        <w:t xml:space="preserve">           </w:t>
      </w:r>
      <w:r>
        <w:rPr>
          <w:rFonts w:ascii="Arial" w:hAnsi="Arial" w:cs="Arial"/>
          <w:szCs w:val="21"/>
          <w:highlight w:val="none"/>
        </w:rPr>
        <w:t xml:space="preserve">  </w:t>
      </w:r>
    </w:p>
    <w:p>
      <w:pPr>
        <w:spacing w:line="360" w:lineRule="auto"/>
        <w:rPr>
          <w:rFonts w:ascii="Arial" w:hAnsi="Arial" w:cs="Arial"/>
          <w:szCs w:val="21"/>
          <w:highlight w:val="none"/>
        </w:rPr>
      </w:pPr>
      <w:r>
        <w:rPr>
          <w:rFonts w:ascii="Arial" w:hAnsi="Arial" w:cs="Arial"/>
          <w:szCs w:val="21"/>
          <w:highlight w:val="none"/>
        </w:rPr>
        <w:t>供应商代表姓名</w:t>
      </w:r>
      <w:r>
        <w:rPr>
          <w:rFonts w:ascii="Arial" w:hAnsi="Arial" w:cs="Arial"/>
          <w:szCs w:val="21"/>
          <w:highlight w:val="none"/>
          <w:u w:val="single"/>
        </w:rPr>
        <w:t xml:space="preserve">         </w:t>
      </w:r>
      <w:r>
        <w:rPr>
          <w:rFonts w:ascii="Arial" w:hAnsi="Arial" w:cs="Arial"/>
          <w:szCs w:val="21"/>
          <w:highlight w:val="none"/>
        </w:rPr>
        <w:t xml:space="preserve">  职务：</w:t>
      </w:r>
      <w:r>
        <w:rPr>
          <w:rFonts w:ascii="Arial" w:hAnsi="Arial" w:cs="Arial"/>
          <w:szCs w:val="21"/>
          <w:highlight w:val="none"/>
          <w:u w:val="single"/>
        </w:rPr>
        <w:t xml:space="preserve">             </w:t>
      </w:r>
      <w:r>
        <w:rPr>
          <w:rFonts w:ascii="Arial" w:hAnsi="Arial" w:cs="Arial"/>
          <w:szCs w:val="21"/>
          <w:highlight w:val="none"/>
        </w:rPr>
        <w:t xml:space="preserve"> 邮箱：</w:t>
      </w:r>
      <w:r>
        <w:rPr>
          <w:rFonts w:ascii="Arial" w:hAnsi="Arial" w:cs="Arial"/>
          <w:szCs w:val="21"/>
          <w:highlight w:val="none"/>
          <w:u w:val="single"/>
        </w:rPr>
        <w:t xml:space="preserve">              </w:t>
      </w:r>
      <w:r>
        <w:rPr>
          <w:rFonts w:ascii="Arial" w:hAnsi="Arial" w:cs="Arial"/>
          <w:szCs w:val="21"/>
          <w:highlight w:val="none"/>
        </w:rPr>
        <w:t xml:space="preserve"> </w:t>
      </w:r>
    </w:p>
    <w:bookmarkEnd w:id="204"/>
    <w:p>
      <w:pPr>
        <w:spacing w:line="360" w:lineRule="auto"/>
        <w:rPr>
          <w:rFonts w:ascii="Arial" w:hAnsi="Arial" w:cs="Arial"/>
          <w:szCs w:val="21"/>
          <w:highlight w:val="none"/>
        </w:rPr>
      </w:pPr>
    </w:p>
    <w:p>
      <w:pPr>
        <w:spacing w:line="360" w:lineRule="auto"/>
        <w:rPr>
          <w:rFonts w:ascii="Arial" w:hAnsi="Arial" w:cs="Arial"/>
          <w:szCs w:val="21"/>
          <w:highlight w:val="none"/>
        </w:rPr>
      </w:pPr>
    </w:p>
    <w:p>
      <w:pPr>
        <w:spacing w:line="360" w:lineRule="auto"/>
        <w:rPr>
          <w:rFonts w:ascii="Arial" w:hAnsi="Arial" w:cs="Arial"/>
          <w:szCs w:val="21"/>
          <w:highlight w:val="none"/>
          <w:u w:val="single"/>
        </w:rPr>
      </w:pPr>
      <w:r>
        <w:rPr>
          <w:rFonts w:ascii="Arial" w:hAnsi="Arial" w:cs="Arial"/>
          <w:szCs w:val="21"/>
          <w:highlight w:val="none"/>
        </w:rPr>
        <w:t>供应商名称(公章)：</w:t>
      </w:r>
      <w:r>
        <w:rPr>
          <w:rFonts w:ascii="Arial" w:hAnsi="Arial" w:cs="Arial"/>
          <w:szCs w:val="21"/>
          <w:highlight w:val="none"/>
          <w:u w:val="single"/>
        </w:rPr>
        <w:t xml:space="preserve">                  </w:t>
      </w:r>
    </w:p>
    <w:p>
      <w:pPr>
        <w:spacing w:line="360" w:lineRule="auto"/>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法定代表人或授权代表签字或盖章：</w:t>
      </w:r>
      <w:r>
        <w:rPr>
          <w:rFonts w:ascii="Arial" w:hAnsi="Arial" w:cs="Arial"/>
          <w:szCs w:val="21"/>
          <w:highlight w:val="none"/>
          <w:u w:val="single"/>
        </w:rPr>
        <w:t xml:space="preserve">           </w:t>
      </w:r>
      <w:r>
        <w:rPr>
          <w:rFonts w:ascii="Arial" w:hAnsi="Arial" w:cs="Arial"/>
          <w:szCs w:val="21"/>
          <w:highlight w:val="none"/>
        </w:rPr>
        <w:t xml:space="preserve">          </w:t>
      </w:r>
    </w:p>
    <w:p>
      <w:pPr>
        <w:spacing w:line="360" w:lineRule="auto"/>
        <w:rPr>
          <w:rFonts w:ascii="Arial" w:hAnsi="Arial" w:cs="Arial"/>
          <w:szCs w:val="21"/>
          <w:highlight w:val="none"/>
        </w:rPr>
      </w:pPr>
    </w:p>
    <w:p>
      <w:pPr>
        <w:spacing w:line="360" w:lineRule="auto"/>
        <w:rPr>
          <w:rFonts w:ascii="Arial" w:hAnsi="Arial" w:cs="Arial"/>
          <w:szCs w:val="21"/>
          <w:highlight w:val="none"/>
        </w:rPr>
      </w:pPr>
      <w:r>
        <w:rPr>
          <w:rFonts w:ascii="Arial" w:hAnsi="Arial" w:cs="Arial"/>
          <w:szCs w:val="21"/>
          <w:highlight w:val="none"/>
        </w:rPr>
        <w:t>日期：</w:t>
      </w:r>
      <w:r>
        <w:rPr>
          <w:rFonts w:ascii="Arial" w:hAnsi="Arial" w:cs="Arial"/>
          <w:szCs w:val="21"/>
          <w:highlight w:val="none"/>
          <w:u w:val="single"/>
        </w:rPr>
        <w:t xml:space="preserve">      </w:t>
      </w:r>
      <w:r>
        <w:rPr>
          <w:rFonts w:ascii="Arial" w:hAnsi="Arial" w:cs="Arial"/>
          <w:szCs w:val="21"/>
          <w:highlight w:val="none"/>
        </w:rPr>
        <w:t>年</w:t>
      </w:r>
      <w:r>
        <w:rPr>
          <w:rFonts w:ascii="Arial" w:hAnsi="Arial" w:cs="Arial"/>
          <w:szCs w:val="21"/>
          <w:highlight w:val="none"/>
          <w:u w:val="single"/>
        </w:rPr>
        <w:t xml:space="preserve">    </w:t>
      </w:r>
      <w:r>
        <w:rPr>
          <w:rFonts w:ascii="Arial" w:hAnsi="Arial" w:cs="Arial"/>
          <w:szCs w:val="21"/>
          <w:highlight w:val="none"/>
        </w:rPr>
        <w:t>月</w:t>
      </w:r>
      <w:r>
        <w:rPr>
          <w:rFonts w:ascii="Arial" w:hAnsi="Arial" w:cs="Arial"/>
          <w:szCs w:val="21"/>
          <w:highlight w:val="none"/>
          <w:u w:val="single"/>
        </w:rPr>
        <w:t xml:space="preserve">   </w:t>
      </w:r>
      <w:r>
        <w:rPr>
          <w:rFonts w:ascii="Arial" w:hAnsi="Arial" w:cs="Arial"/>
          <w:szCs w:val="21"/>
          <w:highlight w:val="none"/>
        </w:rPr>
        <w:t>日</w:t>
      </w:r>
    </w:p>
    <w:p>
      <w:pPr>
        <w:spacing w:line="360" w:lineRule="auto"/>
        <w:rPr>
          <w:rFonts w:ascii="Arial" w:hAnsi="Arial" w:cs="Arial"/>
          <w:highlight w:val="none"/>
        </w:rPr>
      </w:pPr>
      <w:r>
        <w:rPr>
          <w:rFonts w:ascii="Arial" w:hAnsi="Arial" w:cs="Arial"/>
          <w:b/>
          <w:szCs w:val="21"/>
          <w:highlight w:val="none"/>
        </w:rPr>
        <w:br w:type="page"/>
      </w:r>
      <w:r>
        <w:rPr>
          <w:rFonts w:ascii="Arial" w:hAnsi="Arial" w:cs="Arial"/>
          <w:highlight w:val="none"/>
        </w:rPr>
        <w:t>2．投标报价明细表格式：</w:t>
      </w:r>
    </w:p>
    <w:p>
      <w:pPr>
        <w:jc w:val="center"/>
        <w:rPr>
          <w:rFonts w:ascii="Arial" w:hAnsi="Arial" w:cs="Arial"/>
          <w:b/>
          <w:szCs w:val="21"/>
          <w:highlight w:val="none"/>
        </w:rPr>
      </w:pPr>
      <w:r>
        <w:rPr>
          <w:rFonts w:ascii="Arial" w:hAnsi="Arial" w:cs="Arial"/>
          <w:b/>
          <w:szCs w:val="21"/>
          <w:highlight w:val="none"/>
        </w:rPr>
        <w:t>投标报价明细表</w:t>
      </w:r>
    </w:p>
    <w:p>
      <w:pPr>
        <w:ind w:firstLine="2415" w:firstLineChars="1150"/>
        <w:rPr>
          <w:rFonts w:ascii="Arial" w:hAnsi="Arial" w:cs="Arial"/>
          <w:szCs w:val="21"/>
          <w:highlight w:val="none"/>
        </w:rPr>
      </w:pPr>
      <w:r>
        <w:rPr>
          <w:rFonts w:ascii="Arial" w:hAnsi="Arial" w:cs="Arial"/>
          <w:szCs w:val="21"/>
          <w:highlight w:val="none"/>
        </w:rPr>
        <w:t xml:space="preserve"> 金额单位：人民币（元）                  </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r>
              <w:rPr>
                <w:rFonts w:ascii="Arial" w:hAnsi="Arial" w:cs="Arial"/>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highlight w:val="none"/>
              </w:rPr>
            </w:pPr>
            <w:r>
              <w:rPr>
                <w:rFonts w:ascii="Arial" w:hAnsi="Arial" w:cs="Arial"/>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r>
              <w:rPr>
                <w:rFonts w:ascii="Arial" w:hAnsi="Arial" w:cs="Arial"/>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highlight w:val="none"/>
              </w:rPr>
            </w:pPr>
            <w:r>
              <w:rPr>
                <w:rFonts w:ascii="Arial" w:hAnsi="Arial" w:cs="Arial"/>
                <w:spacing w:val="20"/>
                <w:szCs w:val="21"/>
                <w:highlight w:val="none"/>
              </w:rPr>
              <w:t>投标总价：大写                 小写</w:t>
            </w:r>
          </w:p>
        </w:tc>
      </w:tr>
    </w:tbl>
    <w:p>
      <w:pPr>
        <w:jc w:val="left"/>
        <w:rPr>
          <w:rFonts w:ascii="Arial" w:hAnsi="Arial" w:cs="Arial"/>
          <w:szCs w:val="21"/>
          <w:highlight w:val="none"/>
        </w:rPr>
      </w:pPr>
      <w:r>
        <w:rPr>
          <w:rFonts w:ascii="Arial" w:hAnsi="Arial" w:cs="Arial"/>
          <w:szCs w:val="21"/>
          <w:highlight w:val="none"/>
        </w:rPr>
        <w:t>注：本表可扩展，并逐页签字及盖章</w:t>
      </w:r>
    </w:p>
    <w:p>
      <w:pPr>
        <w:spacing w:line="360" w:lineRule="auto"/>
        <w:rPr>
          <w:rFonts w:ascii="Arial" w:hAnsi="Arial" w:cs="Arial"/>
          <w:spacing w:val="20"/>
          <w:szCs w:val="21"/>
          <w:highlight w:val="none"/>
        </w:rPr>
      </w:pPr>
    </w:p>
    <w:p>
      <w:pPr>
        <w:spacing w:line="360" w:lineRule="auto"/>
        <w:rPr>
          <w:rFonts w:ascii="Arial" w:hAnsi="Arial" w:cs="Arial"/>
          <w:spacing w:val="20"/>
          <w:szCs w:val="21"/>
          <w:highlight w:val="none"/>
          <w:u w:val="single"/>
        </w:rPr>
      </w:pPr>
      <w:r>
        <w:rPr>
          <w:rFonts w:ascii="Arial" w:hAnsi="Arial" w:cs="Arial"/>
          <w:szCs w:val="21"/>
          <w:highlight w:val="none"/>
        </w:rPr>
        <w:t>法定代表人或授权代表（签字或盖章）</w:t>
      </w:r>
      <w:r>
        <w:rPr>
          <w:rFonts w:ascii="Arial" w:hAnsi="Arial" w:cs="Arial"/>
          <w:spacing w:val="20"/>
          <w:szCs w:val="21"/>
          <w:highlight w:val="none"/>
        </w:rPr>
        <w:t>：</w:t>
      </w:r>
      <w:r>
        <w:rPr>
          <w:rFonts w:ascii="Arial" w:hAnsi="Arial" w:cs="Arial"/>
          <w:spacing w:val="20"/>
          <w:szCs w:val="21"/>
          <w:highlight w:val="none"/>
          <w:u w:val="single"/>
        </w:rPr>
        <w:t xml:space="preserve">                     </w:t>
      </w:r>
    </w:p>
    <w:p>
      <w:pPr>
        <w:spacing w:line="360" w:lineRule="auto"/>
        <w:rPr>
          <w:rFonts w:ascii="Arial" w:hAnsi="Arial" w:cs="Arial"/>
          <w:szCs w:val="21"/>
          <w:highlight w:val="none"/>
        </w:rPr>
      </w:pPr>
      <w:r>
        <w:rPr>
          <w:rFonts w:ascii="Arial" w:hAnsi="Arial" w:cs="Arial"/>
          <w:szCs w:val="21"/>
          <w:highlight w:val="none"/>
        </w:rPr>
        <w:t>供应商名称（公章）：</w:t>
      </w:r>
      <w:r>
        <w:rPr>
          <w:rFonts w:ascii="Arial" w:hAnsi="Arial" w:cs="Arial"/>
          <w:szCs w:val="21"/>
          <w:highlight w:val="none"/>
          <w:u w:val="single"/>
        </w:rPr>
        <w:t xml:space="preserve">                          </w:t>
      </w:r>
    </w:p>
    <w:p>
      <w:pPr>
        <w:spacing w:line="360" w:lineRule="auto"/>
        <w:rPr>
          <w:rFonts w:ascii="Arial" w:hAnsi="Arial" w:cs="Arial"/>
          <w:spacing w:val="20"/>
          <w:szCs w:val="21"/>
          <w:highlight w:val="none"/>
          <w:u w:val="single"/>
        </w:rPr>
      </w:pPr>
      <w:r>
        <w:rPr>
          <w:rFonts w:ascii="Arial" w:hAnsi="Arial" w:cs="Arial"/>
          <w:szCs w:val="21"/>
          <w:highlight w:val="none"/>
        </w:rPr>
        <w:t>日  期：：</w:t>
      </w:r>
      <w:r>
        <w:rPr>
          <w:rFonts w:ascii="Arial" w:hAnsi="Arial" w:cs="Arial"/>
          <w:szCs w:val="21"/>
          <w:highlight w:val="none"/>
          <w:u w:val="single"/>
        </w:rPr>
        <w:t xml:space="preserve">         </w:t>
      </w:r>
      <w:r>
        <w:rPr>
          <w:rFonts w:ascii="Arial" w:hAnsi="Arial" w:cs="Arial"/>
          <w:szCs w:val="21"/>
          <w:highlight w:val="none"/>
        </w:rPr>
        <w:t>年</w:t>
      </w:r>
      <w:r>
        <w:rPr>
          <w:rFonts w:ascii="Arial" w:hAnsi="Arial" w:cs="Arial"/>
          <w:szCs w:val="21"/>
          <w:highlight w:val="none"/>
          <w:u w:val="single"/>
        </w:rPr>
        <w:t xml:space="preserve">   </w:t>
      </w:r>
      <w:r>
        <w:rPr>
          <w:rFonts w:ascii="Arial" w:hAnsi="Arial" w:cs="Arial"/>
          <w:szCs w:val="21"/>
          <w:highlight w:val="none"/>
        </w:rPr>
        <w:t>月</w:t>
      </w:r>
      <w:r>
        <w:rPr>
          <w:rFonts w:ascii="Arial" w:hAnsi="Arial" w:cs="Arial"/>
          <w:szCs w:val="21"/>
          <w:highlight w:val="none"/>
          <w:u w:val="single"/>
        </w:rPr>
        <w:t xml:space="preserve">   </w:t>
      </w:r>
      <w:r>
        <w:rPr>
          <w:rFonts w:ascii="Arial" w:hAnsi="Arial" w:cs="Arial"/>
          <w:szCs w:val="21"/>
          <w:highlight w:val="none"/>
        </w:rPr>
        <w:t xml:space="preserve">日 </w:t>
      </w:r>
    </w:p>
    <w:p>
      <w:pPr>
        <w:snapToGrid w:val="0"/>
        <w:spacing w:before="50" w:after="120" w:afterLines="50" w:line="360" w:lineRule="auto"/>
        <w:jc w:val="left"/>
        <w:rPr>
          <w:rFonts w:ascii="Arial" w:hAnsi="Arial" w:cs="Arial"/>
          <w:szCs w:val="21"/>
          <w:highlight w:val="none"/>
        </w:rPr>
      </w:pPr>
      <w:r>
        <w:rPr>
          <w:rFonts w:ascii="Arial" w:hAnsi="Arial" w:cs="Arial"/>
          <w:szCs w:val="21"/>
          <w:highlight w:val="none"/>
        </w:rPr>
        <w:br w:type="page"/>
      </w:r>
      <w:bookmarkStart w:id="209" w:name="_Hlk19115862"/>
      <w:r>
        <w:rPr>
          <w:rFonts w:ascii="Arial" w:hAnsi="Arial" w:cs="Arial"/>
          <w:szCs w:val="21"/>
          <w:highlight w:val="none"/>
        </w:rPr>
        <w:t>3．过低报价合理性的说明。（如有）</w:t>
      </w:r>
    </w:p>
    <w:p>
      <w:pPr>
        <w:spacing w:line="360" w:lineRule="auto"/>
        <w:ind w:firstLine="420" w:firstLineChars="200"/>
        <w:rPr>
          <w:rFonts w:ascii="Arial" w:hAnsi="Arial" w:cs="Arial"/>
          <w:szCs w:val="21"/>
          <w:highlight w:val="none"/>
        </w:rPr>
      </w:pPr>
      <w:r>
        <w:rPr>
          <w:rFonts w:ascii="Arial" w:hAnsi="Arial" w:cs="Arial"/>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highlight w:val="none"/>
        </w:rPr>
        <w:t>自行决定是否</w:t>
      </w:r>
      <w:r>
        <w:rPr>
          <w:rFonts w:ascii="Arial" w:hAnsi="Arial" w:cs="Arial"/>
          <w:kern w:val="1"/>
          <w:szCs w:val="21"/>
          <w:highlight w:val="none"/>
        </w:rPr>
        <w:t>直接在</w:t>
      </w:r>
      <w:r>
        <w:rPr>
          <w:rFonts w:ascii="Arial" w:hAnsi="Arial" w:cs="Arial"/>
          <w:szCs w:val="21"/>
          <w:highlight w:val="none"/>
        </w:rPr>
        <w:t>此处进行陈述。格式自拟。（</w:t>
      </w:r>
      <w:r>
        <w:rPr>
          <w:rFonts w:ascii="Arial" w:hAnsi="Arial" w:cs="Arial"/>
          <w:kern w:val="1"/>
          <w:szCs w:val="21"/>
          <w:highlight w:val="none"/>
        </w:rPr>
        <w:t>具体要求详见第四章评标方法及评标标准“过低报价合理性的审查”</w:t>
      </w:r>
      <w:r>
        <w:rPr>
          <w:rFonts w:ascii="Arial" w:hAnsi="Arial" w:cs="Arial"/>
          <w:szCs w:val="21"/>
          <w:highlight w:val="none"/>
        </w:rPr>
        <w:t>）</w:t>
      </w:r>
    </w:p>
    <w:bookmarkEnd w:id="209"/>
    <w:p>
      <w:pPr>
        <w:snapToGrid w:val="0"/>
        <w:spacing w:before="50" w:after="120" w:afterLines="50" w:line="360" w:lineRule="auto"/>
        <w:jc w:val="left"/>
        <w:rPr>
          <w:rFonts w:ascii="Arial" w:hAnsi="Arial" w:cs="Arial"/>
          <w:szCs w:val="21"/>
          <w:highlight w:val="none"/>
        </w:rPr>
      </w:pPr>
    </w:p>
    <w:p>
      <w:pPr>
        <w:snapToGrid w:val="0"/>
        <w:spacing w:before="50" w:after="120" w:afterLines="50" w:line="360" w:lineRule="auto"/>
        <w:jc w:val="left"/>
        <w:rPr>
          <w:rFonts w:ascii="Arial" w:hAnsi="Arial" w:cs="Arial"/>
          <w:szCs w:val="21"/>
          <w:highlight w:val="none"/>
        </w:rPr>
      </w:pPr>
      <w:bookmarkStart w:id="210" w:name="_Hlk19115874"/>
      <w:r>
        <w:rPr>
          <w:rFonts w:ascii="Arial" w:hAnsi="Arial" w:cs="Arial"/>
          <w:szCs w:val="21"/>
          <w:highlight w:val="none"/>
        </w:rPr>
        <w:t>4．符合政府采购政策价格扣除证明材料。</w:t>
      </w:r>
    </w:p>
    <w:bookmarkEnd w:id="210"/>
    <w:p>
      <w:pPr>
        <w:spacing w:line="360" w:lineRule="auto"/>
        <w:rPr>
          <w:szCs w:val="21"/>
          <w:highlight w:val="none"/>
        </w:rPr>
      </w:pPr>
      <w:bookmarkStart w:id="211" w:name="_Hlk19115884"/>
      <w:r>
        <w:rPr>
          <w:szCs w:val="21"/>
          <w:highlight w:val="none"/>
        </w:rPr>
        <w:t>4.1</w:t>
      </w:r>
      <w:r>
        <w:rPr>
          <w:bCs/>
          <w:szCs w:val="21"/>
          <w:highlight w:val="none"/>
        </w:rPr>
        <w:t>符合</w:t>
      </w:r>
      <w:r>
        <w:rPr>
          <w:rFonts w:hint="eastAsia"/>
          <w:bCs/>
          <w:szCs w:val="21"/>
          <w:highlight w:val="none"/>
        </w:rPr>
        <w:t>小型、微型</w:t>
      </w:r>
      <w:r>
        <w:rPr>
          <w:bCs/>
          <w:szCs w:val="21"/>
          <w:highlight w:val="none"/>
        </w:rPr>
        <w:t>企业</w:t>
      </w:r>
      <w:r>
        <w:rPr>
          <w:szCs w:val="21"/>
          <w:highlight w:val="none"/>
        </w:rPr>
        <w:t>政府采购政策证明材料。（非</w:t>
      </w:r>
      <w:r>
        <w:rPr>
          <w:rFonts w:hint="eastAsia"/>
          <w:szCs w:val="21"/>
          <w:highlight w:val="none"/>
        </w:rPr>
        <w:t>小微</w:t>
      </w:r>
      <w:r>
        <w:rPr>
          <w:szCs w:val="21"/>
          <w:highlight w:val="none"/>
        </w:rPr>
        <w:t>企业无需提供）</w:t>
      </w:r>
      <w:r>
        <w:rPr>
          <w:rFonts w:hint="eastAsia"/>
          <w:szCs w:val="21"/>
          <w:highlight w:val="none"/>
        </w:rPr>
        <w:t>。</w:t>
      </w:r>
    </w:p>
    <w:p>
      <w:pPr>
        <w:spacing w:line="360" w:lineRule="auto"/>
        <w:ind w:firstLine="3584" w:firstLineChars="1700"/>
        <w:rPr>
          <w:b/>
          <w:szCs w:val="21"/>
          <w:highlight w:val="none"/>
        </w:rPr>
      </w:pPr>
      <w:bookmarkStart w:id="212" w:name="_Hlk60651253"/>
    </w:p>
    <w:p>
      <w:pPr>
        <w:spacing w:line="360" w:lineRule="auto"/>
        <w:ind w:firstLine="3584" w:firstLineChars="1700"/>
        <w:rPr>
          <w:rFonts w:ascii="Arial" w:hAnsi="Arial" w:cs="Arial"/>
          <w:b/>
          <w:szCs w:val="21"/>
          <w:highlight w:val="none"/>
        </w:rPr>
      </w:pPr>
      <w:bookmarkStart w:id="213" w:name="_Hlk65852026"/>
      <w:bookmarkStart w:id="214" w:name="_Hlk60649458"/>
      <w:bookmarkStart w:id="215" w:name="_Hlk60653683"/>
      <w:r>
        <w:rPr>
          <w:rFonts w:ascii="Arial" w:hAnsi="Arial" w:cs="Arial"/>
          <w:b/>
          <w:szCs w:val="21"/>
          <w:highlight w:val="none"/>
        </w:rPr>
        <w:t>中小企业声明函（服务）</w:t>
      </w:r>
    </w:p>
    <w:p>
      <w:pPr>
        <w:spacing w:line="360" w:lineRule="auto"/>
        <w:ind w:firstLine="420"/>
        <w:rPr>
          <w:rFonts w:ascii="Arial" w:hAnsi="Arial" w:cs="Arial"/>
          <w:bCs/>
          <w:szCs w:val="21"/>
          <w:highlight w:val="none"/>
        </w:rPr>
      </w:pPr>
      <w:r>
        <w:rPr>
          <w:rFonts w:ascii="Arial" w:hAnsi="Arial" w:cs="Arial"/>
          <w:bCs/>
          <w:szCs w:val="21"/>
          <w:highlight w:val="none"/>
        </w:rPr>
        <w:t>本公司（联合体）郑重声明，根据《政府采购促进中小企业发展管理办法》（财库﹝2020﹞46 号）的规定，本公司（联合体）参加</w:t>
      </w:r>
      <w:r>
        <w:rPr>
          <w:rFonts w:ascii="Arial" w:hAnsi="Arial" w:cs="Arial"/>
          <w:bCs/>
          <w:szCs w:val="21"/>
          <w:highlight w:val="none"/>
          <w:u w:val="single"/>
        </w:rPr>
        <w:t>（单位名称）</w:t>
      </w:r>
      <w:r>
        <w:rPr>
          <w:rFonts w:ascii="Arial" w:hAnsi="Arial" w:cs="Arial"/>
          <w:bCs/>
          <w:szCs w:val="21"/>
          <w:highlight w:val="none"/>
        </w:rPr>
        <w:t>的</w:t>
      </w:r>
      <w:r>
        <w:rPr>
          <w:rFonts w:ascii="Arial" w:hAnsi="Arial" w:cs="Arial"/>
          <w:bCs/>
          <w:szCs w:val="21"/>
          <w:highlight w:val="none"/>
          <w:u w:val="single"/>
        </w:rPr>
        <w:t>（项目名称）</w:t>
      </w:r>
      <w:r>
        <w:rPr>
          <w:rFonts w:ascii="Arial" w:hAnsi="Arial" w:cs="Arial"/>
          <w:bCs/>
          <w:szCs w:val="21"/>
          <w:highlight w:val="none"/>
        </w:rPr>
        <w:t>采购活动，服务全部由符合政策要求的中小企业承接。相关企业（含联合体中的中小企业、签订分包意向协议的中小企业） 的具体情况如下：</w:t>
      </w:r>
    </w:p>
    <w:p>
      <w:pPr>
        <w:spacing w:line="360" w:lineRule="auto"/>
        <w:ind w:firstLine="420"/>
        <w:rPr>
          <w:rFonts w:ascii="Arial" w:hAnsi="Arial" w:cs="Arial"/>
          <w:bCs/>
          <w:szCs w:val="21"/>
          <w:highlight w:val="none"/>
        </w:rPr>
      </w:pPr>
      <w:r>
        <w:rPr>
          <w:rFonts w:ascii="Arial" w:hAnsi="Arial" w:cs="Arial"/>
          <w:bCs/>
          <w:szCs w:val="21"/>
          <w:highlight w:val="none"/>
        </w:rPr>
        <w:t>1.</w:t>
      </w:r>
      <w:r>
        <w:rPr>
          <w:rFonts w:ascii="Arial" w:hAnsi="Arial" w:cs="Arial"/>
          <w:bCs/>
          <w:szCs w:val="21"/>
          <w:highlight w:val="none"/>
          <w:u w:val="single"/>
        </w:rPr>
        <w:t>（标的名称）</w:t>
      </w:r>
      <w:r>
        <w:rPr>
          <w:rFonts w:ascii="Arial" w:hAnsi="Arial" w:cs="Arial"/>
          <w:bCs/>
          <w:szCs w:val="21"/>
          <w:highlight w:val="none"/>
        </w:rPr>
        <w:t>，属于</w:t>
      </w:r>
      <w:r>
        <w:rPr>
          <w:rFonts w:ascii="Arial" w:hAnsi="Arial" w:cs="Arial"/>
          <w:bCs/>
          <w:szCs w:val="21"/>
          <w:highlight w:val="none"/>
          <w:u w:val="single"/>
        </w:rPr>
        <w:t>（招标文件中明确的所属行业）</w:t>
      </w:r>
      <w:r>
        <w:rPr>
          <w:rFonts w:ascii="Arial" w:hAnsi="Arial" w:cs="Arial"/>
          <w:bCs/>
          <w:szCs w:val="21"/>
          <w:highlight w:val="none"/>
        </w:rPr>
        <w:t>行业；承接企业为</w:t>
      </w:r>
      <w:r>
        <w:rPr>
          <w:rFonts w:ascii="Arial" w:hAnsi="Arial" w:cs="Arial"/>
          <w:bCs/>
          <w:szCs w:val="21"/>
          <w:highlight w:val="none"/>
          <w:u w:val="single"/>
        </w:rPr>
        <w:t>（企业名称）</w:t>
      </w:r>
      <w:r>
        <w:rPr>
          <w:rFonts w:ascii="Arial" w:hAnsi="Arial" w:cs="Arial"/>
          <w:bCs/>
          <w:szCs w:val="21"/>
          <w:highlight w:val="none"/>
        </w:rPr>
        <w:t>，从业人员</w:t>
      </w:r>
      <w:r>
        <w:rPr>
          <w:rFonts w:ascii="Arial" w:hAnsi="Arial" w:cs="Arial"/>
          <w:bCs/>
          <w:szCs w:val="21"/>
          <w:highlight w:val="none"/>
          <w:u w:val="single"/>
        </w:rPr>
        <w:t xml:space="preserve">    </w:t>
      </w:r>
      <w:r>
        <w:rPr>
          <w:rFonts w:ascii="Arial" w:hAnsi="Arial" w:cs="Arial"/>
          <w:bCs/>
          <w:szCs w:val="21"/>
          <w:highlight w:val="none"/>
        </w:rPr>
        <w:t>人，营业收入为</w:t>
      </w:r>
      <w:r>
        <w:rPr>
          <w:rFonts w:ascii="Arial" w:hAnsi="Arial" w:cs="Arial"/>
          <w:bCs/>
          <w:szCs w:val="21"/>
          <w:highlight w:val="none"/>
          <w:u w:val="single"/>
        </w:rPr>
        <w:t xml:space="preserve">    </w:t>
      </w:r>
      <w:r>
        <w:rPr>
          <w:rFonts w:ascii="Arial" w:hAnsi="Arial" w:cs="Arial"/>
          <w:bCs/>
          <w:szCs w:val="21"/>
          <w:highlight w:val="none"/>
        </w:rPr>
        <w:t>万元，资产总额为</w:t>
      </w:r>
      <w:r>
        <w:rPr>
          <w:rFonts w:ascii="Arial" w:hAnsi="Arial" w:cs="Arial"/>
          <w:bCs/>
          <w:szCs w:val="21"/>
          <w:highlight w:val="none"/>
          <w:u w:val="single"/>
        </w:rPr>
        <w:t xml:space="preserve">    </w:t>
      </w:r>
      <w:r>
        <w:rPr>
          <w:rFonts w:ascii="Arial" w:hAnsi="Arial" w:cs="Arial"/>
          <w:bCs/>
          <w:szCs w:val="21"/>
          <w:highlight w:val="none"/>
        </w:rPr>
        <w:t>万元，属于</w:t>
      </w:r>
      <w:r>
        <w:rPr>
          <w:rFonts w:ascii="Arial" w:hAnsi="Arial" w:cs="Arial"/>
          <w:bCs/>
          <w:szCs w:val="21"/>
          <w:highlight w:val="none"/>
          <w:u w:val="single"/>
        </w:rPr>
        <w:t>（中型企业、小型企业、微型企业）</w:t>
      </w:r>
      <w:r>
        <w:rPr>
          <w:rFonts w:ascii="Arial" w:hAnsi="Arial" w:cs="Arial"/>
          <w:bCs/>
          <w:szCs w:val="21"/>
          <w:highlight w:val="none"/>
        </w:rPr>
        <w:t>；</w:t>
      </w:r>
    </w:p>
    <w:p>
      <w:pPr>
        <w:spacing w:line="360" w:lineRule="auto"/>
        <w:ind w:firstLine="420"/>
        <w:rPr>
          <w:rFonts w:ascii="Arial" w:hAnsi="Arial" w:cs="Arial"/>
          <w:bCs/>
          <w:szCs w:val="21"/>
          <w:highlight w:val="none"/>
        </w:rPr>
      </w:pPr>
      <w:r>
        <w:rPr>
          <w:rFonts w:ascii="Arial" w:hAnsi="Arial" w:cs="Arial"/>
          <w:bCs/>
          <w:szCs w:val="21"/>
          <w:highlight w:val="none"/>
        </w:rPr>
        <w:t>2.</w:t>
      </w:r>
      <w:r>
        <w:rPr>
          <w:rFonts w:ascii="Arial" w:hAnsi="Arial" w:cs="Arial"/>
          <w:bCs/>
          <w:szCs w:val="21"/>
          <w:highlight w:val="none"/>
          <w:u w:val="single"/>
        </w:rPr>
        <w:t>（标的名称）</w:t>
      </w:r>
      <w:r>
        <w:rPr>
          <w:rFonts w:ascii="Arial" w:hAnsi="Arial" w:cs="Arial"/>
          <w:bCs/>
          <w:szCs w:val="21"/>
          <w:highlight w:val="none"/>
        </w:rPr>
        <w:t>，属于</w:t>
      </w:r>
      <w:r>
        <w:rPr>
          <w:rFonts w:ascii="Arial" w:hAnsi="Arial" w:cs="Arial"/>
          <w:bCs/>
          <w:szCs w:val="21"/>
          <w:highlight w:val="none"/>
          <w:u w:val="single"/>
        </w:rPr>
        <w:t>（招标文件中明确的所属行业）</w:t>
      </w:r>
      <w:r>
        <w:rPr>
          <w:rFonts w:ascii="Arial" w:hAnsi="Arial" w:cs="Arial"/>
          <w:bCs/>
          <w:szCs w:val="21"/>
          <w:highlight w:val="none"/>
        </w:rPr>
        <w:t>行业；承接企业为</w:t>
      </w:r>
      <w:r>
        <w:rPr>
          <w:rFonts w:ascii="Arial" w:hAnsi="Arial" w:cs="Arial"/>
          <w:bCs/>
          <w:szCs w:val="21"/>
          <w:highlight w:val="none"/>
          <w:u w:val="single"/>
        </w:rPr>
        <w:t>（企业名称）</w:t>
      </w:r>
      <w:r>
        <w:rPr>
          <w:rFonts w:ascii="Arial" w:hAnsi="Arial" w:cs="Arial"/>
          <w:bCs/>
          <w:szCs w:val="21"/>
          <w:highlight w:val="none"/>
        </w:rPr>
        <w:t>，从业人员</w:t>
      </w:r>
      <w:r>
        <w:rPr>
          <w:rFonts w:ascii="Arial" w:hAnsi="Arial" w:cs="Arial"/>
          <w:bCs/>
          <w:szCs w:val="21"/>
          <w:highlight w:val="none"/>
          <w:u w:val="single"/>
        </w:rPr>
        <w:t xml:space="preserve">       </w:t>
      </w:r>
      <w:r>
        <w:rPr>
          <w:rFonts w:ascii="Arial" w:hAnsi="Arial" w:cs="Arial"/>
          <w:bCs/>
          <w:szCs w:val="21"/>
          <w:highlight w:val="none"/>
        </w:rPr>
        <w:t>人，营业收入为</w:t>
      </w:r>
      <w:r>
        <w:rPr>
          <w:rFonts w:ascii="Arial" w:hAnsi="Arial" w:cs="Arial"/>
          <w:bCs/>
          <w:szCs w:val="21"/>
          <w:highlight w:val="none"/>
          <w:u w:val="single"/>
        </w:rPr>
        <w:t xml:space="preserve">     </w:t>
      </w:r>
      <w:r>
        <w:rPr>
          <w:rFonts w:ascii="Arial" w:hAnsi="Arial" w:cs="Arial"/>
          <w:bCs/>
          <w:szCs w:val="21"/>
          <w:highlight w:val="none"/>
        </w:rPr>
        <w:t>万元，资产总额为</w:t>
      </w:r>
      <w:r>
        <w:rPr>
          <w:rFonts w:ascii="Arial" w:hAnsi="Arial" w:cs="Arial"/>
          <w:bCs/>
          <w:szCs w:val="21"/>
          <w:highlight w:val="none"/>
          <w:u w:val="single"/>
        </w:rPr>
        <w:t xml:space="preserve">       </w:t>
      </w:r>
      <w:r>
        <w:rPr>
          <w:rFonts w:ascii="Arial" w:hAnsi="Arial" w:cs="Arial"/>
          <w:bCs/>
          <w:szCs w:val="21"/>
          <w:highlight w:val="none"/>
        </w:rPr>
        <w:t>万元，属于</w:t>
      </w:r>
      <w:r>
        <w:rPr>
          <w:rFonts w:ascii="Arial" w:hAnsi="Arial" w:cs="Arial"/>
          <w:bCs/>
          <w:szCs w:val="21"/>
          <w:highlight w:val="none"/>
          <w:u w:val="single"/>
        </w:rPr>
        <w:t>（中型企业、小型企业、微型企业）</w:t>
      </w:r>
      <w:r>
        <w:rPr>
          <w:rFonts w:ascii="Arial" w:hAnsi="Arial" w:cs="Arial"/>
          <w:bCs/>
          <w:szCs w:val="21"/>
          <w:highlight w:val="none"/>
        </w:rPr>
        <w:t>；</w:t>
      </w:r>
    </w:p>
    <w:p>
      <w:pPr>
        <w:spacing w:line="360" w:lineRule="auto"/>
        <w:ind w:firstLine="420"/>
        <w:rPr>
          <w:rFonts w:ascii="Arial" w:hAnsi="Arial" w:cs="Arial"/>
          <w:bCs/>
          <w:szCs w:val="21"/>
          <w:highlight w:val="none"/>
        </w:rPr>
      </w:pPr>
      <w:r>
        <w:rPr>
          <w:rFonts w:ascii="Arial" w:hAnsi="Arial" w:cs="Arial"/>
          <w:bCs/>
          <w:szCs w:val="21"/>
          <w:highlight w:val="none"/>
        </w:rPr>
        <w:t>……</w:t>
      </w:r>
    </w:p>
    <w:p>
      <w:pPr>
        <w:spacing w:line="360" w:lineRule="auto"/>
        <w:ind w:firstLine="420"/>
        <w:rPr>
          <w:rFonts w:ascii="Arial" w:hAnsi="Arial" w:cs="Arial"/>
          <w:bCs/>
          <w:szCs w:val="21"/>
          <w:highlight w:val="none"/>
        </w:rPr>
      </w:pPr>
      <w:r>
        <w:rPr>
          <w:rFonts w:ascii="Arial" w:hAnsi="Arial" w:cs="Arial"/>
          <w:bCs/>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cs="Arial"/>
          <w:bCs/>
          <w:szCs w:val="21"/>
          <w:highlight w:val="none"/>
        </w:rPr>
      </w:pPr>
      <w:r>
        <w:rPr>
          <w:rFonts w:ascii="Arial" w:hAnsi="Arial" w:cs="Arial"/>
          <w:bCs/>
          <w:szCs w:val="21"/>
          <w:highlight w:val="none"/>
        </w:rPr>
        <w:t>本企业对上述声明内容的真实性负责。如有虚假，将依法承担相应责任。</w:t>
      </w:r>
    </w:p>
    <w:p>
      <w:pPr>
        <w:spacing w:line="360" w:lineRule="auto"/>
        <w:ind w:firstLine="3150" w:firstLineChars="1500"/>
        <w:rPr>
          <w:rFonts w:ascii="Arial" w:hAnsi="Arial" w:cs="Arial"/>
          <w:bCs/>
          <w:szCs w:val="21"/>
          <w:highlight w:val="none"/>
        </w:rPr>
      </w:pPr>
      <w:r>
        <w:rPr>
          <w:rFonts w:ascii="Arial" w:hAnsi="Arial" w:cs="Arial"/>
          <w:bCs/>
          <w:szCs w:val="21"/>
          <w:highlight w:val="none"/>
        </w:rPr>
        <w:t>企业名称（电子签章）：  日期：</w:t>
      </w:r>
    </w:p>
    <w:p>
      <w:pPr>
        <w:spacing w:line="360" w:lineRule="auto"/>
        <w:jc w:val="left"/>
        <w:rPr>
          <w:rFonts w:ascii="Arial" w:hAnsi="Arial" w:cs="Arial"/>
          <w:bCs/>
          <w:szCs w:val="21"/>
          <w:highlight w:val="none"/>
        </w:rPr>
      </w:pPr>
      <w:r>
        <w:rPr>
          <w:rFonts w:ascii="Arial" w:hAnsi="Arial" w:cs="Arial"/>
          <w:bCs/>
          <w:szCs w:val="21"/>
          <w:highlight w:val="none"/>
        </w:rPr>
        <w:t>（1）标的名称按照第二章采购需求一览表中的名称填写，</w:t>
      </w:r>
      <w:r>
        <w:rPr>
          <w:rFonts w:ascii="Arial" w:hAnsi="Arial" w:cs="Arial"/>
          <w:szCs w:val="21"/>
          <w:highlight w:val="none"/>
        </w:rPr>
        <w:t>所属行业标明“/”的</w:t>
      </w:r>
      <w:r>
        <w:rPr>
          <w:rFonts w:ascii="Arial" w:hAnsi="Arial" w:cs="Arial"/>
          <w:bCs/>
          <w:szCs w:val="21"/>
          <w:highlight w:val="none"/>
        </w:rPr>
        <w:t>，无需在上表填写。</w:t>
      </w:r>
    </w:p>
    <w:p>
      <w:pPr>
        <w:spacing w:line="360" w:lineRule="auto"/>
        <w:jc w:val="left"/>
        <w:rPr>
          <w:rFonts w:ascii="Arial" w:hAnsi="Arial" w:cs="Arial"/>
          <w:bCs/>
          <w:szCs w:val="21"/>
          <w:highlight w:val="none"/>
        </w:rPr>
      </w:pPr>
      <w:r>
        <w:rPr>
          <w:rFonts w:ascii="Arial" w:hAnsi="Arial" w:cs="Arial"/>
          <w:bCs/>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cs="Arial"/>
          <w:bCs/>
          <w:szCs w:val="21"/>
          <w:highlight w:val="none"/>
        </w:rPr>
      </w:pPr>
      <w:r>
        <w:rPr>
          <w:rFonts w:ascii="Arial" w:hAnsi="Arial" w:cs="Arial"/>
          <w:bCs/>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szCs w:val="21"/>
          <w:highlight w:val="none"/>
        </w:rPr>
      </w:pPr>
      <w:r>
        <w:rPr>
          <w:rFonts w:ascii="Arial" w:hAnsi="Arial" w:cs="Arial"/>
          <w:bCs/>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szCs w:val="21"/>
          <w:highlight w:val="none"/>
        </w:rPr>
      </w:pPr>
      <w:r>
        <w:rPr>
          <w:rFonts w:ascii="Arial" w:hAnsi="Arial" w:cs="Arial"/>
          <w:bCs/>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szCs w:val="21"/>
          <w:highlight w:val="none"/>
        </w:rPr>
      </w:pPr>
      <w:r>
        <w:rPr>
          <w:rFonts w:ascii="Arial" w:hAnsi="Arial" w:cs="Arial"/>
          <w:bCs/>
          <w:szCs w:val="21"/>
          <w:highlight w:val="none"/>
        </w:rPr>
        <w:t>（6）本声明函由供应商填写，供应商应按中小企业划分标准《关于印发中小企业划型标准规定的通知》（工信部联企业〔2011〕300号</w:t>
      </w:r>
      <w:r>
        <w:rPr>
          <w:rFonts w:ascii="Arial" w:hAnsi="Arial" w:cs="Arial"/>
          <w:szCs w:val="21"/>
          <w:highlight w:val="none"/>
        </w:rPr>
        <w:t>以及《金融业企业划型标准规定》（银发〔2015〕309号）</w:t>
      </w:r>
      <w:r>
        <w:rPr>
          <w:rFonts w:ascii="Arial" w:hAnsi="Arial" w:cs="Arial"/>
          <w:bCs/>
          <w:szCs w:val="21"/>
          <w:highlight w:val="none"/>
        </w:rPr>
        <w:t>）判断是否为中小企业。</w:t>
      </w:r>
    </w:p>
    <w:p>
      <w:pPr>
        <w:spacing w:line="360" w:lineRule="auto"/>
        <w:jc w:val="left"/>
        <w:rPr>
          <w:rFonts w:ascii="Arial" w:hAnsi="Arial" w:cs="Arial"/>
          <w:bCs/>
          <w:szCs w:val="21"/>
          <w:highlight w:val="none"/>
        </w:rPr>
      </w:pPr>
      <w:r>
        <w:rPr>
          <w:rFonts w:ascii="Arial" w:hAnsi="Arial" w:cs="Arial"/>
          <w:bCs/>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pPr>
        <w:spacing w:line="360" w:lineRule="auto"/>
        <w:jc w:val="left"/>
        <w:rPr>
          <w:rFonts w:ascii="Arial" w:hAnsi="Arial" w:cs="Arial"/>
          <w:bCs/>
          <w:szCs w:val="21"/>
          <w:highlight w:val="none"/>
        </w:rPr>
      </w:pPr>
      <w:r>
        <w:rPr>
          <w:rFonts w:ascii="Arial" w:hAnsi="Arial" w:cs="Arial"/>
          <w:bCs/>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pacing w:line="360" w:lineRule="auto"/>
        <w:jc w:val="left"/>
        <w:rPr>
          <w:bCs/>
          <w:szCs w:val="21"/>
          <w:highlight w:val="none"/>
        </w:rPr>
      </w:pPr>
    </w:p>
    <w:bookmarkEnd w:id="213"/>
    <w:p>
      <w:pPr>
        <w:spacing w:line="360" w:lineRule="auto"/>
        <w:ind w:firstLine="3150" w:firstLineChars="1500"/>
        <w:rPr>
          <w:bCs/>
          <w:szCs w:val="21"/>
          <w:highlight w:val="none"/>
        </w:rPr>
      </w:pPr>
    </w:p>
    <w:bookmarkEnd w:id="212"/>
    <w:bookmarkEnd w:id="214"/>
    <w:p>
      <w:pPr>
        <w:snapToGrid w:val="0"/>
        <w:spacing w:before="50" w:after="120" w:afterLines="50" w:line="360" w:lineRule="auto"/>
        <w:jc w:val="left"/>
        <w:rPr>
          <w:szCs w:val="21"/>
          <w:highlight w:val="none"/>
        </w:rPr>
      </w:pPr>
    </w:p>
    <w:bookmarkEnd w:id="215"/>
    <w:p>
      <w:pPr>
        <w:snapToGrid w:val="0"/>
        <w:spacing w:before="50" w:after="120" w:afterLines="50" w:line="360" w:lineRule="auto"/>
        <w:jc w:val="left"/>
        <w:rPr>
          <w:szCs w:val="21"/>
          <w:highlight w:val="none"/>
        </w:rPr>
      </w:pPr>
      <w:r>
        <w:rPr>
          <w:szCs w:val="21"/>
          <w:highlight w:val="none"/>
        </w:rPr>
        <w:t>4.2监狱企业须提供最新一期《XX省监狱企业产品目录》或其他监狱企业证明材料。（非监狱企业无需提供）</w:t>
      </w:r>
    </w:p>
    <w:p>
      <w:pPr>
        <w:widowControl/>
        <w:spacing w:line="360" w:lineRule="auto"/>
        <w:jc w:val="left"/>
        <w:rPr>
          <w:szCs w:val="21"/>
          <w:highlight w:val="none"/>
        </w:rPr>
      </w:pPr>
      <w:r>
        <w:rPr>
          <w:szCs w:val="21"/>
          <w:highlight w:val="none"/>
        </w:rPr>
        <w:br w:type="page"/>
      </w:r>
    </w:p>
    <w:p>
      <w:pPr>
        <w:snapToGrid w:val="0"/>
        <w:spacing w:before="50" w:after="120" w:afterLines="50" w:line="360" w:lineRule="auto"/>
        <w:jc w:val="left"/>
        <w:rPr>
          <w:highlight w:val="none"/>
        </w:rPr>
      </w:pPr>
      <w:r>
        <w:rPr>
          <w:szCs w:val="21"/>
          <w:highlight w:val="none"/>
        </w:rPr>
        <w:t>4.3</w:t>
      </w:r>
      <w:r>
        <w:rPr>
          <w:highlight w:val="none"/>
        </w:rPr>
        <w:t>残疾人福利性单位须提供《残疾人福利性单位声明函》，格式如下。</w:t>
      </w:r>
      <w:r>
        <w:rPr>
          <w:szCs w:val="21"/>
          <w:highlight w:val="none"/>
        </w:rPr>
        <w:t>（非残疾人福利性单位无需提供）</w:t>
      </w:r>
    </w:p>
    <w:p>
      <w:pPr>
        <w:spacing w:line="360" w:lineRule="auto"/>
        <w:jc w:val="center"/>
        <w:rPr>
          <w:b/>
          <w:szCs w:val="21"/>
          <w:highlight w:val="none"/>
        </w:rPr>
      </w:pPr>
      <w:r>
        <w:rPr>
          <w:b/>
          <w:szCs w:val="21"/>
          <w:highlight w:val="none"/>
        </w:rPr>
        <w:t>残疾人福利性单位声明函</w:t>
      </w:r>
    </w:p>
    <w:p>
      <w:pPr>
        <w:spacing w:line="360" w:lineRule="auto"/>
        <w:ind w:firstLine="420"/>
        <w:jc w:val="left"/>
        <w:rPr>
          <w:szCs w:val="21"/>
          <w:highlight w:val="none"/>
        </w:rPr>
      </w:pPr>
      <w:r>
        <w:rPr>
          <w:szCs w:val="21"/>
          <w:highlight w:val="none"/>
        </w:rPr>
        <w:t>本单位郑重声明，根据《财政部 民政部 中国残疾人联合会关于促进残疾人就业政府采购政策的通知》（财库〔2017〕141号）的规定，本单位为符合条件的残疾人福利性单位，且本单位参加</w:t>
      </w:r>
      <w:r>
        <w:rPr>
          <w:szCs w:val="21"/>
          <w:highlight w:val="none"/>
          <w:u w:val="single"/>
        </w:rPr>
        <w:t xml:space="preserve">        </w:t>
      </w:r>
      <w:r>
        <w:rPr>
          <w:szCs w:val="21"/>
          <w:highlight w:val="none"/>
        </w:rPr>
        <w:t>单位的</w:t>
      </w:r>
      <w:r>
        <w:rPr>
          <w:szCs w:val="21"/>
          <w:highlight w:val="none"/>
          <w:u w:val="single"/>
        </w:rPr>
        <w:t xml:space="preserve">           </w:t>
      </w:r>
      <w:r>
        <w:rPr>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szCs w:val="21"/>
          <w:highlight w:val="none"/>
        </w:rPr>
      </w:pPr>
      <w:r>
        <w:rPr>
          <w:szCs w:val="21"/>
          <w:highlight w:val="none"/>
        </w:rPr>
        <w:t>本单位对上述声明的真实性负责。如有虚假，将依法承担相应责任。</w:t>
      </w:r>
    </w:p>
    <w:p>
      <w:pPr>
        <w:spacing w:line="360" w:lineRule="auto"/>
        <w:ind w:firstLine="420"/>
        <w:rPr>
          <w:spacing w:val="6"/>
          <w:szCs w:val="21"/>
          <w:highlight w:val="none"/>
        </w:rPr>
      </w:pPr>
      <w:r>
        <w:rPr>
          <w:spacing w:val="6"/>
          <w:sz w:val="30"/>
          <w:szCs w:val="30"/>
          <w:highlight w:val="none"/>
        </w:rPr>
        <w:t xml:space="preserve"> </w:t>
      </w:r>
      <w:r>
        <w:rPr>
          <w:spacing w:val="6"/>
          <w:szCs w:val="21"/>
          <w:highlight w:val="none"/>
        </w:rPr>
        <w:t xml:space="preserve"> </w:t>
      </w:r>
      <w:r>
        <w:rPr>
          <w:rFonts w:hint="eastAsia"/>
          <w:spacing w:val="6"/>
          <w:szCs w:val="21"/>
          <w:highlight w:val="none"/>
        </w:rPr>
        <w:t xml:space="preserve">                                            </w:t>
      </w:r>
      <w:r>
        <w:rPr>
          <w:spacing w:val="6"/>
          <w:szCs w:val="21"/>
          <w:highlight w:val="none"/>
        </w:rPr>
        <w:t xml:space="preserve">单位名称（盖章）：          </w:t>
      </w:r>
    </w:p>
    <w:p>
      <w:pPr>
        <w:spacing w:line="360" w:lineRule="auto"/>
        <w:ind w:firstLine="420"/>
        <w:rPr>
          <w:spacing w:val="6"/>
          <w:szCs w:val="21"/>
          <w:highlight w:val="none"/>
        </w:rPr>
      </w:pPr>
      <w:r>
        <w:rPr>
          <w:spacing w:val="6"/>
          <w:szCs w:val="21"/>
          <w:highlight w:val="none"/>
        </w:rPr>
        <w:t xml:space="preserve"> </w:t>
      </w:r>
      <w:r>
        <w:rPr>
          <w:rFonts w:hint="eastAsia"/>
          <w:spacing w:val="6"/>
          <w:szCs w:val="21"/>
          <w:highlight w:val="none"/>
        </w:rPr>
        <w:t xml:space="preserve">                                                      </w:t>
      </w:r>
      <w:r>
        <w:rPr>
          <w:spacing w:val="6"/>
          <w:szCs w:val="21"/>
          <w:highlight w:val="none"/>
        </w:rPr>
        <w:t>日  期：</w:t>
      </w:r>
    </w:p>
    <w:p>
      <w:pPr>
        <w:snapToGrid w:val="0"/>
        <w:spacing w:before="50" w:after="120" w:afterLines="50" w:line="360" w:lineRule="auto"/>
        <w:jc w:val="left"/>
        <w:rPr>
          <w:rFonts w:ascii="Arial" w:hAnsi="Arial" w:cs="Arial"/>
          <w:szCs w:val="21"/>
          <w:highlight w:val="none"/>
        </w:rPr>
      </w:pPr>
    </w:p>
    <w:bookmarkEnd w:id="211"/>
    <w:p>
      <w:pPr>
        <w:spacing w:line="360" w:lineRule="auto"/>
        <w:rPr>
          <w:rFonts w:ascii="Arial" w:hAnsi="Arial" w:cs="Arial"/>
          <w:szCs w:val="21"/>
          <w:highlight w:val="none"/>
        </w:rPr>
      </w:pPr>
    </w:p>
    <w:p>
      <w:pPr>
        <w:rPr>
          <w:rFonts w:ascii="Arial" w:hAnsi="Arial" w:cs="Arial"/>
          <w:bCs/>
          <w:szCs w:val="21"/>
          <w:highlight w:val="none"/>
        </w:rPr>
      </w:pPr>
      <w:r>
        <w:rPr>
          <w:rFonts w:ascii="Arial" w:hAnsi="Arial" w:cs="Arial"/>
          <w:bCs/>
          <w:szCs w:val="21"/>
          <w:highlight w:val="none"/>
        </w:rPr>
        <w:t>5.开标一览表</w:t>
      </w:r>
    </w:p>
    <w:p>
      <w:pPr>
        <w:rPr>
          <w:rFonts w:ascii="Arial" w:hAnsi="Arial" w:cs="Arial"/>
          <w:b/>
          <w:szCs w:val="21"/>
          <w:highlight w:val="none"/>
        </w:rPr>
      </w:pPr>
    </w:p>
    <w:p>
      <w:pPr>
        <w:ind w:firstLine="422" w:firstLineChars="200"/>
        <w:rPr>
          <w:rFonts w:ascii="Arial" w:hAnsi="Arial" w:cs="Arial"/>
          <w:szCs w:val="21"/>
          <w:highlight w:val="none"/>
        </w:rPr>
      </w:pPr>
      <w:r>
        <w:rPr>
          <w:rFonts w:ascii="Arial" w:hAnsi="Arial" w:cs="Arial"/>
          <w:b/>
          <w:szCs w:val="21"/>
          <w:highlight w:val="none"/>
        </w:rPr>
        <w:t>格式详见广西政府采购云平台，且仅在广西政府采购云平台填写即可。</w:t>
      </w:r>
    </w:p>
    <w:p>
      <w:pPr>
        <w:pStyle w:val="52"/>
        <w:rPr>
          <w:highlight w:val="none"/>
        </w:rPr>
      </w:pPr>
    </w:p>
    <w:sectPr>
      <w:headerReference r:id="rId19"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8"/>
      </w:rPr>
    </w:pPr>
    <w:r>
      <w:fldChar w:fldCharType="begin"/>
    </w:r>
    <w:r>
      <w:rPr>
        <w:rStyle w:val="58"/>
      </w:rPr>
      <w:instrText xml:space="preserve">PAGE  </w:instrText>
    </w:r>
    <w:r>
      <w:fldChar w:fldCharType="separate"/>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6235" cy="13779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56235" cy="137795"/>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wps:txbx>
                    <wps:bodyPr wrap="square" lIns="0" tIns="0" rIns="0" bIns="0"/>
                  </wps:wsp>
                </a:graphicData>
              </a:graphic>
            </wp:anchor>
          </w:drawing>
        </mc:Choice>
        <mc:Fallback>
          <w:pict>
            <v:shape id="文本框 1025" o:spid="_x0000_s1026" o:spt="202" type="#_x0000_t202" style="position:absolute;left:0pt;margin-top:0pt;height:10.85pt;width:28.05pt;mso-position-horizontal:center;mso-position-horizontal-relative:margin;z-index:251659264;mso-width-relative:page;mso-height-relative:page;" filled="f" stroked="f" coordsize="21600,21600" o:gfxdata="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MNai0wAAAAMBAAAPAAAAAAAAAAEAIAAAACIAAABkcnMvZG93bnJldi54bWxQSwEC&#10;FAAUAAAACACHTuJAgUePrMABAAB2AwAADgAAAAAAAAABACAAAAAiAQAAZHJzL2Uyb0RvYy54bWxQ&#10;SwUGAAAAAAYABgBZAQAAVAUAAAAA&#10;">
              <v:fill on="f" focussize="0,0"/>
              <v:stroke on="f"/>
              <v:imagedata o:title=""/>
              <o:lock v:ext="edit" aspectratio="f"/>
              <v:textbox inset="0mm,0mm,0mm,0mm">
                <w:txbxContent>
                  <w:p>
                    <w:pPr>
                      <w:pStyle w:val="33"/>
                    </w:pP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3"/>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p>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p>
    <w:pPr>
      <w:pStyle w:val="34"/>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广西机电设备招标有限公司招标文件                                                     评标方法及评标标准</w:t>
    </w:r>
  </w:p>
  <w:p>
    <w:pPr>
      <w:pStyle w:val="34"/>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4D207"/>
    <w:multiLevelType w:val="singleLevel"/>
    <w:tmpl w:val="9874D207"/>
    <w:lvl w:ilvl="0" w:tentative="0">
      <w:start w:val="1"/>
      <w:numFmt w:val="decimal"/>
      <w:lvlText w:val="(%1)"/>
      <w:lvlJc w:val="left"/>
      <w:pPr>
        <w:ind w:left="425" w:hanging="425"/>
      </w:pPr>
      <w:rPr>
        <w:rFonts w:hint="default"/>
      </w:rPr>
    </w:lvl>
  </w:abstractNum>
  <w:abstractNum w:abstractNumId="1">
    <w:nsid w:val="A071A029"/>
    <w:multiLevelType w:val="singleLevel"/>
    <w:tmpl w:val="A071A029"/>
    <w:lvl w:ilvl="0" w:tentative="0">
      <w:start w:val="1"/>
      <w:numFmt w:val="decimal"/>
      <w:lvlText w:val="%1."/>
      <w:lvlJc w:val="left"/>
      <w:pPr>
        <w:tabs>
          <w:tab w:val="left" w:pos="312"/>
        </w:tabs>
      </w:pPr>
    </w:lvl>
  </w:abstractNum>
  <w:abstractNum w:abstractNumId="2">
    <w:nsid w:val="A487118B"/>
    <w:multiLevelType w:val="singleLevel"/>
    <w:tmpl w:val="A487118B"/>
    <w:lvl w:ilvl="0" w:tentative="0">
      <w:start w:val="1"/>
      <w:numFmt w:val="decimal"/>
      <w:suff w:val="space"/>
      <w:lvlText w:val="%1."/>
      <w:lvlJc w:val="left"/>
    </w:lvl>
  </w:abstractNum>
  <w:abstractNum w:abstractNumId="3">
    <w:nsid w:val="CE2CD029"/>
    <w:multiLevelType w:val="singleLevel"/>
    <w:tmpl w:val="CE2CD029"/>
    <w:lvl w:ilvl="0" w:tentative="0">
      <w:start w:val="2"/>
      <w:numFmt w:val="chineseCounting"/>
      <w:suff w:val="space"/>
      <w:lvlText w:val="第%1章"/>
      <w:lvlJc w:val="left"/>
      <w:rPr>
        <w:rFonts w:hint="eastAsia"/>
      </w:rPr>
    </w:lvl>
  </w:abstractNum>
  <w:abstractNum w:abstractNumId="4">
    <w:nsid w:val="ED0F8B47"/>
    <w:multiLevelType w:val="multilevel"/>
    <w:tmpl w:val="ED0F8B4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72A6D40"/>
    <w:multiLevelType w:val="singleLevel"/>
    <w:tmpl w:val="F72A6D40"/>
    <w:lvl w:ilvl="0" w:tentative="0">
      <w:start w:val="1"/>
      <w:numFmt w:val="decimal"/>
      <w:lvlText w:val="(%1)"/>
      <w:lvlJc w:val="left"/>
      <w:pPr>
        <w:ind w:left="425" w:hanging="425"/>
      </w:pPr>
      <w:rPr>
        <w:rFonts w:hint="default"/>
      </w:rPr>
    </w:lvl>
  </w:abstractNum>
  <w:abstractNum w:abstractNumId="6">
    <w:nsid w:val="0812D691"/>
    <w:multiLevelType w:val="singleLevel"/>
    <w:tmpl w:val="0812D691"/>
    <w:lvl w:ilvl="0" w:tentative="0">
      <w:start w:val="1"/>
      <w:numFmt w:val="decimal"/>
      <w:lvlText w:val="(%1)"/>
      <w:lvlJc w:val="left"/>
      <w:pPr>
        <w:ind w:left="425" w:hanging="425"/>
      </w:pPr>
      <w:rPr>
        <w:rFonts w:hint="default"/>
      </w:rPr>
    </w:lvl>
  </w:abstractNum>
  <w:abstractNum w:abstractNumId="7">
    <w:nsid w:val="0B814D08"/>
    <w:multiLevelType w:val="singleLevel"/>
    <w:tmpl w:val="0B814D08"/>
    <w:lvl w:ilvl="0" w:tentative="0">
      <w:start w:val="1"/>
      <w:numFmt w:val="decimal"/>
      <w:lvlText w:val="(%1)"/>
      <w:lvlJc w:val="left"/>
      <w:pPr>
        <w:ind w:left="425" w:hanging="425"/>
      </w:pPr>
      <w:rPr>
        <w:rFonts w:hint="default"/>
      </w:rPr>
    </w:lvl>
  </w:abstractNum>
  <w:abstractNum w:abstractNumId="8">
    <w:nsid w:val="35570AAD"/>
    <w:multiLevelType w:val="singleLevel"/>
    <w:tmpl w:val="35570AAD"/>
    <w:lvl w:ilvl="0" w:tentative="0">
      <w:start w:val="1"/>
      <w:numFmt w:val="decimal"/>
      <w:lvlText w:val="(%1)"/>
      <w:lvlJc w:val="left"/>
      <w:pPr>
        <w:ind w:left="425" w:hanging="425"/>
      </w:pPr>
      <w:rPr>
        <w:rFonts w:hint="default"/>
      </w:rPr>
    </w:lvl>
  </w:abstractNum>
  <w:abstractNum w:abstractNumId="9">
    <w:nsid w:val="7D304B74"/>
    <w:multiLevelType w:val="singleLevel"/>
    <w:tmpl w:val="7D304B74"/>
    <w:lvl w:ilvl="0" w:tentative="0">
      <w:start w:val="1"/>
      <w:numFmt w:val="decimal"/>
      <w:lvlText w:val="(%1)"/>
      <w:lvlJc w:val="left"/>
      <w:pPr>
        <w:ind w:left="425" w:hanging="425"/>
      </w:pPr>
      <w:rPr>
        <w:rFont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9"/>
  </w:num>
  <w:num w:numId="7">
    <w:abstractNumId w:val="8"/>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s>
  <w:rsids>
    <w:rsidRoot w:val="00172A27"/>
    <w:rsid w:val="000003B8"/>
    <w:rsid w:val="000003EF"/>
    <w:rsid w:val="00000653"/>
    <w:rsid w:val="000008B9"/>
    <w:rsid w:val="0000091B"/>
    <w:rsid w:val="00000D0A"/>
    <w:rsid w:val="00000D19"/>
    <w:rsid w:val="00000E1A"/>
    <w:rsid w:val="00001B3E"/>
    <w:rsid w:val="00001CD6"/>
    <w:rsid w:val="00001E6F"/>
    <w:rsid w:val="00002032"/>
    <w:rsid w:val="00002AC8"/>
    <w:rsid w:val="00002DDA"/>
    <w:rsid w:val="00002F41"/>
    <w:rsid w:val="00003255"/>
    <w:rsid w:val="00003C81"/>
    <w:rsid w:val="00003D02"/>
    <w:rsid w:val="00003DAE"/>
    <w:rsid w:val="0000436E"/>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4F9E"/>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E59"/>
    <w:rsid w:val="000472E6"/>
    <w:rsid w:val="000479CD"/>
    <w:rsid w:val="000479FF"/>
    <w:rsid w:val="000500E6"/>
    <w:rsid w:val="000504FE"/>
    <w:rsid w:val="000513E2"/>
    <w:rsid w:val="0005187C"/>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C3F"/>
    <w:rsid w:val="00057D32"/>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2E3D"/>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D8D"/>
    <w:rsid w:val="00093BC0"/>
    <w:rsid w:val="00093DF8"/>
    <w:rsid w:val="000941F6"/>
    <w:rsid w:val="0009454A"/>
    <w:rsid w:val="000945C5"/>
    <w:rsid w:val="00094ECF"/>
    <w:rsid w:val="0009592E"/>
    <w:rsid w:val="00095AAF"/>
    <w:rsid w:val="00095B7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F18"/>
    <w:rsid w:val="000B70DB"/>
    <w:rsid w:val="000B76E7"/>
    <w:rsid w:val="000B797D"/>
    <w:rsid w:val="000B7AC2"/>
    <w:rsid w:val="000B7E6D"/>
    <w:rsid w:val="000C1979"/>
    <w:rsid w:val="000C20B5"/>
    <w:rsid w:val="000C270D"/>
    <w:rsid w:val="000C2B1E"/>
    <w:rsid w:val="000C33D9"/>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5FD"/>
    <w:rsid w:val="000D56C7"/>
    <w:rsid w:val="000D672C"/>
    <w:rsid w:val="000D68F4"/>
    <w:rsid w:val="000D6A04"/>
    <w:rsid w:val="000D6A61"/>
    <w:rsid w:val="000D6C78"/>
    <w:rsid w:val="000D70C3"/>
    <w:rsid w:val="000D74B9"/>
    <w:rsid w:val="000E01DF"/>
    <w:rsid w:val="000E09D6"/>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B78"/>
    <w:rsid w:val="000F1F51"/>
    <w:rsid w:val="000F1FB0"/>
    <w:rsid w:val="000F2181"/>
    <w:rsid w:val="000F24AC"/>
    <w:rsid w:val="000F2552"/>
    <w:rsid w:val="000F28A5"/>
    <w:rsid w:val="000F2943"/>
    <w:rsid w:val="000F2E97"/>
    <w:rsid w:val="000F2F22"/>
    <w:rsid w:val="000F2F60"/>
    <w:rsid w:val="000F3461"/>
    <w:rsid w:val="000F4B3A"/>
    <w:rsid w:val="000F5331"/>
    <w:rsid w:val="000F55C9"/>
    <w:rsid w:val="000F6242"/>
    <w:rsid w:val="000F666F"/>
    <w:rsid w:val="000F6F32"/>
    <w:rsid w:val="000F75A8"/>
    <w:rsid w:val="000F76E0"/>
    <w:rsid w:val="000F76FD"/>
    <w:rsid w:val="000F77B5"/>
    <w:rsid w:val="000F79FD"/>
    <w:rsid w:val="00100331"/>
    <w:rsid w:val="00101255"/>
    <w:rsid w:val="001014D2"/>
    <w:rsid w:val="001016BB"/>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1EE5"/>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3F7"/>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856"/>
    <w:rsid w:val="00137B4E"/>
    <w:rsid w:val="00137BD8"/>
    <w:rsid w:val="00140291"/>
    <w:rsid w:val="0014229D"/>
    <w:rsid w:val="001422D4"/>
    <w:rsid w:val="0014235F"/>
    <w:rsid w:val="0014236F"/>
    <w:rsid w:val="001428FA"/>
    <w:rsid w:val="00142A87"/>
    <w:rsid w:val="001442C2"/>
    <w:rsid w:val="001449E1"/>
    <w:rsid w:val="00144A8B"/>
    <w:rsid w:val="00144D5F"/>
    <w:rsid w:val="00144DD9"/>
    <w:rsid w:val="001455BA"/>
    <w:rsid w:val="00145DDE"/>
    <w:rsid w:val="0014621F"/>
    <w:rsid w:val="0014647C"/>
    <w:rsid w:val="00146907"/>
    <w:rsid w:val="00146E85"/>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2A"/>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5CA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8B"/>
    <w:rsid w:val="00196E92"/>
    <w:rsid w:val="001A0896"/>
    <w:rsid w:val="001A0FF1"/>
    <w:rsid w:val="001A2185"/>
    <w:rsid w:val="001A2679"/>
    <w:rsid w:val="001A315B"/>
    <w:rsid w:val="001A3295"/>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131"/>
    <w:rsid w:val="001C0476"/>
    <w:rsid w:val="001C0846"/>
    <w:rsid w:val="001C148A"/>
    <w:rsid w:val="001C15DB"/>
    <w:rsid w:val="001C1610"/>
    <w:rsid w:val="001C17AC"/>
    <w:rsid w:val="001C1814"/>
    <w:rsid w:val="001C1B36"/>
    <w:rsid w:val="001C2831"/>
    <w:rsid w:val="001C3D5E"/>
    <w:rsid w:val="001C3D80"/>
    <w:rsid w:val="001C4222"/>
    <w:rsid w:val="001C4361"/>
    <w:rsid w:val="001C4AA8"/>
    <w:rsid w:val="001C51A3"/>
    <w:rsid w:val="001C5358"/>
    <w:rsid w:val="001C56D1"/>
    <w:rsid w:val="001C6F0D"/>
    <w:rsid w:val="001C7036"/>
    <w:rsid w:val="001C7325"/>
    <w:rsid w:val="001C7A8C"/>
    <w:rsid w:val="001D0D82"/>
    <w:rsid w:val="001D0F05"/>
    <w:rsid w:val="001D151F"/>
    <w:rsid w:val="001D15D9"/>
    <w:rsid w:val="001D1912"/>
    <w:rsid w:val="001D1DD7"/>
    <w:rsid w:val="001D23EF"/>
    <w:rsid w:val="001D2608"/>
    <w:rsid w:val="001D273D"/>
    <w:rsid w:val="001D285A"/>
    <w:rsid w:val="001D2BB5"/>
    <w:rsid w:val="001D32F2"/>
    <w:rsid w:val="001D3534"/>
    <w:rsid w:val="001D49FD"/>
    <w:rsid w:val="001D4EB1"/>
    <w:rsid w:val="001D537F"/>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570"/>
    <w:rsid w:val="001F16DF"/>
    <w:rsid w:val="001F193B"/>
    <w:rsid w:val="001F1960"/>
    <w:rsid w:val="001F3066"/>
    <w:rsid w:val="001F327B"/>
    <w:rsid w:val="001F32DA"/>
    <w:rsid w:val="001F3DAE"/>
    <w:rsid w:val="001F4A98"/>
    <w:rsid w:val="001F4F82"/>
    <w:rsid w:val="001F552F"/>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4F7"/>
    <w:rsid w:val="002023BE"/>
    <w:rsid w:val="00202576"/>
    <w:rsid w:val="00202583"/>
    <w:rsid w:val="0020269C"/>
    <w:rsid w:val="00202B50"/>
    <w:rsid w:val="00202EF9"/>
    <w:rsid w:val="00203204"/>
    <w:rsid w:val="00203236"/>
    <w:rsid w:val="00203395"/>
    <w:rsid w:val="002036E8"/>
    <w:rsid w:val="00203939"/>
    <w:rsid w:val="00203B3F"/>
    <w:rsid w:val="00203F6B"/>
    <w:rsid w:val="002048AD"/>
    <w:rsid w:val="002051F7"/>
    <w:rsid w:val="0020531C"/>
    <w:rsid w:val="00205AD3"/>
    <w:rsid w:val="00205B53"/>
    <w:rsid w:val="002066C1"/>
    <w:rsid w:val="002067D2"/>
    <w:rsid w:val="00206D59"/>
    <w:rsid w:val="0020708A"/>
    <w:rsid w:val="00207435"/>
    <w:rsid w:val="00207642"/>
    <w:rsid w:val="00207AAC"/>
    <w:rsid w:val="00207F6A"/>
    <w:rsid w:val="00210191"/>
    <w:rsid w:val="00210256"/>
    <w:rsid w:val="00210394"/>
    <w:rsid w:val="0021051F"/>
    <w:rsid w:val="0021076E"/>
    <w:rsid w:val="0021206E"/>
    <w:rsid w:val="002127B9"/>
    <w:rsid w:val="00212B08"/>
    <w:rsid w:val="0021312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9F9"/>
    <w:rsid w:val="00231B36"/>
    <w:rsid w:val="00231DF4"/>
    <w:rsid w:val="00231F9E"/>
    <w:rsid w:val="00232498"/>
    <w:rsid w:val="0023254E"/>
    <w:rsid w:val="00232918"/>
    <w:rsid w:val="0023350C"/>
    <w:rsid w:val="00233E70"/>
    <w:rsid w:val="00234281"/>
    <w:rsid w:val="00234FD3"/>
    <w:rsid w:val="00236B90"/>
    <w:rsid w:val="00236C21"/>
    <w:rsid w:val="002371BF"/>
    <w:rsid w:val="002371E1"/>
    <w:rsid w:val="00237A87"/>
    <w:rsid w:val="002404C3"/>
    <w:rsid w:val="00241129"/>
    <w:rsid w:val="002411AE"/>
    <w:rsid w:val="00241205"/>
    <w:rsid w:val="00241731"/>
    <w:rsid w:val="00241840"/>
    <w:rsid w:val="00241C36"/>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CF7"/>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6539"/>
    <w:rsid w:val="00256DEA"/>
    <w:rsid w:val="00257117"/>
    <w:rsid w:val="00257852"/>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5D3"/>
    <w:rsid w:val="00265C93"/>
    <w:rsid w:val="00265D59"/>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247"/>
    <w:rsid w:val="00275D77"/>
    <w:rsid w:val="0027602C"/>
    <w:rsid w:val="00276A43"/>
    <w:rsid w:val="00276D2F"/>
    <w:rsid w:val="00276FBF"/>
    <w:rsid w:val="002775C7"/>
    <w:rsid w:val="002778F2"/>
    <w:rsid w:val="00277A1D"/>
    <w:rsid w:val="00277F52"/>
    <w:rsid w:val="002809A3"/>
    <w:rsid w:val="00280E91"/>
    <w:rsid w:val="00281979"/>
    <w:rsid w:val="00281DFB"/>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2537"/>
    <w:rsid w:val="002A2AB8"/>
    <w:rsid w:val="002A2B8E"/>
    <w:rsid w:val="002A3789"/>
    <w:rsid w:val="002A5126"/>
    <w:rsid w:val="002A5948"/>
    <w:rsid w:val="002A6115"/>
    <w:rsid w:val="002A639F"/>
    <w:rsid w:val="002A64F2"/>
    <w:rsid w:val="002A6590"/>
    <w:rsid w:val="002A7478"/>
    <w:rsid w:val="002A7678"/>
    <w:rsid w:val="002A7B26"/>
    <w:rsid w:val="002B01AD"/>
    <w:rsid w:val="002B047F"/>
    <w:rsid w:val="002B173C"/>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3B61"/>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F6A"/>
    <w:rsid w:val="00303061"/>
    <w:rsid w:val="00303A66"/>
    <w:rsid w:val="00303D62"/>
    <w:rsid w:val="003040C0"/>
    <w:rsid w:val="003044AD"/>
    <w:rsid w:val="00304917"/>
    <w:rsid w:val="00305040"/>
    <w:rsid w:val="00305BB3"/>
    <w:rsid w:val="00305CC7"/>
    <w:rsid w:val="00305F62"/>
    <w:rsid w:val="0030688B"/>
    <w:rsid w:val="00306930"/>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595"/>
    <w:rsid w:val="00315F66"/>
    <w:rsid w:val="003161E5"/>
    <w:rsid w:val="00316884"/>
    <w:rsid w:val="00316C18"/>
    <w:rsid w:val="00317071"/>
    <w:rsid w:val="003170F2"/>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11FC"/>
    <w:rsid w:val="00331300"/>
    <w:rsid w:val="00331820"/>
    <w:rsid w:val="00333A15"/>
    <w:rsid w:val="00333A6D"/>
    <w:rsid w:val="00333E77"/>
    <w:rsid w:val="00333F1D"/>
    <w:rsid w:val="003341BB"/>
    <w:rsid w:val="00335776"/>
    <w:rsid w:val="00336075"/>
    <w:rsid w:val="0033650A"/>
    <w:rsid w:val="00336787"/>
    <w:rsid w:val="003367B6"/>
    <w:rsid w:val="003371DD"/>
    <w:rsid w:val="003374B9"/>
    <w:rsid w:val="003375AB"/>
    <w:rsid w:val="00337717"/>
    <w:rsid w:val="003378B1"/>
    <w:rsid w:val="003405BB"/>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1BA"/>
    <w:rsid w:val="003555CF"/>
    <w:rsid w:val="00355B59"/>
    <w:rsid w:val="0035620E"/>
    <w:rsid w:val="003562FE"/>
    <w:rsid w:val="003564B6"/>
    <w:rsid w:val="0035669E"/>
    <w:rsid w:val="00356F97"/>
    <w:rsid w:val="003574FA"/>
    <w:rsid w:val="00357C05"/>
    <w:rsid w:val="00357DE5"/>
    <w:rsid w:val="00360354"/>
    <w:rsid w:val="0036071E"/>
    <w:rsid w:val="00360FEF"/>
    <w:rsid w:val="003619E7"/>
    <w:rsid w:val="00362D66"/>
    <w:rsid w:val="0036374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963"/>
    <w:rsid w:val="00371009"/>
    <w:rsid w:val="00371252"/>
    <w:rsid w:val="0037191D"/>
    <w:rsid w:val="00371AED"/>
    <w:rsid w:val="00371BC4"/>
    <w:rsid w:val="00371EEB"/>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5CF6"/>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323"/>
    <w:rsid w:val="003C277C"/>
    <w:rsid w:val="003C2BA9"/>
    <w:rsid w:val="003C2C59"/>
    <w:rsid w:val="003C3A2A"/>
    <w:rsid w:val="003C3CC7"/>
    <w:rsid w:val="003C3E7F"/>
    <w:rsid w:val="003C4482"/>
    <w:rsid w:val="003C4FFD"/>
    <w:rsid w:val="003C504B"/>
    <w:rsid w:val="003C5260"/>
    <w:rsid w:val="003C5936"/>
    <w:rsid w:val="003C612F"/>
    <w:rsid w:val="003C6468"/>
    <w:rsid w:val="003C676E"/>
    <w:rsid w:val="003C6FE6"/>
    <w:rsid w:val="003D0AF6"/>
    <w:rsid w:val="003D0B02"/>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EC5"/>
    <w:rsid w:val="003F49D2"/>
    <w:rsid w:val="003F4C79"/>
    <w:rsid w:val="003F4E06"/>
    <w:rsid w:val="003F4FD7"/>
    <w:rsid w:val="003F58F4"/>
    <w:rsid w:val="003F5990"/>
    <w:rsid w:val="003F5E3F"/>
    <w:rsid w:val="003F6152"/>
    <w:rsid w:val="003F6702"/>
    <w:rsid w:val="003F67CB"/>
    <w:rsid w:val="003F759C"/>
    <w:rsid w:val="00400688"/>
    <w:rsid w:val="004018B0"/>
    <w:rsid w:val="00401CD0"/>
    <w:rsid w:val="00402608"/>
    <w:rsid w:val="00403542"/>
    <w:rsid w:val="004036AC"/>
    <w:rsid w:val="0040378F"/>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D31"/>
    <w:rsid w:val="00412BDE"/>
    <w:rsid w:val="0041398B"/>
    <w:rsid w:val="004146E5"/>
    <w:rsid w:val="00414779"/>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8A5"/>
    <w:rsid w:val="00444927"/>
    <w:rsid w:val="004449A6"/>
    <w:rsid w:val="00444FEA"/>
    <w:rsid w:val="0044536C"/>
    <w:rsid w:val="004458AB"/>
    <w:rsid w:val="00445C9F"/>
    <w:rsid w:val="00445F4E"/>
    <w:rsid w:val="0044672C"/>
    <w:rsid w:val="00446D64"/>
    <w:rsid w:val="004503A1"/>
    <w:rsid w:val="00450674"/>
    <w:rsid w:val="0045197A"/>
    <w:rsid w:val="00451BB8"/>
    <w:rsid w:val="0045201A"/>
    <w:rsid w:val="0045250F"/>
    <w:rsid w:val="00453AA4"/>
    <w:rsid w:val="00453DB3"/>
    <w:rsid w:val="00453DC1"/>
    <w:rsid w:val="00454B8F"/>
    <w:rsid w:val="00454C05"/>
    <w:rsid w:val="00454C20"/>
    <w:rsid w:val="0045546F"/>
    <w:rsid w:val="004554D1"/>
    <w:rsid w:val="004558FA"/>
    <w:rsid w:val="00455CAE"/>
    <w:rsid w:val="00455E9B"/>
    <w:rsid w:val="00456D15"/>
    <w:rsid w:val="00456DBA"/>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0687"/>
    <w:rsid w:val="00481382"/>
    <w:rsid w:val="00481C87"/>
    <w:rsid w:val="004828B4"/>
    <w:rsid w:val="00482F1B"/>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0D68"/>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80E"/>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32"/>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0AF"/>
    <w:rsid w:val="004C0244"/>
    <w:rsid w:val="004C0712"/>
    <w:rsid w:val="004C0F0D"/>
    <w:rsid w:val="004C142D"/>
    <w:rsid w:val="004C175A"/>
    <w:rsid w:val="004C1838"/>
    <w:rsid w:val="004C19D2"/>
    <w:rsid w:val="004C1AA7"/>
    <w:rsid w:val="004C1CE3"/>
    <w:rsid w:val="004C2C95"/>
    <w:rsid w:val="004C3A01"/>
    <w:rsid w:val="004C3FD7"/>
    <w:rsid w:val="004C4648"/>
    <w:rsid w:val="004C48E5"/>
    <w:rsid w:val="004C4971"/>
    <w:rsid w:val="004C5AA1"/>
    <w:rsid w:val="004C5BBD"/>
    <w:rsid w:val="004C5D10"/>
    <w:rsid w:val="004C5EA4"/>
    <w:rsid w:val="004C600D"/>
    <w:rsid w:val="004C635E"/>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97B"/>
    <w:rsid w:val="004E7FC0"/>
    <w:rsid w:val="004F0148"/>
    <w:rsid w:val="004F04C9"/>
    <w:rsid w:val="004F0564"/>
    <w:rsid w:val="004F056A"/>
    <w:rsid w:val="004F05B8"/>
    <w:rsid w:val="004F0DF9"/>
    <w:rsid w:val="004F15CB"/>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07FCA"/>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4329"/>
    <w:rsid w:val="00544453"/>
    <w:rsid w:val="005446AA"/>
    <w:rsid w:val="005448CD"/>
    <w:rsid w:val="00545440"/>
    <w:rsid w:val="0054766B"/>
    <w:rsid w:val="005501CE"/>
    <w:rsid w:val="00550463"/>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D2E"/>
    <w:rsid w:val="00582E68"/>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B11"/>
    <w:rsid w:val="005B5C27"/>
    <w:rsid w:val="005B5C4A"/>
    <w:rsid w:val="005B5FC3"/>
    <w:rsid w:val="005B60BD"/>
    <w:rsid w:val="005B67FE"/>
    <w:rsid w:val="005B6837"/>
    <w:rsid w:val="005B705F"/>
    <w:rsid w:val="005B7A49"/>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136"/>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3FF1"/>
    <w:rsid w:val="005D4095"/>
    <w:rsid w:val="005D4641"/>
    <w:rsid w:val="005D49FF"/>
    <w:rsid w:val="005D4ACD"/>
    <w:rsid w:val="005D4BBC"/>
    <w:rsid w:val="005D4C36"/>
    <w:rsid w:val="005D4D0A"/>
    <w:rsid w:val="005D526E"/>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41A6"/>
    <w:rsid w:val="005E4E97"/>
    <w:rsid w:val="005E54F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943"/>
    <w:rsid w:val="00603A7A"/>
    <w:rsid w:val="00604319"/>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2F1"/>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5E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D8"/>
    <w:rsid w:val="00626AAB"/>
    <w:rsid w:val="00630007"/>
    <w:rsid w:val="006305AE"/>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C8C"/>
    <w:rsid w:val="006469A2"/>
    <w:rsid w:val="00646AB8"/>
    <w:rsid w:val="00646D0D"/>
    <w:rsid w:val="006470E5"/>
    <w:rsid w:val="006471F9"/>
    <w:rsid w:val="0064776F"/>
    <w:rsid w:val="0064782E"/>
    <w:rsid w:val="006479EC"/>
    <w:rsid w:val="00647A3C"/>
    <w:rsid w:val="00650436"/>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48AD"/>
    <w:rsid w:val="00654978"/>
    <w:rsid w:val="006559C6"/>
    <w:rsid w:val="006560A2"/>
    <w:rsid w:val="00656401"/>
    <w:rsid w:val="00656989"/>
    <w:rsid w:val="006572C7"/>
    <w:rsid w:val="00657372"/>
    <w:rsid w:val="006578FA"/>
    <w:rsid w:val="0066025F"/>
    <w:rsid w:val="00660473"/>
    <w:rsid w:val="0066047B"/>
    <w:rsid w:val="00660E13"/>
    <w:rsid w:val="0066141F"/>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17D"/>
    <w:rsid w:val="006826D6"/>
    <w:rsid w:val="00682D13"/>
    <w:rsid w:val="00682DEB"/>
    <w:rsid w:val="00682F49"/>
    <w:rsid w:val="006838FF"/>
    <w:rsid w:val="00683A08"/>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5B8"/>
    <w:rsid w:val="006B26C9"/>
    <w:rsid w:val="006B3E04"/>
    <w:rsid w:val="006B3E1A"/>
    <w:rsid w:val="006B3F37"/>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5F"/>
    <w:rsid w:val="006C1D4C"/>
    <w:rsid w:val="006C2910"/>
    <w:rsid w:val="006C2CB1"/>
    <w:rsid w:val="006C2D53"/>
    <w:rsid w:val="006C2FBC"/>
    <w:rsid w:val="006C3AB5"/>
    <w:rsid w:val="006C562C"/>
    <w:rsid w:val="006C61A8"/>
    <w:rsid w:val="006C65A0"/>
    <w:rsid w:val="006C6E7A"/>
    <w:rsid w:val="006C7394"/>
    <w:rsid w:val="006C76C7"/>
    <w:rsid w:val="006C7EC3"/>
    <w:rsid w:val="006D0793"/>
    <w:rsid w:val="006D0B8E"/>
    <w:rsid w:val="006D0F97"/>
    <w:rsid w:val="006D130E"/>
    <w:rsid w:val="006D1A28"/>
    <w:rsid w:val="006D1B1C"/>
    <w:rsid w:val="006D21C1"/>
    <w:rsid w:val="006D2BDA"/>
    <w:rsid w:val="006D2D2A"/>
    <w:rsid w:val="006D348B"/>
    <w:rsid w:val="006D3522"/>
    <w:rsid w:val="006D3530"/>
    <w:rsid w:val="006D3751"/>
    <w:rsid w:val="006D4415"/>
    <w:rsid w:val="006D47F4"/>
    <w:rsid w:val="006D48BD"/>
    <w:rsid w:val="006D4DAD"/>
    <w:rsid w:val="006D5683"/>
    <w:rsid w:val="006D60C9"/>
    <w:rsid w:val="006D6F11"/>
    <w:rsid w:val="006D7EAC"/>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0E2"/>
    <w:rsid w:val="006F090F"/>
    <w:rsid w:val="006F1238"/>
    <w:rsid w:val="006F1358"/>
    <w:rsid w:val="006F135F"/>
    <w:rsid w:val="006F1F39"/>
    <w:rsid w:val="006F254C"/>
    <w:rsid w:val="006F27E3"/>
    <w:rsid w:val="006F28FB"/>
    <w:rsid w:val="006F2EE7"/>
    <w:rsid w:val="006F316D"/>
    <w:rsid w:val="006F337A"/>
    <w:rsid w:val="006F3918"/>
    <w:rsid w:val="006F39CD"/>
    <w:rsid w:val="006F3DAA"/>
    <w:rsid w:val="006F4938"/>
    <w:rsid w:val="006F4F72"/>
    <w:rsid w:val="006F529F"/>
    <w:rsid w:val="006F5FB6"/>
    <w:rsid w:val="006F7DDF"/>
    <w:rsid w:val="00700123"/>
    <w:rsid w:val="007004A0"/>
    <w:rsid w:val="007004FA"/>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4DD"/>
    <w:rsid w:val="007108D9"/>
    <w:rsid w:val="00711196"/>
    <w:rsid w:val="00711564"/>
    <w:rsid w:val="00711B3F"/>
    <w:rsid w:val="00712024"/>
    <w:rsid w:val="007121B4"/>
    <w:rsid w:val="00712886"/>
    <w:rsid w:val="00713D1E"/>
    <w:rsid w:val="00713DE8"/>
    <w:rsid w:val="00714306"/>
    <w:rsid w:val="007150D4"/>
    <w:rsid w:val="0071544C"/>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A61"/>
    <w:rsid w:val="00724F8A"/>
    <w:rsid w:val="0072578A"/>
    <w:rsid w:val="00725F9F"/>
    <w:rsid w:val="0072662E"/>
    <w:rsid w:val="00726CB3"/>
    <w:rsid w:val="00730355"/>
    <w:rsid w:val="00730825"/>
    <w:rsid w:val="00730D1A"/>
    <w:rsid w:val="007311D1"/>
    <w:rsid w:val="00731544"/>
    <w:rsid w:val="00731547"/>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106"/>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0C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F62"/>
    <w:rsid w:val="007544A9"/>
    <w:rsid w:val="007550EE"/>
    <w:rsid w:val="00755901"/>
    <w:rsid w:val="00755D9A"/>
    <w:rsid w:val="00756B31"/>
    <w:rsid w:val="00757425"/>
    <w:rsid w:val="0075771E"/>
    <w:rsid w:val="00757762"/>
    <w:rsid w:val="00757887"/>
    <w:rsid w:val="0075790F"/>
    <w:rsid w:val="00761795"/>
    <w:rsid w:val="00761AC8"/>
    <w:rsid w:val="00761DB1"/>
    <w:rsid w:val="0076206F"/>
    <w:rsid w:val="00762226"/>
    <w:rsid w:val="00762400"/>
    <w:rsid w:val="00762CF0"/>
    <w:rsid w:val="007632E0"/>
    <w:rsid w:val="007634AC"/>
    <w:rsid w:val="00764453"/>
    <w:rsid w:val="00764801"/>
    <w:rsid w:val="00764C4A"/>
    <w:rsid w:val="0076515D"/>
    <w:rsid w:val="007655FA"/>
    <w:rsid w:val="007658E5"/>
    <w:rsid w:val="00765AA7"/>
    <w:rsid w:val="00765C16"/>
    <w:rsid w:val="00765FA6"/>
    <w:rsid w:val="00766003"/>
    <w:rsid w:val="007669D7"/>
    <w:rsid w:val="007679EB"/>
    <w:rsid w:val="00767C1B"/>
    <w:rsid w:val="00770C8A"/>
    <w:rsid w:val="00770D94"/>
    <w:rsid w:val="0077160D"/>
    <w:rsid w:val="00771631"/>
    <w:rsid w:val="00771F9B"/>
    <w:rsid w:val="00772559"/>
    <w:rsid w:val="0077261D"/>
    <w:rsid w:val="00772656"/>
    <w:rsid w:val="0077271B"/>
    <w:rsid w:val="00772ADE"/>
    <w:rsid w:val="00772D6E"/>
    <w:rsid w:val="00772F01"/>
    <w:rsid w:val="00774114"/>
    <w:rsid w:val="00774DA6"/>
    <w:rsid w:val="007756C3"/>
    <w:rsid w:val="00776033"/>
    <w:rsid w:val="0077621D"/>
    <w:rsid w:val="007762CD"/>
    <w:rsid w:val="0077684B"/>
    <w:rsid w:val="00777290"/>
    <w:rsid w:val="007772E8"/>
    <w:rsid w:val="00780273"/>
    <w:rsid w:val="00780355"/>
    <w:rsid w:val="00780956"/>
    <w:rsid w:val="00781619"/>
    <w:rsid w:val="00781725"/>
    <w:rsid w:val="007818C2"/>
    <w:rsid w:val="00781C82"/>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BCB"/>
    <w:rsid w:val="00791E96"/>
    <w:rsid w:val="00792AC7"/>
    <w:rsid w:val="007934D4"/>
    <w:rsid w:val="007937D4"/>
    <w:rsid w:val="0079394A"/>
    <w:rsid w:val="007939BD"/>
    <w:rsid w:val="00793C16"/>
    <w:rsid w:val="00793FBD"/>
    <w:rsid w:val="00794C8C"/>
    <w:rsid w:val="00795610"/>
    <w:rsid w:val="0079574C"/>
    <w:rsid w:val="00795792"/>
    <w:rsid w:val="00795B10"/>
    <w:rsid w:val="0079663A"/>
    <w:rsid w:val="00796AC3"/>
    <w:rsid w:val="00796C5E"/>
    <w:rsid w:val="00796F84"/>
    <w:rsid w:val="00796F8B"/>
    <w:rsid w:val="007970F4"/>
    <w:rsid w:val="0079775B"/>
    <w:rsid w:val="00797C38"/>
    <w:rsid w:val="00797E54"/>
    <w:rsid w:val="00797F7E"/>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78"/>
    <w:rsid w:val="007B57D2"/>
    <w:rsid w:val="007B5E43"/>
    <w:rsid w:val="007B5F3C"/>
    <w:rsid w:val="007B5F62"/>
    <w:rsid w:val="007B6CC6"/>
    <w:rsid w:val="007B6F4D"/>
    <w:rsid w:val="007B70FB"/>
    <w:rsid w:val="007B72CD"/>
    <w:rsid w:val="007B74DB"/>
    <w:rsid w:val="007B7566"/>
    <w:rsid w:val="007C0482"/>
    <w:rsid w:val="007C0C14"/>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6246"/>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49B"/>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7C5"/>
    <w:rsid w:val="007F4906"/>
    <w:rsid w:val="007F4981"/>
    <w:rsid w:val="007F6340"/>
    <w:rsid w:val="007F65DB"/>
    <w:rsid w:val="007F6761"/>
    <w:rsid w:val="007F6BC4"/>
    <w:rsid w:val="007F6CB1"/>
    <w:rsid w:val="007F70D4"/>
    <w:rsid w:val="007F76B6"/>
    <w:rsid w:val="007F7ABF"/>
    <w:rsid w:val="0080073F"/>
    <w:rsid w:val="00801607"/>
    <w:rsid w:val="00801713"/>
    <w:rsid w:val="0080176E"/>
    <w:rsid w:val="00801B94"/>
    <w:rsid w:val="00801CB1"/>
    <w:rsid w:val="00802A50"/>
    <w:rsid w:val="00802AA7"/>
    <w:rsid w:val="00802B6F"/>
    <w:rsid w:val="008038AE"/>
    <w:rsid w:val="00803AAC"/>
    <w:rsid w:val="00803ACE"/>
    <w:rsid w:val="00805834"/>
    <w:rsid w:val="00805B99"/>
    <w:rsid w:val="00805D3E"/>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580E"/>
    <w:rsid w:val="00815914"/>
    <w:rsid w:val="00815BB1"/>
    <w:rsid w:val="0081623E"/>
    <w:rsid w:val="00817D96"/>
    <w:rsid w:val="00817E6F"/>
    <w:rsid w:val="00817F9A"/>
    <w:rsid w:val="00820896"/>
    <w:rsid w:val="008219F5"/>
    <w:rsid w:val="00821A07"/>
    <w:rsid w:val="008227FA"/>
    <w:rsid w:val="008229A2"/>
    <w:rsid w:val="00823352"/>
    <w:rsid w:val="00823E0C"/>
    <w:rsid w:val="0082443D"/>
    <w:rsid w:val="00824A9E"/>
    <w:rsid w:val="00824E44"/>
    <w:rsid w:val="008251FA"/>
    <w:rsid w:val="00825ED1"/>
    <w:rsid w:val="00825EDB"/>
    <w:rsid w:val="00825F58"/>
    <w:rsid w:val="008264EB"/>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2EE8"/>
    <w:rsid w:val="0083302B"/>
    <w:rsid w:val="00833526"/>
    <w:rsid w:val="008340EC"/>
    <w:rsid w:val="00834B47"/>
    <w:rsid w:val="00835459"/>
    <w:rsid w:val="00836259"/>
    <w:rsid w:val="00836E1B"/>
    <w:rsid w:val="0083793C"/>
    <w:rsid w:val="00837C92"/>
    <w:rsid w:val="00837F0F"/>
    <w:rsid w:val="00837FEE"/>
    <w:rsid w:val="008416E5"/>
    <w:rsid w:val="00841A00"/>
    <w:rsid w:val="00841C95"/>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514"/>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EE5"/>
    <w:rsid w:val="008639A2"/>
    <w:rsid w:val="00863BBB"/>
    <w:rsid w:val="008640FD"/>
    <w:rsid w:val="0086426C"/>
    <w:rsid w:val="008644D5"/>
    <w:rsid w:val="0086564F"/>
    <w:rsid w:val="00865681"/>
    <w:rsid w:val="00865C9A"/>
    <w:rsid w:val="00866434"/>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D76"/>
    <w:rsid w:val="00875FA4"/>
    <w:rsid w:val="008763C8"/>
    <w:rsid w:val="0087656D"/>
    <w:rsid w:val="0087672D"/>
    <w:rsid w:val="008779E9"/>
    <w:rsid w:val="00877D2C"/>
    <w:rsid w:val="00877D6E"/>
    <w:rsid w:val="00877E35"/>
    <w:rsid w:val="0088014E"/>
    <w:rsid w:val="00880AA4"/>
    <w:rsid w:val="00880BAB"/>
    <w:rsid w:val="008817FF"/>
    <w:rsid w:val="00881F84"/>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8C7"/>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444A"/>
    <w:rsid w:val="008A46CB"/>
    <w:rsid w:val="008A4876"/>
    <w:rsid w:val="008A4F57"/>
    <w:rsid w:val="008A52CE"/>
    <w:rsid w:val="008A544C"/>
    <w:rsid w:val="008A574C"/>
    <w:rsid w:val="008A5BC7"/>
    <w:rsid w:val="008A67A1"/>
    <w:rsid w:val="008A6925"/>
    <w:rsid w:val="008A6A25"/>
    <w:rsid w:val="008A720F"/>
    <w:rsid w:val="008A77BD"/>
    <w:rsid w:val="008A7949"/>
    <w:rsid w:val="008A7A03"/>
    <w:rsid w:val="008A7B45"/>
    <w:rsid w:val="008B073C"/>
    <w:rsid w:val="008B0BA7"/>
    <w:rsid w:val="008B0E9B"/>
    <w:rsid w:val="008B103F"/>
    <w:rsid w:val="008B12FC"/>
    <w:rsid w:val="008B1C8C"/>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1D19"/>
    <w:rsid w:val="008E22E0"/>
    <w:rsid w:val="008E260B"/>
    <w:rsid w:val="008E2BCC"/>
    <w:rsid w:val="008E52E7"/>
    <w:rsid w:val="008E53DB"/>
    <w:rsid w:val="008E5A4E"/>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251"/>
    <w:rsid w:val="008F14CA"/>
    <w:rsid w:val="008F2149"/>
    <w:rsid w:val="008F257A"/>
    <w:rsid w:val="008F2A47"/>
    <w:rsid w:val="008F35D9"/>
    <w:rsid w:val="008F3793"/>
    <w:rsid w:val="008F3F41"/>
    <w:rsid w:val="008F438C"/>
    <w:rsid w:val="008F43D6"/>
    <w:rsid w:val="008F45BC"/>
    <w:rsid w:val="008F49F3"/>
    <w:rsid w:val="008F4BBB"/>
    <w:rsid w:val="008F525C"/>
    <w:rsid w:val="008F5309"/>
    <w:rsid w:val="008F540C"/>
    <w:rsid w:val="008F6060"/>
    <w:rsid w:val="008F6426"/>
    <w:rsid w:val="008F6B8B"/>
    <w:rsid w:val="0090097F"/>
    <w:rsid w:val="00900D92"/>
    <w:rsid w:val="0090146E"/>
    <w:rsid w:val="009015F4"/>
    <w:rsid w:val="009017C8"/>
    <w:rsid w:val="00901E4D"/>
    <w:rsid w:val="0090296B"/>
    <w:rsid w:val="00903424"/>
    <w:rsid w:val="00904206"/>
    <w:rsid w:val="0090441B"/>
    <w:rsid w:val="00905456"/>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2F81"/>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A97"/>
    <w:rsid w:val="00934DE7"/>
    <w:rsid w:val="00935130"/>
    <w:rsid w:val="009352C5"/>
    <w:rsid w:val="00935534"/>
    <w:rsid w:val="0093562F"/>
    <w:rsid w:val="0093573A"/>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E4"/>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9D0"/>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0"/>
    <w:rsid w:val="0096749A"/>
    <w:rsid w:val="00967CDA"/>
    <w:rsid w:val="00970048"/>
    <w:rsid w:val="00971831"/>
    <w:rsid w:val="0097216D"/>
    <w:rsid w:val="00972628"/>
    <w:rsid w:val="00972D8F"/>
    <w:rsid w:val="00973C2B"/>
    <w:rsid w:val="0097437B"/>
    <w:rsid w:val="0097441E"/>
    <w:rsid w:val="00975990"/>
    <w:rsid w:val="00975FB0"/>
    <w:rsid w:val="009762C7"/>
    <w:rsid w:val="0097670F"/>
    <w:rsid w:val="00976C61"/>
    <w:rsid w:val="0097710C"/>
    <w:rsid w:val="00977E02"/>
    <w:rsid w:val="009803EC"/>
    <w:rsid w:val="00980DC7"/>
    <w:rsid w:val="00981215"/>
    <w:rsid w:val="009812AC"/>
    <w:rsid w:val="009812FC"/>
    <w:rsid w:val="009813BF"/>
    <w:rsid w:val="009816E3"/>
    <w:rsid w:val="009819CD"/>
    <w:rsid w:val="00981AC2"/>
    <w:rsid w:val="00982032"/>
    <w:rsid w:val="009824DD"/>
    <w:rsid w:val="00982C0D"/>
    <w:rsid w:val="0098346C"/>
    <w:rsid w:val="009834ED"/>
    <w:rsid w:val="00983D98"/>
    <w:rsid w:val="0098439D"/>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8E4"/>
    <w:rsid w:val="00987C6F"/>
    <w:rsid w:val="00990117"/>
    <w:rsid w:val="0099018C"/>
    <w:rsid w:val="00990708"/>
    <w:rsid w:val="00990718"/>
    <w:rsid w:val="00990C3D"/>
    <w:rsid w:val="0099199D"/>
    <w:rsid w:val="00991B9A"/>
    <w:rsid w:val="0099238D"/>
    <w:rsid w:val="0099242C"/>
    <w:rsid w:val="00992837"/>
    <w:rsid w:val="00992A01"/>
    <w:rsid w:val="00993499"/>
    <w:rsid w:val="009934DB"/>
    <w:rsid w:val="00993744"/>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896"/>
    <w:rsid w:val="009C7E85"/>
    <w:rsid w:val="009D014A"/>
    <w:rsid w:val="009D0530"/>
    <w:rsid w:val="009D0C23"/>
    <w:rsid w:val="009D0CF4"/>
    <w:rsid w:val="009D0D52"/>
    <w:rsid w:val="009D140A"/>
    <w:rsid w:val="009D1A74"/>
    <w:rsid w:val="009D1C65"/>
    <w:rsid w:val="009D2B87"/>
    <w:rsid w:val="009D2C76"/>
    <w:rsid w:val="009D2CDC"/>
    <w:rsid w:val="009D3079"/>
    <w:rsid w:val="009D39E1"/>
    <w:rsid w:val="009D3C19"/>
    <w:rsid w:val="009D3D90"/>
    <w:rsid w:val="009D4060"/>
    <w:rsid w:val="009D43C4"/>
    <w:rsid w:val="009D4AF8"/>
    <w:rsid w:val="009D4C5D"/>
    <w:rsid w:val="009D589C"/>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7AC"/>
    <w:rsid w:val="009F1949"/>
    <w:rsid w:val="009F1EEE"/>
    <w:rsid w:val="009F1F3F"/>
    <w:rsid w:val="009F2131"/>
    <w:rsid w:val="009F239C"/>
    <w:rsid w:val="009F2610"/>
    <w:rsid w:val="009F2E88"/>
    <w:rsid w:val="009F39A1"/>
    <w:rsid w:val="009F3FE4"/>
    <w:rsid w:val="009F43DD"/>
    <w:rsid w:val="009F4825"/>
    <w:rsid w:val="009F49FF"/>
    <w:rsid w:val="009F5CE6"/>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7DA"/>
    <w:rsid w:val="00A0480E"/>
    <w:rsid w:val="00A04844"/>
    <w:rsid w:val="00A04982"/>
    <w:rsid w:val="00A051EA"/>
    <w:rsid w:val="00A05CA6"/>
    <w:rsid w:val="00A05CF4"/>
    <w:rsid w:val="00A066B9"/>
    <w:rsid w:val="00A06990"/>
    <w:rsid w:val="00A06ED8"/>
    <w:rsid w:val="00A06F9D"/>
    <w:rsid w:val="00A07570"/>
    <w:rsid w:val="00A10103"/>
    <w:rsid w:val="00A10891"/>
    <w:rsid w:val="00A10BC9"/>
    <w:rsid w:val="00A10BE9"/>
    <w:rsid w:val="00A11137"/>
    <w:rsid w:val="00A111EA"/>
    <w:rsid w:val="00A1135E"/>
    <w:rsid w:val="00A11447"/>
    <w:rsid w:val="00A11555"/>
    <w:rsid w:val="00A11B67"/>
    <w:rsid w:val="00A11DEE"/>
    <w:rsid w:val="00A12A38"/>
    <w:rsid w:val="00A12A97"/>
    <w:rsid w:val="00A12B28"/>
    <w:rsid w:val="00A1374B"/>
    <w:rsid w:val="00A13EAB"/>
    <w:rsid w:val="00A142C4"/>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30B97"/>
    <w:rsid w:val="00A31193"/>
    <w:rsid w:val="00A312FC"/>
    <w:rsid w:val="00A31F9A"/>
    <w:rsid w:val="00A31FF4"/>
    <w:rsid w:val="00A32429"/>
    <w:rsid w:val="00A3288D"/>
    <w:rsid w:val="00A3307A"/>
    <w:rsid w:val="00A33111"/>
    <w:rsid w:val="00A33A21"/>
    <w:rsid w:val="00A34BDA"/>
    <w:rsid w:val="00A358DC"/>
    <w:rsid w:val="00A362FE"/>
    <w:rsid w:val="00A3673F"/>
    <w:rsid w:val="00A36EC0"/>
    <w:rsid w:val="00A37357"/>
    <w:rsid w:val="00A374BC"/>
    <w:rsid w:val="00A375B5"/>
    <w:rsid w:val="00A37719"/>
    <w:rsid w:val="00A40089"/>
    <w:rsid w:val="00A4164A"/>
    <w:rsid w:val="00A41C3D"/>
    <w:rsid w:val="00A41F2E"/>
    <w:rsid w:val="00A432A0"/>
    <w:rsid w:val="00A4354B"/>
    <w:rsid w:val="00A43F0A"/>
    <w:rsid w:val="00A43FF9"/>
    <w:rsid w:val="00A44220"/>
    <w:rsid w:val="00A45207"/>
    <w:rsid w:val="00A45944"/>
    <w:rsid w:val="00A46305"/>
    <w:rsid w:val="00A465E9"/>
    <w:rsid w:val="00A468F2"/>
    <w:rsid w:val="00A46A4B"/>
    <w:rsid w:val="00A470C6"/>
    <w:rsid w:val="00A47774"/>
    <w:rsid w:val="00A47BC1"/>
    <w:rsid w:val="00A5077D"/>
    <w:rsid w:val="00A50899"/>
    <w:rsid w:val="00A50D1E"/>
    <w:rsid w:val="00A51049"/>
    <w:rsid w:val="00A51084"/>
    <w:rsid w:val="00A512A2"/>
    <w:rsid w:val="00A5175F"/>
    <w:rsid w:val="00A51875"/>
    <w:rsid w:val="00A518F7"/>
    <w:rsid w:val="00A51A4B"/>
    <w:rsid w:val="00A51A86"/>
    <w:rsid w:val="00A5216F"/>
    <w:rsid w:val="00A52254"/>
    <w:rsid w:val="00A52401"/>
    <w:rsid w:val="00A5287D"/>
    <w:rsid w:val="00A529D4"/>
    <w:rsid w:val="00A52E2C"/>
    <w:rsid w:val="00A54A39"/>
    <w:rsid w:val="00A54C42"/>
    <w:rsid w:val="00A54D33"/>
    <w:rsid w:val="00A550F7"/>
    <w:rsid w:val="00A5578A"/>
    <w:rsid w:val="00A55BF7"/>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C35"/>
    <w:rsid w:val="00A621B7"/>
    <w:rsid w:val="00A62DC7"/>
    <w:rsid w:val="00A63037"/>
    <w:rsid w:val="00A6323E"/>
    <w:rsid w:val="00A63277"/>
    <w:rsid w:val="00A638B4"/>
    <w:rsid w:val="00A63AF3"/>
    <w:rsid w:val="00A63C03"/>
    <w:rsid w:val="00A6419E"/>
    <w:rsid w:val="00A64E32"/>
    <w:rsid w:val="00A64E8C"/>
    <w:rsid w:val="00A64EF8"/>
    <w:rsid w:val="00A65CE4"/>
    <w:rsid w:val="00A65E01"/>
    <w:rsid w:val="00A6619D"/>
    <w:rsid w:val="00A66242"/>
    <w:rsid w:val="00A664B6"/>
    <w:rsid w:val="00A6677B"/>
    <w:rsid w:val="00A66CE9"/>
    <w:rsid w:val="00A67D1C"/>
    <w:rsid w:val="00A67E1B"/>
    <w:rsid w:val="00A702BB"/>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A00"/>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673"/>
    <w:rsid w:val="00A87906"/>
    <w:rsid w:val="00A87958"/>
    <w:rsid w:val="00A87E75"/>
    <w:rsid w:val="00A87E9E"/>
    <w:rsid w:val="00A901BE"/>
    <w:rsid w:val="00A904E2"/>
    <w:rsid w:val="00A90D2E"/>
    <w:rsid w:val="00A912E7"/>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70D"/>
    <w:rsid w:val="00AA19A6"/>
    <w:rsid w:val="00AA1AED"/>
    <w:rsid w:val="00AA1EE1"/>
    <w:rsid w:val="00AA20B1"/>
    <w:rsid w:val="00AA262E"/>
    <w:rsid w:val="00AA2BA2"/>
    <w:rsid w:val="00AA2C89"/>
    <w:rsid w:val="00AA3451"/>
    <w:rsid w:val="00AA3C1A"/>
    <w:rsid w:val="00AA43BD"/>
    <w:rsid w:val="00AA46E6"/>
    <w:rsid w:val="00AA48B6"/>
    <w:rsid w:val="00AA48C1"/>
    <w:rsid w:val="00AA5EC1"/>
    <w:rsid w:val="00AA60A4"/>
    <w:rsid w:val="00AA6AB5"/>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686"/>
    <w:rsid w:val="00AC179A"/>
    <w:rsid w:val="00AC18EF"/>
    <w:rsid w:val="00AC2223"/>
    <w:rsid w:val="00AC24F6"/>
    <w:rsid w:val="00AC299E"/>
    <w:rsid w:val="00AC2A54"/>
    <w:rsid w:val="00AC2CAF"/>
    <w:rsid w:val="00AC513B"/>
    <w:rsid w:val="00AC598F"/>
    <w:rsid w:val="00AC5C6A"/>
    <w:rsid w:val="00AC6275"/>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873"/>
    <w:rsid w:val="00AE6D21"/>
    <w:rsid w:val="00AE6D50"/>
    <w:rsid w:val="00AE7F9B"/>
    <w:rsid w:val="00AF03AA"/>
    <w:rsid w:val="00AF1099"/>
    <w:rsid w:val="00AF1DE2"/>
    <w:rsid w:val="00AF278C"/>
    <w:rsid w:val="00AF2806"/>
    <w:rsid w:val="00AF34EA"/>
    <w:rsid w:val="00AF362D"/>
    <w:rsid w:val="00AF406C"/>
    <w:rsid w:val="00AF428A"/>
    <w:rsid w:val="00AF42F5"/>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6D5"/>
    <w:rsid w:val="00B03DEE"/>
    <w:rsid w:val="00B04C10"/>
    <w:rsid w:val="00B04D6B"/>
    <w:rsid w:val="00B05544"/>
    <w:rsid w:val="00B0575B"/>
    <w:rsid w:val="00B068E4"/>
    <w:rsid w:val="00B068FF"/>
    <w:rsid w:val="00B069DE"/>
    <w:rsid w:val="00B06A46"/>
    <w:rsid w:val="00B078AE"/>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17D38"/>
    <w:rsid w:val="00B2074F"/>
    <w:rsid w:val="00B210CC"/>
    <w:rsid w:val="00B21E4C"/>
    <w:rsid w:val="00B231BC"/>
    <w:rsid w:val="00B23573"/>
    <w:rsid w:val="00B23ABE"/>
    <w:rsid w:val="00B23B67"/>
    <w:rsid w:val="00B23F6D"/>
    <w:rsid w:val="00B24B78"/>
    <w:rsid w:val="00B26797"/>
    <w:rsid w:val="00B26C98"/>
    <w:rsid w:val="00B26E4F"/>
    <w:rsid w:val="00B27027"/>
    <w:rsid w:val="00B271E8"/>
    <w:rsid w:val="00B275D8"/>
    <w:rsid w:val="00B27981"/>
    <w:rsid w:val="00B3135E"/>
    <w:rsid w:val="00B313F6"/>
    <w:rsid w:val="00B31DC7"/>
    <w:rsid w:val="00B31E63"/>
    <w:rsid w:val="00B32506"/>
    <w:rsid w:val="00B32CCD"/>
    <w:rsid w:val="00B32F66"/>
    <w:rsid w:val="00B33678"/>
    <w:rsid w:val="00B33E58"/>
    <w:rsid w:val="00B33FD6"/>
    <w:rsid w:val="00B340B5"/>
    <w:rsid w:val="00B348D2"/>
    <w:rsid w:val="00B34AFD"/>
    <w:rsid w:val="00B3512D"/>
    <w:rsid w:val="00B354E2"/>
    <w:rsid w:val="00B358C1"/>
    <w:rsid w:val="00B35C85"/>
    <w:rsid w:val="00B361AC"/>
    <w:rsid w:val="00B36705"/>
    <w:rsid w:val="00B36B2F"/>
    <w:rsid w:val="00B37073"/>
    <w:rsid w:val="00B37391"/>
    <w:rsid w:val="00B3740B"/>
    <w:rsid w:val="00B37D98"/>
    <w:rsid w:val="00B40037"/>
    <w:rsid w:val="00B4141C"/>
    <w:rsid w:val="00B414E0"/>
    <w:rsid w:val="00B4153B"/>
    <w:rsid w:val="00B41861"/>
    <w:rsid w:val="00B41A1A"/>
    <w:rsid w:val="00B41D7E"/>
    <w:rsid w:val="00B42107"/>
    <w:rsid w:val="00B4274F"/>
    <w:rsid w:val="00B427F8"/>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641"/>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8B4"/>
    <w:rsid w:val="00B863E7"/>
    <w:rsid w:val="00B86CD2"/>
    <w:rsid w:val="00B8778B"/>
    <w:rsid w:val="00B9031C"/>
    <w:rsid w:val="00B90653"/>
    <w:rsid w:val="00B925DB"/>
    <w:rsid w:val="00B9333B"/>
    <w:rsid w:val="00B938E4"/>
    <w:rsid w:val="00B93C65"/>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2E0"/>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944"/>
    <w:rsid w:val="00BD3A57"/>
    <w:rsid w:val="00BD4CCC"/>
    <w:rsid w:val="00BD51DF"/>
    <w:rsid w:val="00BD531C"/>
    <w:rsid w:val="00BD577E"/>
    <w:rsid w:val="00BD58C0"/>
    <w:rsid w:val="00BD58CD"/>
    <w:rsid w:val="00BD5FD1"/>
    <w:rsid w:val="00BD601C"/>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0F2"/>
    <w:rsid w:val="00BE538C"/>
    <w:rsid w:val="00BE55E1"/>
    <w:rsid w:val="00BE5FDE"/>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95D"/>
    <w:rsid w:val="00C01A05"/>
    <w:rsid w:val="00C01AF6"/>
    <w:rsid w:val="00C01BB0"/>
    <w:rsid w:val="00C01C75"/>
    <w:rsid w:val="00C02210"/>
    <w:rsid w:val="00C037FC"/>
    <w:rsid w:val="00C03BCA"/>
    <w:rsid w:val="00C03FC3"/>
    <w:rsid w:val="00C042FB"/>
    <w:rsid w:val="00C0440C"/>
    <w:rsid w:val="00C04568"/>
    <w:rsid w:val="00C04A9A"/>
    <w:rsid w:val="00C04B40"/>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1F2"/>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AB0"/>
    <w:rsid w:val="00C27F83"/>
    <w:rsid w:val="00C3074B"/>
    <w:rsid w:val="00C30904"/>
    <w:rsid w:val="00C30957"/>
    <w:rsid w:val="00C30D33"/>
    <w:rsid w:val="00C3188D"/>
    <w:rsid w:val="00C318AF"/>
    <w:rsid w:val="00C31910"/>
    <w:rsid w:val="00C321FC"/>
    <w:rsid w:val="00C32350"/>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1A79"/>
    <w:rsid w:val="00C620C3"/>
    <w:rsid w:val="00C624A9"/>
    <w:rsid w:val="00C62603"/>
    <w:rsid w:val="00C629D4"/>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55F3"/>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5F"/>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E6A"/>
    <w:rsid w:val="00CA301A"/>
    <w:rsid w:val="00CA3771"/>
    <w:rsid w:val="00CA3981"/>
    <w:rsid w:val="00CA3E01"/>
    <w:rsid w:val="00CA461D"/>
    <w:rsid w:val="00CA46A4"/>
    <w:rsid w:val="00CA4B8E"/>
    <w:rsid w:val="00CA4CB1"/>
    <w:rsid w:val="00CA5A78"/>
    <w:rsid w:val="00CA5F9E"/>
    <w:rsid w:val="00CA5FEC"/>
    <w:rsid w:val="00CA68D4"/>
    <w:rsid w:val="00CA776F"/>
    <w:rsid w:val="00CA7CF2"/>
    <w:rsid w:val="00CB0479"/>
    <w:rsid w:val="00CB0A16"/>
    <w:rsid w:val="00CB0F0C"/>
    <w:rsid w:val="00CB10F5"/>
    <w:rsid w:val="00CB1696"/>
    <w:rsid w:val="00CB1DCD"/>
    <w:rsid w:val="00CB2363"/>
    <w:rsid w:val="00CB2434"/>
    <w:rsid w:val="00CB2774"/>
    <w:rsid w:val="00CB2A32"/>
    <w:rsid w:val="00CB2A50"/>
    <w:rsid w:val="00CB317C"/>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236"/>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03C"/>
    <w:rsid w:val="00CE31E5"/>
    <w:rsid w:val="00CE3564"/>
    <w:rsid w:val="00CE48FB"/>
    <w:rsid w:val="00CE4E97"/>
    <w:rsid w:val="00CE60F0"/>
    <w:rsid w:val="00CE629E"/>
    <w:rsid w:val="00CE62B8"/>
    <w:rsid w:val="00CE63A8"/>
    <w:rsid w:val="00CE6528"/>
    <w:rsid w:val="00CE6B16"/>
    <w:rsid w:val="00CE6BB0"/>
    <w:rsid w:val="00CE6F27"/>
    <w:rsid w:val="00CE6F96"/>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3DA"/>
    <w:rsid w:val="00CF5577"/>
    <w:rsid w:val="00CF5BE3"/>
    <w:rsid w:val="00CF620E"/>
    <w:rsid w:val="00CF62A8"/>
    <w:rsid w:val="00CF6DF4"/>
    <w:rsid w:val="00CF6EA7"/>
    <w:rsid w:val="00CF7684"/>
    <w:rsid w:val="00CF7A07"/>
    <w:rsid w:val="00CF7AF7"/>
    <w:rsid w:val="00D00680"/>
    <w:rsid w:val="00D00A23"/>
    <w:rsid w:val="00D011FE"/>
    <w:rsid w:val="00D01C5E"/>
    <w:rsid w:val="00D0212E"/>
    <w:rsid w:val="00D0214A"/>
    <w:rsid w:val="00D026CD"/>
    <w:rsid w:val="00D02A25"/>
    <w:rsid w:val="00D03D97"/>
    <w:rsid w:val="00D04C15"/>
    <w:rsid w:val="00D04F7B"/>
    <w:rsid w:val="00D0512C"/>
    <w:rsid w:val="00D053C2"/>
    <w:rsid w:val="00D05FA5"/>
    <w:rsid w:val="00D06211"/>
    <w:rsid w:val="00D06E9F"/>
    <w:rsid w:val="00D06FFF"/>
    <w:rsid w:val="00D0765E"/>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A0C"/>
    <w:rsid w:val="00D17E0F"/>
    <w:rsid w:val="00D17E1D"/>
    <w:rsid w:val="00D17E36"/>
    <w:rsid w:val="00D211A0"/>
    <w:rsid w:val="00D21A5A"/>
    <w:rsid w:val="00D21C2B"/>
    <w:rsid w:val="00D21E2C"/>
    <w:rsid w:val="00D22039"/>
    <w:rsid w:val="00D22381"/>
    <w:rsid w:val="00D22863"/>
    <w:rsid w:val="00D22A36"/>
    <w:rsid w:val="00D23502"/>
    <w:rsid w:val="00D239B8"/>
    <w:rsid w:val="00D23D51"/>
    <w:rsid w:val="00D243B8"/>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529"/>
    <w:rsid w:val="00D3190D"/>
    <w:rsid w:val="00D31C33"/>
    <w:rsid w:val="00D3345B"/>
    <w:rsid w:val="00D33974"/>
    <w:rsid w:val="00D346EB"/>
    <w:rsid w:val="00D34832"/>
    <w:rsid w:val="00D34B45"/>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3A1"/>
    <w:rsid w:val="00D43663"/>
    <w:rsid w:val="00D43A1F"/>
    <w:rsid w:val="00D44755"/>
    <w:rsid w:val="00D4477C"/>
    <w:rsid w:val="00D448E7"/>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CC9"/>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EF"/>
    <w:rsid w:val="00D61D9D"/>
    <w:rsid w:val="00D6217D"/>
    <w:rsid w:val="00D6231B"/>
    <w:rsid w:val="00D62C17"/>
    <w:rsid w:val="00D62DFA"/>
    <w:rsid w:val="00D63ACC"/>
    <w:rsid w:val="00D63D29"/>
    <w:rsid w:val="00D63EDB"/>
    <w:rsid w:val="00D65C79"/>
    <w:rsid w:val="00D66949"/>
    <w:rsid w:val="00D67A60"/>
    <w:rsid w:val="00D67A77"/>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44E"/>
    <w:rsid w:val="00D80CCC"/>
    <w:rsid w:val="00D80F0E"/>
    <w:rsid w:val="00D810BB"/>
    <w:rsid w:val="00D81524"/>
    <w:rsid w:val="00D81801"/>
    <w:rsid w:val="00D81FBB"/>
    <w:rsid w:val="00D8205D"/>
    <w:rsid w:val="00D82A69"/>
    <w:rsid w:val="00D83312"/>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467"/>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5A1A"/>
    <w:rsid w:val="00DD6294"/>
    <w:rsid w:val="00DD67E5"/>
    <w:rsid w:val="00DD6A57"/>
    <w:rsid w:val="00DD6DAA"/>
    <w:rsid w:val="00DD6DE4"/>
    <w:rsid w:val="00DD7848"/>
    <w:rsid w:val="00DD7EAF"/>
    <w:rsid w:val="00DE01F6"/>
    <w:rsid w:val="00DE0520"/>
    <w:rsid w:val="00DE0FBE"/>
    <w:rsid w:val="00DE1031"/>
    <w:rsid w:val="00DE1B18"/>
    <w:rsid w:val="00DE1D5F"/>
    <w:rsid w:val="00DE1FD6"/>
    <w:rsid w:val="00DE20F1"/>
    <w:rsid w:val="00DE21F5"/>
    <w:rsid w:val="00DE2411"/>
    <w:rsid w:val="00DE2445"/>
    <w:rsid w:val="00DE2792"/>
    <w:rsid w:val="00DE2C16"/>
    <w:rsid w:val="00DE2EB4"/>
    <w:rsid w:val="00DE34E7"/>
    <w:rsid w:val="00DE357C"/>
    <w:rsid w:val="00DE38E9"/>
    <w:rsid w:val="00DE390B"/>
    <w:rsid w:val="00DE3A21"/>
    <w:rsid w:val="00DE3CE5"/>
    <w:rsid w:val="00DE4063"/>
    <w:rsid w:val="00DE472C"/>
    <w:rsid w:val="00DE4B1A"/>
    <w:rsid w:val="00DE55C8"/>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7AE"/>
    <w:rsid w:val="00DF480A"/>
    <w:rsid w:val="00DF4FB9"/>
    <w:rsid w:val="00DF52D1"/>
    <w:rsid w:val="00DF5789"/>
    <w:rsid w:val="00DF5984"/>
    <w:rsid w:val="00DF5A45"/>
    <w:rsid w:val="00DF6037"/>
    <w:rsid w:val="00DF630F"/>
    <w:rsid w:val="00DF663B"/>
    <w:rsid w:val="00DF6B64"/>
    <w:rsid w:val="00DF71D8"/>
    <w:rsid w:val="00E004A4"/>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003D"/>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631F"/>
    <w:rsid w:val="00E2675C"/>
    <w:rsid w:val="00E26A6B"/>
    <w:rsid w:val="00E26D12"/>
    <w:rsid w:val="00E27665"/>
    <w:rsid w:val="00E278AC"/>
    <w:rsid w:val="00E27BEE"/>
    <w:rsid w:val="00E30443"/>
    <w:rsid w:val="00E3052B"/>
    <w:rsid w:val="00E30EEA"/>
    <w:rsid w:val="00E31471"/>
    <w:rsid w:val="00E31710"/>
    <w:rsid w:val="00E32188"/>
    <w:rsid w:val="00E328D8"/>
    <w:rsid w:val="00E32CE2"/>
    <w:rsid w:val="00E32D37"/>
    <w:rsid w:val="00E32F10"/>
    <w:rsid w:val="00E33C12"/>
    <w:rsid w:val="00E33F65"/>
    <w:rsid w:val="00E34142"/>
    <w:rsid w:val="00E3460C"/>
    <w:rsid w:val="00E3489A"/>
    <w:rsid w:val="00E3495E"/>
    <w:rsid w:val="00E35CB7"/>
    <w:rsid w:val="00E35F92"/>
    <w:rsid w:val="00E3617F"/>
    <w:rsid w:val="00E3638F"/>
    <w:rsid w:val="00E37667"/>
    <w:rsid w:val="00E4024F"/>
    <w:rsid w:val="00E406DA"/>
    <w:rsid w:val="00E40ADA"/>
    <w:rsid w:val="00E40B1E"/>
    <w:rsid w:val="00E415FC"/>
    <w:rsid w:val="00E4170E"/>
    <w:rsid w:val="00E42220"/>
    <w:rsid w:val="00E4246E"/>
    <w:rsid w:val="00E43052"/>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47E91"/>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67E45"/>
    <w:rsid w:val="00E70029"/>
    <w:rsid w:val="00E71702"/>
    <w:rsid w:val="00E718FA"/>
    <w:rsid w:val="00E719D3"/>
    <w:rsid w:val="00E720FE"/>
    <w:rsid w:val="00E7210E"/>
    <w:rsid w:val="00E72A86"/>
    <w:rsid w:val="00E72C29"/>
    <w:rsid w:val="00E72D83"/>
    <w:rsid w:val="00E73583"/>
    <w:rsid w:val="00E73A50"/>
    <w:rsid w:val="00E73E05"/>
    <w:rsid w:val="00E7442B"/>
    <w:rsid w:val="00E74DB2"/>
    <w:rsid w:val="00E74EE7"/>
    <w:rsid w:val="00E75236"/>
    <w:rsid w:val="00E75D1A"/>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4AA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2F"/>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F23"/>
    <w:rsid w:val="00EE59ED"/>
    <w:rsid w:val="00EE60A1"/>
    <w:rsid w:val="00EE6168"/>
    <w:rsid w:val="00EE6853"/>
    <w:rsid w:val="00EE6C9F"/>
    <w:rsid w:val="00EE6FE6"/>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8E"/>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26"/>
    <w:rsid w:val="00F15443"/>
    <w:rsid w:val="00F15BD1"/>
    <w:rsid w:val="00F1677E"/>
    <w:rsid w:val="00F174DB"/>
    <w:rsid w:val="00F1767B"/>
    <w:rsid w:val="00F17B2F"/>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507D"/>
    <w:rsid w:val="00F461EB"/>
    <w:rsid w:val="00F4667C"/>
    <w:rsid w:val="00F46963"/>
    <w:rsid w:val="00F47047"/>
    <w:rsid w:val="00F4761B"/>
    <w:rsid w:val="00F4786F"/>
    <w:rsid w:val="00F4792C"/>
    <w:rsid w:val="00F47C30"/>
    <w:rsid w:val="00F50392"/>
    <w:rsid w:val="00F50828"/>
    <w:rsid w:val="00F50906"/>
    <w:rsid w:val="00F50AA7"/>
    <w:rsid w:val="00F517D6"/>
    <w:rsid w:val="00F5261F"/>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B72"/>
    <w:rsid w:val="00F64FC3"/>
    <w:rsid w:val="00F655DB"/>
    <w:rsid w:val="00F65A96"/>
    <w:rsid w:val="00F65B4B"/>
    <w:rsid w:val="00F65B8A"/>
    <w:rsid w:val="00F65E8C"/>
    <w:rsid w:val="00F663A0"/>
    <w:rsid w:val="00F66F43"/>
    <w:rsid w:val="00F70D4F"/>
    <w:rsid w:val="00F7113A"/>
    <w:rsid w:val="00F71278"/>
    <w:rsid w:val="00F712F4"/>
    <w:rsid w:val="00F7132A"/>
    <w:rsid w:val="00F71C4D"/>
    <w:rsid w:val="00F721EA"/>
    <w:rsid w:val="00F723C0"/>
    <w:rsid w:val="00F7257B"/>
    <w:rsid w:val="00F72B0E"/>
    <w:rsid w:val="00F72BF8"/>
    <w:rsid w:val="00F72D40"/>
    <w:rsid w:val="00F72D4F"/>
    <w:rsid w:val="00F72F42"/>
    <w:rsid w:val="00F731D2"/>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4F8F"/>
    <w:rsid w:val="00F85338"/>
    <w:rsid w:val="00F855E0"/>
    <w:rsid w:val="00F85A8A"/>
    <w:rsid w:val="00F85E5F"/>
    <w:rsid w:val="00F866D0"/>
    <w:rsid w:val="00F86749"/>
    <w:rsid w:val="00F8681C"/>
    <w:rsid w:val="00F86C07"/>
    <w:rsid w:val="00F87A7C"/>
    <w:rsid w:val="00F87D2B"/>
    <w:rsid w:val="00F90ACA"/>
    <w:rsid w:val="00F912F4"/>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753"/>
    <w:rsid w:val="00FA77BD"/>
    <w:rsid w:val="00FA7800"/>
    <w:rsid w:val="00FB01EC"/>
    <w:rsid w:val="00FB0CBF"/>
    <w:rsid w:val="00FB0CC7"/>
    <w:rsid w:val="00FB188E"/>
    <w:rsid w:val="00FB192B"/>
    <w:rsid w:val="00FB1935"/>
    <w:rsid w:val="00FB1A6B"/>
    <w:rsid w:val="00FB1D70"/>
    <w:rsid w:val="00FB20FB"/>
    <w:rsid w:val="00FB21C9"/>
    <w:rsid w:val="00FB240E"/>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3AB"/>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48E"/>
    <w:rsid w:val="00FD1613"/>
    <w:rsid w:val="00FD2722"/>
    <w:rsid w:val="00FD272A"/>
    <w:rsid w:val="00FD36F8"/>
    <w:rsid w:val="00FD4326"/>
    <w:rsid w:val="00FD4BC6"/>
    <w:rsid w:val="00FD59E3"/>
    <w:rsid w:val="00FD5C7D"/>
    <w:rsid w:val="00FD600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D1"/>
    <w:rsid w:val="00FF1653"/>
    <w:rsid w:val="00FF231D"/>
    <w:rsid w:val="00FF28FE"/>
    <w:rsid w:val="00FF2BC0"/>
    <w:rsid w:val="00FF2BE8"/>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3864AB"/>
    <w:rsid w:val="01405559"/>
    <w:rsid w:val="014750CF"/>
    <w:rsid w:val="014B5B44"/>
    <w:rsid w:val="0182219D"/>
    <w:rsid w:val="018C5F7F"/>
    <w:rsid w:val="01AC7D6A"/>
    <w:rsid w:val="01B56A86"/>
    <w:rsid w:val="01BE4069"/>
    <w:rsid w:val="01BE5800"/>
    <w:rsid w:val="01DF38C3"/>
    <w:rsid w:val="01E46F65"/>
    <w:rsid w:val="01FD1AB4"/>
    <w:rsid w:val="01FF5F05"/>
    <w:rsid w:val="02705D31"/>
    <w:rsid w:val="02813B70"/>
    <w:rsid w:val="02843B74"/>
    <w:rsid w:val="029447A7"/>
    <w:rsid w:val="02E536DD"/>
    <w:rsid w:val="035E737B"/>
    <w:rsid w:val="037D3DF5"/>
    <w:rsid w:val="03F06C42"/>
    <w:rsid w:val="041B3357"/>
    <w:rsid w:val="04525F73"/>
    <w:rsid w:val="04C34346"/>
    <w:rsid w:val="04E30437"/>
    <w:rsid w:val="051F553A"/>
    <w:rsid w:val="05237282"/>
    <w:rsid w:val="052F11AC"/>
    <w:rsid w:val="05465FD3"/>
    <w:rsid w:val="0569694F"/>
    <w:rsid w:val="05A3689F"/>
    <w:rsid w:val="05F41FAA"/>
    <w:rsid w:val="05F45E3B"/>
    <w:rsid w:val="062443F5"/>
    <w:rsid w:val="06292706"/>
    <w:rsid w:val="063B78DC"/>
    <w:rsid w:val="06971FEE"/>
    <w:rsid w:val="06C123D8"/>
    <w:rsid w:val="07305104"/>
    <w:rsid w:val="076E0F6D"/>
    <w:rsid w:val="07717C81"/>
    <w:rsid w:val="07B61AF2"/>
    <w:rsid w:val="07BE738D"/>
    <w:rsid w:val="07E84F31"/>
    <w:rsid w:val="0808032A"/>
    <w:rsid w:val="0839529D"/>
    <w:rsid w:val="08765942"/>
    <w:rsid w:val="087B6D5A"/>
    <w:rsid w:val="08CA13FE"/>
    <w:rsid w:val="08ED6689"/>
    <w:rsid w:val="090B23E0"/>
    <w:rsid w:val="09974C33"/>
    <w:rsid w:val="09B82947"/>
    <w:rsid w:val="09C2779E"/>
    <w:rsid w:val="0A190BD5"/>
    <w:rsid w:val="0A8C5FC6"/>
    <w:rsid w:val="0AE846CC"/>
    <w:rsid w:val="0B1E74CA"/>
    <w:rsid w:val="0BF958C7"/>
    <w:rsid w:val="0BFF3EDD"/>
    <w:rsid w:val="0C2561A2"/>
    <w:rsid w:val="0C3F3332"/>
    <w:rsid w:val="0C5A09A9"/>
    <w:rsid w:val="0CDB719E"/>
    <w:rsid w:val="0D096D5F"/>
    <w:rsid w:val="0D29382A"/>
    <w:rsid w:val="0D56019D"/>
    <w:rsid w:val="0DB47D2A"/>
    <w:rsid w:val="0DBF68FD"/>
    <w:rsid w:val="0E0812B7"/>
    <w:rsid w:val="0E407559"/>
    <w:rsid w:val="0E940B6D"/>
    <w:rsid w:val="0EAB6A73"/>
    <w:rsid w:val="0F4D0707"/>
    <w:rsid w:val="0F9F41EB"/>
    <w:rsid w:val="0FB91576"/>
    <w:rsid w:val="0FBA2A45"/>
    <w:rsid w:val="0FBC11FA"/>
    <w:rsid w:val="0FC41654"/>
    <w:rsid w:val="0FDE7285"/>
    <w:rsid w:val="1042721E"/>
    <w:rsid w:val="104525B0"/>
    <w:rsid w:val="106951F4"/>
    <w:rsid w:val="10BA2EEF"/>
    <w:rsid w:val="10E26334"/>
    <w:rsid w:val="112C5B7D"/>
    <w:rsid w:val="1147532F"/>
    <w:rsid w:val="118C2ED5"/>
    <w:rsid w:val="11B83D31"/>
    <w:rsid w:val="11B91E2A"/>
    <w:rsid w:val="11FD5DC6"/>
    <w:rsid w:val="121944E4"/>
    <w:rsid w:val="121C7EC8"/>
    <w:rsid w:val="122B1477"/>
    <w:rsid w:val="126F1026"/>
    <w:rsid w:val="126F5DEF"/>
    <w:rsid w:val="12795B29"/>
    <w:rsid w:val="129036E0"/>
    <w:rsid w:val="12A5475F"/>
    <w:rsid w:val="12D471FF"/>
    <w:rsid w:val="12EB6F6B"/>
    <w:rsid w:val="12F62B63"/>
    <w:rsid w:val="132E31A6"/>
    <w:rsid w:val="13696837"/>
    <w:rsid w:val="139F5206"/>
    <w:rsid w:val="13B31AEC"/>
    <w:rsid w:val="13D26111"/>
    <w:rsid w:val="13EC0308"/>
    <w:rsid w:val="13FE3FBA"/>
    <w:rsid w:val="140E1568"/>
    <w:rsid w:val="14404369"/>
    <w:rsid w:val="1465378B"/>
    <w:rsid w:val="14850719"/>
    <w:rsid w:val="14A73327"/>
    <w:rsid w:val="14B12588"/>
    <w:rsid w:val="14BF17DC"/>
    <w:rsid w:val="14D708B8"/>
    <w:rsid w:val="153A0248"/>
    <w:rsid w:val="15660168"/>
    <w:rsid w:val="162B7874"/>
    <w:rsid w:val="162C11CD"/>
    <w:rsid w:val="16325579"/>
    <w:rsid w:val="163A2CFF"/>
    <w:rsid w:val="16464B12"/>
    <w:rsid w:val="17150495"/>
    <w:rsid w:val="171F3A68"/>
    <w:rsid w:val="175D674F"/>
    <w:rsid w:val="176961EB"/>
    <w:rsid w:val="1793734F"/>
    <w:rsid w:val="17B53534"/>
    <w:rsid w:val="17CD2550"/>
    <w:rsid w:val="18114189"/>
    <w:rsid w:val="187431A4"/>
    <w:rsid w:val="189161DF"/>
    <w:rsid w:val="18F06F2D"/>
    <w:rsid w:val="18F630EB"/>
    <w:rsid w:val="18FA7D27"/>
    <w:rsid w:val="19117739"/>
    <w:rsid w:val="19403824"/>
    <w:rsid w:val="195A417C"/>
    <w:rsid w:val="19A34B6F"/>
    <w:rsid w:val="19AD7F51"/>
    <w:rsid w:val="19E776E0"/>
    <w:rsid w:val="1A074465"/>
    <w:rsid w:val="1A1C2849"/>
    <w:rsid w:val="1A1D16EC"/>
    <w:rsid w:val="1A9E3747"/>
    <w:rsid w:val="1AAA44FB"/>
    <w:rsid w:val="1B2332DF"/>
    <w:rsid w:val="1B9F76CB"/>
    <w:rsid w:val="1BA50D14"/>
    <w:rsid w:val="1BA677E7"/>
    <w:rsid w:val="1BB42138"/>
    <w:rsid w:val="1C157D87"/>
    <w:rsid w:val="1C625D30"/>
    <w:rsid w:val="1C7671E3"/>
    <w:rsid w:val="1C777601"/>
    <w:rsid w:val="1C7B6556"/>
    <w:rsid w:val="1C8A493E"/>
    <w:rsid w:val="1CAE031C"/>
    <w:rsid w:val="1CCB6998"/>
    <w:rsid w:val="1CD6623F"/>
    <w:rsid w:val="1CF90898"/>
    <w:rsid w:val="1CFA0FE7"/>
    <w:rsid w:val="1D3479B5"/>
    <w:rsid w:val="1D3561FA"/>
    <w:rsid w:val="1D4824C2"/>
    <w:rsid w:val="1D6A39CB"/>
    <w:rsid w:val="1D8C69C4"/>
    <w:rsid w:val="1DDE583E"/>
    <w:rsid w:val="1DE748E1"/>
    <w:rsid w:val="1DEF6C8E"/>
    <w:rsid w:val="1E1C7C6C"/>
    <w:rsid w:val="1E6178C8"/>
    <w:rsid w:val="1E646F85"/>
    <w:rsid w:val="1E786F00"/>
    <w:rsid w:val="1E7D61A8"/>
    <w:rsid w:val="1EA77665"/>
    <w:rsid w:val="1EE26B01"/>
    <w:rsid w:val="1EFA1750"/>
    <w:rsid w:val="1F147CCD"/>
    <w:rsid w:val="1F1F65F5"/>
    <w:rsid w:val="1F227F17"/>
    <w:rsid w:val="1F343C02"/>
    <w:rsid w:val="1FAC7E53"/>
    <w:rsid w:val="20517FE3"/>
    <w:rsid w:val="20597707"/>
    <w:rsid w:val="20953FCD"/>
    <w:rsid w:val="20CE2C18"/>
    <w:rsid w:val="210D3099"/>
    <w:rsid w:val="21160D44"/>
    <w:rsid w:val="21577705"/>
    <w:rsid w:val="217C1DAF"/>
    <w:rsid w:val="218220DE"/>
    <w:rsid w:val="21AF4EDA"/>
    <w:rsid w:val="21FE096D"/>
    <w:rsid w:val="222C76C6"/>
    <w:rsid w:val="22466CF3"/>
    <w:rsid w:val="2253067F"/>
    <w:rsid w:val="2272080E"/>
    <w:rsid w:val="22A344E7"/>
    <w:rsid w:val="22C9107A"/>
    <w:rsid w:val="22DE3197"/>
    <w:rsid w:val="22F4082B"/>
    <w:rsid w:val="230E0741"/>
    <w:rsid w:val="233935DD"/>
    <w:rsid w:val="235F1FAC"/>
    <w:rsid w:val="23B459CF"/>
    <w:rsid w:val="23C407BC"/>
    <w:rsid w:val="23DD49D8"/>
    <w:rsid w:val="23F63E16"/>
    <w:rsid w:val="241F093D"/>
    <w:rsid w:val="243A32C2"/>
    <w:rsid w:val="243A7843"/>
    <w:rsid w:val="243E49BC"/>
    <w:rsid w:val="243F71F1"/>
    <w:rsid w:val="247B5698"/>
    <w:rsid w:val="24ED2CBF"/>
    <w:rsid w:val="24FC483B"/>
    <w:rsid w:val="25093A3B"/>
    <w:rsid w:val="25236D0D"/>
    <w:rsid w:val="252F645D"/>
    <w:rsid w:val="254C19FF"/>
    <w:rsid w:val="255E2F6B"/>
    <w:rsid w:val="257147EC"/>
    <w:rsid w:val="25881166"/>
    <w:rsid w:val="258858A9"/>
    <w:rsid w:val="25A66AF9"/>
    <w:rsid w:val="25D0192F"/>
    <w:rsid w:val="25E21C3F"/>
    <w:rsid w:val="26757E2C"/>
    <w:rsid w:val="26790701"/>
    <w:rsid w:val="268C281E"/>
    <w:rsid w:val="271A471A"/>
    <w:rsid w:val="273508EE"/>
    <w:rsid w:val="27466B6E"/>
    <w:rsid w:val="27483692"/>
    <w:rsid w:val="276F6E45"/>
    <w:rsid w:val="278066D7"/>
    <w:rsid w:val="27827B0F"/>
    <w:rsid w:val="278561B2"/>
    <w:rsid w:val="27886287"/>
    <w:rsid w:val="27C77518"/>
    <w:rsid w:val="27F53526"/>
    <w:rsid w:val="27FA5E76"/>
    <w:rsid w:val="28510862"/>
    <w:rsid w:val="28690FE5"/>
    <w:rsid w:val="288E2BD2"/>
    <w:rsid w:val="28AA1AEF"/>
    <w:rsid w:val="28C411E9"/>
    <w:rsid w:val="28DC50AB"/>
    <w:rsid w:val="28E55271"/>
    <w:rsid w:val="28E7739E"/>
    <w:rsid w:val="2923374B"/>
    <w:rsid w:val="297E3350"/>
    <w:rsid w:val="299A751F"/>
    <w:rsid w:val="29BD796F"/>
    <w:rsid w:val="29CF1523"/>
    <w:rsid w:val="2AAC3644"/>
    <w:rsid w:val="2AED4DA8"/>
    <w:rsid w:val="2B1C256A"/>
    <w:rsid w:val="2B2420BA"/>
    <w:rsid w:val="2B3665DB"/>
    <w:rsid w:val="2B6737C6"/>
    <w:rsid w:val="2B8034CF"/>
    <w:rsid w:val="2B8946FF"/>
    <w:rsid w:val="2B8B604A"/>
    <w:rsid w:val="2B9D0F56"/>
    <w:rsid w:val="2C0A4741"/>
    <w:rsid w:val="2C714970"/>
    <w:rsid w:val="2C7872EC"/>
    <w:rsid w:val="2CCF1DFB"/>
    <w:rsid w:val="2CD36453"/>
    <w:rsid w:val="2CEE54E8"/>
    <w:rsid w:val="2CF86E08"/>
    <w:rsid w:val="2D3B2B78"/>
    <w:rsid w:val="2D3E51DF"/>
    <w:rsid w:val="2D4B733B"/>
    <w:rsid w:val="2D9B15EF"/>
    <w:rsid w:val="2E010592"/>
    <w:rsid w:val="2E304308"/>
    <w:rsid w:val="2E373E98"/>
    <w:rsid w:val="2EB26D79"/>
    <w:rsid w:val="2ED45D37"/>
    <w:rsid w:val="2EFC4F7A"/>
    <w:rsid w:val="2F14028D"/>
    <w:rsid w:val="2F16026E"/>
    <w:rsid w:val="2F7145F4"/>
    <w:rsid w:val="2FA808D5"/>
    <w:rsid w:val="301C1F55"/>
    <w:rsid w:val="30355359"/>
    <w:rsid w:val="30580298"/>
    <w:rsid w:val="30646F90"/>
    <w:rsid w:val="309965F8"/>
    <w:rsid w:val="30CB0402"/>
    <w:rsid w:val="30F27B94"/>
    <w:rsid w:val="31197E88"/>
    <w:rsid w:val="31227DD0"/>
    <w:rsid w:val="31734F3C"/>
    <w:rsid w:val="31B048A2"/>
    <w:rsid w:val="321E42BD"/>
    <w:rsid w:val="324967BA"/>
    <w:rsid w:val="324D2681"/>
    <w:rsid w:val="325B4CD5"/>
    <w:rsid w:val="327E74ED"/>
    <w:rsid w:val="32CF55D8"/>
    <w:rsid w:val="333F06D3"/>
    <w:rsid w:val="33517015"/>
    <w:rsid w:val="33961E83"/>
    <w:rsid w:val="33FD5F9D"/>
    <w:rsid w:val="34180C70"/>
    <w:rsid w:val="34457450"/>
    <w:rsid w:val="344D1912"/>
    <w:rsid w:val="350E185E"/>
    <w:rsid w:val="35373F98"/>
    <w:rsid w:val="35871ED9"/>
    <w:rsid w:val="36246068"/>
    <w:rsid w:val="363B7932"/>
    <w:rsid w:val="36BC081D"/>
    <w:rsid w:val="36C06D9A"/>
    <w:rsid w:val="36D15C2A"/>
    <w:rsid w:val="36FA4BBC"/>
    <w:rsid w:val="371D61FE"/>
    <w:rsid w:val="372F3FCE"/>
    <w:rsid w:val="37342D0F"/>
    <w:rsid w:val="374B5AC3"/>
    <w:rsid w:val="37880DE8"/>
    <w:rsid w:val="37F71898"/>
    <w:rsid w:val="38187E4F"/>
    <w:rsid w:val="3820445B"/>
    <w:rsid w:val="38210467"/>
    <w:rsid w:val="38401B73"/>
    <w:rsid w:val="384B1D2A"/>
    <w:rsid w:val="38C07AB0"/>
    <w:rsid w:val="38D8025A"/>
    <w:rsid w:val="38F24247"/>
    <w:rsid w:val="3958515B"/>
    <w:rsid w:val="395C206A"/>
    <w:rsid w:val="39780BBB"/>
    <w:rsid w:val="39D617F2"/>
    <w:rsid w:val="39D863A2"/>
    <w:rsid w:val="39DE4A6F"/>
    <w:rsid w:val="3A47338F"/>
    <w:rsid w:val="3A5F7180"/>
    <w:rsid w:val="3ABD6682"/>
    <w:rsid w:val="3B4E6F37"/>
    <w:rsid w:val="3B731AB5"/>
    <w:rsid w:val="3B833738"/>
    <w:rsid w:val="3B874762"/>
    <w:rsid w:val="3B9134A4"/>
    <w:rsid w:val="3B9F5F88"/>
    <w:rsid w:val="3BC25B55"/>
    <w:rsid w:val="3C2527C5"/>
    <w:rsid w:val="3C84642E"/>
    <w:rsid w:val="3CF170A0"/>
    <w:rsid w:val="3D4E7861"/>
    <w:rsid w:val="3D6F75C9"/>
    <w:rsid w:val="3D73742D"/>
    <w:rsid w:val="3D746D12"/>
    <w:rsid w:val="3D7F70E7"/>
    <w:rsid w:val="3DE90F01"/>
    <w:rsid w:val="3E043364"/>
    <w:rsid w:val="3E122997"/>
    <w:rsid w:val="3E204BA0"/>
    <w:rsid w:val="3E266E35"/>
    <w:rsid w:val="3EE838EE"/>
    <w:rsid w:val="3F24747D"/>
    <w:rsid w:val="3F4829A1"/>
    <w:rsid w:val="3F7F04D5"/>
    <w:rsid w:val="3F992F0B"/>
    <w:rsid w:val="3FE400DF"/>
    <w:rsid w:val="3FF7068A"/>
    <w:rsid w:val="405A6610"/>
    <w:rsid w:val="40A005F0"/>
    <w:rsid w:val="40A8257F"/>
    <w:rsid w:val="40BE619F"/>
    <w:rsid w:val="40D72B00"/>
    <w:rsid w:val="40DA752C"/>
    <w:rsid w:val="40DB081B"/>
    <w:rsid w:val="40EA5160"/>
    <w:rsid w:val="415C74DE"/>
    <w:rsid w:val="41735806"/>
    <w:rsid w:val="417D76A0"/>
    <w:rsid w:val="417E1386"/>
    <w:rsid w:val="42114C38"/>
    <w:rsid w:val="422B6BF4"/>
    <w:rsid w:val="42347713"/>
    <w:rsid w:val="43166FC4"/>
    <w:rsid w:val="43B00A8F"/>
    <w:rsid w:val="43DE204E"/>
    <w:rsid w:val="4458198A"/>
    <w:rsid w:val="44A75EA6"/>
    <w:rsid w:val="44EE740F"/>
    <w:rsid w:val="452545FE"/>
    <w:rsid w:val="454B391C"/>
    <w:rsid w:val="45511B47"/>
    <w:rsid w:val="458E5DAC"/>
    <w:rsid w:val="459557D9"/>
    <w:rsid w:val="45A15DDB"/>
    <w:rsid w:val="45A3513D"/>
    <w:rsid w:val="45B22926"/>
    <w:rsid w:val="45C277D4"/>
    <w:rsid w:val="463363F9"/>
    <w:rsid w:val="46456970"/>
    <w:rsid w:val="4681712C"/>
    <w:rsid w:val="468B6718"/>
    <w:rsid w:val="473B23EB"/>
    <w:rsid w:val="47450EE8"/>
    <w:rsid w:val="476250CF"/>
    <w:rsid w:val="47B32EAB"/>
    <w:rsid w:val="47C40E8C"/>
    <w:rsid w:val="484A6121"/>
    <w:rsid w:val="488978AE"/>
    <w:rsid w:val="488E77A1"/>
    <w:rsid w:val="48B1218F"/>
    <w:rsid w:val="48B14AB0"/>
    <w:rsid w:val="48CA23FC"/>
    <w:rsid w:val="48D6123C"/>
    <w:rsid w:val="48E12FA3"/>
    <w:rsid w:val="49150F51"/>
    <w:rsid w:val="493D5B1F"/>
    <w:rsid w:val="49480BD4"/>
    <w:rsid w:val="4956079E"/>
    <w:rsid w:val="496E11C3"/>
    <w:rsid w:val="49860264"/>
    <w:rsid w:val="498F3010"/>
    <w:rsid w:val="499F04DF"/>
    <w:rsid w:val="49B34D65"/>
    <w:rsid w:val="49CB3BFF"/>
    <w:rsid w:val="4A513272"/>
    <w:rsid w:val="4A710D62"/>
    <w:rsid w:val="4A905F5F"/>
    <w:rsid w:val="4AA4619B"/>
    <w:rsid w:val="4AAE7A16"/>
    <w:rsid w:val="4AC62161"/>
    <w:rsid w:val="4AE85F1A"/>
    <w:rsid w:val="4AF07B1A"/>
    <w:rsid w:val="4B0B3AEF"/>
    <w:rsid w:val="4B0F7C37"/>
    <w:rsid w:val="4B284D77"/>
    <w:rsid w:val="4B4978E0"/>
    <w:rsid w:val="4B562F2B"/>
    <w:rsid w:val="4BEC1507"/>
    <w:rsid w:val="4BFA2737"/>
    <w:rsid w:val="4C5C3BFA"/>
    <w:rsid w:val="4CD363C9"/>
    <w:rsid w:val="4D3475CF"/>
    <w:rsid w:val="4D7F6702"/>
    <w:rsid w:val="4D8B3845"/>
    <w:rsid w:val="4DB12352"/>
    <w:rsid w:val="4DC20D9F"/>
    <w:rsid w:val="4DD27ACF"/>
    <w:rsid w:val="4DDC19BC"/>
    <w:rsid w:val="4E2423CC"/>
    <w:rsid w:val="4E37633E"/>
    <w:rsid w:val="4E430330"/>
    <w:rsid w:val="4EBF0E52"/>
    <w:rsid w:val="4EE2236D"/>
    <w:rsid w:val="4F123950"/>
    <w:rsid w:val="4F134C73"/>
    <w:rsid w:val="4F1F756B"/>
    <w:rsid w:val="4FE016DA"/>
    <w:rsid w:val="4FEA5D06"/>
    <w:rsid w:val="50400BCC"/>
    <w:rsid w:val="507519D9"/>
    <w:rsid w:val="50EA62AD"/>
    <w:rsid w:val="50EC442B"/>
    <w:rsid w:val="51636F40"/>
    <w:rsid w:val="517C422B"/>
    <w:rsid w:val="51824CF6"/>
    <w:rsid w:val="52127D7D"/>
    <w:rsid w:val="52294852"/>
    <w:rsid w:val="523F1387"/>
    <w:rsid w:val="52412A63"/>
    <w:rsid w:val="525672F6"/>
    <w:rsid w:val="52880974"/>
    <w:rsid w:val="53345B50"/>
    <w:rsid w:val="534179D1"/>
    <w:rsid w:val="53763D4D"/>
    <w:rsid w:val="53D14897"/>
    <w:rsid w:val="53E71FDE"/>
    <w:rsid w:val="54135280"/>
    <w:rsid w:val="545C6D65"/>
    <w:rsid w:val="5526139C"/>
    <w:rsid w:val="552B2D26"/>
    <w:rsid w:val="553C1365"/>
    <w:rsid w:val="554E1470"/>
    <w:rsid w:val="558D698F"/>
    <w:rsid w:val="55986D51"/>
    <w:rsid w:val="55CE25C9"/>
    <w:rsid w:val="55D42624"/>
    <w:rsid w:val="56133CA0"/>
    <w:rsid w:val="56DD4ABD"/>
    <w:rsid w:val="5703231E"/>
    <w:rsid w:val="570F1C3B"/>
    <w:rsid w:val="57116442"/>
    <w:rsid w:val="578D3493"/>
    <w:rsid w:val="584F535E"/>
    <w:rsid w:val="586A7A45"/>
    <w:rsid w:val="58914C8B"/>
    <w:rsid w:val="58A773C6"/>
    <w:rsid w:val="58AC7936"/>
    <w:rsid w:val="58DB16BE"/>
    <w:rsid w:val="58E3423E"/>
    <w:rsid w:val="58F23ED5"/>
    <w:rsid w:val="58F670F2"/>
    <w:rsid w:val="59433B76"/>
    <w:rsid w:val="5956205C"/>
    <w:rsid w:val="596F34CF"/>
    <w:rsid w:val="599E6CB8"/>
    <w:rsid w:val="59AE0698"/>
    <w:rsid w:val="59D43B04"/>
    <w:rsid w:val="59E031E2"/>
    <w:rsid w:val="5A2658DC"/>
    <w:rsid w:val="5A394463"/>
    <w:rsid w:val="5A5B5FB9"/>
    <w:rsid w:val="5A7664EB"/>
    <w:rsid w:val="5A9C3392"/>
    <w:rsid w:val="5AA974E8"/>
    <w:rsid w:val="5AD0387F"/>
    <w:rsid w:val="5B4A0800"/>
    <w:rsid w:val="5B7E4ABF"/>
    <w:rsid w:val="5B8340E7"/>
    <w:rsid w:val="5B8D0599"/>
    <w:rsid w:val="5B937814"/>
    <w:rsid w:val="5BA627EA"/>
    <w:rsid w:val="5BAA125C"/>
    <w:rsid w:val="5C0D185B"/>
    <w:rsid w:val="5C254E10"/>
    <w:rsid w:val="5C2C164D"/>
    <w:rsid w:val="5C6E79F1"/>
    <w:rsid w:val="5C8657B1"/>
    <w:rsid w:val="5CA73484"/>
    <w:rsid w:val="5CB66DDB"/>
    <w:rsid w:val="5CE5499C"/>
    <w:rsid w:val="5D2D7D94"/>
    <w:rsid w:val="5D77243C"/>
    <w:rsid w:val="5D7E4D61"/>
    <w:rsid w:val="5D885B62"/>
    <w:rsid w:val="5DBD52BD"/>
    <w:rsid w:val="5DD60CDA"/>
    <w:rsid w:val="5DF028B9"/>
    <w:rsid w:val="5E0B6024"/>
    <w:rsid w:val="5E2F13E4"/>
    <w:rsid w:val="5E313CB3"/>
    <w:rsid w:val="5E666E6D"/>
    <w:rsid w:val="5E73235A"/>
    <w:rsid w:val="5EC546B7"/>
    <w:rsid w:val="5EE01513"/>
    <w:rsid w:val="5F515511"/>
    <w:rsid w:val="5F8E5049"/>
    <w:rsid w:val="5FA9036D"/>
    <w:rsid w:val="5FB20CF3"/>
    <w:rsid w:val="5FC26AE4"/>
    <w:rsid w:val="5FE20A6A"/>
    <w:rsid w:val="5FE80DF1"/>
    <w:rsid w:val="5FED079B"/>
    <w:rsid w:val="60394F33"/>
    <w:rsid w:val="603E1A55"/>
    <w:rsid w:val="60584BE7"/>
    <w:rsid w:val="607A028C"/>
    <w:rsid w:val="60950DEF"/>
    <w:rsid w:val="60B44F93"/>
    <w:rsid w:val="61904268"/>
    <w:rsid w:val="61922827"/>
    <w:rsid w:val="61985AAE"/>
    <w:rsid w:val="619B21A0"/>
    <w:rsid w:val="61C95215"/>
    <w:rsid w:val="61CF4043"/>
    <w:rsid w:val="620863D2"/>
    <w:rsid w:val="6220549B"/>
    <w:rsid w:val="626058BD"/>
    <w:rsid w:val="62D70238"/>
    <w:rsid w:val="630727B4"/>
    <w:rsid w:val="634E5810"/>
    <w:rsid w:val="636310DD"/>
    <w:rsid w:val="63816D92"/>
    <w:rsid w:val="63A81226"/>
    <w:rsid w:val="63C20B3C"/>
    <w:rsid w:val="63CA3F9A"/>
    <w:rsid w:val="64125A23"/>
    <w:rsid w:val="6416193E"/>
    <w:rsid w:val="646E772E"/>
    <w:rsid w:val="650A079C"/>
    <w:rsid w:val="65D7414B"/>
    <w:rsid w:val="65E5355A"/>
    <w:rsid w:val="65FC6895"/>
    <w:rsid w:val="663100E3"/>
    <w:rsid w:val="66375BAC"/>
    <w:rsid w:val="666E59B4"/>
    <w:rsid w:val="669D73BF"/>
    <w:rsid w:val="66D00DA7"/>
    <w:rsid w:val="67007A9E"/>
    <w:rsid w:val="673C65F0"/>
    <w:rsid w:val="674A3D4F"/>
    <w:rsid w:val="67551F2E"/>
    <w:rsid w:val="676E7579"/>
    <w:rsid w:val="67813F94"/>
    <w:rsid w:val="679006E0"/>
    <w:rsid w:val="67B24619"/>
    <w:rsid w:val="67EA4091"/>
    <w:rsid w:val="6864772D"/>
    <w:rsid w:val="68BC6A3B"/>
    <w:rsid w:val="69954749"/>
    <w:rsid w:val="6A024AA0"/>
    <w:rsid w:val="6A121AD7"/>
    <w:rsid w:val="6A3C248C"/>
    <w:rsid w:val="6A786A31"/>
    <w:rsid w:val="6ABA024E"/>
    <w:rsid w:val="6AC06DC9"/>
    <w:rsid w:val="6AD23B35"/>
    <w:rsid w:val="6B2C56A3"/>
    <w:rsid w:val="6BE3437E"/>
    <w:rsid w:val="6C3226C6"/>
    <w:rsid w:val="6C4864F3"/>
    <w:rsid w:val="6C545FF5"/>
    <w:rsid w:val="6C591BE2"/>
    <w:rsid w:val="6C97063E"/>
    <w:rsid w:val="6CFB5670"/>
    <w:rsid w:val="6D554232"/>
    <w:rsid w:val="6D803225"/>
    <w:rsid w:val="6DE14F30"/>
    <w:rsid w:val="6E0A3479"/>
    <w:rsid w:val="6E0A4A26"/>
    <w:rsid w:val="6E365FBF"/>
    <w:rsid w:val="6E5A4385"/>
    <w:rsid w:val="6E5E1B6C"/>
    <w:rsid w:val="6EEF71D1"/>
    <w:rsid w:val="6EF04F82"/>
    <w:rsid w:val="6F021A16"/>
    <w:rsid w:val="6F1D40CE"/>
    <w:rsid w:val="6F4537AC"/>
    <w:rsid w:val="6F5D7B07"/>
    <w:rsid w:val="6FAF0865"/>
    <w:rsid w:val="6FE97917"/>
    <w:rsid w:val="7051517A"/>
    <w:rsid w:val="709A7CFC"/>
    <w:rsid w:val="70A647A4"/>
    <w:rsid w:val="70D85BD1"/>
    <w:rsid w:val="715B338A"/>
    <w:rsid w:val="71695B59"/>
    <w:rsid w:val="71695F18"/>
    <w:rsid w:val="716A7ADC"/>
    <w:rsid w:val="71B56B9E"/>
    <w:rsid w:val="71B5724A"/>
    <w:rsid w:val="71DE2E53"/>
    <w:rsid w:val="721F1280"/>
    <w:rsid w:val="721F39FF"/>
    <w:rsid w:val="72645CE8"/>
    <w:rsid w:val="729E121E"/>
    <w:rsid w:val="72A719B3"/>
    <w:rsid w:val="72E016E3"/>
    <w:rsid w:val="72E23A7A"/>
    <w:rsid w:val="72F6179B"/>
    <w:rsid w:val="73597768"/>
    <w:rsid w:val="738003CA"/>
    <w:rsid w:val="73C56EED"/>
    <w:rsid w:val="74180D50"/>
    <w:rsid w:val="741E3A74"/>
    <w:rsid w:val="74F26252"/>
    <w:rsid w:val="750967E4"/>
    <w:rsid w:val="751537BA"/>
    <w:rsid w:val="756B7916"/>
    <w:rsid w:val="758D4AB4"/>
    <w:rsid w:val="75D12961"/>
    <w:rsid w:val="75FC4010"/>
    <w:rsid w:val="76104C9F"/>
    <w:rsid w:val="765941C5"/>
    <w:rsid w:val="768C505F"/>
    <w:rsid w:val="76C34CDD"/>
    <w:rsid w:val="76DF2050"/>
    <w:rsid w:val="76EC7C4A"/>
    <w:rsid w:val="76FB1424"/>
    <w:rsid w:val="773B6CD4"/>
    <w:rsid w:val="778343B9"/>
    <w:rsid w:val="77C4285A"/>
    <w:rsid w:val="77DE4E5F"/>
    <w:rsid w:val="77E30949"/>
    <w:rsid w:val="77F16A53"/>
    <w:rsid w:val="783525A0"/>
    <w:rsid w:val="786C2B39"/>
    <w:rsid w:val="786F12BD"/>
    <w:rsid w:val="786F1AA9"/>
    <w:rsid w:val="7872551D"/>
    <w:rsid w:val="78B624DD"/>
    <w:rsid w:val="78B86EE8"/>
    <w:rsid w:val="7920071D"/>
    <w:rsid w:val="799447FB"/>
    <w:rsid w:val="79AD6A52"/>
    <w:rsid w:val="79B54E80"/>
    <w:rsid w:val="79B56BC5"/>
    <w:rsid w:val="79C52BC7"/>
    <w:rsid w:val="79C747F6"/>
    <w:rsid w:val="79E231E5"/>
    <w:rsid w:val="7A23214E"/>
    <w:rsid w:val="7A36659D"/>
    <w:rsid w:val="7A6027C1"/>
    <w:rsid w:val="7A6F5689"/>
    <w:rsid w:val="7A854A12"/>
    <w:rsid w:val="7AB0587F"/>
    <w:rsid w:val="7AF74F90"/>
    <w:rsid w:val="7B237820"/>
    <w:rsid w:val="7B2C4D32"/>
    <w:rsid w:val="7B974622"/>
    <w:rsid w:val="7BC97448"/>
    <w:rsid w:val="7BFE5FB0"/>
    <w:rsid w:val="7C2C2D0F"/>
    <w:rsid w:val="7C2D4EA8"/>
    <w:rsid w:val="7C3C1587"/>
    <w:rsid w:val="7C6B3F7A"/>
    <w:rsid w:val="7CA52AE4"/>
    <w:rsid w:val="7CBC5C26"/>
    <w:rsid w:val="7CCC0395"/>
    <w:rsid w:val="7D123367"/>
    <w:rsid w:val="7D4E72F0"/>
    <w:rsid w:val="7DD15417"/>
    <w:rsid w:val="7DED1691"/>
    <w:rsid w:val="7DF95942"/>
    <w:rsid w:val="7E091C48"/>
    <w:rsid w:val="7E662EAD"/>
    <w:rsid w:val="7E9219F9"/>
    <w:rsid w:val="7EC14C30"/>
    <w:rsid w:val="7EF87B3E"/>
    <w:rsid w:val="7F52348C"/>
    <w:rsid w:val="7F924DA0"/>
    <w:rsid w:val="7FE64BFA"/>
    <w:rsid w:val="7FF8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autoRedefine/>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3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39"/>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140"/>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41"/>
    <w:autoRedefine/>
    <w:qFormat/>
    <w:uiPriority w:val="0"/>
    <w:pPr>
      <w:keepNext/>
      <w:keepLines/>
      <w:spacing w:before="280" w:after="290" w:line="372" w:lineRule="auto"/>
      <w:outlineLvl w:val="4"/>
    </w:pPr>
    <w:rPr>
      <w:b/>
      <w:sz w:val="28"/>
    </w:rPr>
  </w:style>
  <w:style w:type="paragraph" w:styleId="7">
    <w:name w:val="heading 6"/>
    <w:basedOn w:val="1"/>
    <w:next w:val="1"/>
    <w:link w:val="142"/>
    <w:autoRedefine/>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9"/>
    <w:link w:val="143"/>
    <w:autoRedefine/>
    <w:qFormat/>
    <w:uiPriority w:val="0"/>
    <w:pPr>
      <w:keepNext/>
      <w:keepLines/>
      <w:spacing w:before="240" w:after="64" w:line="317" w:lineRule="auto"/>
      <w:outlineLvl w:val="6"/>
    </w:pPr>
    <w:rPr>
      <w:b/>
      <w:sz w:val="24"/>
    </w:rPr>
  </w:style>
  <w:style w:type="paragraph" w:styleId="10">
    <w:name w:val="heading 8"/>
    <w:basedOn w:val="1"/>
    <w:next w:val="9"/>
    <w:link w:val="144"/>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9"/>
    <w:link w:val="145"/>
    <w:autoRedefine/>
    <w:qFormat/>
    <w:uiPriority w:val="0"/>
    <w:pPr>
      <w:keepNext/>
      <w:keepLines/>
      <w:spacing w:before="240" w:after="64" w:line="317" w:lineRule="auto"/>
      <w:outlineLvl w:val="8"/>
    </w:pPr>
    <w:rPr>
      <w:rFonts w:ascii="Arial" w:hAnsi="Arial" w:eastAsia="黑体"/>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rPr>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146"/>
    <w:autoRedefine/>
    <w:qFormat/>
    <w:uiPriority w:val="0"/>
    <w:pPr>
      <w:shd w:val="clear" w:color="auto" w:fill="000080"/>
      <w:adjustRightInd w:val="0"/>
      <w:spacing w:line="312" w:lineRule="atLeast"/>
      <w:textAlignment w:val="baseline"/>
    </w:pPr>
    <w:rPr>
      <w:kern w:val="0"/>
      <w:szCs w:val="20"/>
    </w:rPr>
  </w:style>
  <w:style w:type="paragraph" w:styleId="17">
    <w:name w:val="toa heading"/>
    <w:basedOn w:val="1"/>
    <w:next w:val="1"/>
    <w:autoRedefine/>
    <w:qFormat/>
    <w:uiPriority w:val="99"/>
    <w:pPr>
      <w:spacing w:before="120"/>
    </w:pPr>
    <w:rPr>
      <w:rFonts w:ascii="Cambria" w:hAnsi="Cambria" w:cs="宋体"/>
      <w:sz w:val="24"/>
    </w:rPr>
  </w:style>
  <w:style w:type="paragraph" w:styleId="18">
    <w:name w:val="annotation text"/>
    <w:basedOn w:val="1"/>
    <w:link w:val="147"/>
    <w:autoRedefine/>
    <w:qFormat/>
    <w:uiPriority w:val="99"/>
    <w:pPr>
      <w:jc w:val="left"/>
    </w:pPr>
  </w:style>
  <w:style w:type="paragraph" w:styleId="19">
    <w:name w:val="Body Text 3"/>
    <w:basedOn w:val="1"/>
    <w:link w:val="148"/>
    <w:autoRedefine/>
    <w:qFormat/>
    <w:uiPriority w:val="0"/>
    <w:pPr>
      <w:spacing w:line="500" w:lineRule="exact"/>
    </w:pPr>
    <w:rPr>
      <w:b/>
      <w:bCs/>
      <w:sz w:val="24"/>
    </w:rPr>
  </w:style>
  <w:style w:type="paragraph" w:styleId="20">
    <w:name w:val="Body Text"/>
    <w:basedOn w:val="1"/>
    <w:link w:val="149"/>
    <w:autoRedefine/>
    <w:qFormat/>
    <w:uiPriority w:val="99"/>
    <w:pPr>
      <w:spacing w:line="380" w:lineRule="exact"/>
    </w:pPr>
  </w:style>
  <w:style w:type="paragraph" w:styleId="21">
    <w:name w:val="Body Text Indent"/>
    <w:basedOn w:val="1"/>
    <w:next w:val="22"/>
    <w:link w:val="135"/>
    <w:autoRedefine/>
    <w:qFormat/>
    <w:uiPriority w:val="99"/>
    <w:pPr>
      <w:ind w:firstLine="830" w:firstLineChars="352"/>
    </w:pPr>
    <w:rPr>
      <w:rFonts w:ascii="仿宋_GB2312" w:eastAsia="仿宋_GB2312"/>
      <w:sz w:val="32"/>
      <w:szCs w:val="20"/>
    </w:rPr>
  </w:style>
  <w:style w:type="paragraph" w:styleId="22">
    <w:name w:val="envelope return"/>
    <w:basedOn w:val="1"/>
    <w:autoRedefine/>
    <w:qFormat/>
    <w:uiPriority w:val="0"/>
    <w:pPr>
      <w:snapToGrid w:val="0"/>
    </w:pPr>
    <w:rPr>
      <w:rFonts w:ascii="Arial" w:hAnsi="Arial"/>
    </w:rPr>
  </w:style>
  <w:style w:type="paragraph" w:styleId="23">
    <w:name w:val="List Number 3"/>
    <w:basedOn w:val="1"/>
    <w:autoRedefine/>
    <w:qFormat/>
    <w:uiPriority w:val="0"/>
    <w:pPr>
      <w:tabs>
        <w:tab w:val="left" w:pos="1200"/>
      </w:tabs>
      <w:ind w:left="1200" w:leftChars="400" w:hanging="360" w:hangingChars="200"/>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adjustRightInd w:val="0"/>
      <w:ind w:left="420" w:right="33"/>
      <w:jc w:val="left"/>
      <w:textAlignment w:val="baseline"/>
    </w:pPr>
    <w:rPr>
      <w:kern w:val="0"/>
      <w:sz w:val="24"/>
      <w:szCs w:val="20"/>
    </w:rPr>
  </w:style>
  <w:style w:type="paragraph" w:styleId="26">
    <w:name w:val="toc 5"/>
    <w:basedOn w:val="1"/>
    <w:next w:val="1"/>
    <w:autoRedefine/>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autoRedefine/>
    <w:qFormat/>
    <w:uiPriority w:val="39"/>
    <w:pPr>
      <w:ind w:left="840" w:leftChars="400"/>
    </w:pPr>
  </w:style>
  <w:style w:type="paragraph" w:styleId="28">
    <w:name w:val="Plain Text"/>
    <w:basedOn w:val="1"/>
    <w:next w:val="1"/>
    <w:link w:val="150"/>
    <w:autoRedefine/>
    <w:qFormat/>
    <w:uiPriority w:val="99"/>
    <w:rPr>
      <w:rFonts w:ascii="宋体" w:hAnsi="Courier New" w:cs="Courier New"/>
      <w:szCs w:val="21"/>
    </w:rPr>
  </w:style>
  <w:style w:type="paragraph" w:styleId="29">
    <w:name w:val="toc 8"/>
    <w:basedOn w:val="1"/>
    <w:next w:val="1"/>
    <w:link w:val="151"/>
    <w:autoRedefine/>
    <w:qFormat/>
    <w:uiPriority w:val="0"/>
    <w:pPr>
      <w:tabs>
        <w:tab w:val="right" w:leader="dot" w:pos="9185"/>
      </w:tabs>
      <w:adjustRightInd w:val="0"/>
      <w:spacing w:line="312" w:lineRule="atLeast"/>
      <w:ind w:left="2940"/>
      <w:textAlignment w:val="baseline"/>
    </w:pPr>
    <w:rPr>
      <w:kern w:val="0"/>
      <w:sz w:val="20"/>
      <w:szCs w:val="20"/>
    </w:rPr>
  </w:style>
  <w:style w:type="paragraph" w:styleId="30">
    <w:name w:val="Date"/>
    <w:basedOn w:val="1"/>
    <w:next w:val="1"/>
    <w:link w:val="152"/>
    <w:autoRedefine/>
    <w:qFormat/>
    <w:uiPriority w:val="0"/>
    <w:pPr>
      <w:ind w:left="100" w:leftChars="2500"/>
    </w:pPr>
    <w:rPr>
      <w:rFonts w:ascii="宋体" w:hAnsi="Courier New"/>
      <w:szCs w:val="21"/>
    </w:rPr>
  </w:style>
  <w:style w:type="paragraph" w:styleId="31">
    <w:name w:val="Body Text Indent 2"/>
    <w:basedOn w:val="1"/>
    <w:link w:val="153"/>
    <w:autoRedefine/>
    <w:qFormat/>
    <w:uiPriority w:val="0"/>
    <w:pPr>
      <w:ind w:firstLine="630"/>
    </w:pPr>
    <w:rPr>
      <w:sz w:val="32"/>
      <w:szCs w:val="20"/>
    </w:rPr>
  </w:style>
  <w:style w:type="paragraph" w:styleId="32">
    <w:name w:val="Balloon Text"/>
    <w:basedOn w:val="1"/>
    <w:link w:val="154"/>
    <w:autoRedefine/>
    <w:qFormat/>
    <w:uiPriority w:val="0"/>
    <w:rPr>
      <w:sz w:val="18"/>
      <w:szCs w:val="18"/>
    </w:rPr>
  </w:style>
  <w:style w:type="paragraph" w:styleId="33">
    <w:name w:val="footer"/>
    <w:basedOn w:val="1"/>
    <w:link w:val="155"/>
    <w:autoRedefine/>
    <w:qFormat/>
    <w:uiPriority w:val="0"/>
    <w:pPr>
      <w:tabs>
        <w:tab w:val="center" w:pos="4153"/>
        <w:tab w:val="right" w:pos="8306"/>
      </w:tabs>
      <w:snapToGrid w:val="0"/>
      <w:jc w:val="left"/>
    </w:pPr>
    <w:rPr>
      <w:sz w:val="18"/>
      <w:szCs w:val="18"/>
    </w:rPr>
  </w:style>
  <w:style w:type="paragraph" w:styleId="34">
    <w:name w:val="header"/>
    <w:basedOn w:val="1"/>
    <w:link w:val="156"/>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autoRedefine/>
    <w:qFormat/>
    <w:uiPriority w:val="0"/>
    <w:pPr>
      <w:ind w:left="200" w:hanging="200" w:hangingChars="200"/>
    </w:pPr>
    <w:rPr>
      <w:sz w:val="28"/>
    </w:rPr>
  </w:style>
  <w:style w:type="paragraph" w:styleId="38">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autoRedefine/>
    <w:qFormat/>
    <w:uiPriority w:val="0"/>
    <w:pPr>
      <w:ind w:left="2100" w:hanging="420"/>
    </w:pPr>
    <w:rPr>
      <w:szCs w:val="20"/>
    </w:rPr>
  </w:style>
  <w:style w:type="paragraph" w:styleId="40">
    <w:name w:val="Body Text Indent 3"/>
    <w:basedOn w:val="1"/>
    <w:link w:val="157"/>
    <w:autoRedefine/>
    <w:qFormat/>
    <w:uiPriority w:val="0"/>
    <w:pPr>
      <w:spacing w:after="120"/>
      <w:ind w:left="420" w:leftChars="200"/>
    </w:pPr>
    <w:rPr>
      <w:sz w:val="16"/>
      <w:szCs w:val="16"/>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158"/>
    <w:autoRedefine/>
    <w:qFormat/>
    <w:uiPriority w:val="0"/>
    <w:pPr>
      <w:spacing w:after="120" w:line="480" w:lineRule="auto"/>
    </w:pPr>
  </w:style>
  <w:style w:type="paragraph" w:styleId="44">
    <w:name w:val="List 4"/>
    <w:basedOn w:val="1"/>
    <w:autoRedefine/>
    <w:qFormat/>
    <w:uiPriority w:val="0"/>
    <w:pPr>
      <w:ind w:left="100" w:leftChars="600" w:hanging="200" w:hangingChars="200"/>
    </w:pPr>
  </w:style>
  <w:style w:type="paragraph" w:styleId="45">
    <w:name w:val="List Continue 2"/>
    <w:basedOn w:val="1"/>
    <w:autoRedefine/>
    <w:qFormat/>
    <w:uiPriority w:val="0"/>
    <w:pPr>
      <w:spacing w:after="120"/>
      <w:ind w:left="840" w:leftChars="400"/>
    </w:pPr>
  </w:style>
  <w:style w:type="paragraph" w:styleId="46">
    <w:name w:val="HTML Preformatted"/>
    <w:basedOn w:val="1"/>
    <w:link w:val="1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spacing w:line="400" w:lineRule="exact"/>
      <w:ind w:firstLine="420" w:firstLineChars="200"/>
    </w:pPr>
    <w:rPr>
      <w:rFonts w:ascii="宋体" w:hAnsi="Courier New"/>
      <w:b/>
      <w:szCs w:val="20"/>
    </w:rPr>
  </w:style>
  <w:style w:type="paragraph" w:styleId="49">
    <w:name w:val="Title"/>
    <w:basedOn w:val="1"/>
    <w:link w:val="160"/>
    <w:autoRedefine/>
    <w:qFormat/>
    <w:uiPriority w:val="0"/>
    <w:pPr>
      <w:jc w:val="center"/>
    </w:pPr>
    <w:rPr>
      <w:sz w:val="30"/>
    </w:rPr>
  </w:style>
  <w:style w:type="paragraph" w:styleId="50">
    <w:name w:val="annotation subject"/>
    <w:basedOn w:val="18"/>
    <w:next w:val="18"/>
    <w:link w:val="161"/>
    <w:autoRedefine/>
    <w:qFormat/>
    <w:uiPriority w:val="0"/>
    <w:rPr>
      <w:b/>
      <w:bCs/>
    </w:rPr>
  </w:style>
  <w:style w:type="paragraph" w:styleId="51">
    <w:name w:val="Body Text First Indent"/>
    <w:basedOn w:val="20"/>
    <w:next w:val="52"/>
    <w:link w:val="162"/>
    <w:autoRedefine/>
    <w:qFormat/>
    <w:uiPriority w:val="0"/>
    <w:pPr>
      <w:spacing w:after="120" w:line="240" w:lineRule="auto"/>
      <w:ind w:firstLine="420" w:firstLineChars="100"/>
    </w:pPr>
  </w:style>
  <w:style w:type="paragraph" w:styleId="52">
    <w:name w:val="Body Text First Indent 2"/>
    <w:basedOn w:val="21"/>
    <w:next w:val="53"/>
    <w:link w:val="136"/>
    <w:autoRedefine/>
    <w:qFormat/>
    <w:uiPriority w:val="0"/>
    <w:pPr>
      <w:spacing w:after="120"/>
      <w:ind w:left="420" w:leftChars="200" w:firstLine="420" w:firstLineChars="200"/>
    </w:pPr>
    <w:rPr>
      <w:rFonts w:ascii="Times New Roman" w:eastAsia="宋体"/>
      <w:sz w:val="21"/>
      <w:szCs w:val="24"/>
    </w:rPr>
  </w:style>
  <w:style w:type="paragraph" w:customStyle="1" w:styleId="53">
    <w:name w:val="**正文"/>
    <w:basedOn w:val="1"/>
    <w:autoRedefine/>
    <w:qFormat/>
    <w:uiPriority w:val="0"/>
    <w:pPr>
      <w:ind w:firstLine="482"/>
    </w:pPr>
    <w:rPr>
      <w:rFonts w:ascii="宋体" w:hAnsi="宋体"/>
      <w:sz w:val="24"/>
    </w:rPr>
  </w:style>
  <w:style w:type="table" w:styleId="55">
    <w:name w:val="Table Grid"/>
    <w:basedOn w:val="5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22"/>
    <w:rPr>
      <w:b/>
      <w:bCs/>
    </w:rPr>
  </w:style>
  <w:style w:type="character" w:styleId="58">
    <w:name w:val="page number"/>
    <w:autoRedefine/>
    <w:qFormat/>
    <w:uiPriority w:val="0"/>
  </w:style>
  <w:style w:type="character" w:styleId="59">
    <w:name w:val="FollowedHyperlink"/>
    <w:autoRedefine/>
    <w:qFormat/>
    <w:uiPriority w:val="99"/>
    <w:rPr>
      <w:color w:val="333333"/>
      <w:u w:val="none"/>
    </w:rPr>
  </w:style>
  <w:style w:type="character" w:styleId="60">
    <w:name w:val="Emphasis"/>
    <w:autoRedefine/>
    <w:qFormat/>
    <w:uiPriority w:val="0"/>
    <w:rPr>
      <w:color w:val="CC0000"/>
    </w:rPr>
  </w:style>
  <w:style w:type="character" w:styleId="61">
    <w:name w:val="HTML Definition"/>
    <w:autoRedefine/>
    <w:qFormat/>
    <w:uiPriority w:val="0"/>
    <w:rPr>
      <w:i/>
    </w:rPr>
  </w:style>
  <w:style w:type="character" w:styleId="62">
    <w:name w:val="Hyperlink"/>
    <w:autoRedefine/>
    <w:qFormat/>
    <w:uiPriority w:val="99"/>
    <w:rPr>
      <w:color w:val="333333"/>
      <w:u w:val="none"/>
    </w:rPr>
  </w:style>
  <w:style w:type="character" w:styleId="63">
    <w:name w:val="HTML Code"/>
    <w:autoRedefine/>
    <w:qFormat/>
    <w:uiPriority w:val="0"/>
    <w:rPr>
      <w:rFonts w:hint="default" w:ascii="Consolas" w:hAnsi="Consolas" w:eastAsia="Consolas" w:cs="Consolas"/>
      <w:sz w:val="21"/>
      <w:szCs w:val="21"/>
    </w:rPr>
  </w:style>
  <w:style w:type="character" w:styleId="64">
    <w:name w:val="annotation reference"/>
    <w:autoRedefine/>
    <w:qFormat/>
    <w:uiPriority w:val="0"/>
    <w:rPr>
      <w:sz w:val="21"/>
      <w:szCs w:val="21"/>
    </w:rPr>
  </w:style>
  <w:style w:type="character" w:styleId="65">
    <w:name w:val="HTML Cite"/>
    <w:autoRedefine/>
    <w:qFormat/>
    <w:uiPriority w:val="0"/>
    <w:rPr>
      <w:color w:val="008000"/>
    </w:rPr>
  </w:style>
  <w:style w:type="character" w:styleId="66">
    <w:name w:val="HTML Keyboard"/>
    <w:autoRedefine/>
    <w:qFormat/>
    <w:uiPriority w:val="0"/>
    <w:rPr>
      <w:rFonts w:hint="default" w:ascii="Consolas" w:hAnsi="Consolas" w:eastAsia="Consolas" w:cs="Consolas"/>
      <w:sz w:val="21"/>
      <w:szCs w:val="21"/>
    </w:rPr>
  </w:style>
  <w:style w:type="character" w:styleId="67">
    <w:name w:val="HTML Sample"/>
    <w:autoRedefine/>
    <w:qFormat/>
    <w:uiPriority w:val="0"/>
    <w:rPr>
      <w:rFonts w:ascii="Consolas" w:hAnsi="Consolas" w:eastAsia="Consolas" w:cs="Consolas"/>
      <w:sz w:val="21"/>
      <w:szCs w:val="21"/>
    </w:rPr>
  </w:style>
  <w:style w:type="paragraph" w:customStyle="1" w:styleId="68">
    <w:name w:val="正文小四1.5倍行距"/>
    <w:basedOn w:val="1"/>
    <w:link w:val="170"/>
    <w:autoRedefine/>
    <w:qFormat/>
    <w:uiPriority w:val="0"/>
    <w:pPr>
      <w:snapToGrid w:val="0"/>
      <w:spacing w:line="360" w:lineRule="auto"/>
      <w:ind w:firstLine="480" w:firstLineChars="200"/>
    </w:pPr>
    <w:rPr>
      <w:rFonts w:ascii="宋体" w:hAnsi="宋体"/>
      <w:kern w:val="0"/>
      <w:sz w:val="20"/>
      <w:szCs w:val="20"/>
    </w:rPr>
  </w:style>
  <w:style w:type="paragraph" w:customStyle="1" w:styleId="69">
    <w:name w:val="标题3"/>
    <w:basedOn w:val="2"/>
    <w:link w:val="197"/>
    <w:autoRedefine/>
    <w:qFormat/>
    <w:uiPriority w:val="0"/>
    <w:pPr>
      <w:spacing w:before="0" w:beforeLines="50" w:after="0" w:afterLines="50" w:line="400" w:lineRule="exact"/>
    </w:pPr>
    <w:rPr>
      <w:rFonts w:ascii="宋体" w:hAnsi="宋体"/>
      <w:sz w:val="24"/>
      <w:szCs w:val="24"/>
    </w:rPr>
  </w:style>
  <w:style w:type="paragraph" w:customStyle="1" w:styleId="70">
    <w:name w:val="标准正文样式"/>
    <w:basedOn w:val="1"/>
    <w:link w:val="205"/>
    <w:autoRedefine/>
    <w:qFormat/>
    <w:uiPriority w:val="0"/>
    <w:pPr>
      <w:spacing w:line="300" w:lineRule="auto"/>
      <w:ind w:firstLine="200" w:firstLineChars="200"/>
    </w:pPr>
    <w:rPr>
      <w:sz w:val="24"/>
      <w:szCs w:val="20"/>
    </w:rPr>
  </w:style>
  <w:style w:type="paragraph" w:customStyle="1" w:styleId="71">
    <w:name w:val="_Style 70"/>
    <w:basedOn w:val="1"/>
    <w:next w:val="1"/>
    <w:link w:val="238"/>
    <w:autoRedefine/>
    <w:qFormat/>
    <w:uiPriority w:val="0"/>
    <w:pPr>
      <w:pBdr>
        <w:bottom w:val="single" w:color="auto" w:sz="6" w:space="1"/>
      </w:pBdr>
      <w:jc w:val="center"/>
    </w:pPr>
    <w:rPr>
      <w:rFonts w:ascii="Arial"/>
      <w:vanish/>
      <w:sz w:val="16"/>
    </w:rPr>
  </w:style>
  <w:style w:type="paragraph" w:customStyle="1" w:styleId="72">
    <w:name w:val="1ji"/>
    <w:basedOn w:val="2"/>
    <w:link w:val="249"/>
    <w:autoRedefine/>
    <w:qFormat/>
    <w:uiPriority w:val="0"/>
    <w:pPr>
      <w:keepLines w:val="0"/>
      <w:widowControl/>
      <w:spacing w:before="0" w:after="0" w:line="240" w:lineRule="auto"/>
      <w:jc w:val="center"/>
    </w:pPr>
    <w:rPr>
      <w:rFonts w:ascii="宋体" w:hAnsi="宋体"/>
      <w:sz w:val="36"/>
    </w:rPr>
  </w:style>
  <w:style w:type="paragraph" w:customStyle="1" w:styleId="73">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样式1"/>
    <w:basedOn w:val="1"/>
    <w:autoRedefine/>
    <w:qFormat/>
    <w:uiPriority w:val="0"/>
    <w:pPr>
      <w:spacing w:before="120" w:after="120" w:line="300" w:lineRule="auto"/>
    </w:pPr>
    <w:rPr>
      <w:rFonts w:ascii="宋体" w:hAnsi="宋体"/>
      <w:b/>
      <w:sz w:val="24"/>
      <w:szCs w:val="20"/>
    </w:rPr>
  </w:style>
  <w:style w:type="paragraph" w:customStyle="1" w:styleId="7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76">
    <w:name w:val="Char Char Char Char Char Char Char"/>
    <w:basedOn w:val="1"/>
    <w:autoRedefine/>
    <w:qFormat/>
    <w:uiPriority w:val="0"/>
  </w:style>
  <w:style w:type="paragraph" w:customStyle="1" w:styleId="77">
    <w:name w:val="Char Char Char Char Char Char Char Char Char Char Char Char Char"/>
    <w:basedOn w:val="16"/>
    <w:autoRedefine/>
    <w:qFormat/>
    <w:uiPriority w:val="0"/>
    <w:pPr>
      <w:adjustRightInd/>
      <w:spacing w:line="240" w:lineRule="auto"/>
      <w:textAlignment w:val="auto"/>
    </w:pPr>
    <w:rPr>
      <w:rFonts w:ascii="Tahoma" w:hAnsi="Tahoma"/>
      <w:kern w:val="2"/>
      <w:sz w:val="24"/>
      <w:szCs w:val="24"/>
    </w:rPr>
  </w:style>
  <w:style w:type="paragraph" w:styleId="7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0">
    <w:name w:val="_Style 109"/>
    <w:basedOn w:val="1"/>
    <w:next w:val="81"/>
    <w:autoRedefine/>
    <w:qFormat/>
    <w:uiPriority w:val="34"/>
    <w:pPr>
      <w:ind w:firstLine="420" w:firstLineChars="200"/>
    </w:pPr>
    <w:rPr>
      <w:rFonts w:ascii="Calibri" w:hAnsi="Calibri"/>
      <w:szCs w:val="22"/>
    </w:rPr>
  </w:style>
  <w:style w:type="paragraph" w:styleId="81">
    <w:name w:val="List Paragraph"/>
    <w:basedOn w:val="1"/>
    <w:autoRedefine/>
    <w:qFormat/>
    <w:uiPriority w:val="34"/>
    <w:pPr>
      <w:ind w:firstLine="420" w:firstLineChars="200"/>
    </w:pPr>
    <w:rPr>
      <w:rFonts w:ascii="Calibri" w:hAnsi="Calibri"/>
      <w:szCs w:val="22"/>
    </w:rPr>
  </w:style>
  <w:style w:type="paragraph" w:customStyle="1" w:styleId="82">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84">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85">
    <w:name w:val="_Style 5"/>
    <w:basedOn w:val="1"/>
    <w:autoRedefine/>
    <w:qFormat/>
    <w:uiPriority w:val="0"/>
    <w:pPr>
      <w:spacing w:afterLines="25"/>
    </w:pPr>
    <w:rPr>
      <w:rFonts w:ascii="Arial" w:hAnsi="Arial"/>
    </w:rPr>
  </w:style>
  <w:style w:type="paragraph" w:customStyle="1" w:styleId="86">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87">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8">
    <w:name w:val="表格"/>
    <w:basedOn w:val="1"/>
    <w:autoRedefine/>
    <w:qFormat/>
    <w:uiPriority w:val="0"/>
    <w:pPr>
      <w:spacing w:line="400" w:lineRule="exact"/>
    </w:pPr>
    <w:rPr>
      <w:sz w:val="24"/>
    </w:rPr>
  </w:style>
  <w:style w:type="paragraph" w:customStyle="1" w:styleId="89">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90">
    <w:name w:val="List Paragraph1"/>
    <w:basedOn w:val="1"/>
    <w:autoRedefine/>
    <w:qFormat/>
    <w:uiPriority w:val="0"/>
    <w:pPr>
      <w:ind w:firstLine="420" w:firstLineChars="200"/>
    </w:pPr>
    <w:rPr>
      <w:rFonts w:ascii="Calibri" w:hAnsi="Calibri"/>
      <w:szCs w:val="22"/>
    </w:rPr>
  </w:style>
  <w:style w:type="paragraph" w:customStyle="1" w:styleId="91">
    <w:name w:val="默认段落字体 Para Char"/>
    <w:basedOn w:val="1"/>
    <w:autoRedefine/>
    <w:qFormat/>
    <w:uiPriority w:val="0"/>
    <w:pPr>
      <w:adjustRightInd w:val="0"/>
      <w:spacing w:line="360" w:lineRule="auto"/>
    </w:pPr>
    <w:rPr>
      <w:kern w:val="0"/>
      <w:sz w:val="24"/>
      <w:szCs w:val="20"/>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4">
    <w:name w:val="Char1"/>
    <w:basedOn w:val="1"/>
    <w:autoRedefine/>
    <w:qFormat/>
    <w:uiPriority w:val="0"/>
    <w:rPr>
      <w:szCs w:val="21"/>
    </w:rPr>
  </w:style>
  <w:style w:type="paragraph" w:customStyle="1" w:styleId="95">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96">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9">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00">
    <w:name w:val="1"/>
    <w:basedOn w:val="1"/>
    <w:next w:val="28"/>
    <w:autoRedefine/>
    <w:qFormat/>
    <w:uiPriority w:val="0"/>
    <w:rPr>
      <w:rFonts w:ascii="宋体" w:hAnsi="Courier New"/>
      <w:szCs w:val="20"/>
    </w:rPr>
  </w:style>
  <w:style w:type="paragraph" w:customStyle="1" w:styleId="101">
    <w:name w:val="次小点说明 Char"/>
    <w:basedOn w:val="9"/>
    <w:autoRedefine/>
    <w:qFormat/>
    <w:uiPriority w:val="0"/>
    <w:pPr>
      <w:ind w:firstLine="0"/>
    </w:pPr>
    <w:rPr>
      <w:sz w:val="24"/>
      <w:szCs w:val="24"/>
    </w:rPr>
  </w:style>
  <w:style w:type="paragraph" w:customStyle="1" w:styleId="102">
    <w:name w:val="!我的正文 Ctr+Q"/>
    <w:basedOn w:val="1"/>
    <w:autoRedefine/>
    <w:qFormat/>
    <w:uiPriority w:val="0"/>
    <w:pPr>
      <w:adjustRightInd w:val="0"/>
      <w:snapToGrid w:val="0"/>
      <w:spacing w:line="360" w:lineRule="auto"/>
      <w:ind w:firstLine="480" w:firstLineChars="200"/>
    </w:pPr>
    <w:rPr>
      <w:rFonts w:ascii="Arial" w:hAnsi="Arial"/>
      <w:sz w:val="24"/>
      <w:szCs w:val="21"/>
    </w:rPr>
  </w:style>
  <w:style w:type="paragraph" w:customStyle="1" w:styleId="103">
    <w:name w:val="_Style 10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4">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06">
    <w:name w:val="Char Char Char1"/>
    <w:basedOn w:val="16"/>
    <w:autoRedefine/>
    <w:qFormat/>
    <w:uiPriority w:val="0"/>
    <w:pPr>
      <w:adjustRightInd/>
      <w:spacing w:line="240" w:lineRule="auto"/>
      <w:textAlignment w:val="auto"/>
    </w:pPr>
    <w:rPr>
      <w:rFonts w:ascii="Tahoma" w:hAnsi="Tahoma"/>
      <w:kern w:val="2"/>
      <w:sz w:val="24"/>
      <w:szCs w:val="24"/>
    </w:rPr>
  </w:style>
  <w:style w:type="paragraph" w:customStyle="1" w:styleId="107">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8">
    <w:name w:val="tgt1"/>
    <w:basedOn w:val="1"/>
    <w:autoRedefine/>
    <w:qFormat/>
    <w:uiPriority w:val="0"/>
    <w:pPr>
      <w:widowControl/>
      <w:spacing w:after="150"/>
      <w:jc w:val="left"/>
    </w:pPr>
    <w:rPr>
      <w:rFonts w:ascii="宋体" w:hAnsi="宋体" w:cs="宋体"/>
      <w:kern w:val="0"/>
      <w:sz w:val="24"/>
    </w:rPr>
  </w:style>
  <w:style w:type="paragraph" w:customStyle="1" w:styleId="109">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0">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2">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3">
    <w:name w:val="Char Char Char Char Char Char Char Char Char Char Char Char Char1"/>
    <w:basedOn w:val="16"/>
    <w:autoRedefine/>
    <w:qFormat/>
    <w:uiPriority w:val="0"/>
    <w:pPr>
      <w:adjustRightInd/>
      <w:spacing w:line="240" w:lineRule="auto"/>
      <w:textAlignment w:val="auto"/>
    </w:pPr>
    <w:rPr>
      <w:rFonts w:ascii="Tahoma" w:hAnsi="Tahoma"/>
      <w:kern w:val="2"/>
      <w:sz w:val="24"/>
      <w:szCs w:val="24"/>
    </w:rPr>
  </w:style>
  <w:style w:type="paragraph" w:customStyle="1" w:styleId="114">
    <w:name w:val="Char Char Char"/>
    <w:basedOn w:val="1"/>
    <w:autoRedefine/>
    <w:qFormat/>
    <w:uiPriority w:val="0"/>
    <w:rPr>
      <w:rFonts w:ascii="Tahoma" w:hAnsi="Tahoma"/>
      <w:sz w:val="24"/>
      <w:szCs w:val="20"/>
    </w:rPr>
  </w:style>
  <w:style w:type="paragraph" w:customStyle="1" w:styleId="115">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116">
    <w:name w:val="_Style 11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7">
    <w:name w:val="2ji"/>
    <w:basedOn w:val="3"/>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8">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2-2ji"/>
    <w:basedOn w:val="3"/>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0">
    <w:name w:val="Char Char Char2"/>
    <w:basedOn w:val="16"/>
    <w:autoRedefine/>
    <w:qFormat/>
    <w:uiPriority w:val="0"/>
    <w:pPr>
      <w:adjustRightInd/>
      <w:spacing w:line="240" w:lineRule="auto"/>
      <w:textAlignment w:val="auto"/>
    </w:pPr>
    <w:rPr>
      <w:rFonts w:ascii="Tahoma" w:hAnsi="Tahoma"/>
      <w:kern w:val="2"/>
      <w:sz w:val="24"/>
      <w:szCs w:val="24"/>
    </w:rPr>
  </w:style>
  <w:style w:type="paragraph" w:customStyle="1" w:styleId="121">
    <w:name w:val="Char Char Char Char Char Char Char1"/>
    <w:basedOn w:val="1"/>
    <w:autoRedefine/>
    <w:qFormat/>
    <w:uiPriority w:val="0"/>
  </w:style>
  <w:style w:type="paragraph" w:customStyle="1" w:styleId="122">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23">
    <w:name w:val="Char4"/>
    <w:basedOn w:val="1"/>
    <w:autoRedefine/>
    <w:qFormat/>
    <w:uiPriority w:val="0"/>
    <w:pPr>
      <w:tabs>
        <w:tab w:val="left" w:pos="360"/>
      </w:tabs>
      <w:ind w:left="252" w:hanging="252" w:hangingChars="140"/>
    </w:pPr>
    <w:rPr>
      <w:rFonts w:ascii="宋体"/>
      <w:sz w:val="18"/>
      <w:szCs w:val="18"/>
    </w:rPr>
  </w:style>
  <w:style w:type="paragraph" w:customStyle="1" w:styleId="124">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2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27">
    <w:name w:val="默认段落字体 Para Char Char Char Char Char Char Char Char Char1 Char Char Char Char"/>
    <w:basedOn w:val="1"/>
    <w:autoRedefine/>
    <w:qFormat/>
    <w:uiPriority w:val="0"/>
    <w:rPr>
      <w:rFonts w:ascii="Tahoma" w:hAnsi="Tahoma"/>
      <w:sz w:val="24"/>
      <w:szCs w:val="20"/>
    </w:rPr>
  </w:style>
  <w:style w:type="paragraph" w:customStyle="1" w:styleId="12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
    <w:name w:val="正文首行缩进两字符"/>
    <w:basedOn w:val="1"/>
    <w:autoRedefine/>
    <w:qFormat/>
    <w:uiPriority w:val="0"/>
    <w:pPr>
      <w:spacing w:line="360" w:lineRule="auto"/>
      <w:ind w:firstLine="200" w:firstLineChars="200"/>
    </w:pPr>
  </w:style>
  <w:style w:type="paragraph" w:customStyle="1" w:styleId="130">
    <w:name w:val="样式 首行缩进:  2 字符"/>
    <w:basedOn w:val="1"/>
    <w:autoRedefine/>
    <w:qFormat/>
    <w:uiPriority w:val="0"/>
    <w:pPr>
      <w:spacing w:line="400" w:lineRule="exact"/>
      <w:ind w:firstLine="200" w:firstLineChars="200"/>
    </w:pPr>
    <w:rPr>
      <w:rFonts w:cs="宋体"/>
      <w:sz w:val="24"/>
    </w:rPr>
  </w:style>
  <w:style w:type="paragraph" w:customStyle="1" w:styleId="131">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33">
    <w:name w:val="wdcj_7_p"/>
    <w:basedOn w:val="1"/>
    <w:autoRedefine/>
    <w:qFormat/>
    <w:uiPriority w:val="0"/>
    <w:pPr>
      <w:ind w:firstLine="480"/>
    </w:pPr>
  </w:style>
  <w:style w:type="paragraph" w:customStyle="1" w:styleId="134">
    <w:name w:val="null3"/>
    <w:autoRedefine/>
    <w:qFormat/>
    <w:uiPriority w:val="0"/>
    <w:rPr>
      <w:rFonts w:hint="eastAsia" w:ascii="Calibri" w:hAnsi="Calibri" w:eastAsia="宋体" w:cs="Times New Roman"/>
      <w:lang w:val="en-US" w:eastAsia="zh-Hans" w:bidi="ar-SA"/>
    </w:rPr>
  </w:style>
  <w:style w:type="character" w:customStyle="1" w:styleId="135">
    <w:name w:val="正文文本缩进 字符1"/>
    <w:link w:val="21"/>
    <w:autoRedefine/>
    <w:qFormat/>
    <w:uiPriority w:val="99"/>
    <w:rPr>
      <w:rFonts w:ascii="仿宋_GB2312" w:eastAsia="仿宋_GB2312"/>
      <w:kern w:val="2"/>
      <w:sz w:val="32"/>
    </w:rPr>
  </w:style>
  <w:style w:type="character" w:customStyle="1" w:styleId="136">
    <w:name w:val="正文文本首行缩进 2 字符1"/>
    <w:link w:val="52"/>
    <w:autoRedefine/>
    <w:qFormat/>
    <w:uiPriority w:val="0"/>
    <w:rPr>
      <w:kern w:val="2"/>
      <w:sz w:val="21"/>
      <w:szCs w:val="24"/>
    </w:rPr>
  </w:style>
  <w:style w:type="character" w:customStyle="1" w:styleId="137">
    <w:name w:val="标题 1 字符1"/>
    <w:link w:val="2"/>
    <w:autoRedefine/>
    <w:qFormat/>
    <w:uiPriority w:val="9"/>
    <w:rPr>
      <w:rFonts w:eastAsia="宋体"/>
      <w:b/>
      <w:bCs/>
      <w:kern w:val="44"/>
      <w:sz w:val="44"/>
      <w:szCs w:val="44"/>
      <w:lang w:val="en-US" w:eastAsia="zh-CN" w:bidi="ar-SA"/>
    </w:rPr>
  </w:style>
  <w:style w:type="character" w:customStyle="1" w:styleId="138">
    <w:name w:val="标题 2 字符1"/>
    <w:link w:val="3"/>
    <w:autoRedefine/>
    <w:qFormat/>
    <w:uiPriority w:val="0"/>
    <w:rPr>
      <w:rFonts w:ascii="Arial" w:hAnsi="Arial" w:eastAsia="黑体"/>
      <w:b/>
      <w:bCs/>
      <w:kern w:val="2"/>
      <w:sz w:val="32"/>
      <w:szCs w:val="32"/>
    </w:rPr>
  </w:style>
  <w:style w:type="character" w:customStyle="1" w:styleId="139">
    <w:name w:val="标题 3 字符1"/>
    <w:link w:val="4"/>
    <w:autoRedefine/>
    <w:qFormat/>
    <w:uiPriority w:val="0"/>
    <w:rPr>
      <w:b/>
      <w:bCs/>
      <w:kern w:val="2"/>
      <w:sz w:val="32"/>
      <w:szCs w:val="32"/>
    </w:rPr>
  </w:style>
  <w:style w:type="character" w:customStyle="1" w:styleId="140">
    <w:name w:val="标题 4 字符1"/>
    <w:link w:val="5"/>
    <w:autoRedefine/>
    <w:qFormat/>
    <w:uiPriority w:val="0"/>
    <w:rPr>
      <w:rFonts w:ascii="Arial" w:hAnsi="Arial" w:eastAsia="黑体"/>
      <w:sz w:val="28"/>
    </w:rPr>
  </w:style>
  <w:style w:type="character" w:customStyle="1" w:styleId="141">
    <w:name w:val="标题 5 字符1"/>
    <w:link w:val="6"/>
    <w:autoRedefine/>
    <w:qFormat/>
    <w:uiPriority w:val="0"/>
    <w:rPr>
      <w:b/>
      <w:kern w:val="2"/>
      <w:sz w:val="28"/>
      <w:szCs w:val="24"/>
    </w:rPr>
  </w:style>
  <w:style w:type="character" w:customStyle="1" w:styleId="142">
    <w:name w:val="标题 6 字符1"/>
    <w:link w:val="7"/>
    <w:autoRedefine/>
    <w:qFormat/>
    <w:uiPriority w:val="0"/>
    <w:rPr>
      <w:rFonts w:ascii="Arial" w:hAnsi="Arial" w:eastAsia="黑体"/>
      <w:b/>
      <w:kern w:val="2"/>
      <w:sz w:val="24"/>
      <w:szCs w:val="24"/>
    </w:rPr>
  </w:style>
  <w:style w:type="character" w:customStyle="1" w:styleId="143">
    <w:name w:val="标题 7 字符1"/>
    <w:link w:val="8"/>
    <w:autoRedefine/>
    <w:qFormat/>
    <w:uiPriority w:val="0"/>
    <w:rPr>
      <w:b/>
      <w:kern w:val="2"/>
      <w:sz w:val="24"/>
      <w:szCs w:val="24"/>
    </w:rPr>
  </w:style>
  <w:style w:type="character" w:customStyle="1" w:styleId="144">
    <w:name w:val="标题 8 字符1"/>
    <w:link w:val="10"/>
    <w:autoRedefine/>
    <w:qFormat/>
    <w:uiPriority w:val="0"/>
    <w:rPr>
      <w:rFonts w:ascii="Arial" w:hAnsi="Arial" w:eastAsia="黑体"/>
      <w:kern w:val="2"/>
      <w:sz w:val="24"/>
      <w:szCs w:val="24"/>
    </w:rPr>
  </w:style>
  <w:style w:type="character" w:customStyle="1" w:styleId="145">
    <w:name w:val="标题 9 字符1"/>
    <w:link w:val="11"/>
    <w:autoRedefine/>
    <w:qFormat/>
    <w:uiPriority w:val="0"/>
    <w:rPr>
      <w:rFonts w:ascii="Arial" w:hAnsi="Arial" w:eastAsia="黑体"/>
      <w:kern w:val="2"/>
      <w:sz w:val="21"/>
      <w:szCs w:val="24"/>
    </w:rPr>
  </w:style>
  <w:style w:type="character" w:customStyle="1" w:styleId="146">
    <w:name w:val="文档结构图 字符1"/>
    <w:link w:val="16"/>
    <w:autoRedefine/>
    <w:qFormat/>
    <w:uiPriority w:val="0"/>
    <w:rPr>
      <w:sz w:val="21"/>
      <w:shd w:val="clear" w:color="auto" w:fill="000080"/>
    </w:rPr>
  </w:style>
  <w:style w:type="character" w:customStyle="1" w:styleId="147">
    <w:name w:val="批注文字 字符1"/>
    <w:link w:val="18"/>
    <w:autoRedefine/>
    <w:qFormat/>
    <w:uiPriority w:val="99"/>
    <w:rPr>
      <w:kern w:val="2"/>
      <w:sz w:val="21"/>
      <w:szCs w:val="24"/>
    </w:rPr>
  </w:style>
  <w:style w:type="character" w:customStyle="1" w:styleId="148">
    <w:name w:val="正文文本 3 字符1"/>
    <w:link w:val="19"/>
    <w:autoRedefine/>
    <w:qFormat/>
    <w:uiPriority w:val="0"/>
    <w:rPr>
      <w:b/>
      <w:bCs/>
      <w:kern w:val="2"/>
      <w:sz w:val="24"/>
      <w:szCs w:val="24"/>
    </w:rPr>
  </w:style>
  <w:style w:type="character" w:customStyle="1" w:styleId="149">
    <w:name w:val="正文文本 字符1"/>
    <w:link w:val="20"/>
    <w:autoRedefine/>
    <w:qFormat/>
    <w:uiPriority w:val="99"/>
    <w:rPr>
      <w:rFonts w:ascii="Times New Roman" w:hAnsi="Times New Roman" w:eastAsia="宋体"/>
      <w:kern w:val="2"/>
      <w:sz w:val="21"/>
      <w:szCs w:val="24"/>
    </w:rPr>
  </w:style>
  <w:style w:type="character" w:customStyle="1" w:styleId="150">
    <w:name w:val="纯文本 字符1"/>
    <w:link w:val="28"/>
    <w:autoRedefine/>
    <w:qFormat/>
    <w:uiPriority w:val="99"/>
    <w:rPr>
      <w:rFonts w:ascii="宋体" w:hAnsi="Courier New" w:eastAsia="宋体" w:cs="Courier New"/>
      <w:kern w:val="2"/>
      <w:sz w:val="21"/>
      <w:szCs w:val="21"/>
      <w:lang w:val="en-US" w:eastAsia="zh-CN" w:bidi="ar-SA"/>
    </w:rPr>
  </w:style>
  <w:style w:type="character" w:customStyle="1" w:styleId="151">
    <w:name w:val="TOC 8 字符"/>
    <w:link w:val="29"/>
    <w:autoRedefine/>
    <w:qFormat/>
    <w:uiPriority w:val="0"/>
    <w:rPr>
      <w:kern w:val="0"/>
      <w:szCs w:val="20"/>
    </w:rPr>
  </w:style>
  <w:style w:type="character" w:customStyle="1" w:styleId="152">
    <w:name w:val="日期 字符1"/>
    <w:link w:val="30"/>
    <w:autoRedefine/>
    <w:qFormat/>
    <w:uiPriority w:val="0"/>
    <w:rPr>
      <w:rFonts w:ascii="宋体" w:hAnsi="Courier New" w:cs="Courier New"/>
      <w:kern w:val="2"/>
      <w:sz w:val="21"/>
      <w:szCs w:val="21"/>
    </w:rPr>
  </w:style>
  <w:style w:type="character" w:customStyle="1" w:styleId="153">
    <w:name w:val="正文文本缩进 2 字符1"/>
    <w:link w:val="31"/>
    <w:autoRedefine/>
    <w:qFormat/>
    <w:uiPriority w:val="0"/>
    <w:rPr>
      <w:kern w:val="2"/>
      <w:sz w:val="32"/>
    </w:rPr>
  </w:style>
  <w:style w:type="character" w:customStyle="1" w:styleId="154">
    <w:name w:val="批注框文本 字符1"/>
    <w:link w:val="32"/>
    <w:autoRedefine/>
    <w:qFormat/>
    <w:uiPriority w:val="0"/>
    <w:rPr>
      <w:kern w:val="2"/>
      <w:sz w:val="18"/>
      <w:szCs w:val="18"/>
    </w:rPr>
  </w:style>
  <w:style w:type="character" w:customStyle="1" w:styleId="155">
    <w:name w:val="页脚 字符1"/>
    <w:link w:val="33"/>
    <w:autoRedefine/>
    <w:qFormat/>
    <w:uiPriority w:val="0"/>
    <w:rPr>
      <w:kern w:val="2"/>
      <w:sz w:val="18"/>
      <w:szCs w:val="18"/>
    </w:rPr>
  </w:style>
  <w:style w:type="character" w:customStyle="1" w:styleId="156">
    <w:name w:val="页眉 字符1"/>
    <w:link w:val="34"/>
    <w:autoRedefine/>
    <w:qFormat/>
    <w:uiPriority w:val="99"/>
    <w:rPr>
      <w:kern w:val="2"/>
      <w:sz w:val="18"/>
      <w:szCs w:val="18"/>
    </w:rPr>
  </w:style>
  <w:style w:type="character" w:customStyle="1" w:styleId="157">
    <w:name w:val="正文文本缩进 3 字符1"/>
    <w:link w:val="40"/>
    <w:autoRedefine/>
    <w:qFormat/>
    <w:uiPriority w:val="0"/>
    <w:rPr>
      <w:kern w:val="2"/>
      <w:sz w:val="16"/>
      <w:szCs w:val="16"/>
    </w:rPr>
  </w:style>
  <w:style w:type="character" w:customStyle="1" w:styleId="158">
    <w:name w:val="正文文本 2 字符1"/>
    <w:link w:val="43"/>
    <w:autoRedefine/>
    <w:qFormat/>
    <w:uiPriority w:val="0"/>
    <w:rPr>
      <w:kern w:val="2"/>
      <w:sz w:val="21"/>
      <w:szCs w:val="24"/>
    </w:rPr>
  </w:style>
  <w:style w:type="character" w:customStyle="1" w:styleId="159">
    <w:name w:val="HTML 预设格式 字符1"/>
    <w:link w:val="46"/>
    <w:autoRedefine/>
    <w:qFormat/>
    <w:uiPriority w:val="0"/>
    <w:rPr>
      <w:rFonts w:ascii="黑体" w:hAnsi="Courier New" w:eastAsia="黑体" w:cs="Courier New"/>
    </w:rPr>
  </w:style>
  <w:style w:type="character" w:customStyle="1" w:styleId="160">
    <w:name w:val="标题 字符1"/>
    <w:link w:val="49"/>
    <w:autoRedefine/>
    <w:qFormat/>
    <w:uiPriority w:val="0"/>
    <w:rPr>
      <w:kern w:val="2"/>
      <w:sz w:val="30"/>
      <w:szCs w:val="24"/>
    </w:rPr>
  </w:style>
  <w:style w:type="character" w:customStyle="1" w:styleId="161">
    <w:name w:val="批注主题 字符1"/>
    <w:link w:val="50"/>
    <w:autoRedefine/>
    <w:qFormat/>
    <w:uiPriority w:val="0"/>
    <w:rPr>
      <w:b/>
      <w:bCs/>
      <w:kern w:val="2"/>
      <w:sz w:val="21"/>
      <w:szCs w:val="24"/>
    </w:rPr>
  </w:style>
  <w:style w:type="character" w:customStyle="1" w:styleId="162">
    <w:name w:val="正文文本首行缩进 字符1"/>
    <w:link w:val="51"/>
    <w:autoRedefine/>
    <w:qFormat/>
    <w:uiPriority w:val="0"/>
    <w:rPr>
      <w:kern w:val="2"/>
      <w:sz w:val="21"/>
      <w:szCs w:val="24"/>
    </w:rPr>
  </w:style>
  <w:style w:type="character" w:customStyle="1" w:styleId="163">
    <w:name w:val="tag-type1"/>
    <w:autoRedefine/>
    <w:qFormat/>
    <w:uiPriority w:val="0"/>
    <w:rPr>
      <w:color w:val="FFFFFF"/>
      <w:sz w:val="18"/>
      <w:szCs w:val="18"/>
      <w:shd w:val="clear" w:color="auto" w:fill="317FFD"/>
    </w:rPr>
  </w:style>
  <w:style w:type="character" w:customStyle="1" w:styleId="164">
    <w:name w:val="fontstyle01"/>
    <w:autoRedefine/>
    <w:qFormat/>
    <w:uiPriority w:val="0"/>
    <w:rPr>
      <w:rFonts w:hint="eastAsia" w:ascii="仿宋" w:hAnsi="仿宋" w:eastAsia="仿宋"/>
      <w:color w:val="000000"/>
      <w:sz w:val="24"/>
      <w:szCs w:val="24"/>
    </w:rPr>
  </w:style>
  <w:style w:type="character" w:customStyle="1" w:styleId="165">
    <w:name w:val="ant-select-tree-iconele"/>
    <w:autoRedefine/>
    <w:qFormat/>
    <w:uiPriority w:val="0"/>
  </w:style>
  <w:style w:type="character" w:customStyle="1" w:styleId="166">
    <w:name w:val="label2"/>
    <w:autoRedefine/>
    <w:qFormat/>
    <w:uiPriority w:val="0"/>
  </w:style>
  <w:style w:type="character" w:customStyle="1" w:styleId="167">
    <w:name w:val="font01"/>
    <w:autoRedefine/>
    <w:qFormat/>
    <w:uiPriority w:val="0"/>
    <w:rPr>
      <w:rFonts w:hint="eastAsia" w:ascii="宋体" w:hAnsi="宋体" w:eastAsia="宋体"/>
      <w:color w:val="000000"/>
      <w:sz w:val="22"/>
      <w:szCs w:val="22"/>
      <w:u w:val="none"/>
    </w:rPr>
  </w:style>
  <w:style w:type="character" w:customStyle="1" w:styleId="168">
    <w:name w:val="标题 5 字符"/>
    <w:autoRedefine/>
    <w:semiHidden/>
    <w:qFormat/>
    <w:uiPriority w:val="9"/>
    <w:rPr>
      <w:b/>
      <w:bCs/>
      <w:kern w:val="2"/>
      <w:sz w:val="28"/>
      <w:szCs w:val="28"/>
    </w:rPr>
  </w:style>
  <w:style w:type="character" w:customStyle="1" w:styleId="169">
    <w:name w:val="f151"/>
    <w:autoRedefine/>
    <w:qFormat/>
    <w:uiPriority w:val="0"/>
    <w:rPr>
      <w:sz w:val="23"/>
      <w:szCs w:val="23"/>
    </w:rPr>
  </w:style>
  <w:style w:type="character" w:customStyle="1" w:styleId="170">
    <w:name w:val="正文小四1.5倍行距 Char"/>
    <w:link w:val="68"/>
    <w:autoRedefine/>
    <w:qFormat/>
    <w:locked/>
    <w:uiPriority w:val="0"/>
    <w:rPr>
      <w:rFonts w:ascii="宋体" w:hAnsi="宋体"/>
    </w:rPr>
  </w:style>
  <w:style w:type="character" w:customStyle="1" w:styleId="171">
    <w:name w:val="style21"/>
    <w:autoRedefine/>
    <w:qFormat/>
    <w:uiPriority w:val="0"/>
    <w:rPr>
      <w:sz w:val="17"/>
      <w:szCs w:val="17"/>
    </w:rPr>
  </w:style>
  <w:style w:type="character" w:customStyle="1" w:styleId="172">
    <w:name w:val="temp"/>
    <w:autoRedefine/>
    <w:qFormat/>
    <w:uiPriority w:val="0"/>
  </w:style>
  <w:style w:type="character" w:customStyle="1" w:styleId="173">
    <w:name w:val="small"/>
    <w:autoRedefine/>
    <w:qFormat/>
    <w:uiPriority w:val="0"/>
  </w:style>
  <w:style w:type="character" w:customStyle="1" w:styleId="174">
    <w:name w:val="temp2"/>
    <w:autoRedefine/>
    <w:qFormat/>
    <w:uiPriority w:val="0"/>
  </w:style>
  <w:style w:type="character" w:customStyle="1" w:styleId="175">
    <w:name w:val="批注框文本 字符"/>
    <w:autoRedefine/>
    <w:semiHidden/>
    <w:qFormat/>
    <w:uiPriority w:val="99"/>
    <w:rPr>
      <w:kern w:val="2"/>
      <w:sz w:val="18"/>
      <w:szCs w:val="18"/>
    </w:rPr>
  </w:style>
  <w:style w:type="character" w:customStyle="1" w:styleId="176">
    <w:name w:val="1051"/>
    <w:autoRedefine/>
    <w:qFormat/>
    <w:uiPriority w:val="0"/>
    <w:rPr>
      <w:sz w:val="21"/>
      <w:szCs w:val="21"/>
    </w:rPr>
  </w:style>
  <w:style w:type="character" w:customStyle="1" w:styleId="177">
    <w:name w:val="c-icon13"/>
    <w:autoRedefine/>
    <w:qFormat/>
    <w:uiPriority w:val="0"/>
  </w:style>
  <w:style w:type="character" w:customStyle="1" w:styleId="178">
    <w:name w:val="ant-badge-status-dot"/>
    <w:autoRedefine/>
    <w:qFormat/>
    <w:uiPriority w:val="0"/>
    <w:rPr>
      <w:shd w:val="clear" w:color="auto" w:fill="FFFFFF"/>
    </w:rPr>
  </w:style>
  <w:style w:type="character" w:customStyle="1" w:styleId="179">
    <w:name w:val="gray12"/>
    <w:autoRedefine/>
    <w:qFormat/>
    <w:uiPriority w:val="0"/>
  </w:style>
  <w:style w:type="character" w:customStyle="1" w:styleId="180">
    <w:name w:val="change-camera-place"/>
    <w:autoRedefine/>
    <w:qFormat/>
    <w:uiPriority w:val="0"/>
    <w:rPr>
      <w:color w:val="3177FD"/>
    </w:rPr>
  </w:style>
  <w:style w:type="character" w:customStyle="1" w:styleId="181">
    <w:name w:val="页脚 字符"/>
    <w:autoRedefine/>
    <w:semiHidden/>
    <w:qFormat/>
    <w:uiPriority w:val="99"/>
    <w:rPr>
      <w:kern w:val="2"/>
      <w:sz w:val="18"/>
      <w:szCs w:val="18"/>
    </w:rPr>
  </w:style>
  <w:style w:type="character" w:customStyle="1" w:styleId="182">
    <w:name w:val="批注文字 字符"/>
    <w:autoRedefine/>
    <w:semiHidden/>
    <w:qFormat/>
    <w:uiPriority w:val="99"/>
    <w:rPr>
      <w:kern w:val="2"/>
      <w:sz w:val="21"/>
      <w:szCs w:val="24"/>
    </w:rPr>
  </w:style>
  <w:style w:type="character" w:customStyle="1" w:styleId="183">
    <w:name w:val="font81"/>
    <w:autoRedefine/>
    <w:qFormat/>
    <w:uiPriority w:val="0"/>
    <w:rPr>
      <w:rFonts w:hint="eastAsia" w:ascii="微软雅黑" w:hAnsi="微软雅黑" w:eastAsia="微软雅黑" w:cs="微软雅黑"/>
      <w:color w:val="000000"/>
      <w:sz w:val="22"/>
      <w:szCs w:val="22"/>
      <w:u w:val="none"/>
    </w:rPr>
  </w:style>
  <w:style w:type="character" w:customStyle="1" w:styleId="184">
    <w:name w:val="font61"/>
    <w:autoRedefine/>
    <w:qFormat/>
    <w:uiPriority w:val="0"/>
    <w:rPr>
      <w:rFonts w:hint="eastAsia" w:ascii="微软雅黑" w:hAnsi="微软雅黑" w:eastAsia="微软雅黑" w:cs="微软雅黑"/>
      <w:color w:val="000000"/>
      <w:sz w:val="24"/>
      <w:szCs w:val="24"/>
      <w:u w:val="none"/>
    </w:rPr>
  </w:style>
  <w:style w:type="character" w:customStyle="1" w:styleId="185">
    <w:name w:val="info-content"/>
    <w:autoRedefine/>
    <w:qFormat/>
    <w:uiPriority w:val="0"/>
    <w:rPr>
      <w:color w:val="808080"/>
    </w:rPr>
  </w:style>
  <w:style w:type="character" w:customStyle="1" w:styleId="186">
    <w:name w:val="标题 7 字符"/>
    <w:autoRedefine/>
    <w:semiHidden/>
    <w:qFormat/>
    <w:uiPriority w:val="9"/>
    <w:rPr>
      <w:b/>
      <w:bCs/>
      <w:kern w:val="2"/>
      <w:sz w:val="24"/>
      <w:szCs w:val="24"/>
    </w:rPr>
  </w:style>
  <w:style w:type="character" w:customStyle="1" w:styleId="187">
    <w:name w:val="tag-type"/>
    <w:autoRedefine/>
    <w:qFormat/>
    <w:uiPriority w:val="0"/>
    <w:rPr>
      <w:color w:val="FFFFFF"/>
      <w:sz w:val="18"/>
      <w:szCs w:val="18"/>
      <w:shd w:val="clear" w:color="auto" w:fill="317FFD"/>
    </w:rPr>
  </w:style>
  <w:style w:type="character" w:customStyle="1" w:styleId="188">
    <w:name w:val="正文文本首行缩进 2 字符"/>
    <w:autoRedefine/>
    <w:semiHidden/>
    <w:qFormat/>
    <w:uiPriority w:val="99"/>
  </w:style>
  <w:style w:type="character" w:customStyle="1" w:styleId="189">
    <w:name w:val="标题 1 字符"/>
    <w:autoRedefine/>
    <w:qFormat/>
    <w:uiPriority w:val="9"/>
    <w:rPr>
      <w:b/>
      <w:bCs/>
      <w:kern w:val="44"/>
      <w:sz w:val="44"/>
      <w:szCs w:val="44"/>
    </w:rPr>
  </w:style>
  <w:style w:type="character" w:customStyle="1" w:styleId="190">
    <w:name w:val="文档结构图 字符"/>
    <w:autoRedefine/>
    <w:semiHidden/>
    <w:qFormat/>
    <w:uiPriority w:val="99"/>
    <w:rPr>
      <w:rFonts w:ascii="Microsoft YaHei UI" w:eastAsia="Microsoft YaHei UI"/>
      <w:kern w:val="2"/>
      <w:sz w:val="18"/>
      <w:szCs w:val="18"/>
    </w:rPr>
  </w:style>
  <w:style w:type="character" w:customStyle="1" w:styleId="191">
    <w:name w:val="last-child4"/>
    <w:autoRedefine/>
    <w:qFormat/>
    <w:uiPriority w:val="0"/>
  </w:style>
  <w:style w:type="character" w:customStyle="1" w:styleId="192">
    <w:name w:val="ant-select-tree-checkbox2"/>
    <w:autoRedefine/>
    <w:qFormat/>
    <w:uiPriority w:val="0"/>
  </w:style>
  <w:style w:type="character" w:customStyle="1" w:styleId="193">
    <w:name w:val="content2"/>
    <w:autoRedefine/>
    <w:qFormat/>
    <w:uiPriority w:val="0"/>
  </w:style>
  <w:style w:type="character" w:customStyle="1" w:styleId="194">
    <w:name w:val="style11"/>
    <w:autoRedefine/>
    <w:qFormat/>
    <w:uiPriority w:val="0"/>
    <w:rPr>
      <w:rFonts w:hint="default" w:ascii="Arial" w:hAnsi="Arial" w:cs="Arial"/>
    </w:rPr>
  </w:style>
  <w:style w:type="character" w:customStyle="1" w:styleId="195">
    <w:name w:val="last-child7"/>
    <w:autoRedefine/>
    <w:qFormat/>
    <w:uiPriority w:val="0"/>
  </w:style>
  <w:style w:type="character" w:customStyle="1" w:styleId="196">
    <w:name w:val="标题 字符"/>
    <w:autoRedefine/>
    <w:qFormat/>
    <w:uiPriority w:val="10"/>
    <w:rPr>
      <w:rFonts w:ascii="等线 Light" w:hAnsi="等线 Light" w:eastAsia="等线 Light" w:cs="Times New Roman"/>
      <w:b/>
      <w:bCs/>
      <w:kern w:val="2"/>
      <w:sz w:val="32"/>
      <w:szCs w:val="32"/>
    </w:rPr>
  </w:style>
  <w:style w:type="character" w:customStyle="1" w:styleId="197">
    <w:name w:val="标题3 Char"/>
    <w:link w:val="69"/>
    <w:autoRedefine/>
    <w:qFormat/>
    <w:uiPriority w:val="0"/>
    <w:rPr>
      <w:rFonts w:ascii="宋体" w:hAnsi="宋体"/>
      <w:b/>
      <w:bCs/>
      <w:kern w:val="44"/>
      <w:sz w:val="24"/>
      <w:szCs w:val="24"/>
    </w:rPr>
  </w:style>
  <w:style w:type="character" w:customStyle="1" w:styleId="198">
    <w:name w:val="标题 6 字符"/>
    <w:autoRedefine/>
    <w:semiHidden/>
    <w:qFormat/>
    <w:uiPriority w:val="9"/>
    <w:rPr>
      <w:rFonts w:ascii="等线 Light" w:hAnsi="等线 Light" w:eastAsia="等线 Light" w:cs="Times New Roman"/>
      <w:b/>
      <w:bCs/>
      <w:kern w:val="2"/>
      <w:sz w:val="24"/>
      <w:szCs w:val="24"/>
    </w:rPr>
  </w:style>
  <w:style w:type="character" w:customStyle="1" w:styleId="199">
    <w:name w:val="正文文本缩进 字符"/>
    <w:autoRedefine/>
    <w:semiHidden/>
    <w:qFormat/>
    <w:uiPriority w:val="99"/>
    <w:rPr>
      <w:kern w:val="2"/>
      <w:sz w:val="21"/>
      <w:szCs w:val="24"/>
    </w:rPr>
  </w:style>
  <w:style w:type="character" w:customStyle="1" w:styleId="200">
    <w:name w:val="unnamed3"/>
    <w:autoRedefine/>
    <w:qFormat/>
    <w:uiPriority w:val="0"/>
  </w:style>
  <w:style w:type="character" w:customStyle="1" w:styleId="201">
    <w:name w:val="mark8"/>
    <w:autoRedefine/>
    <w:qFormat/>
    <w:uiPriority w:val="0"/>
    <w:rPr>
      <w:b/>
      <w:bCs/>
      <w:sz w:val="21"/>
      <w:szCs w:val="21"/>
    </w:rPr>
  </w:style>
  <w:style w:type="character" w:customStyle="1" w:styleId="202">
    <w:name w:val="all-fit-info2"/>
    <w:autoRedefine/>
    <w:qFormat/>
    <w:uiPriority w:val="0"/>
    <w:rPr>
      <w:color w:val="939393"/>
    </w:rPr>
  </w:style>
  <w:style w:type="character" w:customStyle="1" w:styleId="203">
    <w:name w:val="纯文本 字符"/>
    <w:autoRedefine/>
    <w:semiHidden/>
    <w:qFormat/>
    <w:uiPriority w:val="99"/>
    <w:rPr>
      <w:rFonts w:ascii="等线" w:hAnsi="Courier New" w:eastAsia="等线" w:cs="Courier New"/>
      <w:kern w:val="2"/>
      <w:sz w:val="21"/>
      <w:szCs w:val="24"/>
    </w:rPr>
  </w:style>
  <w:style w:type="character" w:customStyle="1" w:styleId="204">
    <w:name w:val="正文文本 3 字符"/>
    <w:autoRedefine/>
    <w:semiHidden/>
    <w:qFormat/>
    <w:uiPriority w:val="99"/>
    <w:rPr>
      <w:kern w:val="2"/>
      <w:sz w:val="16"/>
      <w:szCs w:val="16"/>
    </w:rPr>
  </w:style>
  <w:style w:type="character" w:customStyle="1" w:styleId="205">
    <w:name w:val="标准正文样式 Char"/>
    <w:link w:val="70"/>
    <w:autoRedefine/>
    <w:qFormat/>
    <w:uiPriority w:val="0"/>
    <w:rPr>
      <w:kern w:val="2"/>
      <w:sz w:val="24"/>
    </w:rPr>
  </w:style>
  <w:style w:type="character" w:customStyle="1" w:styleId="206">
    <w:name w:val="fd"/>
    <w:autoRedefine/>
    <w:qFormat/>
    <w:uiPriority w:val="0"/>
  </w:style>
  <w:style w:type="character" w:customStyle="1" w:styleId="207">
    <w:name w:val="标题 2 字符"/>
    <w:autoRedefine/>
    <w:semiHidden/>
    <w:qFormat/>
    <w:uiPriority w:val="9"/>
    <w:rPr>
      <w:rFonts w:ascii="等线 Light" w:hAnsi="等线 Light" w:eastAsia="等线 Light" w:cs="Times New Roman"/>
      <w:b/>
      <w:bCs/>
      <w:kern w:val="2"/>
      <w:sz w:val="32"/>
      <w:szCs w:val="32"/>
    </w:rPr>
  </w:style>
  <w:style w:type="character" w:customStyle="1" w:styleId="208">
    <w:name w:val="页眉 字符"/>
    <w:autoRedefine/>
    <w:semiHidden/>
    <w:qFormat/>
    <w:uiPriority w:val="99"/>
    <w:rPr>
      <w:kern w:val="2"/>
      <w:sz w:val="18"/>
      <w:szCs w:val="18"/>
    </w:rPr>
  </w:style>
  <w:style w:type="character" w:customStyle="1" w:styleId="209">
    <w:name w:val="last-of-type"/>
    <w:autoRedefine/>
    <w:qFormat/>
    <w:uiPriority w:val="0"/>
    <w:rPr>
      <w:color w:val="FF4A44"/>
      <w:sz w:val="27"/>
      <w:szCs w:val="27"/>
    </w:rPr>
  </w:style>
  <w:style w:type="character" w:customStyle="1" w:styleId="210">
    <w:name w:val="apple-converted-space"/>
    <w:autoRedefine/>
    <w:qFormat/>
    <w:uiPriority w:val="0"/>
  </w:style>
  <w:style w:type="character" w:customStyle="1" w:styleId="211">
    <w:name w:val="ant-tree-checkbox2"/>
    <w:autoRedefine/>
    <w:qFormat/>
    <w:uiPriority w:val="0"/>
  </w:style>
  <w:style w:type="character" w:customStyle="1" w:styleId="212">
    <w:name w:val="正文文本 2 字符"/>
    <w:autoRedefine/>
    <w:semiHidden/>
    <w:qFormat/>
    <w:uiPriority w:val="99"/>
    <w:rPr>
      <w:kern w:val="2"/>
      <w:sz w:val="21"/>
      <w:szCs w:val="24"/>
    </w:rPr>
  </w:style>
  <w:style w:type="character" w:customStyle="1" w:styleId="213">
    <w:name w:val="纯文本 Char1"/>
    <w:autoRedefine/>
    <w:qFormat/>
    <w:uiPriority w:val="0"/>
    <w:rPr>
      <w:rFonts w:ascii="宋体" w:hAnsi="Courier New" w:eastAsia="宋体" w:cs="Courier New"/>
      <w:kern w:val="2"/>
      <w:sz w:val="21"/>
      <w:szCs w:val="21"/>
      <w:lang w:val="en-US" w:eastAsia="zh-CN" w:bidi="ar-SA"/>
    </w:rPr>
  </w:style>
  <w:style w:type="character" w:customStyle="1" w:styleId="214">
    <w:name w:val="正文文本缩进 2 字符"/>
    <w:autoRedefine/>
    <w:semiHidden/>
    <w:qFormat/>
    <w:uiPriority w:val="99"/>
    <w:rPr>
      <w:kern w:val="2"/>
      <w:sz w:val="21"/>
      <w:szCs w:val="24"/>
    </w:rPr>
  </w:style>
  <w:style w:type="character" w:customStyle="1" w:styleId="215">
    <w:name w:val="graytext1"/>
    <w:autoRedefine/>
    <w:qFormat/>
    <w:uiPriority w:val="0"/>
    <w:rPr>
      <w:color w:val="666666"/>
    </w:rPr>
  </w:style>
  <w:style w:type="character" w:customStyle="1" w:styleId="216">
    <w:name w:val="selected"/>
    <w:autoRedefine/>
    <w:qFormat/>
    <w:uiPriority w:val="0"/>
  </w:style>
  <w:style w:type="character" w:customStyle="1" w:styleId="217">
    <w:name w:val="062"/>
    <w:autoRedefine/>
    <w:qFormat/>
    <w:uiPriority w:val="0"/>
    <w:rPr>
      <w:rFonts w:ascii="宋体" w:hAnsi="宋体"/>
      <w:b/>
      <w:bCs/>
      <w:sz w:val="32"/>
    </w:rPr>
  </w:style>
  <w:style w:type="character" w:customStyle="1" w:styleId="218">
    <w:name w:val="标题 9 字符"/>
    <w:autoRedefine/>
    <w:semiHidden/>
    <w:qFormat/>
    <w:uiPriority w:val="9"/>
    <w:rPr>
      <w:rFonts w:ascii="等线 Light" w:hAnsi="等线 Light" w:eastAsia="等线 Light" w:cs="Times New Roman"/>
      <w:kern w:val="2"/>
      <w:sz w:val="21"/>
      <w:szCs w:val="21"/>
    </w:rPr>
  </w:style>
  <w:style w:type="character" w:customStyle="1" w:styleId="219">
    <w:name w:val="text11"/>
    <w:autoRedefine/>
    <w:qFormat/>
    <w:uiPriority w:val="0"/>
    <w:rPr>
      <w:rFonts w:hint="default" w:ascii="Verdana" w:hAnsi="Verdana"/>
      <w:color w:val="4E4E4E"/>
      <w:sz w:val="18"/>
      <w:szCs w:val="18"/>
    </w:rPr>
  </w:style>
  <w:style w:type="character" w:customStyle="1" w:styleId="220">
    <w:name w:val="last-child5"/>
    <w:autoRedefine/>
    <w:qFormat/>
    <w:uiPriority w:val="0"/>
  </w:style>
  <w:style w:type="character" w:customStyle="1" w:styleId="221">
    <w:name w:val="ant-tree-switcher"/>
    <w:autoRedefine/>
    <w:qFormat/>
    <w:uiPriority w:val="0"/>
  </w:style>
  <w:style w:type="character" w:customStyle="1" w:styleId="222">
    <w:name w:val="short_text1"/>
    <w:autoRedefine/>
    <w:qFormat/>
    <w:uiPriority w:val="0"/>
    <w:rPr>
      <w:sz w:val="26"/>
    </w:rPr>
  </w:style>
  <w:style w:type="character" w:customStyle="1" w:styleId="223">
    <w:name w:val="ant-tree-icon_loading"/>
    <w:autoRedefine/>
    <w:qFormat/>
    <w:uiPriority w:val="0"/>
    <w:rPr>
      <w:shd w:val="clear" w:color="auto" w:fill="FFFFFF"/>
    </w:rPr>
  </w:style>
  <w:style w:type="character" w:customStyle="1" w:styleId="224">
    <w:name w:val="last-child6"/>
    <w:autoRedefine/>
    <w:qFormat/>
    <w:uiPriority w:val="0"/>
  </w:style>
  <w:style w:type="character" w:customStyle="1" w:styleId="225">
    <w:name w:val="正文文本缩进 3 字符"/>
    <w:autoRedefine/>
    <w:semiHidden/>
    <w:qFormat/>
    <w:uiPriority w:val="99"/>
    <w:rPr>
      <w:kern w:val="2"/>
      <w:sz w:val="16"/>
      <w:szCs w:val="16"/>
    </w:rPr>
  </w:style>
  <w:style w:type="character" w:customStyle="1" w:styleId="226">
    <w:name w:val="highlight"/>
    <w:autoRedefine/>
    <w:qFormat/>
    <w:uiPriority w:val="0"/>
  </w:style>
  <w:style w:type="character" w:customStyle="1" w:styleId="227">
    <w:name w:val="c-icon"/>
    <w:autoRedefine/>
    <w:qFormat/>
    <w:uiPriority w:val="0"/>
  </w:style>
  <w:style w:type="character" w:customStyle="1" w:styleId="228">
    <w:name w:val="标题 8 字符"/>
    <w:autoRedefine/>
    <w:semiHidden/>
    <w:qFormat/>
    <w:uiPriority w:val="9"/>
    <w:rPr>
      <w:rFonts w:ascii="等线 Light" w:hAnsi="等线 Light" w:eastAsia="等线 Light" w:cs="Times New Roman"/>
      <w:kern w:val="2"/>
      <w:sz w:val="24"/>
      <w:szCs w:val="24"/>
    </w:rPr>
  </w:style>
  <w:style w:type="character" w:customStyle="1" w:styleId="229">
    <w:name w:val="ant-tree-iconele"/>
    <w:autoRedefine/>
    <w:qFormat/>
    <w:uiPriority w:val="0"/>
  </w:style>
  <w:style w:type="character" w:customStyle="1" w:styleId="230">
    <w:name w:val="标题 4 字符"/>
    <w:autoRedefine/>
    <w:semiHidden/>
    <w:qFormat/>
    <w:uiPriority w:val="9"/>
    <w:rPr>
      <w:rFonts w:ascii="等线 Light" w:hAnsi="等线 Light" w:eastAsia="等线 Light" w:cs="Times New Roman"/>
      <w:b/>
      <w:bCs/>
      <w:kern w:val="2"/>
      <w:sz w:val="28"/>
      <w:szCs w:val="28"/>
    </w:rPr>
  </w:style>
  <w:style w:type="character" w:customStyle="1" w:styleId="231">
    <w:name w:val="all-fit-info"/>
    <w:autoRedefine/>
    <w:qFormat/>
    <w:uiPriority w:val="0"/>
    <w:rPr>
      <w:color w:val="939393"/>
    </w:rPr>
  </w:style>
  <w:style w:type="character" w:customStyle="1" w:styleId="232">
    <w:name w:val="正文文本 字符"/>
    <w:autoRedefine/>
    <w:semiHidden/>
    <w:qFormat/>
    <w:uiPriority w:val="99"/>
    <w:rPr>
      <w:kern w:val="2"/>
      <w:sz w:val="21"/>
      <w:szCs w:val="24"/>
    </w:rPr>
  </w:style>
  <w:style w:type="character" w:customStyle="1" w:styleId="233">
    <w:name w:val="ant-select-tree-switcher"/>
    <w:autoRedefine/>
    <w:qFormat/>
    <w:uiPriority w:val="0"/>
  </w:style>
  <w:style w:type="character" w:customStyle="1" w:styleId="234">
    <w:name w:val="info-label"/>
    <w:autoRedefine/>
    <w:qFormat/>
    <w:uiPriority w:val="0"/>
    <w:rPr>
      <w:b/>
    </w:rPr>
  </w:style>
  <w:style w:type="character" w:customStyle="1" w:styleId="235">
    <w:name w:val="批注主题 字符"/>
    <w:autoRedefine/>
    <w:semiHidden/>
    <w:qFormat/>
    <w:uiPriority w:val="99"/>
    <w:rPr>
      <w:b/>
      <w:bCs/>
      <w:kern w:val="2"/>
      <w:sz w:val="21"/>
      <w:szCs w:val="24"/>
    </w:rPr>
  </w:style>
  <w:style w:type="character" w:customStyle="1" w:styleId="236">
    <w:name w:val="标题 3 字符"/>
    <w:autoRedefine/>
    <w:semiHidden/>
    <w:qFormat/>
    <w:uiPriority w:val="9"/>
    <w:rPr>
      <w:b/>
      <w:bCs/>
      <w:kern w:val="2"/>
      <w:sz w:val="32"/>
      <w:szCs w:val="32"/>
    </w:rPr>
  </w:style>
  <w:style w:type="character" w:customStyle="1" w:styleId="237">
    <w:name w:val="c-icon14"/>
    <w:autoRedefine/>
    <w:qFormat/>
    <w:uiPriority w:val="0"/>
  </w:style>
  <w:style w:type="character" w:customStyle="1" w:styleId="238">
    <w:name w:val="z-窗体顶端 字符1"/>
    <w:link w:val="71"/>
    <w:autoRedefine/>
    <w:qFormat/>
    <w:uiPriority w:val="0"/>
    <w:rPr>
      <w:rFonts w:ascii="Arial"/>
      <w:vanish/>
      <w:kern w:val="2"/>
      <w:sz w:val="16"/>
      <w:szCs w:val="24"/>
    </w:rPr>
  </w:style>
  <w:style w:type="character" w:customStyle="1" w:styleId="239">
    <w:name w:val="current"/>
    <w:autoRedefine/>
    <w:qFormat/>
    <w:uiPriority w:val="0"/>
    <w:rPr>
      <w:color w:val="00C1DE"/>
    </w:rPr>
  </w:style>
  <w:style w:type="character" w:customStyle="1" w:styleId="240">
    <w:name w:val="all-fit-info1"/>
    <w:autoRedefine/>
    <w:qFormat/>
    <w:uiPriority w:val="0"/>
    <w:rPr>
      <w:color w:val="939393"/>
    </w:rPr>
  </w:style>
  <w:style w:type="character" w:customStyle="1" w:styleId="241">
    <w:name w:val="current1"/>
    <w:autoRedefine/>
    <w:qFormat/>
    <w:uiPriority w:val="0"/>
    <w:rPr>
      <w:color w:val="00C1DE"/>
    </w:rPr>
  </w:style>
  <w:style w:type="character" w:customStyle="1" w:styleId="242">
    <w:name w:val="批注文字 Char"/>
    <w:autoRedefine/>
    <w:qFormat/>
    <w:uiPriority w:val="99"/>
    <w:rPr>
      <w:kern w:val="2"/>
      <w:sz w:val="21"/>
      <w:szCs w:val="24"/>
    </w:rPr>
  </w:style>
  <w:style w:type="character" w:customStyle="1" w:styleId="243">
    <w:name w:val="white"/>
    <w:autoRedefine/>
    <w:qFormat/>
    <w:uiPriority w:val="0"/>
  </w:style>
  <w:style w:type="character" w:customStyle="1" w:styleId="244">
    <w:name w:val="日期 字符"/>
    <w:autoRedefine/>
    <w:semiHidden/>
    <w:qFormat/>
    <w:uiPriority w:val="99"/>
    <w:rPr>
      <w:kern w:val="2"/>
      <w:sz w:val="21"/>
      <w:szCs w:val="24"/>
    </w:rPr>
  </w:style>
  <w:style w:type="character" w:customStyle="1" w:styleId="245">
    <w:name w:val="z-窗体顶端 字符"/>
    <w:autoRedefine/>
    <w:semiHidden/>
    <w:qFormat/>
    <w:uiPriority w:val="99"/>
    <w:rPr>
      <w:rFonts w:ascii="Arial" w:hAnsi="Arial" w:cs="Arial"/>
      <w:vanish/>
      <w:kern w:val="2"/>
      <w:sz w:val="16"/>
      <w:szCs w:val="16"/>
    </w:rPr>
  </w:style>
  <w:style w:type="character" w:customStyle="1" w:styleId="246">
    <w:name w:val="正文文本首行缩进 字符"/>
    <w:autoRedefine/>
    <w:semiHidden/>
    <w:qFormat/>
    <w:uiPriority w:val="99"/>
  </w:style>
  <w:style w:type="character" w:customStyle="1" w:styleId="247">
    <w:name w:val="temp1"/>
    <w:autoRedefine/>
    <w:qFormat/>
    <w:uiPriority w:val="0"/>
  </w:style>
  <w:style w:type="character" w:customStyle="1" w:styleId="248">
    <w:name w:val="first-child"/>
    <w:autoRedefine/>
    <w:qFormat/>
    <w:uiPriority w:val="0"/>
  </w:style>
  <w:style w:type="character" w:customStyle="1" w:styleId="249">
    <w:name w:val="1ji Char"/>
    <w:link w:val="72"/>
    <w:autoRedefine/>
    <w:qFormat/>
    <w:uiPriority w:val="0"/>
    <w:rPr>
      <w:rFonts w:ascii="宋体" w:hAnsi="宋体" w:eastAsia="宋体"/>
      <w:b/>
      <w:bCs/>
      <w:kern w:val="44"/>
      <w:sz w:val="36"/>
      <w:szCs w:val="44"/>
      <w:lang w:val="en-US" w:eastAsia="zh-CN" w:bidi="ar-SA"/>
    </w:rPr>
  </w:style>
  <w:style w:type="character" w:customStyle="1" w:styleId="250">
    <w:name w:val="font21"/>
    <w:autoRedefine/>
    <w:qFormat/>
    <w:uiPriority w:val="0"/>
    <w:rPr>
      <w:rFonts w:hint="eastAsia" w:ascii="微软雅黑" w:hAnsi="微软雅黑" w:eastAsia="微软雅黑" w:cs="微软雅黑"/>
      <w:b/>
      <w:color w:val="000000"/>
      <w:sz w:val="24"/>
      <w:szCs w:val="24"/>
      <w:u w:val="none"/>
    </w:rPr>
  </w:style>
  <w:style w:type="character" w:customStyle="1" w:styleId="251">
    <w:name w:val="content"/>
    <w:autoRedefine/>
    <w:qFormat/>
    <w:uiPriority w:val="0"/>
  </w:style>
  <w:style w:type="character" w:customStyle="1" w:styleId="252">
    <w:name w:val="case31"/>
    <w:autoRedefine/>
    <w:qFormat/>
    <w:uiPriority w:val="0"/>
    <w:rPr>
      <w:rFonts w:hint="default" w:ascii="_x000B__x000C_" w:hAnsi="_x000B__x000C_"/>
      <w:sz w:val="21"/>
      <w:szCs w:val="21"/>
    </w:rPr>
  </w:style>
  <w:style w:type="character" w:customStyle="1" w:styleId="253">
    <w:name w:val="HTML 预设格式 字符"/>
    <w:autoRedefine/>
    <w:semiHidden/>
    <w:qFormat/>
    <w:uiPriority w:val="99"/>
    <w:rPr>
      <w:rFonts w:ascii="Courier New" w:hAnsi="Courier New" w:cs="Courier New"/>
      <w:kern w:val="2"/>
    </w:rPr>
  </w:style>
  <w:style w:type="table" w:customStyle="1" w:styleId="254">
    <w:name w:val="Table Normal"/>
    <w:autoRedefine/>
    <w:unhideWhenUsed/>
    <w:qFormat/>
    <w:uiPriority w:val="0"/>
    <w:tblPr>
      <w:tblCellMar>
        <w:top w:w="0" w:type="dxa"/>
        <w:left w:w="0" w:type="dxa"/>
        <w:bottom w:w="0" w:type="dxa"/>
        <w:right w:w="0" w:type="dxa"/>
      </w:tblCellMar>
    </w:tblPr>
  </w:style>
  <w:style w:type="paragraph" w:customStyle="1" w:styleId="25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212</Pages>
  <Words>134898</Words>
  <Characters>136307</Characters>
  <Lines>4785</Lines>
  <Paragraphs>6349</Paragraphs>
  <TotalTime>53</TotalTime>
  <ScaleCrop>false</ScaleCrop>
  <LinksUpToDate>false</LinksUpToDate>
  <CharactersWithSpaces>136664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2025-09-16T09:11:00Z</dcterms:created>
  <dc:creator>微软用户</dc:creator>
  <cp:lastModifiedBy>NTKO</cp:lastModifiedBy>
  <cp:lastPrinted>2016-03-22T07:52:00Z</cp:lastPrinted>
  <dcterms:modified xsi:type="dcterms:W3CDTF">2025-09-26T07:15:23Z</dcterms:modified>
  <dc:title>桂财采〔2009〕 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16918926392B4D09AFA9409DB3ADB91F_13</vt:lpwstr>
  </property>
  <property fmtid="{D5CDD505-2E9C-101B-9397-08002B2CF9AE}" pid="14" name="KSOTemplateDocerSaveRecord">
    <vt:lpwstr>eyJoZGlkIjoiYzViODZjZDNlYjQzNzE5NGNiZWExYTMwNTEwZGVmYmMiLCJ1c2VySWQiOiIxNDc1OTE2MTA0In0=</vt:lpwstr>
  </property>
</Properties>
</file>