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spacing w:line="288" w:lineRule="auto"/>
        <w:rPr>
          <w:rFonts w:ascii="Arial" w:hAnsi="Arial" w:eastAsia="宋体" w:cs="Arial"/>
          <w:color w:val="auto"/>
          <w:highlight w:val="none"/>
        </w:rPr>
      </w:pPr>
      <w:r>
        <w:rPr>
          <w:rFonts w:hint="eastAsia" w:ascii="Arial" w:hAnsi="Arial" w:eastAsia="宋体" w:cs="Arial"/>
          <w:color w:val="auto"/>
          <w:highlight w:val="none"/>
        </w:rPr>
        <w:t xml:space="preserve">  </w:t>
      </w:r>
    </w:p>
    <w:p>
      <w:pPr>
        <w:tabs>
          <w:tab w:val="left" w:pos="1710"/>
        </w:tabs>
        <w:spacing w:line="288" w:lineRule="auto"/>
        <w:rPr>
          <w:rFonts w:ascii="Arial" w:hAnsi="Arial" w:eastAsia="宋体" w:cs="Arial"/>
          <w:color w:val="auto"/>
          <w:highlight w:val="none"/>
        </w:rPr>
      </w:pPr>
      <w:bookmarkStart w:id="0" w:name="OLE_LINK3"/>
    </w:p>
    <w:p>
      <w:pPr>
        <w:tabs>
          <w:tab w:val="left" w:pos="1710"/>
        </w:tabs>
        <w:spacing w:line="288" w:lineRule="auto"/>
        <w:rPr>
          <w:rFonts w:ascii="Arial" w:hAnsi="Arial" w:eastAsia="宋体" w:cs="Arial"/>
          <w:color w:val="auto"/>
          <w:highlight w:val="none"/>
        </w:rPr>
      </w:pPr>
    </w:p>
    <w:p>
      <w:pPr>
        <w:tabs>
          <w:tab w:val="left" w:pos="1710"/>
        </w:tabs>
        <w:spacing w:line="288" w:lineRule="auto"/>
        <w:rPr>
          <w:rFonts w:ascii="Arial" w:hAnsi="Arial" w:eastAsia="宋体" w:cs="Arial"/>
          <w:color w:val="auto"/>
          <w:highlight w:val="none"/>
        </w:rPr>
      </w:pPr>
    </w:p>
    <w:p>
      <w:pPr>
        <w:tabs>
          <w:tab w:val="left" w:pos="1710"/>
        </w:tabs>
        <w:spacing w:line="288" w:lineRule="auto"/>
        <w:rPr>
          <w:rFonts w:ascii="Arial" w:hAnsi="Arial" w:eastAsia="宋体" w:cs="Arial"/>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934" w:type="dxa"/>
            <w:gridSpan w:val="2"/>
            <w:tcBorders>
              <w:top w:val="nil"/>
              <w:left w:val="nil"/>
              <w:right w:val="nil"/>
            </w:tcBorders>
            <w:noWrap w:val="0"/>
            <w:vAlign w:val="top"/>
          </w:tcPr>
          <w:p>
            <w:pPr>
              <w:snapToGrid w:val="0"/>
              <w:spacing w:line="288" w:lineRule="auto"/>
              <w:jc w:val="center"/>
              <w:rPr>
                <w:rFonts w:ascii="Arial" w:hAnsi="Arial" w:eastAsia="宋体" w:cs="Arial"/>
                <w:b/>
                <w:color w:val="auto"/>
                <w:sz w:val="60"/>
                <w:szCs w:val="60"/>
                <w:highlight w:val="none"/>
              </w:rPr>
            </w:pPr>
            <w:r>
              <w:rPr>
                <w:rFonts w:hint="eastAsia" w:ascii="Arial" w:hAnsi="Arial" w:eastAsia="宋体" w:cs="Arial"/>
                <w:b/>
                <w:color w:val="auto"/>
                <w:sz w:val="60"/>
                <w:szCs w:val="60"/>
                <w:highlight w:val="none"/>
              </w:rPr>
              <w:t>谈 判</w:t>
            </w:r>
            <w:r>
              <w:rPr>
                <w:rFonts w:ascii="Arial" w:hAnsi="Arial" w:eastAsia="宋体" w:cs="Arial"/>
                <w:b/>
                <w:color w:val="auto"/>
                <w:sz w:val="60"/>
                <w:szCs w:val="60"/>
                <w:highlight w:val="none"/>
              </w:rPr>
              <w:t xml:space="preserve">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64" w:type="dxa"/>
            <w:noWrap w:val="0"/>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项目编号：</w:t>
            </w:r>
          </w:p>
        </w:tc>
        <w:tc>
          <w:tcPr>
            <w:tcW w:w="7170" w:type="dxa"/>
            <w:noWrap w:val="0"/>
            <w:vAlign w:val="center"/>
          </w:tcPr>
          <w:p>
            <w:pPr>
              <w:spacing w:line="288" w:lineRule="auto"/>
              <w:rPr>
                <w:rFonts w:hint="eastAsia" w:ascii="Arial" w:hAnsi="Arial" w:eastAsia="宋体" w:cs="Arial"/>
                <w:b/>
                <w:color w:val="auto"/>
                <w:sz w:val="32"/>
                <w:szCs w:val="32"/>
                <w:highlight w:val="none"/>
                <w:lang w:eastAsia="zh-CN"/>
              </w:rPr>
            </w:pPr>
            <w:r>
              <w:rPr>
                <w:rFonts w:hint="eastAsia" w:ascii="Arial" w:hAnsi="Arial" w:eastAsia="宋体" w:cs="Arial"/>
                <w:b/>
                <w:color w:val="auto"/>
                <w:sz w:val="32"/>
                <w:szCs w:val="32"/>
                <w:highlight w:val="none"/>
                <w:lang w:eastAsia="zh-CN"/>
              </w:rPr>
              <w:t>GXZC2025-J1-002800-JDZB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764" w:type="dxa"/>
            <w:noWrap w:val="0"/>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项目名称：</w:t>
            </w:r>
          </w:p>
        </w:tc>
        <w:tc>
          <w:tcPr>
            <w:tcW w:w="7170" w:type="dxa"/>
            <w:noWrap w:val="0"/>
            <w:vAlign w:val="center"/>
          </w:tcPr>
          <w:p>
            <w:pPr>
              <w:spacing w:line="288" w:lineRule="auto"/>
              <w:rPr>
                <w:rFonts w:hint="eastAsia" w:ascii="Arial" w:hAnsi="Arial" w:eastAsia="宋体" w:cs="Arial"/>
                <w:b/>
                <w:color w:val="auto"/>
                <w:sz w:val="32"/>
                <w:szCs w:val="32"/>
                <w:highlight w:val="none"/>
              </w:rPr>
            </w:pPr>
            <w:r>
              <w:rPr>
                <w:rFonts w:hint="eastAsia" w:ascii="Arial" w:hAnsi="Arial" w:eastAsia="宋体" w:cs="Arial"/>
                <w:b/>
                <w:color w:val="auto"/>
                <w:sz w:val="32"/>
                <w:szCs w:val="32"/>
                <w:highlight w:val="none"/>
                <w:lang w:eastAsia="zh-CN"/>
              </w:rPr>
              <w:t>2025年广西一流学科建设项目仪器设备采购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64" w:type="dxa"/>
            <w:noWrap w:val="0"/>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联系电话：</w:t>
            </w:r>
          </w:p>
        </w:tc>
        <w:tc>
          <w:tcPr>
            <w:tcW w:w="7170" w:type="dxa"/>
            <w:noWrap w:val="0"/>
            <w:vAlign w:val="center"/>
          </w:tcPr>
          <w:p>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0773-3696789转2</w:t>
            </w:r>
          </w:p>
        </w:tc>
      </w:tr>
    </w:tbl>
    <w:p>
      <w:pPr>
        <w:tabs>
          <w:tab w:val="left" w:pos="1710"/>
        </w:tabs>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tbl>
      <w:tblPr>
        <w:tblStyle w:val="23"/>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noWrap w:val="0"/>
            <w:vAlign w:val="center"/>
          </w:tcPr>
          <w:p>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采购人：</w:t>
            </w:r>
          </w:p>
        </w:tc>
        <w:tc>
          <w:tcPr>
            <w:tcW w:w="5577" w:type="dxa"/>
            <w:gridSpan w:val="2"/>
            <w:noWrap w:val="0"/>
            <w:vAlign w:val="center"/>
          </w:tcPr>
          <w:p>
            <w:pPr>
              <w:autoSpaceDE w:val="0"/>
              <w:autoSpaceDN w:val="0"/>
              <w:adjustRightInd w:val="0"/>
              <w:spacing w:line="288" w:lineRule="auto"/>
              <w:jc w:val="left"/>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桂林医科大学</w:t>
            </w:r>
          </w:p>
        </w:tc>
      </w:tr>
      <w:tr>
        <w:tblPrEx>
          <w:tblCellMar>
            <w:top w:w="0" w:type="dxa"/>
            <w:left w:w="108" w:type="dxa"/>
            <w:bottom w:w="0" w:type="dxa"/>
            <w:right w:w="108" w:type="dxa"/>
          </w:tblCellMar>
        </w:tblPrEx>
        <w:trPr>
          <w:trHeight w:val="583" w:hRule="atLeast"/>
          <w:jc w:val="center"/>
        </w:trPr>
        <w:tc>
          <w:tcPr>
            <w:tcW w:w="2713" w:type="dxa"/>
            <w:gridSpan w:val="2"/>
            <w:noWrap w:val="0"/>
            <w:vAlign w:val="top"/>
          </w:tcPr>
          <w:p>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采购代理机构：</w:t>
            </w:r>
          </w:p>
        </w:tc>
        <w:tc>
          <w:tcPr>
            <w:tcW w:w="5571" w:type="dxa"/>
            <w:noWrap w:val="0"/>
            <w:vAlign w:val="top"/>
          </w:tcPr>
          <w:p>
            <w:pPr>
              <w:autoSpaceDE w:val="0"/>
              <w:autoSpaceDN w:val="0"/>
              <w:adjustRightInd w:val="0"/>
              <w:spacing w:line="288" w:lineRule="auto"/>
              <w:rPr>
                <w:rFonts w:hint="eastAsia" w:ascii="Arial" w:hAnsi="Arial" w:eastAsia="宋体" w:cs="Arial"/>
                <w:b/>
                <w:color w:val="auto"/>
                <w:sz w:val="32"/>
                <w:szCs w:val="32"/>
                <w:highlight w:val="none"/>
              </w:rPr>
            </w:pPr>
            <w:r>
              <w:rPr>
                <w:rFonts w:hint="eastAsia" w:ascii="Arial" w:hAnsi="Arial" w:eastAsia="宋体" w:cs="Arial"/>
                <w:b/>
                <w:color w:val="auto"/>
                <w:sz w:val="32"/>
                <w:szCs w:val="32"/>
                <w:highlight w:val="none"/>
              </w:rPr>
              <w:t>广西机电设备招标有限公司</w:t>
            </w:r>
          </w:p>
        </w:tc>
      </w:tr>
    </w:tbl>
    <w:p>
      <w:pPr>
        <w:autoSpaceDE w:val="0"/>
        <w:autoSpaceDN w:val="0"/>
        <w:adjustRightInd w:val="0"/>
        <w:spacing w:line="288" w:lineRule="auto"/>
        <w:jc w:val="center"/>
        <w:rPr>
          <w:rFonts w:ascii="Arial" w:hAnsi="Arial" w:eastAsia="宋体" w:cs="Arial"/>
          <w:b/>
          <w:color w:val="auto"/>
          <w:sz w:val="32"/>
          <w:szCs w:val="32"/>
          <w:highlight w:val="none"/>
        </w:rPr>
      </w:pPr>
    </w:p>
    <w:p>
      <w:pPr>
        <w:autoSpaceDE w:val="0"/>
        <w:autoSpaceDN w:val="0"/>
        <w:adjustRightInd w:val="0"/>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202</w:t>
      </w:r>
      <w:r>
        <w:rPr>
          <w:rFonts w:hint="eastAsia" w:ascii="Arial" w:hAnsi="Arial" w:eastAsia="宋体" w:cs="Arial"/>
          <w:b/>
          <w:color w:val="auto"/>
          <w:sz w:val="32"/>
          <w:szCs w:val="32"/>
          <w:highlight w:val="none"/>
        </w:rPr>
        <w:t>5</w:t>
      </w:r>
      <w:r>
        <w:rPr>
          <w:rFonts w:ascii="Arial" w:hAnsi="Arial" w:eastAsia="宋体" w:cs="Arial"/>
          <w:b/>
          <w:color w:val="auto"/>
          <w:sz w:val="32"/>
          <w:szCs w:val="32"/>
          <w:highlight w:val="none"/>
        </w:rPr>
        <w:t>年</w:t>
      </w:r>
      <w:r>
        <w:rPr>
          <w:rFonts w:hint="eastAsia" w:ascii="Arial" w:hAnsi="Arial" w:eastAsia="宋体" w:cs="Arial"/>
          <w:b/>
          <w:color w:val="auto"/>
          <w:sz w:val="32"/>
          <w:szCs w:val="32"/>
          <w:highlight w:val="none"/>
          <w:lang w:val="en-US" w:eastAsia="zh-CN"/>
        </w:rPr>
        <w:t>9</w:t>
      </w:r>
      <w:r>
        <w:rPr>
          <w:rFonts w:ascii="Arial" w:hAnsi="Arial" w:eastAsia="宋体" w:cs="Arial"/>
          <w:b/>
          <w:color w:val="auto"/>
          <w:sz w:val="32"/>
          <w:szCs w:val="32"/>
          <w:highlight w:val="none"/>
        </w:rPr>
        <w:t>月</w:t>
      </w:r>
    </w:p>
    <w:bookmarkEnd w:id="0"/>
    <w:p>
      <w:pPr>
        <w:pStyle w:val="13"/>
        <w:spacing w:line="420" w:lineRule="exact"/>
        <w:jc w:val="center"/>
        <w:rPr>
          <w:rFonts w:ascii="Arial" w:hAnsi="Arial" w:cs="Arial"/>
          <w:b/>
          <w:color w:val="auto"/>
          <w:sz w:val="32"/>
          <w:szCs w:val="32"/>
          <w:highlight w:val="none"/>
        </w:rPr>
      </w:pPr>
      <w:r>
        <w:rPr>
          <w:rFonts w:ascii="Arial" w:hAnsi="Arial" w:cs="Arial"/>
          <w:b/>
          <w:color w:val="auto"/>
          <w:sz w:val="32"/>
          <w:szCs w:val="32"/>
          <w:highlight w:val="none"/>
        </w:rPr>
        <w:tab/>
      </w:r>
    </w:p>
    <w:p>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pStyle w:val="13"/>
        <w:spacing w:line="240" w:lineRule="auto"/>
        <w:jc w:val="center"/>
        <w:rPr>
          <w:rFonts w:ascii="Arial" w:hAnsi="Arial" w:cs="Arial"/>
          <w:b/>
          <w:color w:val="auto"/>
          <w:sz w:val="24"/>
          <w:szCs w:val="24"/>
          <w:highlight w:val="none"/>
        </w:rPr>
      </w:pPr>
      <w:r>
        <w:rPr>
          <w:rFonts w:ascii="Arial" w:hAnsi="Arial" w:cs="Arial"/>
          <w:color w:val="auto"/>
          <w:sz w:val="44"/>
          <w:highlight w:val="none"/>
        </w:rPr>
        <w:t>目     录</w:t>
      </w:r>
      <w:r>
        <w:rPr>
          <w:rFonts w:ascii="Arial" w:hAnsi="Arial" w:cs="Arial"/>
          <w:b/>
          <w:color w:val="auto"/>
          <w:sz w:val="24"/>
          <w:szCs w:val="24"/>
          <w:highlight w:val="none"/>
        </w:rPr>
        <w:fldChar w:fldCharType="begin"/>
      </w:r>
      <w:r>
        <w:rPr>
          <w:rFonts w:ascii="Arial" w:hAnsi="Arial" w:cs="Arial"/>
          <w:b/>
          <w:color w:val="auto"/>
          <w:sz w:val="24"/>
          <w:szCs w:val="24"/>
          <w:highlight w:val="none"/>
        </w:rPr>
        <w:instrText xml:space="preserve">TOC \o "1-1" \h \u </w:instrText>
      </w:r>
      <w:r>
        <w:rPr>
          <w:rFonts w:ascii="Arial" w:hAnsi="Arial" w:cs="Arial"/>
          <w:b/>
          <w:color w:val="auto"/>
          <w:sz w:val="24"/>
          <w:szCs w:val="24"/>
          <w:highlight w:val="none"/>
        </w:rPr>
        <w:fldChar w:fldCharType="separate"/>
      </w:r>
    </w:p>
    <w:p>
      <w:pPr>
        <w:pStyle w:val="41"/>
        <w:tabs>
          <w:tab w:val="right" w:leader="dot" w:pos="9923"/>
        </w:tabs>
        <w:spacing w:line="360" w:lineRule="auto"/>
        <w:rPr>
          <w:rFonts w:ascii="Arial" w:hAnsi="Arial" w:eastAsia="宋体" w:cs="Arial"/>
          <w:b/>
          <w:bCs/>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_Toc22367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第一章 竞争性谈判公告</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_Toc22367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1</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_Toc26549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44"/>
          <w:highlight w:val="none"/>
        </w:rPr>
        <w:t xml:space="preserve">第二章 </w:t>
      </w:r>
      <w:r>
        <w:rPr>
          <w:rFonts w:ascii="Arial" w:hAnsi="Arial" w:eastAsia="宋体" w:cs="Arial"/>
          <w:b/>
          <w:bCs/>
          <w:color w:val="auto"/>
          <w:sz w:val="24"/>
          <w:szCs w:val="24"/>
          <w:highlight w:val="none"/>
        </w:rPr>
        <w:t>供应商须知</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_Toc26549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4</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_Toc3394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第三章  货物采购需求</w:t>
      </w:r>
      <w:bookmarkStart w:id="65" w:name="_GoBack"/>
      <w:bookmarkEnd w:id="65"/>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_Toc3394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25</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_Toc2014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第四章  评审办法</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_Toc2014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43</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_Toc18801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第五章  政府采购合同（合同主要条款及格式）</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_Toc18801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44</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color w:val="auto"/>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_Toc22260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第六章 响应文件（格式）</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_Toc22260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50</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rPr>
          <w:color w:val="auto"/>
          <w:highlight w:val="none"/>
        </w:rPr>
      </w:pPr>
      <w:r>
        <w:rPr>
          <w:color w:val="auto"/>
          <w:highlight w:val="none"/>
        </w:rPr>
        <w:fldChar w:fldCharType="end"/>
      </w:r>
    </w:p>
    <w:p>
      <w:pPr>
        <w:rPr>
          <w:color w:val="auto"/>
          <w:highlight w:val="none"/>
        </w:rPr>
        <w:sectPr>
          <w:headerReference r:id="rId3" w:type="default"/>
          <w:footerReference r:id="rId4" w:type="default"/>
          <w:pgSz w:w="11906" w:h="16838"/>
          <w:pgMar w:top="1134" w:right="1417" w:bottom="1134" w:left="1134" w:header="720" w:footer="720" w:gutter="0"/>
          <w:pgNumType w:start="0"/>
          <w:cols w:space="720" w:num="1"/>
          <w:titlePg/>
          <w:docGrid w:type="linesAndChars" w:linePitch="331" w:charSpace="0"/>
        </w:sectPr>
      </w:pPr>
    </w:p>
    <w:p>
      <w:pPr>
        <w:numPr>
          <w:ilvl w:val="0"/>
          <w:numId w:val="1"/>
        </w:numPr>
        <w:spacing w:line="480" w:lineRule="exact"/>
        <w:jc w:val="center"/>
        <w:rPr>
          <w:rFonts w:ascii="Arial" w:hAnsi="Arial" w:eastAsia="宋体" w:cs="Arial"/>
          <w:b/>
          <w:color w:val="auto"/>
          <w:sz w:val="32"/>
          <w:szCs w:val="32"/>
          <w:highlight w:val="none"/>
        </w:rPr>
        <w:sectPr>
          <w:footerReference r:id="rId6" w:type="first"/>
          <w:footerReference r:id="rId5" w:type="default"/>
          <w:pgSz w:w="11906" w:h="16838"/>
          <w:pgMar w:top="1134" w:right="1417" w:bottom="1134" w:left="1134" w:header="720" w:footer="720" w:gutter="0"/>
          <w:pgNumType w:start="1"/>
          <w:cols w:space="720" w:num="1"/>
          <w:titlePg/>
          <w:docGrid w:type="linesAndChars" w:linePitch="331" w:charSpace="0"/>
        </w:sectPr>
      </w:pPr>
      <w:r>
        <w:rPr>
          <w:rFonts w:ascii="Arial" w:hAnsi="Arial" w:eastAsia="宋体" w:cs="Arial"/>
          <w:color w:val="auto"/>
          <w:highlight w:val="none"/>
        </w:rPr>
        <w:fldChar w:fldCharType="end"/>
      </w:r>
    </w:p>
    <w:p>
      <w:pPr>
        <w:pStyle w:val="3"/>
        <w:jc w:val="center"/>
        <w:rPr>
          <w:rStyle w:val="45"/>
          <w:rFonts w:ascii="Arial" w:hAnsi="Arial" w:cs="Arial"/>
          <w:b w:val="0"/>
          <w:bCs w:val="0"/>
          <w:color w:val="auto"/>
          <w:highlight w:val="none"/>
        </w:rPr>
      </w:pPr>
      <w:bookmarkStart w:id="1" w:name="_Toc25419"/>
      <w:bookmarkStart w:id="2" w:name="_Toc22367"/>
      <w:r>
        <w:rPr>
          <w:rStyle w:val="45"/>
          <w:rFonts w:ascii="Arial" w:hAnsi="Arial" w:cs="Arial"/>
          <w:b w:val="0"/>
          <w:bCs w:val="0"/>
          <w:color w:val="auto"/>
          <w:highlight w:val="none"/>
        </w:rPr>
        <w:t>第一章 竞争性谈判</w:t>
      </w:r>
      <w:bookmarkEnd w:id="1"/>
      <w:r>
        <w:rPr>
          <w:rStyle w:val="45"/>
          <w:rFonts w:hint="eastAsia" w:ascii="Arial" w:hAnsi="Arial" w:cs="Arial"/>
          <w:b w:val="0"/>
          <w:bCs w:val="0"/>
          <w:color w:val="auto"/>
          <w:highlight w:val="none"/>
        </w:rPr>
        <w:t>公告</w:t>
      </w:r>
      <w:bookmarkEnd w:id="2"/>
    </w:p>
    <w:p>
      <w:pPr>
        <w:pBdr>
          <w:top w:val="single" w:color="auto" w:sz="4" w:space="1"/>
          <w:left w:val="single" w:color="auto" w:sz="4" w:space="4"/>
          <w:bottom w:val="single" w:color="auto" w:sz="4" w:space="1"/>
          <w:right w:val="single" w:color="auto" w:sz="4" w:space="4"/>
        </w:pBd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20" w:firstLineChars="200"/>
        <w:rPr>
          <w:rFonts w:ascii="Arial" w:hAnsi="Arial" w:eastAsia="宋体" w:cs="Arial"/>
          <w:color w:val="auto"/>
          <w:highlight w:val="none"/>
        </w:rPr>
      </w:pPr>
      <w:r>
        <w:rPr>
          <w:rFonts w:hint="eastAsia" w:ascii="Arial" w:hAnsi="Arial" w:eastAsia="宋体" w:cs="Arial"/>
          <w:bCs/>
          <w:color w:val="auto"/>
          <w:highlight w:val="none"/>
          <w:u w:val="single"/>
          <w:lang w:eastAsia="zh-CN"/>
        </w:rPr>
        <w:t>2025年广西一流学科建设项目仪器设备采购</w:t>
      </w:r>
      <w:r>
        <w:rPr>
          <w:rFonts w:hint="eastAsia" w:ascii="Arial" w:hAnsi="Arial" w:eastAsia="宋体" w:cs="Arial"/>
          <w:bCs/>
          <w:color w:val="auto"/>
          <w:highlight w:val="none"/>
          <w:u w:val="single"/>
        </w:rPr>
        <w:t>（</w:t>
      </w:r>
      <w:r>
        <w:rPr>
          <w:rFonts w:hint="eastAsia" w:ascii="Arial" w:hAnsi="Arial" w:eastAsia="宋体" w:cs="Arial"/>
          <w:bCs/>
          <w:color w:val="auto"/>
          <w:highlight w:val="none"/>
          <w:u w:val="single"/>
          <w:lang w:eastAsia="zh-CN"/>
        </w:rPr>
        <w:t>GXZC2025-J1-002800-JDZB</w:t>
      </w:r>
      <w:r>
        <w:rPr>
          <w:rFonts w:hint="eastAsia" w:ascii="Arial" w:hAnsi="Arial" w:eastAsia="宋体" w:cs="Arial"/>
          <w:bCs/>
          <w:color w:val="auto"/>
          <w:highlight w:val="none"/>
          <w:u w:val="single"/>
        </w:rPr>
        <w:t>）</w:t>
      </w:r>
      <w:r>
        <w:rPr>
          <w:rFonts w:ascii="Arial" w:hAnsi="Arial" w:eastAsia="宋体" w:cs="Arial"/>
          <w:color w:val="auto"/>
          <w:highlight w:val="none"/>
        </w:rPr>
        <w:t>的潜在供应商应在</w:t>
      </w:r>
      <w:r>
        <w:rPr>
          <w:rFonts w:hint="eastAsia" w:ascii="Arial" w:hAnsi="Arial" w:eastAsia="宋体" w:cs="Arial"/>
          <w:color w:val="auto"/>
          <w:highlight w:val="none"/>
        </w:rPr>
        <w:t>广西政府采购云平台（https://www.gcy.zfcg.gxzf.gov.cn）获取（下载）竞争性谈判文件，</w:t>
      </w:r>
      <w:r>
        <w:rPr>
          <w:rFonts w:ascii="Arial" w:hAnsi="Arial" w:eastAsia="宋体" w:cs="Arial"/>
          <w:color w:val="auto"/>
          <w:highlight w:val="none"/>
        </w:rPr>
        <w:t>并于</w:t>
      </w:r>
      <w:r>
        <w:rPr>
          <w:rFonts w:hint="eastAsia" w:ascii="Arial" w:hAnsi="Arial" w:eastAsia="宋体" w:cs="Arial"/>
          <w:color w:val="auto"/>
          <w:highlight w:val="none"/>
          <w:u w:val="single"/>
        </w:rPr>
        <w:t>2025年</w:t>
      </w:r>
      <w:r>
        <w:rPr>
          <w:rFonts w:hint="eastAsia" w:ascii="Arial" w:hAnsi="Arial" w:eastAsia="宋体" w:cs="Arial"/>
          <w:color w:val="auto"/>
          <w:highlight w:val="none"/>
          <w:u w:val="single"/>
          <w:lang w:val="en-US" w:eastAsia="zh-CN"/>
        </w:rPr>
        <w:t>9</w:t>
      </w:r>
      <w:r>
        <w:rPr>
          <w:rFonts w:hint="eastAsia" w:ascii="Arial" w:hAnsi="Arial" w:eastAsia="宋体" w:cs="Arial"/>
          <w:color w:val="auto"/>
          <w:highlight w:val="none"/>
          <w:u w:val="single"/>
          <w:lang w:eastAsia="zh-CN"/>
        </w:rPr>
        <w:t>月</w:t>
      </w:r>
      <w:r>
        <w:rPr>
          <w:rFonts w:hint="eastAsia" w:ascii="Arial" w:hAnsi="Arial" w:eastAsia="宋体" w:cs="Arial"/>
          <w:color w:val="auto"/>
          <w:highlight w:val="none"/>
          <w:u w:val="single"/>
          <w:lang w:val="en-US" w:eastAsia="zh-CN"/>
        </w:rPr>
        <w:t>24</w:t>
      </w:r>
      <w:r>
        <w:rPr>
          <w:rFonts w:hint="eastAsia" w:ascii="Arial" w:hAnsi="Arial" w:eastAsia="宋体" w:cs="Arial"/>
          <w:color w:val="auto"/>
          <w:highlight w:val="none"/>
          <w:u w:val="single"/>
          <w:lang w:eastAsia="zh-CN"/>
        </w:rPr>
        <w:t>日</w:t>
      </w:r>
      <w:r>
        <w:rPr>
          <w:rFonts w:hint="eastAsia" w:ascii="Arial" w:hAnsi="Arial" w:eastAsia="宋体" w:cs="Arial"/>
          <w:bCs/>
          <w:color w:val="auto"/>
          <w:highlight w:val="none"/>
          <w:u w:val="single"/>
          <w:lang w:val="en-US" w:eastAsia="zh-CN"/>
        </w:rPr>
        <w:t>9</w:t>
      </w:r>
      <w:r>
        <w:rPr>
          <w:rFonts w:hint="eastAsia" w:ascii="Arial" w:hAnsi="Arial" w:eastAsia="宋体" w:cs="Arial"/>
          <w:bCs/>
          <w:color w:val="auto"/>
          <w:highlight w:val="none"/>
          <w:u w:val="single"/>
        </w:rPr>
        <w:t>：</w:t>
      </w:r>
      <w:r>
        <w:rPr>
          <w:rFonts w:hint="eastAsia" w:ascii="Arial" w:hAnsi="Arial" w:eastAsia="宋体" w:cs="Arial"/>
          <w:bCs/>
          <w:color w:val="auto"/>
          <w:highlight w:val="none"/>
          <w:u w:val="single"/>
          <w:lang w:val="en-US" w:eastAsia="zh-CN"/>
        </w:rPr>
        <w:t>3</w:t>
      </w:r>
      <w:r>
        <w:rPr>
          <w:rFonts w:hint="eastAsia" w:ascii="Arial" w:hAnsi="Arial" w:eastAsia="宋体" w:cs="Arial"/>
          <w:bCs/>
          <w:color w:val="auto"/>
          <w:highlight w:val="none"/>
          <w:u w:val="single"/>
        </w:rPr>
        <w:t>0</w:t>
      </w:r>
      <w:r>
        <w:rPr>
          <w:rFonts w:ascii="Arial" w:hAnsi="Arial" w:eastAsia="宋体" w:cs="Arial"/>
          <w:bCs/>
          <w:color w:val="auto"/>
          <w:highlight w:val="none"/>
        </w:rPr>
        <w:t>（北京时间）前提交响应文件</w:t>
      </w:r>
      <w:r>
        <w:rPr>
          <w:rFonts w:ascii="Arial" w:hAnsi="Arial" w:eastAsia="宋体" w:cs="Arial"/>
          <w:color w:val="auto"/>
          <w:highlight w:val="none"/>
        </w:rPr>
        <w:t>。</w:t>
      </w: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一、项目基本情况</w:t>
      </w:r>
    </w:p>
    <w:p>
      <w:pPr>
        <w:spacing w:line="288" w:lineRule="auto"/>
        <w:ind w:firstLine="420" w:firstLineChars="200"/>
        <w:rPr>
          <w:rFonts w:hint="eastAsia" w:ascii="Arial" w:hAnsi="Arial" w:eastAsia="宋体" w:cs="Arial"/>
          <w:color w:val="auto"/>
          <w:szCs w:val="21"/>
          <w:highlight w:val="none"/>
          <w:lang w:eastAsia="zh-CN"/>
        </w:rPr>
      </w:pPr>
      <w:r>
        <w:rPr>
          <w:rFonts w:ascii="Arial" w:hAnsi="Arial" w:eastAsia="宋体" w:cs="Arial"/>
          <w:color w:val="auto"/>
          <w:highlight w:val="none"/>
        </w:rPr>
        <w:t>项目编号：</w:t>
      </w:r>
      <w:r>
        <w:rPr>
          <w:rFonts w:hint="eastAsia" w:ascii="Arial" w:hAnsi="Arial" w:eastAsia="宋体" w:cs="Arial"/>
          <w:color w:val="auto"/>
          <w:szCs w:val="21"/>
          <w:highlight w:val="none"/>
          <w:lang w:eastAsia="zh-CN"/>
        </w:rPr>
        <w:t>GXZC2025-J1-002800-JDZB</w:t>
      </w:r>
    </w:p>
    <w:p>
      <w:pPr>
        <w:spacing w:line="288" w:lineRule="auto"/>
        <w:ind w:firstLine="420" w:firstLineChars="200"/>
        <w:rPr>
          <w:rFonts w:hint="eastAsia" w:ascii="Arial" w:hAnsi="Arial" w:eastAsia="宋体" w:cs="Arial"/>
          <w:color w:val="auto"/>
          <w:highlight w:val="none"/>
          <w:u w:val="single"/>
          <w:lang w:eastAsia="zh-CN"/>
        </w:rPr>
      </w:pPr>
      <w:r>
        <w:rPr>
          <w:rFonts w:ascii="Arial" w:hAnsi="Arial" w:eastAsia="宋体" w:cs="Arial"/>
          <w:color w:val="auto"/>
          <w:highlight w:val="none"/>
        </w:rPr>
        <w:t>项目名称：</w:t>
      </w:r>
      <w:bookmarkStart w:id="3" w:name="OLE_LINK1"/>
      <w:r>
        <w:rPr>
          <w:rFonts w:hint="eastAsia" w:ascii="Arial" w:hAnsi="Arial" w:eastAsia="宋体" w:cs="Arial"/>
          <w:color w:val="auto"/>
          <w:highlight w:val="none"/>
          <w:lang w:eastAsia="zh-CN"/>
        </w:rPr>
        <w:t>2025年广西一流学科建设项目仪器设备采购</w:t>
      </w:r>
      <w:bookmarkEnd w:id="3"/>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采购方式：竞争性谈判</w:t>
      </w:r>
    </w:p>
    <w:p>
      <w:pPr>
        <w:spacing w:line="288" w:lineRule="auto"/>
        <w:ind w:firstLine="420" w:firstLineChars="200"/>
        <w:rPr>
          <w:rFonts w:hint="default" w:ascii="Arial" w:hAnsi="Arial" w:eastAsia="宋体" w:cs="Arial"/>
          <w:color w:val="auto"/>
          <w:highlight w:val="none"/>
          <w:lang w:val="en-US" w:eastAsia="zh-CN"/>
        </w:rPr>
      </w:pPr>
      <w:r>
        <w:rPr>
          <w:rFonts w:ascii="Arial" w:hAnsi="Arial" w:eastAsia="宋体" w:cs="Arial"/>
          <w:color w:val="auto"/>
          <w:highlight w:val="none"/>
        </w:rPr>
        <w:t>预算金额（元）：</w:t>
      </w:r>
      <w:r>
        <w:rPr>
          <w:rFonts w:hint="eastAsia" w:ascii="Arial" w:hAnsi="Arial" w:eastAsia="宋体" w:cs="Arial"/>
          <w:color w:val="auto"/>
          <w:highlight w:val="none"/>
          <w:lang w:val="en-US" w:eastAsia="zh-CN"/>
        </w:rPr>
        <w:t>998900</w:t>
      </w:r>
    </w:p>
    <w:p>
      <w:pPr>
        <w:spacing w:line="288" w:lineRule="auto"/>
        <w:ind w:firstLine="420" w:firstLineChars="200"/>
        <w:rPr>
          <w:rFonts w:hint="eastAsia" w:ascii="Arial" w:hAnsi="Arial" w:eastAsia="宋体" w:cs="Arial"/>
          <w:color w:val="auto"/>
          <w:highlight w:val="none"/>
        </w:rPr>
      </w:pPr>
      <w:r>
        <w:rPr>
          <w:rFonts w:ascii="Arial" w:hAnsi="Arial" w:eastAsia="宋体" w:cs="Arial"/>
          <w:color w:val="auto"/>
          <w:highlight w:val="none"/>
        </w:rPr>
        <w:t>采购需求：</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标项</w:t>
      </w:r>
      <w:r>
        <w:rPr>
          <w:rFonts w:hint="eastAsia" w:ascii="Arial" w:hAnsi="Arial" w:eastAsia="宋体" w:cs="Arial"/>
          <w:color w:val="auto"/>
          <w:highlight w:val="none"/>
          <w:lang w:val="en-US" w:eastAsia="zh-CN"/>
        </w:rPr>
        <w:t>名称</w:t>
      </w:r>
      <w:r>
        <w:rPr>
          <w:rFonts w:hint="eastAsia" w:ascii="Arial" w:hAnsi="Arial" w:eastAsia="宋体" w:cs="Arial"/>
          <w:color w:val="auto"/>
          <w:highlight w:val="none"/>
          <w:lang w:eastAsia="zh-CN"/>
        </w:rPr>
        <w:t>：</w:t>
      </w:r>
      <w:bookmarkStart w:id="4" w:name="OLE_LINK2"/>
      <w:r>
        <w:rPr>
          <w:rFonts w:hint="eastAsia" w:ascii="Arial" w:hAnsi="Arial" w:eastAsia="宋体" w:cs="Arial"/>
          <w:color w:val="auto"/>
          <w:highlight w:val="none"/>
          <w:lang w:eastAsia="zh-CN"/>
        </w:rPr>
        <w:t>2025年广西一流学科建设项目仪器设备采购</w:t>
      </w:r>
      <w:bookmarkEnd w:id="4"/>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数量：1</w:t>
      </w:r>
    </w:p>
    <w:p>
      <w:pPr>
        <w:spacing w:line="288" w:lineRule="auto"/>
        <w:ind w:firstLine="420" w:firstLineChars="200"/>
        <w:rPr>
          <w:rFonts w:hint="eastAsia" w:ascii="Arial" w:hAnsi="Arial" w:eastAsia="宋体" w:cs="Arial"/>
          <w:color w:val="auto"/>
          <w:highlight w:val="none"/>
        </w:rPr>
      </w:pPr>
      <w:r>
        <w:rPr>
          <w:rFonts w:ascii="Arial" w:hAnsi="Arial" w:eastAsia="宋体" w:cs="Arial"/>
          <w:color w:val="auto"/>
          <w:highlight w:val="none"/>
        </w:rPr>
        <w:t>预算金额（元）：</w:t>
      </w:r>
      <w:r>
        <w:rPr>
          <w:rFonts w:hint="eastAsia" w:ascii="Arial" w:hAnsi="Arial" w:eastAsia="宋体" w:cs="Arial"/>
          <w:color w:val="auto"/>
          <w:highlight w:val="none"/>
          <w:lang w:val="en-US" w:eastAsia="zh-CN"/>
        </w:rPr>
        <w:t>998900</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简要规格描述或项目基本概况介绍、用途</w:t>
      </w:r>
      <w:r>
        <w:rPr>
          <w:rFonts w:hint="eastAsia" w:ascii="Arial" w:hAnsi="Arial" w:eastAsia="宋体" w:cs="Arial"/>
          <w:color w:val="auto"/>
          <w:highlight w:val="none"/>
        </w:rPr>
        <w:t>：</w:t>
      </w:r>
      <w:bookmarkStart w:id="5" w:name="OLE_LINK4"/>
      <w:r>
        <w:rPr>
          <w:rFonts w:hint="eastAsia" w:ascii="Arial" w:hAnsi="Arial" w:eastAsia="宋体" w:cs="Arial"/>
          <w:b w:val="0"/>
          <w:bCs/>
          <w:color w:val="auto"/>
          <w:szCs w:val="21"/>
          <w:highlight w:val="none"/>
        </w:rPr>
        <w:t>纯水仪1台、超纯水仪1台、多功能成像系统1台、二氧化碳培养箱3台、旋转蒸发仪2台、隔膜泵2台、冷却循环水2台、试剂冷藏柜2台、低温冰箱8台、标准电泳仪电源2台、蛋白电泳系统2台、蛋白转印系统2台、色谱柱3支、生物安全柜4台、显微镜2台、显微镜3台</w:t>
      </w:r>
      <w:r>
        <w:rPr>
          <w:rFonts w:hint="eastAsia" w:ascii="Arial" w:hAnsi="Arial" w:eastAsia="宋体" w:cs="Arial"/>
          <w:color w:val="auto"/>
          <w:highlight w:val="none"/>
        </w:rPr>
        <w:t>，如需进一步了解详细内容，详见</w:t>
      </w:r>
      <w:r>
        <w:rPr>
          <w:rFonts w:ascii="Arial" w:hAnsi="Arial" w:eastAsia="宋体" w:cs="Arial"/>
          <w:color w:val="auto"/>
          <w:highlight w:val="none"/>
        </w:rPr>
        <w:t>竞争性谈判</w:t>
      </w:r>
      <w:r>
        <w:rPr>
          <w:rFonts w:hint="eastAsia" w:ascii="Arial" w:hAnsi="Arial" w:eastAsia="宋体" w:cs="Arial"/>
          <w:color w:val="auto"/>
          <w:highlight w:val="none"/>
        </w:rPr>
        <w:t>文件。</w:t>
      </w:r>
    </w:p>
    <w:bookmarkEnd w:id="5"/>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最高限价（如有）：</w:t>
      </w:r>
      <w:r>
        <w:rPr>
          <w:rFonts w:hint="eastAsia" w:ascii="Arial" w:hAnsi="Arial" w:cs="Arial"/>
          <w:b/>
          <w:bCs w:val="0"/>
          <w:kern w:val="0"/>
          <w:szCs w:val="21"/>
        </w:rPr>
        <w:t>99</w:t>
      </w:r>
      <w:r>
        <w:rPr>
          <w:rFonts w:hint="eastAsia" w:ascii="Arial" w:hAnsi="Arial" w:eastAsia="宋体" w:cs="Arial"/>
          <w:b/>
          <w:color w:val="auto"/>
          <w:szCs w:val="21"/>
          <w:highlight w:val="none"/>
          <w:lang w:val="en-US" w:eastAsia="zh-CN"/>
        </w:rPr>
        <w:t>5000</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合同履行期限：</w:t>
      </w:r>
      <w:r>
        <w:rPr>
          <w:rFonts w:hint="eastAsia" w:ascii="Arial" w:hAnsi="Arial" w:eastAsia="宋体" w:cs="Arial"/>
          <w:color w:val="auto"/>
          <w:highlight w:val="none"/>
        </w:rPr>
        <w:t>自签订合同之日起30个日历日内交货并完成安装调试</w:t>
      </w:r>
      <w:r>
        <w:rPr>
          <w:rFonts w:ascii="Arial" w:hAnsi="Arial" w:eastAsia="宋体" w:cs="Arial"/>
          <w:color w:val="auto"/>
          <w:highlight w:val="none"/>
        </w:rPr>
        <w:t>。</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本标项（否）接受联合体</w:t>
      </w:r>
      <w:r>
        <w:rPr>
          <w:rFonts w:ascii="Arial" w:hAnsi="Arial" w:eastAsia="宋体" w:cs="Arial"/>
          <w:color w:val="auto"/>
          <w:szCs w:val="21"/>
          <w:highlight w:val="none"/>
        </w:rPr>
        <w:t>谈判</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备注：/</w:t>
      </w:r>
    </w:p>
    <w:p>
      <w:pPr>
        <w:spacing w:line="288" w:lineRule="auto"/>
        <w:ind w:firstLine="420" w:firstLineChars="200"/>
        <w:rPr>
          <w:rFonts w:hint="eastAsia" w:ascii="Arial" w:hAnsi="Arial" w:eastAsia="宋体" w:cs="Arial"/>
          <w:color w:val="auto"/>
          <w:highlight w:val="none"/>
        </w:rPr>
      </w:pP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二、供应商的资格条件：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1.满足《中华人民共和国政府采购法》第二十二条规定。</w:t>
      </w:r>
    </w:p>
    <w:p>
      <w:pPr>
        <w:spacing w:line="288" w:lineRule="auto"/>
        <w:ind w:firstLine="420" w:firstLineChars="200"/>
        <w:rPr>
          <w:rFonts w:ascii="Arial" w:hAnsi="Arial" w:eastAsia="宋体" w:cs="Arial"/>
          <w:b/>
          <w:bCs/>
          <w:color w:val="auto"/>
          <w:highlight w:val="none"/>
        </w:rPr>
      </w:pPr>
      <w:r>
        <w:rPr>
          <w:rFonts w:ascii="Arial" w:hAnsi="Arial" w:eastAsia="宋体" w:cs="Arial"/>
          <w:color w:val="auto"/>
          <w:highlight w:val="none"/>
        </w:rPr>
        <w:t>2.落实政府采购政策需满足的资格要求</w:t>
      </w:r>
      <w:r>
        <w:rPr>
          <w:rFonts w:ascii="Arial" w:hAnsi="Arial" w:eastAsia="宋体" w:cs="Arial"/>
          <w:b/>
          <w:bCs/>
          <w:color w:val="auto"/>
          <w:highlight w:val="none"/>
        </w:rPr>
        <w:t>：</w:t>
      </w:r>
      <w:r>
        <w:rPr>
          <w:rFonts w:hint="eastAsia" w:ascii="Arial" w:hAnsi="Arial" w:eastAsia="宋体" w:cs="Arial"/>
          <w:b/>
          <w:bCs/>
          <w:color w:val="auto"/>
          <w:highlight w:val="none"/>
        </w:rPr>
        <w:t>本项目为非专门面向中小微企业采购</w:t>
      </w:r>
      <w:r>
        <w:rPr>
          <w:rFonts w:ascii="Arial" w:hAnsi="Arial" w:eastAsia="宋体" w:cs="Arial"/>
          <w:b/>
          <w:bCs/>
          <w:color w:val="auto"/>
          <w:kern w:val="0"/>
          <w:highlight w:val="none"/>
        </w:rPr>
        <w:t>。</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3.特定资格条件：（1）资质要求：无。（2）业绩要求：无。 （3）其他要求：无。</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4.</w:t>
      </w:r>
      <w:r>
        <w:rPr>
          <w:rFonts w:ascii="Arial" w:hAnsi="Arial" w:eastAsia="宋体" w:cs="Arial"/>
          <w:color w:val="auto"/>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5.</w:t>
      </w:r>
      <w:r>
        <w:rPr>
          <w:rFonts w:ascii="Arial" w:hAnsi="Arial" w:eastAsia="宋体" w:cs="Arial"/>
          <w:color w:val="auto"/>
          <w:highlight w:val="none"/>
        </w:rPr>
        <w:t>对在“信用中国”网站(www.creditchina.gov.cn) 、中国政府采购网(www.ccgp.gov.cn)被列入失信被执行人、</w:t>
      </w:r>
      <w:r>
        <w:rPr>
          <w:rFonts w:hint="eastAsia" w:ascii="Arial" w:hAnsi="Arial" w:eastAsia="宋体" w:cs="Arial"/>
          <w:color w:val="auto"/>
          <w:highlight w:val="none"/>
        </w:rPr>
        <w:t>重大税收违法失信主体</w:t>
      </w:r>
      <w:r>
        <w:rPr>
          <w:rFonts w:ascii="Arial" w:hAnsi="Arial" w:eastAsia="宋体" w:cs="Arial"/>
          <w:color w:val="auto"/>
          <w:highlight w:val="none"/>
        </w:rPr>
        <w:t>、政府采购严重违法失信行为记录名单及其他不符合《中华人民共和国政府采购法》第二十二条规定条件的供应商，不得参与政府采购活动。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6</w:t>
      </w:r>
      <w:r>
        <w:rPr>
          <w:rFonts w:ascii="Arial" w:hAnsi="Arial" w:eastAsia="宋体" w:cs="Arial"/>
          <w:color w:val="auto"/>
          <w:highlight w:val="none"/>
        </w:rPr>
        <w:t>.</w:t>
      </w:r>
      <w:r>
        <w:rPr>
          <w:rFonts w:hint="eastAsia" w:ascii="宋体" w:hAnsi="宋体" w:eastAsia="宋体" w:cs="宋体"/>
          <w:color w:val="auto"/>
          <w:szCs w:val="21"/>
          <w:highlight w:val="none"/>
        </w:rPr>
        <w:t>按照采购公告的规定获得采购文件</w:t>
      </w:r>
      <w:r>
        <w:rPr>
          <w:rFonts w:ascii="Arial" w:hAnsi="Arial" w:eastAsia="宋体" w:cs="Arial"/>
          <w:color w:val="auto"/>
          <w:highlight w:val="none"/>
        </w:rPr>
        <w:t>。</w:t>
      </w: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三、获取采购文件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时间：</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 xml:space="preserve"> 17</w:t>
      </w:r>
      <w:r>
        <w:rPr>
          <w:rFonts w:hint="eastAsia" w:ascii="Arial" w:hAnsi="Arial" w:eastAsia="宋体" w:cs="Arial"/>
          <w:color w:val="auto"/>
          <w:highlight w:val="none"/>
        </w:rPr>
        <w:t>日</w:t>
      </w:r>
      <w:r>
        <w:rPr>
          <w:rFonts w:ascii="Arial" w:hAnsi="Arial" w:eastAsia="宋体" w:cs="Arial"/>
          <w:color w:val="auto"/>
          <w:highlight w:val="none"/>
        </w:rPr>
        <w:t>至202</w:t>
      </w:r>
      <w:r>
        <w:rPr>
          <w:rFonts w:hint="eastAsia" w:ascii="Arial" w:hAnsi="Arial" w:eastAsia="宋体" w:cs="Arial"/>
          <w:color w:val="auto"/>
          <w:highlight w:val="none"/>
        </w:rPr>
        <w:t>5</w:t>
      </w:r>
      <w:r>
        <w:rPr>
          <w:rFonts w:ascii="Arial" w:hAnsi="Arial" w:eastAsia="宋体" w:cs="Arial"/>
          <w:color w:val="auto"/>
          <w:highlight w:val="none"/>
        </w:rPr>
        <w:t>年</w:t>
      </w:r>
      <w:r>
        <w:rPr>
          <w:rFonts w:hint="eastAsia" w:ascii="Arial" w:hAnsi="Arial" w:eastAsia="宋体" w:cs="Arial"/>
          <w:color w:val="auto"/>
          <w:highlight w:val="none"/>
          <w:lang w:val="en-US" w:eastAsia="zh-CN"/>
        </w:rPr>
        <w:t xml:space="preserve"> 9 </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 xml:space="preserve">22 </w:t>
      </w:r>
      <w:r>
        <w:rPr>
          <w:rFonts w:hint="eastAsia" w:ascii="Arial" w:hAnsi="Arial" w:eastAsia="宋体" w:cs="Arial"/>
          <w:color w:val="auto"/>
          <w:highlight w:val="none"/>
        </w:rPr>
        <w:t>日</w:t>
      </w:r>
      <w:r>
        <w:rPr>
          <w:rFonts w:ascii="Arial" w:hAnsi="Arial" w:eastAsia="宋体" w:cs="Arial"/>
          <w:color w:val="auto"/>
          <w:highlight w:val="none"/>
        </w:rPr>
        <w:t>，每天上午00:00至12:00，下午12:00至23:59（北京时间，法定节假日除外）</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地点（网址）</w:t>
      </w:r>
      <w:r>
        <w:rPr>
          <w:rFonts w:hint="eastAsia" w:ascii="Arial" w:hAnsi="Arial" w:eastAsia="宋体" w:cs="Arial"/>
          <w:color w:val="auto"/>
          <w:highlight w:val="none"/>
        </w:rPr>
        <w:t>：</w:t>
      </w:r>
      <w:bookmarkStart w:id="6" w:name="OLE_LINK5"/>
      <w:bookmarkStart w:id="7" w:name="_Hlk132732931"/>
      <w:r>
        <w:rPr>
          <w:rFonts w:hint="eastAsia" w:ascii="Arial" w:hAnsi="Arial" w:eastAsia="宋体" w:cs="Arial"/>
          <w:color w:val="auto"/>
          <w:highlight w:val="none"/>
        </w:rPr>
        <w:t>广西政府采购云平台 （https://www.gcy.zfcg.gxzf.gov.cn）</w:t>
      </w:r>
      <w:bookmarkEnd w:id="6"/>
      <w:bookmarkEnd w:id="7"/>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方式：</w:t>
      </w:r>
      <w:bookmarkStart w:id="8" w:name="OLE_LINK6"/>
      <w:r>
        <w:rPr>
          <w:rFonts w:hint="eastAsia" w:ascii="Arial" w:hAnsi="Arial" w:eastAsia="宋体" w:cs="Arial"/>
          <w:color w:val="auto"/>
          <w:highlight w:val="none"/>
        </w:rPr>
        <w:t>供应商登录广西政府采购云平台https://www.gcy.zfcg.gxzf.gov.cn/在线申请获取采购文件（进入“项目采购”应用，在获取采购文件菜单中选择项目，申请获取采购文件）。</w:t>
      </w:r>
    </w:p>
    <w:bookmarkEnd w:id="8"/>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售价(元)：0元。</w:t>
      </w:r>
    </w:p>
    <w:p>
      <w:pPr>
        <w:spacing w:line="288" w:lineRule="auto"/>
        <w:ind w:firstLine="420" w:firstLineChars="200"/>
        <w:rPr>
          <w:rFonts w:eastAsia="宋体" w:cs="Arial"/>
          <w:bCs/>
          <w:color w:val="auto"/>
          <w:szCs w:val="21"/>
          <w:highlight w:val="none"/>
        </w:rPr>
      </w:pPr>
      <w:r>
        <w:rPr>
          <w:rFonts w:eastAsia="宋体" w:cs="Arial"/>
          <w:b/>
          <w:color w:val="auto"/>
          <w:szCs w:val="21"/>
          <w:highlight w:val="none"/>
        </w:rPr>
        <w:t>四、响应文件提交</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截止时间：</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24</w:t>
      </w:r>
      <w:r>
        <w:rPr>
          <w:rFonts w:hint="eastAsia" w:ascii="Arial" w:hAnsi="Arial" w:eastAsia="宋体" w:cs="Arial"/>
          <w:color w:val="auto"/>
          <w:highlight w:val="none"/>
          <w:lang w:eastAsia="zh-CN"/>
        </w:rPr>
        <w:t>日</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3</w:t>
      </w:r>
      <w:r>
        <w:rPr>
          <w:rFonts w:hint="eastAsia" w:ascii="Arial" w:hAnsi="Arial" w:eastAsia="宋体" w:cs="Arial"/>
          <w:color w:val="auto"/>
          <w:highlight w:val="none"/>
        </w:rPr>
        <w:t>0分</w:t>
      </w:r>
      <w:r>
        <w:rPr>
          <w:rFonts w:ascii="Arial" w:hAnsi="Arial" w:eastAsia="宋体" w:cs="Arial"/>
          <w:color w:val="auto"/>
          <w:highlight w:val="none"/>
        </w:rPr>
        <w:t>（北京时间）</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地点（网址）：</w:t>
      </w:r>
      <w:bookmarkStart w:id="9" w:name="OLE_LINK8"/>
      <w:r>
        <w:rPr>
          <w:rFonts w:hint="eastAsia" w:ascii="Arial" w:hAnsi="Arial" w:eastAsia="宋体" w:cs="Arial"/>
          <w:color w:val="auto"/>
          <w:highlight w:val="none"/>
        </w:rPr>
        <w:t>本项目为全流程电子化项目，没有现场递交响应文件及现场截标环节，通过广西政府采购云平台（https://www.gcy.zfcg.gxzf.gov.cn）实行在线电子响应，供应商应先安装广西政府采购云平台投标客户端（请自行前往广西政府采购云平台进行下载），并按照本项目采购文件和广西政府采购云平台的要求使用CA认证编制、加密响应文件后在响应截止时间前上传至 广西政府采购云平台，供应商在广西政府采购云平台提交电子版响应文件时，请填写参加远程截标活动经办人联系方式。</w:t>
      </w:r>
    </w:p>
    <w:bookmarkEnd w:id="9"/>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五、开启</w:t>
      </w:r>
    </w:p>
    <w:p>
      <w:pPr>
        <w:spacing w:line="288" w:lineRule="auto"/>
        <w:ind w:firstLine="420" w:firstLineChars="200"/>
        <w:rPr>
          <w:rFonts w:ascii="Arial" w:hAnsi="Arial" w:eastAsia="宋体" w:cs="Arial"/>
          <w:bCs/>
          <w:color w:val="auto"/>
          <w:highlight w:val="none"/>
          <w:u w:val="single"/>
        </w:rPr>
      </w:pPr>
      <w:r>
        <w:rPr>
          <w:rFonts w:ascii="Arial" w:hAnsi="Arial" w:eastAsia="宋体" w:cs="Arial"/>
          <w:b/>
          <w:bCs/>
          <w:color w:val="auto"/>
          <w:highlight w:val="none"/>
        </w:rPr>
        <w:t>开启时间</w:t>
      </w:r>
      <w:r>
        <w:rPr>
          <w:rFonts w:ascii="Arial" w:hAnsi="Arial" w:eastAsia="宋体" w:cs="Arial"/>
          <w:color w:val="auto"/>
          <w:highlight w:val="none"/>
        </w:rPr>
        <w:t>：</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24</w:t>
      </w:r>
      <w:r>
        <w:rPr>
          <w:rFonts w:hint="eastAsia" w:ascii="Arial" w:hAnsi="Arial" w:eastAsia="宋体" w:cs="Arial"/>
          <w:color w:val="auto"/>
          <w:highlight w:val="none"/>
          <w:lang w:eastAsia="zh-CN"/>
        </w:rPr>
        <w:t>日</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3</w:t>
      </w:r>
      <w:r>
        <w:rPr>
          <w:rFonts w:hint="eastAsia" w:ascii="Arial" w:hAnsi="Arial" w:eastAsia="宋体" w:cs="Arial"/>
          <w:color w:val="auto"/>
          <w:highlight w:val="none"/>
        </w:rPr>
        <w:t>0分</w:t>
      </w:r>
      <w:r>
        <w:rPr>
          <w:rFonts w:ascii="Arial" w:hAnsi="Arial" w:eastAsia="宋体" w:cs="Arial"/>
          <w:color w:val="auto"/>
          <w:highlight w:val="none"/>
        </w:rPr>
        <w:t>（北京时间）</w:t>
      </w:r>
    </w:p>
    <w:p>
      <w:pPr>
        <w:spacing w:line="288" w:lineRule="auto"/>
        <w:ind w:firstLine="420" w:firstLineChars="200"/>
        <w:rPr>
          <w:rFonts w:ascii="Arial" w:hAnsi="Arial" w:eastAsia="宋体" w:cs="Arial"/>
          <w:color w:val="auto"/>
          <w:kern w:val="0"/>
          <w:szCs w:val="21"/>
          <w:highlight w:val="none"/>
          <w:u w:val="single"/>
        </w:rPr>
      </w:pPr>
      <w:r>
        <w:rPr>
          <w:rFonts w:ascii="Arial" w:hAnsi="Arial" w:eastAsia="宋体" w:cs="Arial"/>
          <w:b/>
          <w:bCs/>
          <w:color w:val="auto"/>
          <w:highlight w:val="none"/>
        </w:rPr>
        <w:t>地点</w:t>
      </w:r>
      <w:r>
        <w:rPr>
          <w:rFonts w:ascii="Arial" w:hAnsi="Arial" w:eastAsia="宋体" w:cs="Arial"/>
          <w:color w:val="auto"/>
          <w:highlight w:val="none"/>
        </w:rPr>
        <w:t>：</w:t>
      </w:r>
      <w:bookmarkStart w:id="10" w:name="OLE_LINK7"/>
      <w:r>
        <w:rPr>
          <w:rFonts w:hint="eastAsia" w:ascii="Arial" w:hAnsi="Arial" w:eastAsia="宋体" w:cs="Arial"/>
          <w:color w:val="auto"/>
          <w:highlight w:val="none"/>
        </w:rPr>
        <w:t>供应商登录广西政府采购云平台电子开标大厅截标。</w:t>
      </w:r>
      <w:bookmarkEnd w:id="10"/>
    </w:p>
    <w:p>
      <w:pPr>
        <w:spacing w:line="288" w:lineRule="auto"/>
        <w:ind w:firstLine="420" w:firstLineChars="200"/>
        <w:rPr>
          <w:rFonts w:ascii="Arial" w:hAnsi="Arial" w:eastAsia="宋体" w:cs="Arial"/>
          <w:b/>
          <w:bCs/>
          <w:color w:val="auto"/>
          <w:szCs w:val="21"/>
          <w:highlight w:val="none"/>
        </w:rPr>
      </w:pPr>
      <w:r>
        <w:rPr>
          <w:rFonts w:ascii="Arial" w:hAnsi="Arial" w:eastAsia="宋体" w:cs="Arial"/>
          <w:b/>
          <w:color w:val="auto"/>
          <w:szCs w:val="21"/>
          <w:highlight w:val="none"/>
        </w:rPr>
        <w:t>六、</w:t>
      </w:r>
      <w:r>
        <w:rPr>
          <w:rFonts w:ascii="Arial" w:hAnsi="Arial" w:eastAsia="宋体" w:cs="Arial"/>
          <w:b/>
          <w:bCs/>
          <w:color w:val="auto"/>
          <w:szCs w:val="21"/>
          <w:highlight w:val="none"/>
        </w:rPr>
        <w:t>公告期限</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自本公告发布之日起3个工作日。</w:t>
      </w:r>
    </w:p>
    <w:p>
      <w:pPr>
        <w:spacing w:line="288"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七、其他补充事宜</w:t>
      </w:r>
    </w:p>
    <w:p>
      <w:pPr>
        <w:spacing w:line="288" w:lineRule="auto"/>
        <w:ind w:firstLine="420" w:firstLineChars="200"/>
        <w:rPr>
          <w:rFonts w:ascii="Arial" w:hAnsi="Arial" w:eastAsia="宋体" w:cs="Arial"/>
          <w:color w:val="auto"/>
          <w:highlight w:val="none"/>
        </w:rPr>
      </w:pPr>
      <w:r>
        <w:rPr>
          <w:rFonts w:ascii="Arial" w:hAnsi="Arial" w:eastAsia="宋体" w:cs="Arial"/>
          <w:color w:val="auto"/>
          <w:kern w:val="0"/>
          <w:highlight w:val="none"/>
        </w:rPr>
        <w:t>1.网上查询地址</w:t>
      </w:r>
      <w:r>
        <w:rPr>
          <w:rFonts w:hint="eastAsia" w:ascii="Arial" w:hAnsi="Arial" w:eastAsia="宋体" w:cs="Arial"/>
          <w:color w:val="auto"/>
          <w:kern w:val="0"/>
          <w:highlight w:val="none"/>
        </w:rPr>
        <w:t>：</w:t>
      </w:r>
      <w:r>
        <w:rPr>
          <w:rFonts w:ascii="Arial" w:hAnsi="Arial" w:eastAsia="宋体" w:cs="Arial"/>
          <w:color w:val="auto"/>
          <w:highlight w:val="none"/>
        </w:rPr>
        <w:t>广西壮族自治区政府采购网、中国政府采购网</w:t>
      </w:r>
    </w:p>
    <w:p>
      <w:pPr>
        <w:spacing w:line="288" w:lineRule="auto"/>
        <w:ind w:firstLine="420" w:firstLineChars="200"/>
        <w:rPr>
          <w:rFonts w:hint="eastAsia" w:ascii="Arial" w:hAnsi="Arial" w:eastAsia="宋体" w:cs="Arial"/>
          <w:color w:val="auto"/>
          <w:kern w:val="0"/>
          <w:highlight w:val="none"/>
        </w:rPr>
      </w:pPr>
      <w:r>
        <w:rPr>
          <w:rFonts w:ascii="Arial" w:hAnsi="Arial" w:eastAsia="宋体" w:cs="Arial"/>
          <w:color w:val="auto"/>
          <w:kern w:val="0"/>
          <w:highlight w:val="none"/>
        </w:rPr>
        <w:t>2.本项目需要落实的政府采购政策</w:t>
      </w:r>
      <w:r>
        <w:rPr>
          <w:rFonts w:hint="eastAsia" w:ascii="Arial" w:hAnsi="Arial" w:eastAsia="宋体" w:cs="Arial"/>
          <w:color w:val="auto"/>
          <w:kern w:val="0"/>
          <w:highlight w:val="none"/>
        </w:rPr>
        <w:t>：本项目适用政府采购促进中小企业、监狱企业发展、促进残疾人就业、节能环保等有关政策，具体详见采购文件。</w:t>
      </w:r>
    </w:p>
    <w:p>
      <w:pPr>
        <w:spacing w:line="288" w:lineRule="auto"/>
        <w:ind w:firstLine="525" w:firstLineChars="250"/>
        <w:rPr>
          <w:rFonts w:hint="eastAsia" w:ascii="Arial" w:hAnsi="Arial" w:eastAsia="宋体" w:cs="Arial"/>
          <w:color w:val="auto"/>
          <w:kern w:val="0"/>
          <w:highlight w:val="none"/>
        </w:rPr>
      </w:pPr>
      <w:r>
        <w:rPr>
          <w:rFonts w:hint="eastAsia" w:ascii="Arial" w:hAnsi="Arial" w:eastAsia="宋体" w:cs="Arial"/>
          <w:color w:val="auto"/>
          <w:kern w:val="0"/>
          <w:highlight w:val="none"/>
        </w:rPr>
        <w:t>3.本项目供应商的产生方式：发布公告征集</w:t>
      </w:r>
    </w:p>
    <w:p>
      <w:pPr>
        <w:spacing w:line="288" w:lineRule="auto"/>
        <w:ind w:firstLine="525" w:firstLineChars="250"/>
        <w:rPr>
          <w:rFonts w:hint="eastAsia" w:ascii="Arial" w:hAnsi="Arial" w:eastAsia="宋体" w:cs="Arial"/>
          <w:b/>
          <w:bCs/>
          <w:color w:val="auto"/>
          <w:kern w:val="0"/>
          <w:highlight w:val="none"/>
        </w:rPr>
      </w:pPr>
      <w:r>
        <w:rPr>
          <w:rFonts w:hint="eastAsia" w:ascii="Arial" w:hAnsi="Arial" w:eastAsia="宋体" w:cs="Arial"/>
          <w:b/>
          <w:bCs/>
          <w:color w:val="auto"/>
          <w:kern w:val="0"/>
          <w:highlight w:val="none"/>
        </w:rPr>
        <w:t>4.谈判保证金金额：</w:t>
      </w:r>
    </w:p>
    <w:p>
      <w:pPr>
        <w:spacing w:line="288" w:lineRule="auto"/>
        <w:ind w:firstLine="525" w:firstLineChars="250"/>
        <w:rPr>
          <w:rFonts w:eastAsia="宋体" w:cs="Arial"/>
          <w:color w:val="auto"/>
          <w:szCs w:val="21"/>
          <w:highlight w:val="none"/>
        </w:rPr>
      </w:pPr>
      <w:r>
        <w:rPr>
          <w:rFonts w:hint="eastAsia" w:ascii="Arial" w:hAnsi="Arial" w:eastAsia="宋体" w:cs="Arial"/>
          <w:b/>
          <w:bCs/>
          <w:color w:val="auto"/>
          <w:kern w:val="0"/>
          <w:highlight w:val="none"/>
          <w:lang w:eastAsia="zh-CN"/>
        </w:rPr>
        <w:t>玖仟元整（¥9000.00）</w:t>
      </w:r>
      <w:r>
        <w:rPr>
          <w:rFonts w:hint="eastAsia" w:ascii="Arial" w:hAnsi="Arial" w:eastAsia="宋体" w:cs="Arial"/>
          <w:b/>
          <w:bCs/>
          <w:color w:val="auto"/>
          <w:kern w:val="0"/>
          <w:highlight w:val="none"/>
        </w:rPr>
        <w:t>（须足额缴纳）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hint="eastAsia" w:ascii="Arial" w:hAnsi="Arial" w:eastAsia="宋体" w:cs="Arial"/>
          <w:color w:val="auto"/>
          <w:highlight w:val="none"/>
          <w:lang w:eastAsia="zh-CN"/>
        </w:rPr>
      </w:pPr>
      <w:r>
        <w:rPr>
          <w:rFonts w:hint="eastAsia" w:ascii="Arial" w:hAnsi="Arial" w:eastAsia="宋体" w:cs="Arial"/>
          <w:color w:val="auto"/>
          <w:highlight w:val="none"/>
        </w:rPr>
        <w:t>开户账户：</w:t>
      </w:r>
      <w:r>
        <w:rPr>
          <w:rFonts w:hint="eastAsia" w:ascii="Arial" w:hAnsi="Arial" w:eastAsia="宋体" w:cs="Arial"/>
          <w:color w:val="auto"/>
          <w:highlight w:val="none"/>
          <w:lang w:eastAsia="zh-CN"/>
        </w:rPr>
        <w:t>30210485914533</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5.注意事项：</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（2）为确保网上操作合法、有效和安全，请供应商确保在电子投标过程中能够对相关数据电文进行加密和使用电子签章，妥善保管CA数字证书并使用有效的CA数字证书参与整个招标活动。</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（3）若对项目采购电子交易系统操作有疑问，可登录广西政府采购云平台（https://www.gcy.zfcg.gxzf.gov.cn/），点击右侧咨询小采或帮助文档或拨打客服热线95763</w:t>
      </w:r>
    </w:p>
    <w:p>
      <w:pPr>
        <w:spacing w:line="288" w:lineRule="auto"/>
        <w:ind w:firstLine="420" w:firstLineChars="200"/>
        <w:rPr>
          <w:rFonts w:eastAsia="宋体" w:cs="Arial"/>
          <w:b/>
          <w:bCs/>
          <w:color w:val="auto"/>
          <w:szCs w:val="21"/>
          <w:highlight w:val="none"/>
        </w:rPr>
      </w:pPr>
      <w:r>
        <w:rPr>
          <w:rFonts w:eastAsia="宋体" w:cs="Arial"/>
          <w:b/>
          <w:bCs/>
          <w:color w:val="auto"/>
          <w:szCs w:val="21"/>
          <w:highlight w:val="none"/>
        </w:rPr>
        <w:t>八、凡对本次采购提出询问，请按以下方式联系。</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1.采购人信息</w:t>
      </w:r>
    </w:p>
    <w:p>
      <w:pPr>
        <w:spacing w:line="288" w:lineRule="auto"/>
        <w:ind w:firstLine="420" w:firstLineChars="200"/>
        <w:rPr>
          <w:rFonts w:hint="eastAsia" w:ascii="Arial" w:hAnsi="Arial" w:eastAsia="宋体" w:cs="Arial"/>
          <w:color w:val="auto"/>
          <w:kern w:val="0"/>
          <w:highlight w:val="none"/>
        </w:rPr>
      </w:pPr>
      <w:r>
        <w:rPr>
          <w:rFonts w:hint="eastAsia" w:ascii="Arial" w:hAnsi="Arial" w:eastAsia="宋体" w:cs="Arial"/>
          <w:color w:val="auto"/>
          <w:kern w:val="0"/>
          <w:highlight w:val="none"/>
        </w:rPr>
        <w:t>名称：桂林医科大学</w:t>
      </w:r>
    </w:p>
    <w:p>
      <w:pPr>
        <w:spacing w:line="288" w:lineRule="auto"/>
        <w:ind w:firstLine="420" w:firstLineChars="200"/>
        <w:rPr>
          <w:rFonts w:hint="eastAsia" w:ascii="Arial" w:hAnsi="Arial" w:eastAsia="宋体" w:cs="Arial"/>
          <w:color w:val="auto"/>
          <w:kern w:val="0"/>
          <w:highlight w:val="none"/>
        </w:rPr>
      </w:pPr>
      <w:r>
        <w:rPr>
          <w:rFonts w:hint="eastAsia" w:ascii="Arial" w:hAnsi="Arial" w:eastAsia="宋体" w:cs="Arial"/>
          <w:color w:val="auto"/>
          <w:kern w:val="0"/>
          <w:highlight w:val="none"/>
        </w:rPr>
        <w:t>地址：桂林市临桂区致远路1号</w:t>
      </w:r>
    </w:p>
    <w:p>
      <w:pPr>
        <w:spacing w:line="288" w:lineRule="auto"/>
        <w:ind w:firstLine="420" w:firstLineChars="200"/>
        <w:rPr>
          <w:rFonts w:hint="eastAsia" w:ascii="Arial" w:hAnsi="Arial" w:eastAsia="宋体" w:cs="Arial"/>
          <w:color w:val="auto"/>
          <w:kern w:val="0"/>
          <w:highlight w:val="none"/>
          <w:lang w:eastAsia="zh-CN"/>
        </w:rPr>
      </w:pPr>
      <w:r>
        <w:rPr>
          <w:rFonts w:hint="eastAsia" w:ascii="Arial" w:hAnsi="Arial" w:eastAsia="宋体" w:cs="Arial"/>
          <w:color w:val="auto"/>
          <w:kern w:val="0"/>
          <w:highlight w:val="none"/>
        </w:rPr>
        <w:t>项目联系人：</w:t>
      </w:r>
      <w:bookmarkStart w:id="11" w:name="OLE_LINK9"/>
      <w:r>
        <w:rPr>
          <w:rFonts w:hint="eastAsia" w:ascii="Arial" w:hAnsi="Arial" w:eastAsia="宋体" w:cs="Arial"/>
          <w:color w:val="auto"/>
          <w:kern w:val="0"/>
          <w:highlight w:val="none"/>
          <w:lang w:eastAsia="zh-CN"/>
        </w:rPr>
        <w:t>王随义</w:t>
      </w:r>
      <w:bookmarkEnd w:id="11"/>
    </w:p>
    <w:p>
      <w:pPr>
        <w:spacing w:line="288" w:lineRule="auto"/>
        <w:ind w:firstLine="420" w:firstLineChars="200"/>
        <w:rPr>
          <w:rFonts w:hint="eastAsia" w:ascii="Arial" w:hAnsi="Arial" w:eastAsia="宋体" w:cs="Arial"/>
          <w:color w:val="auto"/>
          <w:kern w:val="0"/>
          <w:highlight w:val="none"/>
        </w:rPr>
      </w:pPr>
      <w:r>
        <w:rPr>
          <w:rFonts w:hint="eastAsia" w:ascii="Arial" w:hAnsi="Arial" w:eastAsia="宋体" w:cs="Arial"/>
          <w:color w:val="auto"/>
          <w:kern w:val="0"/>
          <w:highlight w:val="none"/>
        </w:rPr>
        <w:t>联系方式：</w:t>
      </w:r>
      <w:bookmarkStart w:id="12" w:name="OLE_LINK10"/>
      <w:r>
        <w:rPr>
          <w:rFonts w:hint="eastAsia" w:ascii="Arial" w:hAnsi="Arial" w:eastAsia="宋体" w:cs="Arial"/>
          <w:color w:val="auto"/>
          <w:kern w:val="0"/>
          <w:highlight w:val="none"/>
        </w:rPr>
        <w:t>0773-3662950</w:t>
      </w:r>
      <w:bookmarkEnd w:id="12"/>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2.采购代理机构信息</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名称：广西机电设备招标有限公司</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地址：</w:t>
      </w:r>
      <w:bookmarkStart w:id="13" w:name="OLE_LINK11"/>
      <w:r>
        <w:rPr>
          <w:rFonts w:ascii="Arial" w:hAnsi="Arial" w:eastAsia="宋体" w:cs="Arial"/>
          <w:color w:val="auto"/>
          <w:kern w:val="0"/>
          <w:highlight w:val="none"/>
        </w:rPr>
        <w:t>桂林市骖鸾路31号湘商大厦6楼603（桂林分公司）</w:t>
      </w:r>
      <w:bookmarkEnd w:id="13"/>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项目联系人：曾昭卉</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联系方式： </w:t>
      </w:r>
      <w:r>
        <w:rPr>
          <w:rFonts w:hint="eastAsia" w:ascii="Arial" w:hAnsi="Arial" w:eastAsia="宋体" w:cs="Arial"/>
          <w:color w:val="auto"/>
          <w:kern w:val="0"/>
          <w:highlight w:val="none"/>
        </w:rPr>
        <w:t>0773-3696789转2</w:t>
      </w:r>
      <w:r>
        <w:rPr>
          <w:rFonts w:ascii="Arial" w:hAnsi="Arial" w:eastAsia="宋体" w:cs="Arial"/>
          <w:color w:val="auto"/>
          <w:kern w:val="0"/>
          <w:highlight w:val="none"/>
        </w:rPr>
        <w:t xml:space="preserve"> </w:t>
      </w:r>
    </w:p>
    <w:p>
      <w:pPr>
        <w:spacing w:line="288" w:lineRule="auto"/>
        <w:jc w:val="right"/>
        <w:rPr>
          <w:rFonts w:ascii="Arial" w:hAnsi="Arial" w:eastAsia="宋体" w:cs="Arial"/>
          <w:color w:val="auto"/>
          <w:kern w:val="0"/>
          <w:highlight w:val="none"/>
        </w:rPr>
      </w:pPr>
    </w:p>
    <w:p>
      <w:pPr>
        <w:spacing w:line="288" w:lineRule="auto"/>
        <w:jc w:val="right"/>
        <w:rPr>
          <w:rFonts w:ascii="Arial" w:hAnsi="Arial" w:eastAsia="宋体" w:cs="Arial"/>
          <w:color w:val="auto"/>
          <w:kern w:val="0"/>
          <w:highlight w:val="none"/>
        </w:rPr>
      </w:pPr>
      <w:r>
        <w:rPr>
          <w:rFonts w:ascii="Arial" w:hAnsi="Arial" w:eastAsia="宋体" w:cs="Arial"/>
          <w:color w:val="auto"/>
          <w:kern w:val="0"/>
          <w:highlight w:val="none"/>
        </w:rPr>
        <w:t>广西机电设备招标有限公司</w:t>
      </w:r>
    </w:p>
    <w:p>
      <w:pPr>
        <w:spacing w:line="288" w:lineRule="auto"/>
        <w:jc w:val="right"/>
        <w:rPr>
          <w:rFonts w:hint="eastAsia" w:ascii="Arial" w:hAnsi="Arial" w:eastAsia="宋体" w:cs="Arial"/>
          <w:color w:val="auto"/>
          <w:highlight w:val="none"/>
        </w:rPr>
      </w:pP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 xml:space="preserve">9 </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 xml:space="preserve"> 17</w:t>
      </w:r>
      <w:r>
        <w:rPr>
          <w:rFonts w:hint="eastAsia" w:ascii="Arial" w:hAnsi="Arial" w:eastAsia="宋体" w:cs="Arial"/>
          <w:color w:val="auto"/>
          <w:highlight w:val="none"/>
        </w:rPr>
        <w:t>日</w:t>
      </w:r>
    </w:p>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numPr>
          <w:ilvl w:val="0"/>
          <w:numId w:val="2"/>
        </w:numPr>
        <w:spacing w:line="340" w:lineRule="exact"/>
        <w:jc w:val="center"/>
        <w:outlineLvl w:val="0"/>
        <w:rPr>
          <w:rFonts w:ascii="Arial" w:hAnsi="Arial" w:eastAsia="宋体" w:cs="Arial"/>
          <w:b/>
          <w:color w:val="auto"/>
          <w:sz w:val="32"/>
          <w:szCs w:val="32"/>
          <w:highlight w:val="none"/>
        </w:rPr>
      </w:pPr>
      <w:bookmarkStart w:id="14" w:name="_Toc26549"/>
      <w:bookmarkStart w:id="15" w:name="_Toc10921"/>
      <w:bookmarkStart w:id="16" w:name="_Toc26166"/>
      <w:r>
        <w:rPr>
          <w:rStyle w:val="45"/>
          <w:rFonts w:ascii="Arial" w:hAnsi="Arial" w:cs="Arial"/>
          <w:color w:val="auto"/>
          <w:highlight w:val="none"/>
        </w:rPr>
        <w:t>供应商须知</w:t>
      </w:r>
      <w:bookmarkEnd w:id="14"/>
      <w:bookmarkEnd w:id="15"/>
      <w:bookmarkEnd w:id="16"/>
    </w:p>
    <w:p>
      <w:pPr>
        <w:tabs>
          <w:tab w:val="left" w:pos="1065"/>
          <w:tab w:val="center" w:pos="4411"/>
        </w:tabs>
        <w:spacing w:line="340" w:lineRule="exact"/>
        <w:jc w:val="center"/>
        <w:rPr>
          <w:rFonts w:ascii="Arial" w:hAnsi="Arial" w:eastAsia="宋体" w:cs="Arial"/>
          <w:b/>
          <w:color w:val="auto"/>
          <w:sz w:val="24"/>
          <w:highlight w:val="none"/>
        </w:rPr>
      </w:pPr>
      <w:r>
        <w:rPr>
          <w:rFonts w:ascii="Arial" w:hAnsi="Arial" w:eastAsia="宋体" w:cs="Arial"/>
          <w:b/>
          <w:color w:val="auto"/>
          <w:sz w:val="24"/>
          <w:highlight w:val="none"/>
        </w:rPr>
        <w:t>供 应 商 须 知 前 附 表</w:t>
      </w:r>
    </w:p>
    <w:tbl>
      <w:tblPr>
        <w:tblStyle w:val="23"/>
        <w:tblW w:w="982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3"/>
        <w:gridCol w:w="1290"/>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noWrap w:val="0"/>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条款号</w:t>
            </w:r>
          </w:p>
        </w:tc>
        <w:tc>
          <w:tcPr>
            <w:tcW w:w="1290"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条款名称</w:t>
            </w:r>
          </w:p>
        </w:tc>
        <w:tc>
          <w:tcPr>
            <w:tcW w:w="6688"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项目名称及项目编号</w:t>
            </w:r>
          </w:p>
        </w:tc>
        <w:tc>
          <w:tcPr>
            <w:tcW w:w="6688" w:type="dxa"/>
            <w:noWrap w:val="0"/>
            <w:vAlign w:val="top"/>
          </w:tcPr>
          <w:p>
            <w:pPr>
              <w:spacing w:line="400" w:lineRule="exact"/>
              <w:rPr>
                <w:rFonts w:hint="eastAsia" w:ascii="Arial" w:hAnsi="Arial" w:eastAsia="宋体" w:cs="Arial"/>
                <w:color w:val="auto"/>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highlight w:val="none"/>
                <w:lang w:eastAsia="zh-CN"/>
              </w:rPr>
              <w:t>2025年广西一流学科建设项目仪器设备采购</w:t>
            </w:r>
          </w:p>
          <w:p>
            <w:pPr>
              <w:spacing w:line="400" w:lineRule="exac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GXZC2025-J1-002800-JDZB</w:t>
            </w:r>
          </w:p>
          <w:p>
            <w:pPr>
              <w:spacing w:line="400" w:lineRule="exact"/>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 xml:space="preserve">政府采购计划编号：广西政采[2025]12477号-001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供应商资格</w:t>
            </w:r>
          </w:p>
        </w:tc>
        <w:tc>
          <w:tcPr>
            <w:tcW w:w="6688" w:type="dxa"/>
            <w:noWrap w:val="0"/>
            <w:vAlign w:val="center"/>
          </w:tcPr>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3.1满足《中华人民共和国政府采购法》第二十二条规定。</w:t>
            </w:r>
          </w:p>
          <w:p>
            <w:pPr>
              <w:tabs>
                <w:tab w:val="left" w:pos="1635"/>
              </w:tabs>
              <w:spacing w:line="380" w:lineRule="exact"/>
              <w:jc w:val="left"/>
              <w:rPr>
                <w:rFonts w:ascii="Arial" w:hAnsi="Arial" w:eastAsia="宋体" w:cs="Arial"/>
                <w:b/>
                <w:bCs/>
                <w:color w:val="auto"/>
                <w:kern w:val="0"/>
                <w:szCs w:val="21"/>
                <w:highlight w:val="none"/>
              </w:rPr>
            </w:pPr>
            <w:r>
              <w:rPr>
                <w:rFonts w:ascii="Arial" w:hAnsi="Arial" w:eastAsia="宋体" w:cs="Arial"/>
                <w:color w:val="auto"/>
                <w:kern w:val="0"/>
                <w:szCs w:val="21"/>
                <w:highlight w:val="none"/>
              </w:rPr>
              <w:t>3.2落实政府采购政策需满足的资格要求：</w:t>
            </w:r>
            <w:r>
              <w:rPr>
                <w:rFonts w:ascii="Arial" w:hAnsi="Arial" w:eastAsia="宋体" w:cs="Arial"/>
                <w:b/>
                <w:bCs/>
                <w:color w:val="auto"/>
                <w:kern w:val="0"/>
                <w:szCs w:val="21"/>
                <w:highlight w:val="none"/>
              </w:rPr>
              <w:t>本项目</w:t>
            </w:r>
            <w:r>
              <w:rPr>
                <w:rFonts w:hint="eastAsia" w:ascii="Arial" w:hAnsi="Arial" w:eastAsia="宋体" w:cs="Arial"/>
                <w:b/>
                <w:bCs/>
                <w:color w:val="auto"/>
                <w:kern w:val="0"/>
                <w:szCs w:val="21"/>
                <w:highlight w:val="none"/>
              </w:rPr>
              <w:t>为非</w:t>
            </w:r>
            <w:r>
              <w:rPr>
                <w:rFonts w:ascii="Arial" w:hAnsi="Arial" w:eastAsia="宋体" w:cs="Arial"/>
                <w:b/>
                <w:bCs/>
                <w:color w:val="auto"/>
                <w:kern w:val="0"/>
                <w:szCs w:val="21"/>
                <w:highlight w:val="none"/>
              </w:rPr>
              <w:t>专门面向中小微企业采购。</w:t>
            </w:r>
          </w:p>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3.3本项目的特定资格要求：（1）资质要求：无。（2）业绩要求：无。（3）其他要求：无。</w:t>
            </w:r>
          </w:p>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3.5对在“信用中国”网站(www.creditchina.gov.cn) 、中国政府采购网(www.ccgp.gov.cn)被列入失信被执行人、</w:t>
            </w:r>
            <w:r>
              <w:rPr>
                <w:rFonts w:hint="eastAsia" w:ascii="Arial" w:hAnsi="Arial" w:eastAsia="宋体" w:cs="Arial"/>
                <w:color w:val="auto"/>
                <w:kern w:val="0"/>
                <w:szCs w:val="21"/>
                <w:highlight w:val="none"/>
              </w:rPr>
              <w:t>重大税收违法失信主体</w:t>
            </w:r>
            <w:r>
              <w:rPr>
                <w:rFonts w:ascii="Arial" w:hAnsi="Arial" w:eastAsia="宋体" w:cs="Arial"/>
                <w:color w:val="auto"/>
                <w:kern w:val="0"/>
                <w:szCs w:val="21"/>
                <w:highlight w:val="none"/>
              </w:rPr>
              <w:t>、政府采购严重违法失信行为记录名单及其他不符合《中华人民共和国政府采购法》第二十二条规定条件的供应商，不得参与政府采购活动</w:t>
            </w:r>
          </w:p>
          <w:p>
            <w:pPr>
              <w:spacing w:line="400" w:lineRule="exact"/>
              <w:rPr>
                <w:rFonts w:ascii="Arial" w:hAnsi="Arial" w:eastAsia="宋体" w:cs="Arial"/>
                <w:color w:val="auto"/>
                <w:highlight w:val="none"/>
              </w:rPr>
            </w:pPr>
            <w:r>
              <w:rPr>
                <w:rFonts w:ascii="Arial" w:hAnsi="Arial" w:eastAsia="宋体" w:cs="Arial"/>
                <w:color w:val="auto"/>
                <w:kern w:val="0"/>
                <w:szCs w:val="21"/>
                <w:highlight w:val="none"/>
              </w:rPr>
              <w:t>3.6.</w:t>
            </w:r>
            <w:r>
              <w:rPr>
                <w:rFonts w:hint="eastAsia" w:ascii="Arial" w:hAnsi="Arial" w:eastAsia="宋体" w:cs="Arial"/>
                <w:color w:val="auto"/>
                <w:kern w:val="0"/>
                <w:szCs w:val="21"/>
                <w:highlight w:val="none"/>
              </w:rPr>
              <w:t>按照采购公告的规定获得采购文件</w:t>
            </w:r>
            <w:r>
              <w:rPr>
                <w:rFonts w:ascii="Arial" w:hAnsi="Arial" w:eastAsia="宋体" w:cs="Arial"/>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谈判费用</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 xml:space="preserve">不论谈判结果如何，供应商均应自行承担所有与谈判有关的全部费用。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023" w:type="dxa"/>
            <w:noWrap w:val="0"/>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290" w:type="dxa"/>
            <w:noWrap w:val="0"/>
            <w:vAlign w:val="center"/>
          </w:tcPr>
          <w:p>
            <w:pPr>
              <w:spacing w:line="240" w:lineRule="exact"/>
              <w:jc w:val="center"/>
              <w:rPr>
                <w:rFonts w:ascii="Arial" w:hAnsi="Arial" w:eastAsia="宋体" w:cs="Arial"/>
                <w:color w:val="auto"/>
                <w:position w:val="-2"/>
                <w:szCs w:val="21"/>
                <w:highlight w:val="none"/>
              </w:rPr>
            </w:pPr>
            <w:r>
              <w:rPr>
                <w:rFonts w:ascii="Arial" w:hAnsi="Arial" w:eastAsia="宋体" w:cs="Arial"/>
                <w:color w:val="auto"/>
                <w:szCs w:val="21"/>
                <w:highlight w:val="none"/>
              </w:rPr>
              <w:t>谈判报价及</w:t>
            </w:r>
            <w:r>
              <w:rPr>
                <w:rFonts w:ascii="Arial" w:hAnsi="Arial" w:eastAsia="宋体" w:cs="Arial"/>
                <w:color w:val="auto"/>
                <w:position w:val="-2"/>
                <w:szCs w:val="21"/>
                <w:highlight w:val="none"/>
              </w:rPr>
              <w:t>采购预算金额</w:t>
            </w:r>
          </w:p>
        </w:tc>
        <w:tc>
          <w:tcPr>
            <w:tcW w:w="6688" w:type="dxa"/>
            <w:noWrap w:val="0"/>
            <w:vAlign w:val="center"/>
          </w:tcPr>
          <w:p>
            <w:pPr>
              <w:spacing w:line="288" w:lineRule="auto"/>
              <w:rPr>
                <w:rFonts w:ascii="Arial" w:hAnsi="Arial" w:eastAsia="宋体" w:cs="Arial"/>
                <w:b/>
                <w:bCs/>
                <w:color w:val="auto"/>
                <w:szCs w:val="21"/>
                <w:highlight w:val="none"/>
              </w:rPr>
            </w:pPr>
            <w:r>
              <w:rPr>
                <w:rFonts w:ascii="Arial" w:hAnsi="Arial" w:eastAsia="宋体" w:cs="Arial"/>
                <w:color w:val="auto"/>
                <w:szCs w:val="21"/>
                <w:highlight w:val="none"/>
              </w:rPr>
              <w:t>13.1 谈判报价必须按谈判文件中相关附件格式填写。</w:t>
            </w:r>
            <w:r>
              <w:rPr>
                <w:rFonts w:hint="eastAsia" w:ascii="Arial" w:hAnsi="Arial" w:eastAsia="宋体" w:cs="Arial"/>
                <w:b/>
                <w:bCs/>
                <w:color w:val="auto"/>
                <w:szCs w:val="21"/>
                <w:highlight w:val="none"/>
              </w:rPr>
              <w:t>预算金额998900元，控制价为995000元，供应商响应报价不得超过控制价，否则</w:t>
            </w:r>
            <w:r>
              <w:rPr>
                <w:rFonts w:ascii="Arial" w:hAnsi="Arial" w:eastAsia="宋体" w:cs="Arial"/>
                <w:b/>
                <w:bCs/>
                <w:color w:val="auto"/>
                <w:szCs w:val="21"/>
                <w:highlight w:val="none"/>
              </w:rPr>
              <w:t>响应文件作无效处理。</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13.2供应商必须就“货物采购需求”中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1023" w:type="dxa"/>
            <w:noWrap w:val="0"/>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14.1</w:t>
            </w:r>
          </w:p>
        </w:tc>
        <w:tc>
          <w:tcPr>
            <w:tcW w:w="1290" w:type="dxa"/>
            <w:noWrap w:val="0"/>
            <w:vAlign w:val="center"/>
          </w:tcPr>
          <w:p>
            <w:pPr>
              <w:spacing w:line="24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响应文件有效期</w:t>
            </w:r>
          </w:p>
        </w:tc>
        <w:tc>
          <w:tcPr>
            <w:tcW w:w="6688" w:type="dxa"/>
            <w:noWrap w:val="0"/>
            <w:vAlign w:val="center"/>
          </w:tcPr>
          <w:p>
            <w:pPr>
              <w:tabs>
                <w:tab w:val="left" w:pos="1305"/>
              </w:tabs>
              <w:spacing w:line="400" w:lineRule="exact"/>
              <w:rPr>
                <w:rFonts w:ascii="Arial" w:hAnsi="Arial" w:eastAsia="宋体" w:cs="Arial"/>
                <w:color w:val="auto"/>
                <w:szCs w:val="21"/>
                <w:highlight w:val="none"/>
              </w:rPr>
            </w:pPr>
            <w:r>
              <w:rPr>
                <w:rFonts w:ascii="Arial" w:hAnsi="Arial" w:eastAsia="宋体" w:cs="Arial"/>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1023" w:type="dxa"/>
            <w:noWrap w:val="0"/>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15</w:t>
            </w:r>
          </w:p>
        </w:tc>
        <w:tc>
          <w:tcPr>
            <w:tcW w:w="1290" w:type="dxa"/>
            <w:noWrap w:val="0"/>
            <w:vAlign w:val="center"/>
          </w:tcPr>
          <w:p>
            <w:pPr>
              <w:spacing w:line="400" w:lineRule="exact"/>
              <w:jc w:val="center"/>
              <w:rPr>
                <w:rFonts w:ascii="Arial" w:hAnsi="Arial" w:eastAsia="宋体" w:cs="Arial"/>
                <w:color w:val="auto"/>
                <w:position w:val="-2"/>
                <w:szCs w:val="21"/>
                <w:highlight w:val="none"/>
              </w:rPr>
            </w:pPr>
            <w:r>
              <w:rPr>
                <w:rFonts w:ascii="Arial" w:hAnsi="Arial" w:eastAsia="宋体" w:cs="Arial"/>
                <w:color w:val="auto"/>
                <w:highlight w:val="none"/>
              </w:rPr>
              <w:t>保证金</w:t>
            </w:r>
          </w:p>
        </w:tc>
        <w:tc>
          <w:tcPr>
            <w:tcW w:w="6688" w:type="dxa"/>
            <w:noWrap w:val="0"/>
            <w:vAlign w:val="top"/>
          </w:tcPr>
          <w:p>
            <w:pPr>
              <w:spacing w:line="400" w:lineRule="exact"/>
              <w:rPr>
                <w:rFonts w:eastAsia="宋体" w:cs="Arial"/>
                <w:color w:val="auto"/>
                <w:szCs w:val="21"/>
                <w:highlight w:val="none"/>
              </w:rPr>
            </w:pPr>
            <w:r>
              <w:rPr>
                <w:rFonts w:hint="eastAsia" w:ascii="Arial" w:hAnsi="Arial" w:eastAsia="宋体" w:cs="Arial"/>
                <w:color w:val="auto"/>
                <w:szCs w:val="21"/>
                <w:highlight w:val="none"/>
              </w:rPr>
              <w:t>谈判保证金金额：</w:t>
            </w:r>
            <w:r>
              <w:rPr>
                <w:rFonts w:hint="eastAsia" w:ascii="Arial" w:hAnsi="Arial" w:eastAsia="宋体" w:cs="Arial"/>
                <w:b/>
                <w:bCs/>
                <w:color w:val="auto"/>
                <w:kern w:val="0"/>
                <w:highlight w:val="none"/>
                <w:lang w:eastAsia="zh-CN"/>
              </w:rPr>
              <w:t>玖仟元整（¥9000.00）</w:t>
            </w:r>
            <w:r>
              <w:rPr>
                <w:rFonts w:hint="eastAsia" w:ascii="Arial" w:hAnsi="Arial" w:eastAsia="宋体" w:cs="Arial"/>
                <w:b/>
                <w:bCs/>
                <w:color w:val="auto"/>
                <w:kern w:val="0"/>
                <w:highlight w:val="none"/>
              </w:rPr>
              <w:t>（须足额缴纳）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hint="eastAsia" w:ascii="Arial" w:hAnsi="Arial" w:eastAsia="宋体" w:cs="Arial"/>
                <w:color w:val="auto"/>
                <w:highlight w:val="none"/>
                <w:lang w:eastAsia="zh-CN"/>
              </w:rPr>
            </w:pPr>
            <w:r>
              <w:rPr>
                <w:rFonts w:hint="eastAsia" w:ascii="Arial" w:hAnsi="Arial" w:eastAsia="宋体" w:cs="Arial"/>
                <w:color w:val="auto"/>
                <w:highlight w:val="none"/>
              </w:rPr>
              <w:t>开户账户：</w:t>
            </w:r>
            <w:r>
              <w:rPr>
                <w:rFonts w:hint="eastAsia" w:ascii="Arial" w:hAnsi="Arial" w:eastAsia="宋体" w:cs="Arial"/>
                <w:color w:val="auto"/>
                <w:highlight w:val="none"/>
                <w:lang w:eastAsia="zh-CN"/>
              </w:rPr>
              <w:t>30210485914533</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7</w:t>
            </w:r>
          </w:p>
        </w:tc>
        <w:tc>
          <w:tcPr>
            <w:tcW w:w="1023" w:type="dxa"/>
            <w:noWrap w:val="0"/>
            <w:vAlign w:val="center"/>
          </w:tcPr>
          <w:p>
            <w:pPr>
              <w:spacing w:line="36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16</w:t>
            </w:r>
          </w:p>
        </w:tc>
        <w:tc>
          <w:tcPr>
            <w:tcW w:w="1290" w:type="dxa"/>
            <w:noWrap w:val="0"/>
            <w:vAlign w:val="center"/>
          </w:tcPr>
          <w:p>
            <w:pPr>
              <w:spacing w:line="400" w:lineRule="exact"/>
              <w:rPr>
                <w:rFonts w:ascii="Arial" w:hAnsi="Arial" w:eastAsia="宋体" w:cs="Arial"/>
                <w:color w:val="auto"/>
                <w:position w:val="-2"/>
                <w:szCs w:val="21"/>
                <w:highlight w:val="none"/>
              </w:rPr>
            </w:pPr>
            <w:r>
              <w:rPr>
                <w:rFonts w:ascii="Arial" w:hAnsi="Arial" w:eastAsia="宋体" w:cs="Arial"/>
                <w:color w:val="auto"/>
                <w:highlight w:val="none"/>
              </w:rPr>
              <w:t>响应文件的制作</w:t>
            </w:r>
          </w:p>
        </w:tc>
        <w:tc>
          <w:tcPr>
            <w:tcW w:w="6688" w:type="dxa"/>
            <w:noWrap w:val="0"/>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16.1电子响应文件中须加盖供应商公章部分均采用 CA 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响应文件规定的部位查找不到相关内容的，由供应商自行承担。</w:t>
            </w:r>
          </w:p>
          <w:p>
            <w:pPr>
              <w:spacing w:line="400" w:lineRule="exact"/>
              <w:rPr>
                <w:rFonts w:ascii="Arial" w:hAnsi="Arial" w:eastAsia="宋体" w:cs="Arial"/>
                <w:color w:val="auto"/>
                <w:highlight w:val="none"/>
              </w:rPr>
            </w:pPr>
            <w:r>
              <w:rPr>
                <w:rFonts w:ascii="Arial" w:hAnsi="Arial" w:eastAsia="宋体" w:cs="Arial"/>
                <w:color w:val="auto"/>
                <w:highlight w:val="none"/>
              </w:rPr>
              <w:t>16.2 供应商法人（负责人）或授权代表持有</w:t>
            </w:r>
            <w:r>
              <w:rPr>
                <w:rFonts w:hint="eastAsia" w:ascii="Arial" w:hAnsi="Arial" w:eastAsia="宋体" w:cs="Arial"/>
                <w:color w:val="auto"/>
                <w:highlight w:val="none"/>
              </w:rPr>
              <w:t>广西政府采购云平台</w:t>
            </w:r>
            <w:r>
              <w:rPr>
                <w:rFonts w:ascii="Arial" w:hAnsi="Arial" w:eastAsia="宋体" w:cs="Arial"/>
                <w:color w:val="auto"/>
                <w:highlight w:val="none"/>
              </w:rPr>
              <w:t>个人CA签章的，应在响应文件中涉及到签字的位置使用个人CA签章，没有办理</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个人CA签章的可在响应文件文件中涉及到签字的位置手写签字后扫描或者拍照做成 PDF 的格式上传即可。 </w:t>
            </w:r>
          </w:p>
          <w:p>
            <w:pPr>
              <w:spacing w:line="400" w:lineRule="exact"/>
              <w:rPr>
                <w:rFonts w:ascii="Arial" w:hAnsi="Arial" w:eastAsia="宋体" w:cs="Arial"/>
                <w:color w:val="auto"/>
                <w:highlight w:val="none"/>
              </w:rPr>
            </w:pPr>
            <w:r>
              <w:rPr>
                <w:rFonts w:ascii="Arial" w:hAnsi="Arial" w:eastAsia="宋体" w:cs="Arial"/>
                <w:color w:val="auto"/>
                <w:highlight w:val="none"/>
              </w:rPr>
              <w:t>16.3 响应文件不得涂改，若有修改错漏处，须法定代表人（负责人）或授权委托人签字（或个人CA签章）。响应文件因字迹潦草或表达不清所引起的后果由供应商负责。</w:t>
            </w:r>
          </w:p>
          <w:p>
            <w:pPr>
              <w:spacing w:line="400" w:lineRule="exact"/>
              <w:rPr>
                <w:rFonts w:ascii="Arial" w:hAnsi="Arial" w:eastAsia="宋体" w:cs="Arial"/>
                <w:color w:val="auto"/>
                <w:highlight w:val="none"/>
              </w:rPr>
            </w:pPr>
            <w:r>
              <w:rPr>
                <w:rFonts w:ascii="Arial" w:hAnsi="Arial" w:eastAsia="宋体" w:cs="Arial"/>
                <w:color w:val="auto"/>
                <w:highlight w:val="none"/>
              </w:rPr>
              <w:t xml:space="preserve">16.4评审前准备 </w:t>
            </w:r>
          </w:p>
          <w:p>
            <w:pPr>
              <w:spacing w:line="400" w:lineRule="exact"/>
              <w:rPr>
                <w:rFonts w:ascii="Arial" w:hAnsi="Arial" w:eastAsia="宋体" w:cs="Arial"/>
                <w:color w:val="auto"/>
                <w:highlight w:val="none"/>
              </w:rPr>
            </w:pPr>
            <w:r>
              <w:rPr>
                <w:rFonts w:ascii="Arial" w:hAnsi="Arial" w:eastAsia="宋体" w:cs="Arial"/>
                <w:color w:val="auto"/>
                <w:highlight w:val="none"/>
              </w:rPr>
              <w:t xml:space="preserve">16.4.1本项目实行网上评审，采用电子响应文件；若供应商参与谈判，自行承担谈判一切费用。 </w:t>
            </w:r>
          </w:p>
          <w:p>
            <w:pPr>
              <w:spacing w:line="400" w:lineRule="exact"/>
              <w:rPr>
                <w:rFonts w:ascii="Arial" w:hAnsi="Arial" w:eastAsia="宋体" w:cs="Arial"/>
                <w:color w:val="auto"/>
                <w:highlight w:val="none"/>
              </w:rPr>
            </w:pPr>
            <w:r>
              <w:rPr>
                <w:rFonts w:ascii="Arial" w:hAnsi="Arial" w:eastAsia="宋体" w:cs="Arial"/>
                <w:color w:val="auto"/>
                <w:highlight w:val="none"/>
              </w:rPr>
              <w:t>16.4.2各供应商在截标前应确保成为</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正式注册入库供应商，并完成 CA 数字证书申领。因未注册入库、未办理CA数字证书等原因造成无法响应或响应失败等后果由供应商自行承担。 </w:t>
            </w:r>
          </w:p>
          <w:p>
            <w:pPr>
              <w:spacing w:line="400" w:lineRule="exact"/>
              <w:rPr>
                <w:rFonts w:ascii="Arial" w:hAnsi="Arial" w:eastAsia="宋体" w:cs="Arial"/>
                <w:color w:val="auto"/>
                <w:szCs w:val="21"/>
                <w:highlight w:val="none"/>
              </w:rPr>
            </w:pPr>
            <w:r>
              <w:rPr>
                <w:rFonts w:ascii="Arial" w:hAnsi="Arial" w:eastAsia="宋体" w:cs="Arial"/>
                <w:color w:val="auto"/>
                <w:highlight w:val="none"/>
              </w:rPr>
              <w:t>16.4.3供应商将</w:t>
            </w:r>
            <w:r>
              <w:rPr>
                <w:rFonts w:hint="eastAsia" w:ascii="Arial" w:hAnsi="Arial" w:eastAsia="宋体" w:cs="Arial"/>
                <w:color w:val="auto"/>
                <w:highlight w:val="none"/>
              </w:rPr>
              <w:t>广西政府采购云平台</w:t>
            </w:r>
            <w:r>
              <w:rPr>
                <w:rFonts w:ascii="Arial" w:hAnsi="Arial" w:eastAsia="宋体" w:cs="Arial"/>
                <w:color w:val="auto"/>
                <w:highlight w:val="none"/>
              </w:rPr>
              <w:t>电子交易客户端下载、安装完成后，可通过账号密码或 CA 登录客户端进行响应文件制作。客户端请至网站下载专区查看，如有问题可拨打</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客户服务热线 </w:t>
            </w:r>
            <w:r>
              <w:rPr>
                <w:rFonts w:hint="eastAsia" w:ascii="Arial" w:hAnsi="Arial" w:eastAsia="宋体" w:cs="Arial"/>
                <w:color w:val="auto"/>
                <w:highlight w:val="none"/>
              </w:rPr>
              <w:t>95763</w:t>
            </w:r>
            <w:r>
              <w:rPr>
                <w:rFonts w:ascii="Arial" w:hAnsi="Arial" w:eastAsia="宋体" w:cs="Arial"/>
                <w:color w:val="auto"/>
                <w:highlight w:val="none"/>
              </w:rPr>
              <w:t xml:space="preserve">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8</w:t>
            </w:r>
          </w:p>
        </w:tc>
        <w:tc>
          <w:tcPr>
            <w:tcW w:w="1023" w:type="dxa"/>
            <w:noWrap w:val="0"/>
            <w:vAlign w:val="center"/>
          </w:tcPr>
          <w:p>
            <w:pPr>
              <w:spacing w:line="360" w:lineRule="exact"/>
              <w:jc w:val="center"/>
              <w:rPr>
                <w:rFonts w:ascii="Arial" w:hAnsi="Arial" w:eastAsia="宋体" w:cs="Arial"/>
                <w:color w:val="auto"/>
                <w:position w:val="10"/>
                <w:szCs w:val="21"/>
                <w:highlight w:val="none"/>
              </w:rPr>
            </w:pPr>
            <w:r>
              <w:rPr>
                <w:rFonts w:ascii="Arial" w:hAnsi="Arial" w:eastAsia="宋体" w:cs="Arial"/>
                <w:color w:val="auto"/>
                <w:szCs w:val="21"/>
                <w:highlight w:val="none"/>
              </w:rPr>
              <w:t>17.1</w:t>
            </w:r>
          </w:p>
        </w:tc>
        <w:tc>
          <w:tcPr>
            <w:tcW w:w="1290" w:type="dxa"/>
            <w:noWrap w:val="0"/>
            <w:vAlign w:val="center"/>
          </w:tcPr>
          <w:p>
            <w:pPr>
              <w:spacing w:line="400" w:lineRule="exact"/>
              <w:rPr>
                <w:rFonts w:ascii="Arial" w:hAnsi="Arial" w:eastAsia="宋体" w:cs="Arial"/>
                <w:color w:val="auto"/>
                <w:position w:val="-2"/>
                <w:szCs w:val="21"/>
                <w:highlight w:val="none"/>
              </w:rPr>
            </w:pPr>
            <w:r>
              <w:rPr>
                <w:rFonts w:ascii="Arial" w:hAnsi="Arial" w:eastAsia="宋体" w:cs="Arial"/>
                <w:color w:val="auto"/>
                <w:highlight w:val="none"/>
              </w:rPr>
              <w:t>响应文件的补充、修改和撤回</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17.1 响应文件递交截止时间前可以撤回电子响应文件。补充或者修改电子响应文件的，应当先行撤回原文件，补充、修改后重新传输递交，响应文件递交截止时间前未完成传输的，视为撤回响应文件。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9</w:t>
            </w:r>
          </w:p>
        </w:tc>
        <w:tc>
          <w:tcPr>
            <w:tcW w:w="1023"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highlight w:val="none"/>
              </w:rPr>
              <w:t>18.1</w:t>
            </w:r>
          </w:p>
        </w:tc>
        <w:tc>
          <w:tcPr>
            <w:tcW w:w="1290"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响应文件递交</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18.1响应文件递交截止时间：于</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24</w:t>
            </w:r>
            <w:r>
              <w:rPr>
                <w:rFonts w:hint="eastAsia" w:ascii="Arial" w:hAnsi="Arial" w:eastAsia="宋体" w:cs="Arial"/>
                <w:color w:val="auto"/>
                <w:highlight w:val="none"/>
                <w:lang w:eastAsia="zh-CN"/>
              </w:rPr>
              <w:t>日</w:t>
            </w:r>
            <w:r>
              <w:rPr>
                <w:rFonts w:ascii="Arial" w:hAnsi="Arial" w:eastAsia="宋体" w:cs="Arial"/>
                <w:color w:val="auto"/>
                <w:highlight w:val="none"/>
              </w:rPr>
              <w:t>上午</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3</w:t>
            </w:r>
            <w:r>
              <w:rPr>
                <w:rFonts w:hint="eastAsia" w:ascii="Arial" w:hAnsi="Arial" w:eastAsia="宋体" w:cs="Arial"/>
                <w:color w:val="auto"/>
                <w:highlight w:val="none"/>
              </w:rPr>
              <w:t>0分</w:t>
            </w:r>
            <w:r>
              <w:rPr>
                <w:rFonts w:ascii="Arial" w:hAnsi="Arial" w:eastAsia="宋体" w:cs="Arial"/>
                <w:color w:val="auto"/>
                <w:highlight w:val="none"/>
              </w:rPr>
              <w:t>之前将电子响应文件上传到</w:t>
            </w:r>
            <w:r>
              <w:rPr>
                <w:rFonts w:hint="eastAsia" w:ascii="Arial" w:hAnsi="Arial" w:eastAsia="宋体" w:cs="Arial"/>
                <w:color w:val="auto"/>
                <w:highlight w:val="none"/>
              </w:rPr>
              <w:t>广西政府采购云平台</w:t>
            </w:r>
            <w:r>
              <w:rPr>
                <w:rFonts w:ascii="Arial" w:hAnsi="Arial" w:eastAsia="宋体" w:cs="Arial"/>
                <w:color w:val="auto"/>
                <w:highlight w:val="none"/>
              </w:rPr>
              <w:t>。应按照本项目谈判文件和</w:t>
            </w:r>
            <w:r>
              <w:rPr>
                <w:rFonts w:hint="eastAsia" w:ascii="Arial" w:hAnsi="Arial" w:eastAsia="宋体" w:cs="Arial"/>
                <w:color w:val="auto"/>
                <w:highlight w:val="none"/>
              </w:rPr>
              <w:t>广西政府采购云平台</w:t>
            </w:r>
            <w:r>
              <w:rPr>
                <w:rFonts w:ascii="Arial" w:hAnsi="Arial" w:eastAsia="宋体" w:cs="Arial"/>
                <w:color w:val="auto"/>
                <w:highlight w:val="none"/>
              </w:rPr>
              <w:t>的要求编制、加密传输响应文件。供应商在使用系统进行投标响应的过程中遇到涉及平台使用的任何问题，可致电</w:t>
            </w:r>
            <w:r>
              <w:rPr>
                <w:rFonts w:hint="eastAsia" w:ascii="Arial" w:hAnsi="Arial" w:eastAsia="宋体" w:cs="Arial"/>
                <w:color w:val="auto"/>
                <w:highlight w:val="none"/>
              </w:rPr>
              <w:t>广西政府采购云平台</w:t>
            </w:r>
            <w:r>
              <w:rPr>
                <w:rFonts w:ascii="Arial" w:hAnsi="Arial" w:eastAsia="宋体" w:cs="Arial"/>
                <w:color w:val="auto"/>
                <w:highlight w:val="none"/>
              </w:rPr>
              <w:t>技术支持热线咨询，联系方式：</w:t>
            </w:r>
            <w:r>
              <w:rPr>
                <w:rFonts w:hint="eastAsia" w:ascii="Arial" w:hAnsi="Arial" w:eastAsia="宋体" w:cs="Arial"/>
                <w:color w:val="auto"/>
                <w:highlight w:val="none"/>
              </w:rPr>
              <w:t>95763</w:t>
            </w:r>
            <w:r>
              <w:rPr>
                <w:rFonts w:ascii="Arial" w:hAnsi="Arial" w:eastAsia="宋体" w:cs="Arial"/>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10</w:t>
            </w:r>
          </w:p>
        </w:tc>
        <w:tc>
          <w:tcPr>
            <w:tcW w:w="1023" w:type="dxa"/>
            <w:noWrap w:val="0"/>
            <w:vAlign w:val="center"/>
          </w:tcPr>
          <w:p>
            <w:pPr>
              <w:spacing w:line="400" w:lineRule="exact"/>
              <w:jc w:val="center"/>
              <w:rPr>
                <w:rFonts w:ascii="Arial" w:hAnsi="Arial" w:eastAsia="宋体" w:cs="Arial"/>
                <w:color w:val="auto"/>
                <w:highlight w:val="none"/>
              </w:rPr>
            </w:pPr>
            <w:r>
              <w:rPr>
                <w:rFonts w:ascii="Arial" w:hAnsi="Arial" w:eastAsia="宋体" w:cs="Arial"/>
                <w:color w:val="auto"/>
                <w:highlight w:val="none"/>
              </w:rPr>
              <w:t>18.2</w:t>
            </w:r>
          </w:p>
        </w:tc>
        <w:tc>
          <w:tcPr>
            <w:tcW w:w="1290" w:type="dxa"/>
            <w:noWrap w:val="0"/>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响应文件解密</w:t>
            </w:r>
          </w:p>
        </w:tc>
        <w:tc>
          <w:tcPr>
            <w:tcW w:w="6688" w:type="dxa"/>
            <w:noWrap w:val="0"/>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18.2响应文件解密时间：截标时间后30分钟内（</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 xml:space="preserve">9 </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 xml:space="preserve">24 </w:t>
            </w:r>
            <w:r>
              <w:rPr>
                <w:rFonts w:hint="eastAsia" w:ascii="Arial" w:hAnsi="Arial" w:eastAsia="宋体" w:cs="Arial"/>
                <w:color w:val="auto"/>
                <w:highlight w:val="none"/>
                <w:lang w:eastAsia="zh-CN"/>
              </w:rPr>
              <w:t>日</w:t>
            </w:r>
            <w:r>
              <w:rPr>
                <w:rFonts w:ascii="Arial" w:hAnsi="Arial" w:eastAsia="宋体" w:cs="Arial"/>
                <w:color w:val="auto"/>
                <w:highlight w:val="none"/>
              </w:rPr>
              <w:t>上午</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3</w:t>
            </w:r>
            <w:r>
              <w:rPr>
                <w:rFonts w:hint="eastAsia" w:ascii="Arial" w:hAnsi="Arial" w:eastAsia="宋体" w:cs="Arial"/>
                <w:color w:val="auto"/>
                <w:highlight w:val="none"/>
              </w:rPr>
              <w:t>0分</w:t>
            </w:r>
            <w:r>
              <w:rPr>
                <w:rFonts w:ascii="Arial" w:hAnsi="Arial" w:eastAsia="宋体" w:cs="Arial"/>
                <w:color w:val="auto"/>
                <w:highlight w:val="none"/>
              </w:rPr>
              <w:t>至</w:t>
            </w:r>
            <w:r>
              <w:rPr>
                <w:rFonts w:hint="eastAsia" w:ascii="Arial" w:hAnsi="Arial" w:eastAsia="宋体" w:cs="Arial"/>
                <w:color w:val="auto"/>
                <w:highlight w:val="none"/>
                <w:lang w:val="en-US" w:eastAsia="zh-CN"/>
              </w:rPr>
              <w:t>10</w:t>
            </w:r>
            <w:r>
              <w:rPr>
                <w:rFonts w:ascii="Arial" w:hAnsi="Arial" w:eastAsia="宋体" w:cs="Arial"/>
                <w:color w:val="auto"/>
                <w:highlight w:val="none"/>
              </w:rPr>
              <w:t>时</w:t>
            </w:r>
            <w:r>
              <w:rPr>
                <w:rFonts w:hint="eastAsia" w:ascii="Arial" w:hAnsi="Arial" w:eastAsia="宋体" w:cs="Arial"/>
                <w:color w:val="auto"/>
                <w:highlight w:val="none"/>
                <w:lang w:val="en-US" w:eastAsia="zh-CN"/>
              </w:rPr>
              <w:t>0</w:t>
            </w:r>
            <w:r>
              <w:rPr>
                <w:rFonts w:ascii="Arial" w:hAnsi="Arial" w:eastAsia="宋体" w:cs="Arial"/>
                <w:color w:val="auto"/>
                <w:highlight w:val="none"/>
              </w:rPr>
              <w:t>0分)</w:t>
            </w:r>
            <w:r>
              <w:rPr>
                <w:rFonts w:ascii="Arial" w:hAnsi="Arial" w:eastAsia="宋体" w:cs="Arial"/>
                <w:b/>
                <w:bCs/>
                <w:color w:val="auto"/>
                <w:highlight w:val="none"/>
              </w:rPr>
              <w:t>供应商可以登录</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用“项目采购-开标评标”功能进行解密响应文件。若供应商在规定时间内无法解密或解密失败，可以以电子备份响应文件作为依据【在接到无法解密或解密失败的通知后，供应商可根据自身实际情况按通知时要求的时间到</w:t>
            </w:r>
            <w:r>
              <w:rPr>
                <w:rFonts w:hint="eastAsia" w:ascii="Arial" w:hAnsi="Arial" w:eastAsia="宋体" w:cs="Arial"/>
                <w:b/>
                <w:bCs/>
                <w:color w:val="auto"/>
                <w:kern w:val="0"/>
                <w:highlight w:val="none"/>
              </w:rPr>
              <w:t>广西机电设备招标有限公司桂林分公司</w:t>
            </w:r>
            <w:r>
              <w:rPr>
                <w:rFonts w:ascii="Arial" w:hAnsi="Arial" w:eastAsia="宋体" w:cs="Arial"/>
                <w:b/>
                <w:bCs/>
                <w:color w:val="auto"/>
                <w:highlight w:val="none"/>
              </w:rPr>
              <w:t>开标室现场提交或以电子邮件的形式（以通知时所告知的电子邮箱地址为准）提交电子备份响应文件】，若电子备份响应文件与</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023" w:type="dxa"/>
            <w:noWrap w:val="0"/>
            <w:vAlign w:val="center"/>
          </w:tcPr>
          <w:p>
            <w:pPr>
              <w:spacing w:line="360" w:lineRule="exact"/>
              <w:ind w:firstLine="105" w:firstLineChars="50"/>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w:t>
            </w:r>
            <w:r>
              <w:rPr>
                <w:rFonts w:hint="eastAsia" w:ascii="Arial" w:hAnsi="Arial" w:eastAsia="宋体" w:cs="Arial"/>
                <w:color w:val="auto"/>
                <w:position w:val="-2"/>
                <w:szCs w:val="21"/>
                <w:highlight w:val="none"/>
              </w:rPr>
              <w:t>9</w:t>
            </w:r>
            <w:r>
              <w:rPr>
                <w:rFonts w:ascii="Arial" w:hAnsi="Arial" w:eastAsia="宋体" w:cs="Arial"/>
                <w:color w:val="auto"/>
                <w:position w:val="-2"/>
                <w:szCs w:val="21"/>
                <w:highlight w:val="none"/>
              </w:rPr>
              <w:t>.1</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谈判小组组成</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谈判及评审组织工作由采购代理机构负责，具体谈判、评审工作由依法组建的谈判小组负责，谈判小组由采购人代表和有关方面的专家组成。谈判小组的构成：3人，其中采购人代表 1 人，有关专家 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12</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9</w:t>
            </w:r>
            <w:r>
              <w:rPr>
                <w:rFonts w:ascii="Arial" w:hAnsi="Arial" w:eastAsia="宋体" w:cs="Arial"/>
                <w:color w:val="auto"/>
                <w:szCs w:val="21"/>
                <w:highlight w:val="none"/>
              </w:rPr>
              <w:t>.2</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谈判时间、地点、人员</w:t>
            </w:r>
          </w:p>
        </w:tc>
        <w:tc>
          <w:tcPr>
            <w:tcW w:w="6688" w:type="dxa"/>
            <w:noWrap w:val="0"/>
            <w:vAlign w:val="top"/>
          </w:tcPr>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19.2.1谈判时间：响应文件递交截止时间后。</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19.2.2谈判地点：通过广西政府采购云平台在线谈判。</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19.2.3谈判参加人员：供应商法定代表人、负责人、自然人或相应的委托代理人持有效身份证原件和供应商广西政府采购云平台CA数字证书参加谈判。请供应商及时登录广西政府采购云平台等候谈判。</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19.2.4响应文件递交截止时间后，由谈判小组在评标室内开启响应文件。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023" w:type="dxa"/>
            <w:noWrap w:val="0"/>
            <w:vAlign w:val="center"/>
          </w:tcPr>
          <w:p>
            <w:pPr>
              <w:spacing w:line="36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20</w:t>
            </w:r>
            <w:r>
              <w:rPr>
                <w:rFonts w:ascii="Arial" w:hAnsi="Arial" w:eastAsia="宋体" w:cs="Arial"/>
                <w:color w:val="auto"/>
                <w:szCs w:val="21"/>
                <w:highlight w:val="none"/>
              </w:rPr>
              <w:t>.2</w:t>
            </w:r>
          </w:p>
        </w:tc>
        <w:tc>
          <w:tcPr>
            <w:tcW w:w="1290" w:type="dxa"/>
            <w:noWrap w:val="0"/>
            <w:vAlign w:val="center"/>
          </w:tcPr>
          <w:p>
            <w:pPr>
              <w:pStyle w:val="13"/>
              <w:spacing w:line="240" w:lineRule="exact"/>
              <w:jc w:val="center"/>
              <w:rPr>
                <w:rFonts w:ascii="Arial" w:hAnsi="Arial" w:cs="Arial"/>
                <w:color w:val="auto"/>
                <w:kern w:val="0"/>
                <w:szCs w:val="21"/>
                <w:highlight w:val="none"/>
              </w:rPr>
            </w:pPr>
            <w:r>
              <w:rPr>
                <w:rFonts w:ascii="Arial" w:hAnsi="Arial" w:cs="Arial"/>
                <w:color w:val="auto"/>
                <w:kern w:val="0"/>
                <w:szCs w:val="21"/>
                <w:highlight w:val="none"/>
              </w:rPr>
              <w:t>评审办法</w:t>
            </w:r>
          </w:p>
        </w:tc>
        <w:tc>
          <w:tcPr>
            <w:tcW w:w="6688" w:type="dxa"/>
            <w:noWrap w:val="0"/>
            <w:vAlign w:val="center"/>
          </w:tcPr>
          <w:p>
            <w:pPr>
              <w:tabs>
                <w:tab w:val="left" w:pos="1140"/>
              </w:tabs>
              <w:spacing w:line="400" w:lineRule="exact"/>
              <w:rPr>
                <w:rFonts w:ascii="Arial" w:hAnsi="Arial" w:eastAsia="宋体" w:cs="Arial"/>
                <w:color w:val="auto"/>
                <w:szCs w:val="21"/>
                <w:highlight w:val="none"/>
              </w:rPr>
            </w:pPr>
            <w:r>
              <w:rPr>
                <w:rFonts w:ascii="Arial" w:hAnsi="Arial" w:eastAsia="宋体" w:cs="Arial"/>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14</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7</w:t>
            </w:r>
          </w:p>
        </w:tc>
        <w:tc>
          <w:tcPr>
            <w:tcW w:w="1290"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信用查询</w:t>
            </w:r>
          </w:p>
        </w:tc>
        <w:tc>
          <w:tcPr>
            <w:tcW w:w="6688" w:type="dxa"/>
            <w:noWrap w:val="0"/>
            <w:vAlign w:val="center"/>
          </w:tcPr>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pPr>
              <w:spacing w:line="340" w:lineRule="exact"/>
              <w:ind w:left="315" w:hanging="315" w:hangingChars="150"/>
              <w:jc w:val="left"/>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w:t>
            </w:r>
            <w:r>
              <w:rPr>
                <w:rFonts w:hint="eastAsia" w:ascii="Arial" w:hAnsi="Arial" w:eastAsia="宋体" w:cs="Arial"/>
                <w:color w:val="auto"/>
                <w:szCs w:val="21"/>
                <w:highlight w:val="none"/>
              </w:rPr>
              <w:t>重大税收违法失信主体</w:t>
            </w:r>
            <w:r>
              <w:rPr>
                <w:rFonts w:ascii="Arial" w:hAnsi="Arial" w:eastAsia="宋体" w:cs="Arial"/>
                <w:color w:val="auto"/>
                <w:szCs w:val="21"/>
                <w:highlight w:val="none"/>
              </w:rPr>
              <w:t>、政府采购严重违法失信行为记录名单及其他不符合《中华人民共和国政府采购法》第二十二条规定条件的供应商，取消其成交候选人资格。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15</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成交公告</w:t>
            </w:r>
          </w:p>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及成交通知书</w:t>
            </w:r>
          </w:p>
        </w:tc>
        <w:tc>
          <w:tcPr>
            <w:tcW w:w="6688" w:type="dxa"/>
            <w:noWrap w:val="0"/>
            <w:vAlign w:val="top"/>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2中小企业在政府采购活动过程中，请根据自己的真实情况出具《中小企业声明函》。依法享受中小企业优惠政策的，采购人或采购代理机构在公告成交结果时，同时公告其《中小企业声明函》，接受社会监督。</w:t>
            </w: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8" w:type="dxa"/>
            <w:noWrap w:val="0"/>
            <w:vAlign w:val="center"/>
          </w:tcPr>
          <w:p>
            <w:pPr>
              <w:spacing w:line="42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16</w:t>
            </w:r>
          </w:p>
        </w:tc>
        <w:tc>
          <w:tcPr>
            <w:tcW w:w="1023" w:type="dxa"/>
            <w:noWrap w:val="0"/>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30</w:t>
            </w:r>
            <w:r>
              <w:rPr>
                <w:rFonts w:ascii="Arial" w:hAnsi="Arial" w:eastAsia="宋体" w:cs="Arial"/>
                <w:color w:val="auto"/>
                <w:szCs w:val="21"/>
                <w:highlight w:val="none"/>
              </w:rPr>
              <w:t>.1</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签订合同时间</w:t>
            </w:r>
          </w:p>
        </w:tc>
        <w:tc>
          <w:tcPr>
            <w:tcW w:w="6688" w:type="dxa"/>
            <w:noWrap w:val="0"/>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成交通知书发出之日起25日内。成交供应商领取成交通知书后，应按规定与采购人签订合同。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noWrap w:val="0"/>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17</w:t>
            </w:r>
          </w:p>
        </w:tc>
        <w:tc>
          <w:tcPr>
            <w:tcW w:w="1023" w:type="dxa"/>
            <w:noWrap w:val="0"/>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30</w:t>
            </w:r>
            <w:r>
              <w:rPr>
                <w:rFonts w:ascii="Arial" w:hAnsi="Arial" w:eastAsia="宋体" w:cs="Arial"/>
                <w:color w:val="auto"/>
                <w:szCs w:val="21"/>
                <w:highlight w:val="none"/>
              </w:rPr>
              <w:t>.3</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合同备案存档</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kern w:val="0"/>
                <w:szCs w:val="21"/>
                <w:highlight w:val="none"/>
              </w:rPr>
              <w:t>政府采购合同双方自签订之日起1个工作日内将合同原件</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份交采购代理机构，采购代理机构收到政府采购合同原件后在省级以上人民政府财政部门指定媒体上公告。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18</w:t>
            </w:r>
          </w:p>
        </w:tc>
        <w:tc>
          <w:tcPr>
            <w:tcW w:w="1023"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1</w:t>
            </w:r>
            <w:r>
              <w:rPr>
                <w:rFonts w:ascii="Arial" w:hAnsi="Arial" w:eastAsia="宋体" w:cs="Arial"/>
                <w:color w:val="auto"/>
                <w:szCs w:val="21"/>
                <w:highlight w:val="none"/>
              </w:rPr>
              <w:t>.1</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采购代理服务费</w:t>
            </w:r>
          </w:p>
        </w:tc>
        <w:tc>
          <w:tcPr>
            <w:tcW w:w="6688" w:type="dxa"/>
            <w:noWrap w:val="0"/>
            <w:vAlign w:val="top"/>
          </w:tcPr>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（1）代理服务费</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(计价格﹝2002﹞1980号)、《国家发展改革委关于降低部分建设项目收费标准规范收费行为等有关问题的通知》(发改价格﹝2011﹞534号)规定的60%采用差额定率累进法计算。具体费率如下：</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①成交金额在100万元以下的：</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货物1.5％；服务招标1.5％；工程招标1.0％；</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②成交金额在100-500万元之间：</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货物1.1％；服务招标0.8％；工程招标0.7％；</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③成交金额在500-1000万元之间：</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货物0.8％；服务招标0.45％；工程招标0.55％；</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④成交金额在1000-5000万元之间：</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货物0.5％；服务招标0.25％；工程招标0.35％；</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差额定率累进法计算过程示例：</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例如：某货物招标代理业务成交金额为300万元，招标代理服务费金额按如下计算：</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100万元×1.5%＝1.5万元</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（300－100）万元×1.1%＝2.2万元</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合计收费＝（1.5＋2.2）*60%=2.22万元</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开户银行：广西北部湾银行南宁市金湖支行</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（银行地址：南宁市金湖路57号文德大厦1楼）</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开户名称：广西机电设备招标有限公司</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银行账号：1705012090027723 (联行号 313611017053)</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财务联系人：吴茜（电话：0771-2821398）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19</w:t>
            </w:r>
          </w:p>
        </w:tc>
        <w:tc>
          <w:tcPr>
            <w:tcW w:w="1023"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3</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解释权</w:t>
            </w:r>
          </w:p>
        </w:tc>
        <w:tc>
          <w:tcPr>
            <w:tcW w:w="6688" w:type="dxa"/>
            <w:noWrap w:val="0"/>
            <w:vAlign w:val="top"/>
          </w:tcPr>
          <w:p>
            <w:pPr>
              <w:spacing w:line="400" w:lineRule="exact"/>
              <w:rPr>
                <w:rFonts w:ascii="Arial" w:hAnsi="Arial" w:eastAsia="宋体" w:cs="Arial"/>
                <w:color w:val="auto"/>
                <w:szCs w:val="21"/>
                <w:highlight w:val="none"/>
              </w:rPr>
            </w:pPr>
            <w:r>
              <w:rPr>
                <w:rFonts w:ascii="Arial" w:hAnsi="Arial" w:eastAsia="宋体" w:cs="Arial"/>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bl>
    <w:p>
      <w:pPr>
        <w:spacing w:line="38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一、总则</w:t>
      </w:r>
    </w:p>
    <w:p>
      <w:pPr>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1. 适应范围</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1.1  项目名称及项目编号：</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 xml:space="preserve">     项目名称：</w:t>
      </w:r>
      <w:r>
        <w:rPr>
          <w:rFonts w:hint="eastAsia" w:ascii="Arial" w:hAnsi="Arial" w:eastAsia="宋体" w:cs="Arial"/>
          <w:color w:val="auto"/>
          <w:highlight w:val="none"/>
          <w:lang w:eastAsia="zh-CN"/>
        </w:rPr>
        <w:t>2025年广西一流学科建设项目仪器设备采购</w:t>
      </w:r>
      <w:r>
        <w:rPr>
          <w:rFonts w:ascii="Arial" w:hAnsi="Arial" w:eastAsia="宋体" w:cs="Arial"/>
          <w:color w:val="auto"/>
          <w:szCs w:val="21"/>
          <w:highlight w:val="none"/>
        </w:rPr>
        <w:t xml:space="preserve">  </w:t>
      </w:r>
    </w:p>
    <w:p>
      <w:pPr>
        <w:spacing w:line="390" w:lineRule="exact"/>
        <w:ind w:firstLine="435"/>
        <w:rPr>
          <w:rFonts w:hint="eastAsia" w:ascii="Arial" w:hAnsi="Arial" w:eastAsia="宋体" w:cs="Arial"/>
          <w:color w:val="auto"/>
          <w:szCs w:val="21"/>
          <w:highlight w:val="none"/>
          <w:lang w:eastAsia="zh-CN"/>
        </w:rPr>
      </w:pPr>
      <w:r>
        <w:rPr>
          <w:rFonts w:ascii="Arial" w:hAnsi="Arial" w:eastAsia="宋体" w:cs="Arial"/>
          <w:color w:val="auto"/>
          <w:szCs w:val="21"/>
          <w:highlight w:val="none"/>
        </w:rPr>
        <w:t xml:space="preserve">     项目</w:t>
      </w:r>
      <w:r>
        <w:rPr>
          <w:rFonts w:ascii="Arial" w:hAnsi="Arial" w:eastAsia="宋体" w:cs="Arial"/>
          <w:color w:val="auto"/>
          <w:highlight w:val="none"/>
        </w:rPr>
        <w:t xml:space="preserve">编号： </w:t>
      </w:r>
      <w:r>
        <w:rPr>
          <w:rFonts w:hint="eastAsia" w:ascii="Arial" w:hAnsi="Arial" w:eastAsia="宋体" w:cs="Arial"/>
          <w:color w:val="auto"/>
          <w:highlight w:val="none"/>
          <w:lang w:eastAsia="zh-CN"/>
        </w:rPr>
        <w:t>GXZC2025-J1-002800-JDZB</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1.2本竞争性谈判文件（以下简称谈判文件）适用于本谈判项目的谈判、评审、合同履约、验收、付款等行为（法律、法规另有规定的，从其规定）。</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2. 定义</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2.1“供应商”是指符合本次采购项目的供应商资格并提交响应文件、参加谈判的供应商。如果该供应商在本次谈判中成交，即成为“成交供应商”。</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2.2“货物”系指按谈判文件规定，供应商须向采购人提供的一切设备、保险、税金、备品备件、工具、手册及其它有关技术资料和材料。</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2.3“服务”系指按谈判文件规定，供应商须承担的安装、调试、技术协助、校准、培训、技术指导以及其他类似的义务。</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2.4“项目”系指供应商按谈判文件规定向采购人提供的货物和服务。</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2.5“书面形式”包括信函、传真、电报等。</w:t>
      </w:r>
    </w:p>
    <w:p>
      <w:pPr>
        <w:spacing w:line="390" w:lineRule="exact"/>
        <w:ind w:firstLine="435"/>
        <w:rPr>
          <w:rFonts w:ascii="Arial" w:hAnsi="Arial" w:eastAsia="宋体" w:cs="Arial"/>
          <w:b/>
          <w:color w:val="auto"/>
          <w:sz w:val="24"/>
          <w:highlight w:val="none"/>
        </w:rPr>
      </w:pPr>
      <w:r>
        <w:rPr>
          <w:rFonts w:ascii="Arial" w:hAnsi="Arial" w:eastAsia="宋体" w:cs="Arial"/>
          <w:b/>
          <w:color w:val="auto"/>
          <w:sz w:val="24"/>
          <w:highlight w:val="none"/>
        </w:rPr>
        <w:t>2.6</w:t>
      </w:r>
      <w:r>
        <w:rPr>
          <w:rFonts w:hint="eastAsia" w:ascii="Arial" w:hAnsi="Arial" w:eastAsia="宋体" w:cs="Arial"/>
          <w:b/>
          <w:color w:val="auto"/>
          <w:sz w:val="24"/>
          <w:highlight w:val="none"/>
        </w:rPr>
        <w:t>实质性要求：“货物采购需求”中所有条款要求及竞争性谈判文件中要求“必须提供”的条款均为实质性要求，如有负偏离或不满足要求则响应被否决。</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3. 供应商资格</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3.1满足《中华人民共和国政府采购法》第二十二条规定。</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3.2落实政府采购政策需满足的资格要求：</w:t>
      </w:r>
      <w:r>
        <w:rPr>
          <w:rFonts w:hint="eastAsia" w:ascii="Arial" w:hAnsi="Arial" w:eastAsia="宋体" w:cs="Arial"/>
          <w:color w:val="auto"/>
          <w:kern w:val="0"/>
          <w:szCs w:val="21"/>
          <w:highlight w:val="none"/>
        </w:rPr>
        <w:t>本项目为非专门面向中小微企业采购</w:t>
      </w:r>
      <w:r>
        <w:rPr>
          <w:rFonts w:ascii="Arial" w:hAnsi="Arial" w:eastAsia="宋体" w:cs="Arial"/>
          <w:color w:val="auto"/>
          <w:kern w:val="0"/>
          <w:szCs w:val="21"/>
          <w:highlight w:val="none"/>
        </w:rPr>
        <w:t>。</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3.3本项目的特定资格要求：（1）资质要求：无。（2）业绩要求：无。 （3）其他要求：无。</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3.5对在“信用中国”网站(www.creditchina.gov.cn) 、中国政府采购网(www.ccgp.gov.cn)被列入失信被执行人、</w:t>
      </w:r>
      <w:r>
        <w:rPr>
          <w:rFonts w:hint="eastAsia" w:ascii="Arial" w:hAnsi="Arial" w:eastAsia="宋体" w:cs="Arial"/>
          <w:color w:val="auto"/>
          <w:kern w:val="0"/>
          <w:szCs w:val="21"/>
          <w:highlight w:val="none"/>
        </w:rPr>
        <w:t>重大税收违法失信主体</w:t>
      </w:r>
      <w:r>
        <w:rPr>
          <w:rFonts w:ascii="Arial" w:hAnsi="Arial" w:eastAsia="宋体" w:cs="Arial"/>
          <w:color w:val="auto"/>
          <w:kern w:val="0"/>
          <w:szCs w:val="21"/>
          <w:highlight w:val="none"/>
        </w:rPr>
        <w:t>、政府采购严重违法失信行为记录名单及其他不符合《中华人民共和国政府采购法》第二十二条规定条件的供应商，不得参与政府采购活动</w:t>
      </w:r>
    </w:p>
    <w:p>
      <w:pPr>
        <w:spacing w:line="390" w:lineRule="exact"/>
        <w:ind w:firstLine="435"/>
        <w:rPr>
          <w:rFonts w:ascii="Arial" w:hAnsi="Arial" w:eastAsia="宋体" w:cs="Arial"/>
          <w:color w:val="auto"/>
          <w:kern w:val="0"/>
          <w:sz w:val="24"/>
          <w:highlight w:val="none"/>
        </w:rPr>
      </w:pPr>
      <w:r>
        <w:rPr>
          <w:rFonts w:ascii="Arial" w:hAnsi="Arial" w:eastAsia="宋体" w:cs="Arial"/>
          <w:color w:val="auto"/>
          <w:kern w:val="0"/>
          <w:szCs w:val="21"/>
          <w:highlight w:val="none"/>
        </w:rPr>
        <w:t>3.</w:t>
      </w:r>
      <w:r>
        <w:rPr>
          <w:rFonts w:ascii="Arial" w:hAnsi="Arial" w:eastAsia="宋体" w:cs="Arial"/>
          <w:color w:val="auto"/>
          <w:highlight w:val="none"/>
        </w:rPr>
        <w:t>6.</w:t>
      </w:r>
      <w:r>
        <w:rPr>
          <w:rFonts w:hint="eastAsia" w:ascii="宋体" w:hAnsi="宋体" w:eastAsia="宋体" w:cs="宋体"/>
          <w:color w:val="auto"/>
          <w:szCs w:val="21"/>
          <w:highlight w:val="none"/>
        </w:rPr>
        <w:t>按照采购公告的规定获得采购文件</w:t>
      </w:r>
      <w:r>
        <w:rPr>
          <w:rFonts w:ascii="Arial" w:hAnsi="Arial" w:eastAsia="宋体" w:cs="Arial"/>
          <w:color w:val="auto"/>
          <w:highlight w:val="none"/>
        </w:rPr>
        <w:t>。</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4. 谈判费用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不论谈判结果如何，供应商均应自行承担所有与谈判有关的全部费用。</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5. 联合体要求：</w:t>
      </w:r>
      <w:r>
        <w:rPr>
          <w:rFonts w:ascii="Arial" w:hAnsi="Arial" w:eastAsia="宋体" w:cs="Arial"/>
          <w:color w:val="auto"/>
          <w:szCs w:val="21"/>
          <w:highlight w:val="none"/>
        </w:rPr>
        <w:t>本项目不接受联合体参与谈判。</w:t>
      </w:r>
    </w:p>
    <w:p>
      <w:pPr>
        <w:tabs>
          <w:tab w:val="left" w:pos="2190"/>
        </w:tabs>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6. 质疑和投诉</w:t>
      </w:r>
      <w:r>
        <w:rPr>
          <w:rFonts w:ascii="Arial" w:hAnsi="Arial" w:eastAsia="宋体" w:cs="Arial"/>
          <w:b/>
          <w:color w:val="auto"/>
          <w:szCs w:val="21"/>
          <w:highlight w:val="none"/>
        </w:rPr>
        <w:tab/>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6.1供应商认为谈判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ascii="Arial" w:hAnsi="Arial" w:eastAsia="宋体" w:cs="Arial"/>
          <w:b/>
          <w:color w:val="auto"/>
          <w:szCs w:val="21"/>
          <w:highlight w:val="none"/>
        </w:rPr>
        <w:t>（“质疑函”格式见附表1）</w:t>
      </w:r>
      <w:r>
        <w:rPr>
          <w:rFonts w:ascii="Arial" w:hAnsi="Arial" w:eastAsia="宋体" w:cs="Arial"/>
          <w:color w:val="auto"/>
          <w:szCs w:val="21"/>
          <w:highlight w:val="none"/>
        </w:rPr>
        <w:t>。否则，采购代理机构有权拒收。</w:t>
      </w:r>
    </w:p>
    <w:p>
      <w:pPr>
        <w:tabs>
          <w:tab w:val="left" w:pos="2190"/>
        </w:tabs>
        <w:spacing w:line="360" w:lineRule="exact"/>
        <w:ind w:firstLine="435"/>
        <w:rPr>
          <w:rFonts w:ascii="Arial" w:hAnsi="Arial" w:eastAsia="宋体" w:cs="Arial"/>
          <w:color w:val="auto"/>
          <w:szCs w:val="21"/>
          <w:highlight w:val="none"/>
        </w:rPr>
      </w:pPr>
      <w:r>
        <w:rPr>
          <w:rFonts w:ascii="Arial" w:hAnsi="Arial" w:eastAsia="宋体" w:cs="Arial"/>
          <w:color w:val="auto"/>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6.2供应商对采购代理机构的质疑答复不满意或者采购代理机构未在规定的时间内作出答复的，可以在答复期满后十五个工作日内向政府采购监督管理机构投诉</w:t>
      </w:r>
      <w:r>
        <w:rPr>
          <w:rFonts w:ascii="Arial" w:hAnsi="Arial" w:eastAsia="宋体" w:cs="Arial"/>
          <w:b/>
          <w:color w:val="auto"/>
          <w:szCs w:val="21"/>
          <w:highlight w:val="none"/>
        </w:rPr>
        <w:t>（“投诉书”格式见附表2）</w:t>
      </w:r>
      <w:r>
        <w:rPr>
          <w:rFonts w:ascii="Arial" w:hAnsi="Arial" w:eastAsia="宋体" w:cs="Arial"/>
          <w:color w:val="auto"/>
          <w:szCs w:val="21"/>
          <w:highlight w:val="none"/>
        </w:rPr>
        <w:t>。</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6.3质疑、投诉应当采用书面形式，质疑书、投诉书实行实名制，均应明确阐述谈判文件、谈判过程或成交结果中使自己合法权益受到损害的实质性内容，并提供必要的证明材料。</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供应商提出质疑应当提交质疑函和必要的证明材料，针对同一采购程序环节的质疑必须在法定质疑期内一次性提出。质疑函应当包括下列内容：</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（1）供应商的姓名或者名称、地址、邮编、联系人及联系电话；</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（2）质疑项目的名称、编号；</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（3）具体、明确的质疑事项和与质疑事项相关的请求；</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（4）事实依据；</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（5）必要的法律依据；</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（6）提出质疑的日期。</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供应商为自然人的，应当由本人签字；供应商为法人或者其他组织的，应当由法定代表人、主要负责人，或者其授权代表签字或者盖章，并加盖公章。</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接收质疑函方式：以书面形式</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质疑联系部门及联系方式：广西机电设备招标有限公司桂林分公司，联系人：曾昭卉，联系电话：</w:t>
      </w:r>
      <w:r>
        <w:rPr>
          <w:rFonts w:hint="eastAsia" w:ascii="Arial" w:hAnsi="Arial" w:eastAsia="宋体" w:cs="Arial"/>
          <w:color w:val="auto"/>
          <w:szCs w:val="21"/>
          <w:highlight w:val="none"/>
        </w:rPr>
        <w:t>0773-3696789转2</w:t>
      </w:r>
      <w:r>
        <w:rPr>
          <w:rFonts w:ascii="Arial" w:hAnsi="Arial" w:eastAsia="宋体" w:cs="Arial"/>
          <w:color w:val="auto"/>
          <w:szCs w:val="21"/>
          <w:highlight w:val="none"/>
        </w:rPr>
        <w:t>。通讯地址：</w:t>
      </w:r>
      <w:r>
        <w:rPr>
          <w:rFonts w:ascii="Arial" w:hAnsi="Arial" w:eastAsia="宋体" w:cs="Arial"/>
          <w:color w:val="auto"/>
          <w:highlight w:val="none"/>
        </w:rPr>
        <w:t>桂林市骖鸾路31号湘商大厦6楼603（桂林分公司）</w:t>
      </w:r>
      <w:r>
        <w:rPr>
          <w:rFonts w:ascii="Arial" w:hAnsi="Arial" w:eastAsia="宋体" w:cs="Arial"/>
          <w:color w:val="auto"/>
          <w:szCs w:val="21"/>
          <w:highlight w:val="none"/>
        </w:rPr>
        <w:t>广西机电设备招标有限公司。</w:t>
      </w:r>
    </w:p>
    <w:p>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7. 转包与分包</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7.1 本项目不允许转包。</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7.2 本项目不可以分包。</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8. 特别说明</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color w:val="auto"/>
          <w:szCs w:val="21"/>
          <w:highlight w:val="none"/>
        </w:rPr>
        <w:t>8.1提供相同品牌产品的不同供应商参加同一合同项下谈判的，以其中通过资格审查、符合性审查且最后报价最低的参加评审，最后报价相同的，由采购人自主选择确定一个参加评审的供应商；非单一产品采购项目中，多家供应商提供的核心产品品牌相同的，视为提供相同品牌产品。</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8.2关联供应商不得参加同一合同项下政府采购活动，否则响应文件将被视为无效：</w:t>
      </w:r>
    </w:p>
    <w:p>
      <w:pPr>
        <w:tabs>
          <w:tab w:val="left" w:pos="163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（1）单位负责人为同一人或者存在直接控股、管理关系的不同供应商，不得参加同一合同项下的政府采购活动。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（2）为本采购项目提供整体设计、规范编制或者项目管理、监理、检测等服务的供应商，不得再参加本次采购活动。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（3）生产厂商授权给供应商后自己不得参加同一合同项下的政府采购活动；生产厂商对同一品牌同一型号的货物，仅能委托一个代理商参加谈判。</w:t>
      </w:r>
    </w:p>
    <w:p>
      <w:pPr>
        <w:tabs>
          <w:tab w:val="left" w:pos="2190"/>
        </w:tabs>
        <w:spacing w:line="390" w:lineRule="exact"/>
        <w:ind w:firstLine="435"/>
        <w:jc w:val="center"/>
        <w:rPr>
          <w:rFonts w:ascii="Arial" w:hAnsi="Arial" w:eastAsia="宋体" w:cs="Arial"/>
          <w:b/>
          <w:color w:val="auto"/>
          <w:sz w:val="28"/>
          <w:szCs w:val="28"/>
          <w:highlight w:val="none"/>
        </w:rPr>
      </w:pPr>
    </w:p>
    <w:p>
      <w:pPr>
        <w:tabs>
          <w:tab w:val="left" w:pos="219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二、谈判文件</w:t>
      </w:r>
    </w:p>
    <w:p>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9. 谈判文件的构成</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竞争性谈判公告</w:t>
      </w:r>
      <w:r>
        <w:rPr>
          <w:rFonts w:ascii="Arial" w:hAnsi="Arial" w:eastAsia="宋体" w:cs="Arial"/>
          <w:color w:val="auto"/>
          <w:szCs w:val="21"/>
          <w:highlight w:val="none"/>
        </w:rPr>
        <w:t>；</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（2）供应商须知；</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（3）货物采购需求；</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（4）评审办法；</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（5）政府采购合同（合同主要条款及格式）；</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（6）响应文件（格式）。</w:t>
      </w:r>
    </w:p>
    <w:p>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10. 谈判文件的澄清与修改</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w:t>
      </w:r>
      <w:r>
        <w:rPr>
          <w:rFonts w:hint="eastAsia" w:ascii="Arial" w:hAnsi="Arial" w:eastAsia="宋体" w:cs="Arial"/>
          <w:color w:val="auto"/>
          <w:szCs w:val="21"/>
          <w:highlight w:val="none"/>
        </w:rPr>
        <w:t>三</w:t>
      </w:r>
      <w:r>
        <w:rPr>
          <w:rFonts w:ascii="Arial" w:hAnsi="Arial" w:eastAsia="宋体" w:cs="Arial"/>
          <w:color w:val="auto"/>
          <w:szCs w:val="21"/>
          <w:highlight w:val="none"/>
        </w:rPr>
        <w:t>个工作日前在本项目竞争性谈判公告发布的同一媒体上发布更正公告，不足</w:t>
      </w:r>
      <w:r>
        <w:rPr>
          <w:rFonts w:hint="eastAsia" w:ascii="Arial" w:hAnsi="Arial" w:eastAsia="宋体" w:cs="Arial"/>
          <w:color w:val="auto"/>
          <w:szCs w:val="21"/>
          <w:highlight w:val="none"/>
        </w:rPr>
        <w:t>三</w:t>
      </w:r>
      <w:r>
        <w:rPr>
          <w:rFonts w:ascii="Arial" w:hAnsi="Arial" w:eastAsia="宋体" w:cs="Arial"/>
          <w:color w:val="auto"/>
          <w:szCs w:val="21"/>
          <w:highlight w:val="none"/>
        </w:rPr>
        <w:t>个工作日的，应当顺延首次响应文件递交截止时间。</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10.2</w:t>
      </w:r>
      <w:r>
        <w:rPr>
          <w:rFonts w:ascii="Arial" w:hAnsi="Arial" w:eastAsia="宋体" w:cs="Arial"/>
          <w:b/>
          <w:color w:val="auto"/>
          <w:szCs w:val="21"/>
          <w:highlight w:val="none"/>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10.3澄清或者修改的内容为谈判文件的组成部分。当澄清或者修改通知就同一内容的表述不一致时，以最后发出的文件为准。</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10.4 谈判文件的澄清或者修改都应该通过本项目采购代理机构以法定形式发布，采购人非通过本机构，不得擅自澄清或者修改谈判文件。</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10.5采购代理机构可以视采购具体情况，延长首次响应文件递交截止时间和谈判时间，并在本项目竞争性谈判公告发布的同一媒体上发布变更公告。</w:t>
      </w:r>
    </w:p>
    <w:p>
      <w:pPr>
        <w:tabs>
          <w:tab w:val="left" w:pos="2190"/>
        </w:tabs>
        <w:spacing w:line="390" w:lineRule="exact"/>
        <w:ind w:firstLine="435"/>
        <w:jc w:val="center"/>
        <w:rPr>
          <w:rFonts w:ascii="Arial" w:hAnsi="Arial" w:eastAsia="宋体" w:cs="Arial"/>
          <w:b/>
          <w:color w:val="auto"/>
          <w:sz w:val="28"/>
          <w:szCs w:val="28"/>
          <w:highlight w:val="none"/>
        </w:rPr>
      </w:pPr>
    </w:p>
    <w:p>
      <w:pPr>
        <w:tabs>
          <w:tab w:val="left" w:pos="2190"/>
        </w:tabs>
        <w:spacing w:line="390" w:lineRule="exact"/>
        <w:ind w:firstLine="435"/>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三、竞争性谈判响应文件的编制</w:t>
      </w:r>
    </w:p>
    <w:p>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11.竞争性谈判响应文件（以下简称响应文件）的组成及要求</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11.1</w:t>
      </w:r>
      <w:r>
        <w:rPr>
          <w:rFonts w:hint="eastAsia" w:ascii="Arial" w:hAnsi="Arial" w:eastAsia="宋体" w:cs="Arial"/>
          <w:b/>
          <w:color w:val="auto"/>
          <w:szCs w:val="21"/>
          <w:highlight w:val="none"/>
        </w:rPr>
        <w:t>本项目实行电子投标，供应商应准备电子谈判响应文件。</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11.1.1 电子响应文件按</w:t>
      </w:r>
      <w:r>
        <w:rPr>
          <w:rFonts w:hint="eastAsia" w:ascii="Arial" w:hAnsi="Arial" w:eastAsia="宋体" w:cs="Arial"/>
          <w:b/>
          <w:color w:val="auto"/>
          <w:szCs w:val="21"/>
          <w:highlight w:val="none"/>
        </w:rPr>
        <w:t>广西政府采购云平台</w:t>
      </w:r>
      <w:r>
        <w:rPr>
          <w:rFonts w:ascii="Arial" w:hAnsi="Arial" w:eastAsia="宋体" w:cs="Arial"/>
          <w:b/>
          <w:color w:val="auto"/>
          <w:szCs w:val="21"/>
          <w:highlight w:val="none"/>
        </w:rPr>
        <w:t>要求及本谈判文件要求制作、加密并递交。具体操作流程可参考《政府采购项目电子交易管理操作指南-供应商》，指南可在 “http://www.ccgp-guangxi.gov.cn/PurchaseAdvisory/ImportantNotice/2866753.html”下载。</w:t>
      </w:r>
    </w:p>
    <w:p>
      <w:pPr>
        <w:tabs>
          <w:tab w:val="left" w:pos="1305"/>
        </w:tabs>
        <w:spacing w:line="390" w:lineRule="exact"/>
        <w:ind w:firstLine="420" w:firstLineChars="200"/>
        <w:rPr>
          <w:rFonts w:ascii="Arial" w:hAnsi="Arial" w:eastAsia="宋体" w:cs="Arial"/>
          <w:b/>
          <w:color w:val="auto"/>
          <w:szCs w:val="21"/>
          <w:highlight w:val="none"/>
        </w:rPr>
      </w:pPr>
      <w:r>
        <w:rPr>
          <w:rFonts w:hint="eastAsia" w:ascii="Arial" w:hAnsi="Arial" w:eastAsia="宋体" w:cs="Arial"/>
          <w:b/>
          <w:color w:val="auto"/>
          <w:szCs w:val="21"/>
          <w:highlight w:val="none"/>
        </w:rPr>
        <w:t>11.2响应文件组成【格式见第六章“响应文件（格式）”】</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.1资格性响应证明材料：</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（2）供应商相应的法定代表人(负责人/自然人)身份证正反两面复印件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（必须提供，自然人除外）</w:t>
      </w:r>
      <w:r>
        <w:rPr>
          <w:rFonts w:ascii="Arial" w:hAnsi="Arial" w:eastAsia="宋体" w:cs="Arial"/>
          <w:color w:val="auto"/>
          <w:szCs w:val="21"/>
          <w:highlight w:val="none"/>
        </w:rPr>
        <w:t>；</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w:t>
      </w:r>
      <w:bookmarkStart w:id="17" w:name="OLE_LINK12"/>
      <w:r>
        <w:rPr>
          <w:rFonts w:ascii="Arial" w:hAnsi="Arial" w:eastAsia="宋体" w:cs="Arial"/>
          <w:color w:val="auto"/>
          <w:szCs w:val="21"/>
          <w:highlight w:val="none"/>
        </w:rPr>
        <w:t>供应商</w:t>
      </w:r>
      <w:r>
        <w:rPr>
          <w:rFonts w:hint="eastAsia" w:ascii="Arial" w:hAnsi="Arial" w:eastAsia="宋体" w:cs="Arial"/>
          <w:color w:val="auto"/>
          <w:szCs w:val="21"/>
          <w:highlight w:val="none"/>
          <w:lang w:eastAsia="zh-CN"/>
        </w:rPr>
        <w:t>2024年</w:t>
      </w:r>
      <w:r>
        <w:rPr>
          <w:rFonts w:hint="eastAsia" w:ascii="Arial" w:hAnsi="Arial" w:eastAsia="宋体" w:cs="Arial"/>
          <w:color w:val="auto"/>
          <w:szCs w:val="21"/>
          <w:highlight w:val="none"/>
        </w:rPr>
        <w:t>的</w:t>
      </w:r>
      <w:r>
        <w:rPr>
          <w:rFonts w:ascii="Arial" w:hAnsi="Arial" w:eastAsia="宋体" w:cs="Arial"/>
          <w:color w:val="auto"/>
          <w:szCs w:val="21"/>
          <w:highlight w:val="none"/>
        </w:rPr>
        <w:t>审计报告或财务报表（至少包含资产负债表、利润表、现金流量表）（202</w:t>
      </w:r>
      <w:r>
        <w:rPr>
          <w:rFonts w:hint="eastAsia" w:ascii="Arial" w:hAnsi="Arial" w:eastAsia="宋体" w:cs="Arial"/>
          <w:color w:val="auto"/>
          <w:szCs w:val="21"/>
          <w:highlight w:val="none"/>
        </w:rPr>
        <w:t>5</w:t>
      </w:r>
      <w:r>
        <w:rPr>
          <w:rFonts w:ascii="Arial" w:hAnsi="Arial" w:eastAsia="宋体" w:cs="Arial"/>
          <w:color w:val="auto"/>
          <w:szCs w:val="21"/>
          <w:highlight w:val="none"/>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（必须提供）</w:t>
      </w:r>
      <w:bookmarkEnd w:id="17"/>
      <w:r>
        <w:rPr>
          <w:rFonts w:ascii="Arial" w:hAnsi="Arial" w:eastAsia="宋体" w:cs="Arial"/>
          <w:color w:val="auto"/>
          <w:szCs w:val="21"/>
          <w:highlight w:val="none"/>
        </w:rPr>
        <w:t xml:space="preserve"> ； </w:t>
      </w:r>
    </w:p>
    <w:p>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w:t>
      </w:r>
      <w:bookmarkStart w:id="18" w:name="OLE_LINK15"/>
      <w:r>
        <w:rPr>
          <w:rFonts w:ascii="Arial" w:hAnsi="Arial" w:eastAsia="宋体" w:cs="Arial"/>
          <w:color w:val="auto"/>
          <w:szCs w:val="21"/>
          <w:highlight w:val="none"/>
        </w:rPr>
        <w:t>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bookmarkEnd w:id="18"/>
      <w:r>
        <w:rPr>
          <w:rFonts w:ascii="Arial" w:hAnsi="Arial" w:eastAsia="宋体" w:cs="Arial"/>
          <w:color w:val="auto"/>
          <w:szCs w:val="21"/>
          <w:highlight w:val="none"/>
        </w:rPr>
        <w:t>；</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（8）供应商参加政府采购活动前3年内在经营活动中没有重大违法记录及有关信用信息的书面声明</w:t>
      </w:r>
      <w:r>
        <w:rPr>
          <w:rFonts w:ascii="Arial" w:hAnsi="Arial" w:eastAsia="宋体" w:cs="Arial"/>
          <w:b/>
          <w:color w:val="auto"/>
          <w:szCs w:val="21"/>
          <w:highlight w:val="none"/>
        </w:rPr>
        <w:t>（必须提供）；</w:t>
      </w:r>
    </w:p>
    <w:p>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（必须提供，但供应商为自然人的无须提供）</w:t>
      </w:r>
    </w:p>
    <w:p>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pPr>
        <w:snapToGrid w:val="0"/>
        <w:spacing w:line="380" w:lineRule="exact"/>
        <w:ind w:firstLine="411" w:firstLineChars="196"/>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（11）谈判保证金转账底单</w:t>
      </w:r>
      <w:r>
        <w:rPr>
          <w:rFonts w:hint="eastAsia" w:ascii="Arial" w:hAnsi="Arial" w:eastAsia="宋体" w:cs="Arial"/>
          <w:b/>
          <w:bCs/>
          <w:color w:val="auto"/>
          <w:szCs w:val="21"/>
          <w:highlight w:val="none"/>
        </w:rPr>
        <w:t>（必须提供）</w:t>
      </w:r>
    </w:p>
    <w:p>
      <w:pPr>
        <w:tabs>
          <w:tab w:val="left" w:pos="1305"/>
        </w:tabs>
        <w:spacing w:line="390" w:lineRule="exact"/>
        <w:ind w:firstLine="630" w:firstLineChars="300"/>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.2符合性响应证明材料：</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（1）谈判报价表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（2）技术响应表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3</w:t>
      </w:r>
      <w:r>
        <w:rPr>
          <w:rFonts w:ascii="Arial" w:hAnsi="Arial" w:eastAsia="宋体" w:cs="Arial"/>
          <w:color w:val="auto"/>
          <w:szCs w:val="21"/>
          <w:highlight w:val="none"/>
        </w:rPr>
        <w:t>）供应商的项目实施方案</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4</w:t>
      </w:r>
      <w:r>
        <w:rPr>
          <w:rFonts w:ascii="Arial" w:hAnsi="Arial" w:eastAsia="宋体" w:cs="Arial"/>
          <w:color w:val="auto"/>
          <w:szCs w:val="21"/>
          <w:highlight w:val="none"/>
        </w:rPr>
        <w:t>）供应商的售后服务承诺书</w:t>
      </w:r>
      <w:r>
        <w:rPr>
          <w:rFonts w:ascii="Arial" w:hAnsi="Arial" w:eastAsia="宋体" w:cs="Arial"/>
          <w:b/>
          <w:color w:val="auto"/>
          <w:szCs w:val="21"/>
          <w:highlight w:val="none"/>
        </w:rPr>
        <w:t>（必须提供）；</w:t>
      </w:r>
    </w:p>
    <w:p>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5</w:t>
      </w:r>
      <w:r>
        <w:rPr>
          <w:rFonts w:ascii="Arial" w:hAnsi="Arial" w:eastAsia="宋体" w:cs="Arial"/>
          <w:color w:val="auto"/>
          <w:szCs w:val="21"/>
          <w:highlight w:val="none"/>
        </w:rPr>
        <w:t>）商务响应表</w:t>
      </w:r>
      <w:r>
        <w:rPr>
          <w:rFonts w:ascii="Arial" w:hAnsi="Arial" w:eastAsia="宋体" w:cs="Arial"/>
          <w:b/>
          <w:color w:val="auto"/>
          <w:szCs w:val="21"/>
          <w:highlight w:val="none"/>
        </w:rPr>
        <w:t>（必须提供）；</w:t>
      </w:r>
    </w:p>
    <w:p>
      <w:pPr>
        <w:widowControl/>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.3其它有效证明材料：</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（1）项目实施人员一览表</w:t>
      </w:r>
      <w:r>
        <w:rPr>
          <w:rFonts w:ascii="Arial" w:hAnsi="Arial" w:cs="Arial"/>
          <w:b/>
          <w:color w:val="auto"/>
          <w:szCs w:val="21"/>
          <w:highlight w:val="none"/>
        </w:rPr>
        <w:t>【如有，请提供，并一起提供由县级以上（含县级）社会养老保险经办机构出具的供应商为项目实施人员交纳社保证明复印件】；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（2）供应商具有同类产品的销售业绩的相关证明材料（无不良记录，以中标、成交通知书或签订的销售合同为准，并能清晰反映所销售的货物名称、种类、金额）</w:t>
      </w:r>
      <w:r>
        <w:rPr>
          <w:rFonts w:ascii="Arial" w:hAnsi="Arial" w:eastAsia="宋体" w:cs="Arial"/>
          <w:b/>
          <w:color w:val="auto"/>
          <w:highlight w:val="none"/>
        </w:rPr>
        <w:t>（如有，请提供）；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（3）供应商相关获奖证书、认证证书等复印件</w:t>
      </w:r>
      <w:r>
        <w:rPr>
          <w:rFonts w:ascii="Arial" w:hAnsi="Arial" w:eastAsia="宋体" w:cs="Arial"/>
          <w:b/>
          <w:color w:val="auto"/>
          <w:highlight w:val="none"/>
        </w:rPr>
        <w:t>（如有，请提供）；</w:t>
      </w:r>
    </w:p>
    <w:p>
      <w:pPr>
        <w:snapToGrid w:val="0"/>
        <w:spacing w:line="390" w:lineRule="exact"/>
        <w:ind w:firstLine="420" w:firstLineChars="200"/>
        <w:rPr>
          <w:rFonts w:ascii="Arial" w:hAnsi="Arial" w:eastAsia="宋体" w:cs="Arial"/>
          <w:color w:val="auto"/>
          <w:szCs w:val="20"/>
          <w:highlight w:val="none"/>
        </w:rPr>
      </w:pPr>
      <w:r>
        <w:rPr>
          <w:rFonts w:ascii="Arial" w:hAnsi="Arial" w:eastAsia="宋体" w:cs="Arial"/>
          <w:color w:val="auto"/>
          <w:szCs w:val="20"/>
          <w:highlight w:val="none"/>
        </w:rPr>
        <w:t>（4）</w:t>
      </w:r>
      <w:r>
        <w:rPr>
          <w:rFonts w:ascii="Arial" w:hAnsi="Arial" w:eastAsia="宋体" w:cs="Arial"/>
          <w:color w:val="auto"/>
          <w:szCs w:val="21"/>
          <w:highlight w:val="none"/>
        </w:rPr>
        <w:t>节能方面的资质证书复印件</w:t>
      </w:r>
      <w:r>
        <w:rPr>
          <w:rFonts w:ascii="Arial" w:hAnsi="Arial" w:eastAsia="宋体" w:cs="Arial"/>
          <w:b/>
          <w:color w:val="auto"/>
          <w:szCs w:val="21"/>
          <w:highlight w:val="none"/>
        </w:rPr>
        <w:t>（如有，请提供）；</w:t>
      </w:r>
    </w:p>
    <w:p>
      <w:pPr>
        <w:snapToGrid w:val="0"/>
        <w:spacing w:line="390" w:lineRule="exact"/>
        <w:ind w:firstLine="420" w:firstLineChars="200"/>
        <w:rPr>
          <w:rFonts w:ascii="Arial" w:hAnsi="Arial" w:eastAsia="宋体" w:cs="Arial"/>
          <w:b/>
          <w:color w:val="auto"/>
          <w:szCs w:val="21"/>
          <w:highlight w:val="none"/>
        </w:rPr>
      </w:pPr>
      <w:r>
        <w:rPr>
          <w:rFonts w:ascii="Arial" w:hAnsi="Arial" w:eastAsia="宋体" w:cs="Arial"/>
          <w:color w:val="auto"/>
          <w:szCs w:val="20"/>
          <w:highlight w:val="none"/>
        </w:rPr>
        <w:t>（5）</w:t>
      </w:r>
      <w:r>
        <w:rPr>
          <w:rFonts w:ascii="Arial" w:hAnsi="Arial" w:eastAsia="宋体" w:cs="Arial"/>
          <w:color w:val="auto"/>
          <w:szCs w:val="21"/>
          <w:highlight w:val="none"/>
        </w:rPr>
        <w:t>环保方面的资质证书复印件</w:t>
      </w:r>
      <w:r>
        <w:rPr>
          <w:rFonts w:ascii="Arial" w:hAnsi="Arial" w:eastAsia="宋体" w:cs="Arial"/>
          <w:b/>
          <w:color w:val="auto"/>
          <w:szCs w:val="21"/>
          <w:highlight w:val="none"/>
        </w:rPr>
        <w:t>（如有，请提供）；</w:t>
      </w:r>
    </w:p>
    <w:p>
      <w:pPr>
        <w:snapToGrid w:val="0"/>
        <w:spacing w:line="390" w:lineRule="exact"/>
        <w:ind w:firstLine="420" w:firstLineChars="200"/>
        <w:rPr>
          <w:rFonts w:hint="eastAsia" w:ascii="Arial" w:hAnsi="Arial" w:eastAsia="宋体" w:cs="Arial"/>
          <w:color w:val="auto"/>
          <w:szCs w:val="21"/>
          <w:highlight w:val="none"/>
        </w:rPr>
      </w:pPr>
      <w:r>
        <w:rPr>
          <w:rFonts w:hint="eastAsia" w:ascii="Arial" w:hAnsi="Arial" w:eastAsia="宋体" w:cs="Arial"/>
          <w:bCs/>
          <w:color w:val="auto"/>
          <w:szCs w:val="21"/>
          <w:highlight w:val="none"/>
        </w:rPr>
        <w:t>（6）</w:t>
      </w:r>
      <w:r>
        <w:rPr>
          <w:rFonts w:hint="eastAsia" w:ascii="Arial" w:hAnsi="Arial" w:eastAsia="宋体" w:cs="Arial"/>
          <w:color w:val="auto"/>
          <w:szCs w:val="21"/>
          <w:highlight w:val="none"/>
        </w:rPr>
        <w:t>落实政府采购政策需满足的资格要求</w:t>
      </w:r>
      <w:r>
        <w:rPr>
          <w:rFonts w:ascii="Arial" w:hAnsi="Arial" w:eastAsia="宋体" w:cs="Arial"/>
          <w:b/>
          <w:color w:val="auto"/>
          <w:szCs w:val="21"/>
          <w:highlight w:val="none"/>
        </w:rPr>
        <w:t>（如有，请提供）；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highlight w:val="none"/>
        </w:rPr>
        <w:t>（</w:t>
      </w:r>
      <w:r>
        <w:rPr>
          <w:rFonts w:hint="eastAsia" w:ascii="Arial" w:hAnsi="Arial" w:eastAsia="宋体" w:cs="Arial"/>
          <w:color w:val="auto"/>
          <w:highlight w:val="none"/>
        </w:rPr>
        <w:t>7</w:t>
      </w:r>
      <w:r>
        <w:rPr>
          <w:rFonts w:ascii="Arial" w:hAnsi="Arial" w:eastAsia="宋体" w:cs="Arial"/>
          <w:color w:val="auto"/>
          <w:highlight w:val="none"/>
        </w:rPr>
        <w:t>）供应商可结合本项目自身情况自行提交其它相关证明材料</w:t>
      </w:r>
      <w:r>
        <w:rPr>
          <w:rFonts w:ascii="Arial" w:hAnsi="Arial" w:eastAsia="宋体" w:cs="Arial"/>
          <w:b/>
          <w:color w:val="auto"/>
          <w:highlight w:val="none"/>
        </w:rPr>
        <w:t>（如有，请提供）</w:t>
      </w:r>
      <w:r>
        <w:rPr>
          <w:rFonts w:ascii="Arial" w:hAnsi="Arial" w:eastAsia="宋体" w:cs="Arial"/>
          <w:color w:val="auto"/>
          <w:szCs w:val="21"/>
          <w:highlight w:val="none"/>
        </w:rPr>
        <w:t>。</w:t>
      </w:r>
    </w:p>
    <w:p>
      <w:pPr>
        <w:tabs>
          <w:tab w:val="left" w:pos="1305"/>
        </w:tabs>
        <w:spacing w:line="380" w:lineRule="exact"/>
        <w:ind w:firstLine="420" w:firstLineChars="200"/>
        <w:rPr>
          <w:rFonts w:ascii="Arial" w:hAnsi="Arial" w:eastAsia="宋体" w:cs="Arial"/>
          <w:color w:val="auto"/>
          <w:szCs w:val="20"/>
          <w:highlight w:val="none"/>
        </w:rPr>
      </w:pPr>
      <w:bookmarkStart w:id="19" w:name="_Hlk523383678"/>
      <w:r>
        <w:rPr>
          <w:rFonts w:ascii="Arial" w:hAnsi="Arial" w:eastAsia="宋体" w:cs="Arial"/>
          <w:b/>
          <w:color w:val="auto"/>
          <w:szCs w:val="21"/>
          <w:highlight w:val="none"/>
        </w:rPr>
        <w:t>供应商提供的以上相关证明材料属于“必须提供”的文件应加盖供应商公章（CA签章）/自然人签字或加盖个人CA签章。如供应商提供的证明文件不齐全或不符合规定形式的可在谈判小组规定的时间内当场补正或更正；在规定时间内未能补齐或更正的，响应文件无效。其余由供应商视自身情况自行提交。</w:t>
      </w:r>
      <w:bookmarkEnd w:id="19"/>
    </w:p>
    <w:p>
      <w:pPr>
        <w:pStyle w:val="13"/>
        <w:spacing w:line="390" w:lineRule="exact"/>
        <w:ind w:firstLine="420" w:firstLineChars="200"/>
        <w:rPr>
          <w:rFonts w:ascii="Arial" w:hAnsi="Arial" w:cs="Arial"/>
          <w:color w:val="auto"/>
          <w:highlight w:val="none"/>
        </w:rPr>
      </w:pPr>
      <w:r>
        <w:rPr>
          <w:rFonts w:ascii="Arial" w:hAnsi="Arial" w:cs="Arial"/>
          <w:color w:val="auto"/>
          <w:highlight w:val="none"/>
        </w:rPr>
        <w:t>11.</w:t>
      </w:r>
      <w:r>
        <w:rPr>
          <w:rFonts w:hint="eastAsia" w:ascii="Arial" w:hAnsi="Arial" w:cs="Arial"/>
          <w:color w:val="auto"/>
          <w:highlight w:val="none"/>
        </w:rPr>
        <w:t>3</w:t>
      </w:r>
      <w:r>
        <w:rPr>
          <w:rFonts w:ascii="Arial" w:hAnsi="Arial" w:cs="Arial"/>
          <w:color w:val="auto"/>
          <w:highlight w:val="none"/>
        </w:rPr>
        <w:t xml:space="preserve"> 供应商应按竞争性谈判文件第六章“响应文件（格式）”编制响应文件。</w:t>
      </w:r>
    </w:p>
    <w:p>
      <w:pPr>
        <w:pStyle w:val="13"/>
        <w:spacing w:line="380" w:lineRule="exact"/>
        <w:ind w:firstLine="420" w:firstLineChars="200"/>
        <w:rPr>
          <w:rFonts w:ascii="Arial" w:hAnsi="Arial" w:cs="Arial"/>
          <w:b/>
          <w:bCs/>
          <w:color w:val="auto"/>
          <w:highlight w:val="none"/>
        </w:rPr>
      </w:pPr>
      <w:bookmarkStart w:id="20" w:name="_Hlk82093539"/>
      <w:r>
        <w:rPr>
          <w:rFonts w:ascii="Arial" w:hAnsi="Arial" w:cs="Arial"/>
          <w:b/>
          <w:bCs/>
          <w:color w:val="auto"/>
          <w:highlight w:val="none"/>
        </w:rPr>
        <w:t>特别说明：</w:t>
      </w:r>
    </w:p>
    <w:p>
      <w:pPr>
        <w:pStyle w:val="13"/>
        <w:spacing w:line="380" w:lineRule="exact"/>
        <w:ind w:firstLine="420" w:firstLineChars="200"/>
        <w:rPr>
          <w:rFonts w:ascii="Arial" w:hAnsi="Arial" w:cs="Arial"/>
          <w:b/>
          <w:bCs/>
          <w:color w:val="auto"/>
          <w:highlight w:val="none"/>
        </w:rPr>
      </w:pPr>
      <w:r>
        <w:rPr>
          <w:rFonts w:ascii="Arial" w:hAnsi="Arial" w:cs="Arial"/>
          <w:b/>
          <w:bCs/>
          <w:color w:val="auto"/>
          <w:highlight w:val="none"/>
        </w:rPr>
        <w:t>（1）响应文件（电子响应文件），其中电子响应文件中所须加盖公章部分均采用CA签章。若谈判文件中有专门标注的某关联点，并要求供应商在电子投标系统中作出谈判响应的，如供应商未对关联点进行响应或者在响应文件其它内容进行描述，造成电子评审不能查询的责任由供应商自行承担。</w:t>
      </w:r>
    </w:p>
    <w:p>
      <w:pPr>
        <w:pStyle w:val="13"/>
        <w:spacing w:line="380" w:lineRule="exact"/>
        <w:ind w:firstLine="420" w:firstLineChars="200"/>
        <w:rPr>
          <w:rFonts w:ascii="Arial" w:hAnsi="Arial" w:cs="Arial"/>
          <w:b/>
          <w:color w:val="auto"/>
          <w:szCs w:val="21"/>
          <w:highlight w:val="none"/>
        </w:rPr>
      </w:pPr>
      <w:r>
        <w:rPr>
          <w:rFonts w:ascii="Arial" w:hAnsi="Arial" w:cs="Arial"/>
          <w:b/>
          <w:bCs/>
          <w:color w:val="auto"/>
          <w:highlight w:val="none"/>
        </w:rPr>
        <w:t>（2）谈判文件要求法定代表人（负责人）或委托代理人签字的部分必须签字然后扫描或者拍照做成 pdf 格式上传（或加盖个人CA签章），无签字的视为响应无效。</w:t>
      </w:r>
      <w:bookmarkEnd w:id="20"/>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12. 响应文件的语言及计量</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12.2 谈判计量单位，谈判文件已有明确规定的，使用谈判文件规定的计量单位；谈判文件没有规定的，必须采用中华人民共和国法定计量单位（货币单位：人民币元），否则视同未响应。</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13. 谈判报价及采购预算金额</w:t>
      </w:r>
    </w:p>
    <w:p>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hint="eastAsia" w:ascii="Arial" w:hAnsi="Arial" w:eastAsia="宋体" w:cs="Arial"/>
          <w:color w:val="auto"/>
          <w:szCs w:val="21"/>
          <w:highlight w:val="none"/>
        </w:rPr>
        <w:t>采购预算金额</w:t>
      </w:r>
      <w:r>
        <w:rPr>
          <w:rFonts w:ascii="Arial" w:hAnsi="Arial" w:eastAsia="宋体" w:cs="Arial"/>
          <w:color w:val="auto"/>
          <w:szCs w:val="21"/>
          <w:highlight w:val="none"/>
        </w:rPr>
        <w:t>：</w:t>
      </w:r>
      <w:r>
        <w:rPr>
          <w:rFonts w:hint="eastAsia" w:ascii="Arial" w:hAnsi="Arial" w:eastAsia="宋体" w:cs="Arial"/>
          <w:b/>
          <w:bCs/>
          <w:color w:val="auto"/>
          <w:szCs w:val="21"/>
          <w:highlight w:val="none"/>
        </w:rPr>
        <w:t>预算金额998900元，控制价为995000元，供应商响应报价不得超过控制价</w:t>
      </w:r>
      <w:r>
        <w:rPr>
          <w:rFonts w:hint="eastAsia" w:ascii="Arial" w:hAnsi="Arial" w:eastAsia="宋体" w:cs="Arial"/>
          <w:color w:val="auto"/>
          <w:szCs w:val="21"/>
          <w:highlight w:val="none"/>
        </w:rPr>
        <w:t>，</w:t>
      </w:r>
      <w:r>
        <w:rPr>
          <w:rFonts w:hint="eastAsia" w:ascii="Arial" w:hAnsi="Arial" w:eastAsia="宋体" w:cs="Arial"/>
          <w:color w:val="auto"/>
          <w:szCs w:val="21"/>
          <w:highlight w:val="none"/>
          <w:lang w:val="en-US" w:eastAsia="zh-CN"/>
        </w:rPr>
        <w:t>否则</w:t>
      </w:r>
      <w:r>
        <w:rPr>
          <w:rFonts w:hint="eastAsia" w:ascii="Arial" w:hAnsi="Arial" w:eastAsia="宋体" w:cs="Arial"/>
          <w:color w:val="auto"/>
          <w:szCs w:val="21"/>
          <w:highlight w:val="none"/>
        </w:rPr>
        <w:t>响应文件作无效处理。</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13.2供应商必须就“货物采购需求”中的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14. 响应文件有效期</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14.1 响应文件有效期：响应文件递交截止时间之日起90天，有效期不足的响应文件将被拒绝。</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snapToGrid w:val="0"/>
        <w:spacing w:line="312" w:lineRule="auto"/>
        <w:ind w:firstLine="420" w:firstLineChars="200"/>
        <w:rPr>
          <w:rFonts w:hint="eastAsia" w:ascii="Arial" w:hAnsi="Arial" w:eastAsia="宋体" w:cs="Arial"/>
          <w:b/>
          <w:bCs/>
          <w:color w:val="auto"/>
          <w:kern w:val="0"/>
          <w:highlight w:val="none"/>
        </w:rPr>
      </w:pPr>
      <w:r>
        <w:rPr>
          <w:rFonts w:ascii="Arial" w:hAnsi="Arial" w:eastAsia="宋体" w:cs="Arial"/>
          <w:b/>
          <w:color w:val="auto"/>
          <w:szCs w:val="21"/>
          <w:highlight w:val="none"/>
        </w:rPr>
        <w:t>15.</w:t>
      </w:r>
      <w:r>
        <w:rPr>
          <w:rFonts w:hint="eastAsia" w:ascii="Arial" w:hAnsi="Arial" w:eastAsia="宋体" w:cs="Arial"/>
          <w:b/>
          <w:bCs/>
          <w:color w:val="auto"/>
          <w:kern w:val="0"/>
          <w:highlight w:val="none"/>
        </w:rPr>
        <w:t>谈判保证金金额：</w:t>
      </w:r>
    </w:p>
    <w:p>
      <w:pPr>
        <w:spacing w:line="288" w:lineRule="auto"/>
        <w:ind w:firstLine="525" w:firstLineChars="250"/>
        <w:rPr>
          <w:rFonts w:eastAsia="宋体" w:cs="Arial"/>
          <w:color w:val="auto"/>
          <w:szCs w:val="21"/>
          <w:highlight w:val="none"/>
        </w:rPr>
      </w:pPr>
      <w:r>
        <w:rPr>
          <w:rFonts w:hint="eastAsia" w:ascii="Arial" w:hAnsi="Arial" w:eastAsia="宋体" w:cs="Arial"/>
          <w:b/>
          <w:bCs/>
          <w:color w:val="auto"/>
          <w:kern w:val="0"/>
          <w:highlight w:val="none"/>
          <w:lang w:eastAsia="zh-CN"/>
        </w:rPr>
        <w:t>玖仟元整（¥9000.00）</w:t>
      </w:r>
      <w:r>
        <w:rPr>
          <w:rFonts w:hint="eastAsia" w:ascii="Arial" w:hAnsi="Arial" w:eastAsia="宋体" w:cs="Arial"/>
          <w:b/>
          <w:bCs/>
          <w:color w:val="auto"/>
          <w:kern w:val="0"/>
          <w:highlight w:val="none"/>
        </w:rPr>
        <w:t>（须足额缴纳）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hint="eastAsia" w:ascii="Arial" w:hAnsi="Arial" w:eastAsia="宋体" w:cs="Arial"/>
          <w:color w:val="auto"/>
          <w:highlight w:val="none"/>
          <w:lang w:eastAsia="zh-CN"/>
        </w:rPr>
      </w:pPr>
      <w:r>
        <w:rPr>
          <w:rFonts w:hint="eastAsia" w:ascii="Arial" w:hAnsi="Arial" w:eastAsia="宋体" w:cs="Arial"/>
          <w:color w:val="auto"/>
          <w:highlight w:val="none"/>
        </w:rPr>
        <w:t>开户账户：</w:t>
      </w:r>
      <w:r>
        <w:rPr>
          <w:rFonts w:hint="eastAsia" w:ascii="Arial" w:hAnsi="Arial" w:eastAsia="宋体" w:cs="Arial"/>
          <w:color w:val="auto"/>
          <w:highlight w:val="none"/>
          <w:lang w:eastAsia="zh-CN"/>
        </w:rPr>
        <w:t>30210485914533</w:t>
      </w:r>
    </w:p>
    <w:p>
      <w:pPr>
        <w:spacing w:line="288" w:lineRule="auto"/>
        <w:ind w:firstLine="420" w:firstLineChars="200"/>
        <w:rPr>
          <w:rFonts w:ascii="Arial" w:hAnsi="Arial" w:eastAsia="宋体" w:cs="Arial"/>
          <w:b/>
          <w:bCs/>
          <w:color w:val="auto"/>
          <w:kern w:val="0"/>
          <w:highlight w:val="none"/>
        </w:rPr>
      </w:pPr>
      <w:r>
        <w:rPr>
          <w:rFonts w:hint="eastAsia"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pPr>
        <w:tabs>
          <w:tab w:val="left" w:pos="1305"/>
        </w:tabs>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16. 响应文件的制作</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16.1电子响应文件中须加盖供应商公章部分均采用CA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漏读，或者在按响应文件规定的部位查找不到相关内容的，由供应商自行承担。</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16.2 供应商法人（负责人）或授权代表持有</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个人CA签章的，应在响应文件中涉及到签字的位置使用个人CA签章，没有办理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个人CA签章的可在响应文件文件中涉及到签字的位置手写签字后扫描或者拍照做成 PDF 的格式上传即可。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16.3 响应文件不得涂改，若有修改错漏处，须法定代表人（负责人）或授权委托人签字（或个人CA签章）。响应文件因字迹潦草或表达不清所引起的后果由供应商负责。</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16.4评审前准备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16.4.1本项目实行网上评审，采用电子响应文件；若供应商参与谈判，自行承担谈判一切费用。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16.4.2各供应商在截标前应确保成为</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正式注册入库供应商，并完成 CA 数字证书申领。因未注册入库、未办理 CA 数字证书等原因造成无法响应或响应失败等后果由供应商自行承担。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16.4.3供应商将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电子交易客户端下载、安装完成后，可通过账号密码或 CA 登录客户端进行响应文件制作。客户端请至网站下载专区查看，如有问题可拨打</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客户服务热线 </w:t>
      </w:r>
      <w:r>
        <w:rPr>
          <w:rFonts w:hint="eastAsia" w:ascii="Arial" w:hAnsi="Arial" w:eastAsia="宋体" w:cs="Arial"/>
          <w:color w:val="auto"/>
          <w:szCs w:val="21"/>
          <w:highlight w:val="none"/>
        </w:rPr>
        <w:t>95763</w:t>
      </w:r>
      <w:r>
        <w:rPr>
          <w:rFonts w:ascii="Arial" w:hAnsi="Arial" w:eastAsia="宋体" w:cs="Arial"/>
          <w:color w:val="auto"/>
          <w:szCs w:val="21"/>
          <w:highlight w:val="none"/>
        </w:rPr>
        <w:t xml:space="preserve"> 进行咨询。</w:t>
      </w:r>
    </w:p>
    <w:p>
      <w:pPr>
        <w:tabs>
          <w:tab w:val="left" w:pos="1305"/>
        </w:tabs>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17. 响应文件的补充、修改和撤回</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17.1 响应文件递交截止时间前可以撤回电子响应文件。补充或者修改电子响应文件的，应当先行撤回原文件，补充、修改后重新传输递交，响应文件递交截止时间前未完成传输的，视为撤回响应文件。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17.2 在响应文件递交截止时间后的响应文件有效期内，供应商不得撤回其响应文件。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bCs/>
          <w:color w:val="auto"/>
          <w:szCs w:val="21"/>
          <w:highlight w:val="none"/>
        </w:rPr>
        <w:t>18. 响应文件的递交和解密</w:t>
      </w:r>
    </w:p>
    <w:p>
      <w:pPr>
        <w:tabs>
          <w:tab w:val="left" w:pos="1305"/>
        </w:tabs>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18.1响应文件递交截止时间：于</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24</w:t>
      </w:r>
      <w:r>
        <w:rPr>
          <w:rFonts w:hint="eastAsia" w:ascii="Arial" w:hAnsi="Arial" w:eastAsia="宋体" w:cs="Arial"/>
          <w:color w:val="auto"/>
          <w:highlight w:val="none"/>
          <w:lang w:eastAsia="zh-CN"/>
        </w:rPr>
        <w:t>日</w:t>
      </w:r>
      <w:r>
        <w:rPr>
          <w:rFonts w:ascii="Arial" w:hAnsi="Arial" w:eastAsia="宋体" w:cs="Arial"/>
          <w:color w:val="auto"/>
          <w:highlight w:val="none"/>
        </w:rPr>
        <w:t>上午</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3</w:t>
      </w:r>
      <w:r>
        <w:rPr>
          <w:rFonts w:hint="eastAsia" w:ascii="Arial" w:hAnsi="Arial" w:eastAsia="宋体" w:cs="Arial"/>
          <w:color w:val="auto"/>
          <w:highlight w:val="none"/>
        </w:rPr>
        <w:t>0分</w:t>
      </w:r>
      <w:r>
        <w:rPr>
          <w:rFonts w:ascii="Arial" w:hAnsi="Arial" w:eastAsia="宋体" w:cs="Arial"/>
          <w:color w:val="auto"/>
          <w:highlight w:val="none"/>
        </w:rPr>
        <w:t>之前将电子响应文件上传到</w:t>
      </w:r>
      <w:r>
        <w:rPr>
          <w:rFonts w:hint="eastAsia" w:ascii="Arial" w:hAnsi="Arial" w:eastAsia="宋体" w:cs="Arial"/>
          <w:color w:val="auto"/>
          <w:highlight w:val="none"/>
        </w:rPr>
        <w:t>广西政府采购云平台</w:t>
      </w:r>
      <w:r>
        <w:rPr>
          <w:rFonts w:ascii="Arial" w:hAnsi="Arial" w:eastAsia="宋体" w:cs="Arial"/>
          <w:color w:val="auto"/>
          <w:highlight w:val="none"/>
        </w:rPr>
        <w:t>。应按照本项目谈判文件和</w:t>
      </w:r>
      <w:r>
        <w:rPr>
          <w:rFonts w:hint="eastAsia" w:ascii="Arial" w:hAnsi="Arial" w:eastAsia="宋体" w:cs="Arial"/>
          <w:color w:val="auto"/>
          <w:highlight w:val="none"/>
        </w:rPr>
        <w:t>广西政府采购云平台</w:t>
      </w:r>
      <w:r>
        <w:rPr>
          <w:rFonts w:ascii="Arial" w:hAnsi="Arial" w:eastAsia="宋体" w:cs="Arial"/>
          <w:color w:val="auto"/>
          <w:highlight w:val="none"/>
        </w:rPr>
        <w:t>的要求编制、加密传输响应文件。供应商在使用系统进行投标响应的过程中遇到涉及平台使用的任何问题，可致电</w:t>
      </w:r>
      <w:r>
        <w:rPr>
          <w:rFonts w:hint="eastAsia" w:ascii="Arial" w:hAnsi="Arial" w:eastAsia="宋体" w:cs="Arial"/>
          <w:color w:val="auto"/>
          <w:highlight w:val="none"/>
        </w:rPr>
        <w:t>广西政府采购云平台</w:t>
      </w:r>
      <w:r>
        <w:rPr>
          <w:rFonts w:ascii="Arial" w:hAnsi="Arial" w:eastAsia="宋体" w:cs="Arial"/>
          <w:color w:val="auto"/>
          <w:highlight w:val="none"/>
        </w:rPr>
        <w:t>技术支持热线咨询，联系方式：</w:t>
      </w:r>
      <w:r>
        <w:rPr>
          <w:rFonts w:hint="eastAsia" w:ascii="Arial" w:hAnsi="Arial" w:eastAsia="宋体" w:cs="Arial"/>
          <w:color w:val="auto"/>
          <w:highlight w:val="none"/>
        </w:rPr>
        <w:t>95763</w:t>
      </w:r>
      <w:r>
        <w:rPr>
          <w:rFonts w:ascii="Arial" w:hAnsi="Arial" w:eastAsia="宋体" w:cs="Arial"/>
          <w:color w:val="auto"/>
          <w:highlight w:val="none"/>
        </w:rPr>
        <w:t>。</w:t>
      </w:r>
    </w:p>
    <w:p>
      <w:pPr>
        <w:tabs>
          <w:tab w:val="left" w:pos="1305"/>
        </w:tabs>
        <w:spacing w:line="390" w:lineRule="exact"/>
        <w:ind w:firstLine="420" w:firstLineChars="200"/>
        <w:rPr>
          <w:rFonts w:ascii="Arial" w:hAnsi="Arial" w:eastAsia="宋体" w:cs="Arial"/>
          <w:b/>
          <w:bCs/>
          <w:color w:val="auto"/>
          <w:highlight w:val="none"/>
        </w:rPr>
      </w:pPr>
      <w:r>
        <w:rPr>
          <w:rFonts w:ascii="Arial" w:hAnsi="Arial" w:eastAsia="宋体" w:cs="Arial"/>
          <w:color w:val="auto"/>
          <w:highlight w:val="none"/>
        </w:rPr>
        <w:t>18.2响应文件解密时间：截标时间后30分钟内（</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24</w:t>
      </w:r>
      <w:r>
        <w:rPr>
          <w:rFonts w:hint="eastAsia" w:ascii="Arial" w:hAnsi="Arial" w:eastAsia="宋体" w:cs="Arial"/>
          <w:color w:val="auto"/>
          <w:highlight w:val="none"/>
          <w:lang w:eastAsia="zh-CN"/>
        </w:rPr>
        <w:t>日</w:t>
      </w:r>
      <w:r>
        <w:rPr>
          <w:rFonts w:ascii="Arial" w:hAnsi="Arial" w:eastAsia="宋体" w:cs="Arial"/>
          <w:color w:val="auto"/>
          <w:highlight w:val="none"/>
        </w:rPr>
        <w:t>上午</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3</w:t>
      </w:r>
      <w:r>
        <w:rPr>
          <w:rFonts w:hint="eastAsia" w:ascii="Arial" w:hAnsi="Arial" w:eastAsia="宋体" w:cs="Arial"/>
          <w:color w:val="auto"/>
          <w:highlight w:val="none"/>
        </w:rPr>
        <w:t>0分</w:t>
      </w:r>
      <w:r>
        <w:rPr>
          <w:rFonts w:ascii="Arial" w:hAnsi="Arial" w:eastAsia="宋体" w:cs="Arial"/>
          <w:color w:val="auto"/>
          <w:highlight w:val="none"/>
        </w:rPr>
        <w:t>至</w:t>
      </w:r>
      <w:r>
        <w:rPr>
          <w:rFonts w:hint="eastAsia" w:ascii="Arial" w:hAnsi="Arial" w:eastAsia="宋体" w:cs="Arial"/>
          <w:color w:val="auto"/>
          <w:highlight w:val="none"/>
          <w:lang w:val="en-US" w:eastAsia="zh-CN"/>
        </w:rPr>
        <w:t>10</w:t>
      </w:r>
      <w:r>
        <w:rPr>
          <w:rFonts w:ascii="Arial" w:hAnsi="Arial" w:eastAsia="宋体" w:cs="Arial"/>
          <w:color w:val="auto"/>
          <w:highlight w:val="none"/>
        </w:rPr>
        <w:t>时</w:t>
      </w:r>
      <w:r>
        <w:rPr>
          <w:rFonts w:hint="eastAsia" w:ascii="Arial" w:hAnsi="Arial" w:eastAsia="宋体" w:cs="Arial"/>
          <w:color w:val="auto"/>
          <w:highlight w:val="none"/>
          <w:lang w:val="en-US" w:eastAsia="zh-CN"/>
        </w:rPr>
        <w:t>0</w:t>
      </w:r>
      <w:r>
        <w:rPr>
          <w:rFonts w:ascii="Arial" w:hAnsi="Arial" w:eastAsia="宋体" w:cs="Arial"/>
          <w:color w:val="auto"/>
          <w:highlight w:val="none"/>
        </w:rPr>
        <w:t>0分)</w:t>
      </w:r>
      <w:r>
        <w:rPr>
          <w:rFonts w:ascii="Arial" w:hAnsi="Arial" w:eastAsia="宋体" w:cs="Arial"/>
          <w:b/>
          <w:bCs/>
          <w:color w:val="auto"/>
          <w:highlight w:val="none"/>
        </w:rPr>
        <w:t>供应商可以登录</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用“项目采购-开标评标”功能进行解密响应文件。若供应商在规定时间内无法解密或解密失败，可以以电子备份响应文件作为依据【在接到无法解密或解密失败的通知后，供应商可根据自身实际情况按通知时要求的时间到</w:t>
      </w:r>
      <w:r>
        <w:rPr>
          <w:rFonts w:hint="eastAsia" w:ascii="Arial" w:hAnsi="Arial" w:eastAsia="宋体" w:cs="Arial"/>
          <w:b/>
          <w:bCs/>
          <w:color w:val="auto"/>
          <w:kern w:val="0"/>
          <w:highlight w:val="none"/>
        </w:rPr>
        <w:t>广西机电设备招标有限公司桂林分公司</w:t>
      </w:r>
      <w:r>
        <w:rPr>
          <w:rFonts w:ascii="Arial" w:hAnsi="Arial" w:eastAsia="宋体" w:cs="Arial"/>
          <w:b/>
          <w:bCs/>
          <w:color w:val="auto"/>
          <w:highlight w:val="none"/>
        </w:rPr>
        <w:t>开标室现场提交或以电子邮件的形式（以通知时所告知的电子邮箱地址为准）提交电子备份响应文件】，若电子备份响应文件与</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18.3 除响应文件另有规定外，供应商所递交的响应文件不予退还。</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18.4 电子响应文件的相关说明</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供应商进行电子投标应安装客户端软件，并按照谈判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（2）如有特殊情况，采购代理机构延长截止时间和开标时间，采购代理机构和供应商的权利和义务将受到新的截止时间和开标时间的约束。</w:t>
      </w:r>
    </w:p>
    <w:p>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四、竞争性谈判（简称谈判）与评审</w:t>
      </w:r>
    </w:p>
    <w:p>
      <w:pPr>
        <w:tabs>
          <w:tab w:val="center" w:pos="4411"/>
          <w:tab w:val="left" w:pos="5475"/>
        </w:tabs>
        <w:spacing w:line="39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 谈判小组组成及谈判时间、地点、人员</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.1 谈判小组组成：</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w:t>
      </w:r>
      <w:r>
        <w:rPr>
          <w:rFonts w:ascii="Arial" w:hAnsi="Arial" w:eastAsia="宋体" w:cs="Arial"/>
          <w:color w:val="auto"/>
          <w:szCs w:val="21"/>
          <w:highlight w:val="none"/>
          <w:u w:val="single"/>
        </w:rPr>
        <w:t>3</w:t>
      </w:r>
      <w:r>
        <w:rPr>
          <w:rFonts w:ascii="Arial" w:hAnsi="Arial" w:eastAsia="宋体" w:cs="Arial"/>
          <w:color w:val="auto"/>
          <w:szCs w:val="21"/>
          <w:highlight w:val="none"/>
        </w:rPr>
        <w:t>人，其中采购人代表</w:t>
      </w:r>
      <w:r>
        <w:rPr>
          <w:rFonts w:ascii="Arial" w:hAnsi="Arial" w:eastAsia="宋体" w:cs="Arial"/>
          <w:color w:val="auto"/>
          <w:szCs w:val="21"/>
          <w:highlight w:val="none"/>
          <w:u w:val="single"/>
        </w:rPr>
        <w:t xml:space="preserve"> 1</w:t>
      </w:r>
      <w:r>
        <w:rPr>
          <w:rFonts w:ascii="Arial" w:hAnsi="Arial" w:eastAsia="宋体" w:cs="Arial"/>
          <w:color w:val="auto"/>
          <w:szCs w:val="21"/>
          <w:highlight w:val="none"/>
        </w:rPr>
        <w:t xml:space="preserve"> 人，有关专家 </w:t>
      </w:r>
      <w:r>
        <w:rPr>
          <w:rFonts w:ascii="Arial" w:hAnsi="Arial" w:eastAsia="宋体" w:cs="Arial"/>
          <w:color w:val="auto"/>
          <w:szCs w:val="21"/>
          <w:highlight w:val="none"/>
          <w:u w:val="single"/>
        </w:rPr>
        <w:t>2</w:t>
      </w:r>
      <w:r>
        <w:rPr>
          <w:rFonts w:ascii="Arial" w:hAnsi="Arial" w:eastAsia="宋体" w:cs="Arial"/>
          <w:color w:val="auto"/>
          <w:szCs w:val="21"/>
          <w:highlight w:val="none"/>
        </w:rPr>
        <w:t>人。</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.2 谈判时间、地点、人员：</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19.2.1谈判时间：响应文件递交截止时间后。</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19.2.2谈判地点：通过广西政府采购云平台在线谈判。</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19.2.3谈判参加人员：供应商法定代表人、负责人、自然人或相应的委托代理人持有效身份证原件和供应商广西政府采购云平台CA数字证书参加谈判。请供应商及时登录广西政府采购云平台等候谈判。</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19.2.4响应文件递交截止时间后，由谈判小组在评标室内开启响应文件。</w:t>
      </w:r>
      <w:r>
        <w:rPr>
          <w:rFonts w:ascii="Arial" w:hAnsi="Arial" w:eastAsia="宋体" w:cs="Arial"/>
          <w:color w:val="auto"/>
          <w:szCs w:val="21"/>
          <w:highlight w:val="none"/>
        </w:rPr>
        <w:t xml:space="preserve">  </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hint="eastAsia" w:ascii="Arial" w:hAnsi="Arial" w:eastAsia="宋体" w:cs="Arial"/>
          <w:b/>
          <w:color w:val="auto"/>
          <w:szCs w:val="21"/>
          <w:highlight w:val="none"/>
        </w:rPr>
        <w:t>20</w:t>
      </w:r>
      <w:r>
        <w:rPr>
          <w:rFonts w:ascii="Arial" w:hAnsi="Arial" w:eastAsia="宋体" w:cs="Arial"/>
          <w:b/>
          <w:color w:val="auto"/>
          <w:szCs w:val="21"/>
          <w:highlight w:val="none"/>
        </w:rPr>
        <w:t>. 评审原则和评审办法</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0"/>
          <w:highlight w:val="none"/>
        </w:rPr>
        <w:t xml:space="preserve">.1 </w:t>
      </w:r>
      <w:r>
        <w:rPr>
          <w:rFonts w:ascii="Arial" w:hAnsi="Arial" w:eastAsia="宋体" w:cs="Arial"/>
          <w:color w:val="auto"/>
          <w:szCs w:val="21"/>
          <w:highlight w:val="none"/>
        </w:rPr>
        <w:t>谈判小组必须坚持公平、公正、科学和择优的原则。</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0"/>
          <w:highlight w:val="none"/>
        </w:rPr>
        <w:t xml:space="preserve">.2 </w:t>
      </w:r>
      <w:r>
        <w:rPr>
          <w:rFonts w:ascii="Arial" w:hAnsi="Arial" w:eastAsia="宋体" w:cs="Arial"/>
          <w:color w:val="auto"/>
          <w:szCs w:val="21"/>
          <w:highlight w:val="none"/>
        </w:rPr>
        <w:t>评审办法：具体详见第四章评审办法。</w:t>
      </w:r>
    </w:p>
    <w:p>
      <w:pPr>
        <w:pStyle w:val="13"/>
        <w:spacing w:line="390" w:lineRule="exact"/>
        <w:ind w:firstLine="359" w:firstLineChars="171"/>
        <w:rPr>
          <w:rFonts w:ascii="Arial" w:hAnsi="Arial" w:cs="Arial"/>
          <w:color w:val="auto"/>
          <w:szCs w:val="21"/>
          <w:highlight w:val="none"/>
        </w:rPr>
      </w:pPr>
      <w:r>
        <w:rPr>
          <w:rFonts w:hint="eastAsia" w:ascii="Arial" w:hAnsi="Arial" w:cs="Arial"/>
          <w:color w:val="auto"/>
          <w:highlight w:val="none"/>
        </w:rPr>
        <w:t>20</w:t>
      </w:r>
      <w:r>
        <w:rPr>
          <w:rFonts w:ascii="Arial" w:hAnsi="Arial" w:cs="Arial"/>
          <w:color w:val="auto"/>
          <w:szCs w:val="21"/>
          <w:highlight w:val="none"/>
        </w:rPr>
        <w:t>.3 谈判小组应按谈判文件进行评审，不得擅自更改评审办法。</w:t>
      </w:r>
    </w:p>
    <w:p>
      <w:pPr>
        <w:pStyle w:val="13"/>
        <w:spacing w:line="390" w:lineRule="exact"/>
        <w:ind w:firstLine="359" w:firstLineChars="171"/>
        <w:rPr>
          <w:rFonts w:ascii="Arial" w:hAnsi="Arial" w:cs="Arial"/>
          <w:color w:val="auto"/>
          <w:szCs w:val="21"/>
          <w:highlight w:val="none"/>
        </w:rPr>
      </w:pPr>
      <w:r>
        <w:rPr>
          <w:rFonts w:hint="eastAsia" w:ascii="Arial" w:hAnsi="Arial" w:cs="Arial"/>
          <w:color w:val="auto"/>
          <w:highlight w:val="none"/>
        </w:rPr>
        <w:t>20</w:t>
      </w:r>
      <w:r>
        <w:rPr>
          <w:rFonts w:ascii="Arial" w:hAnsi="Arial" w:cs="Arial"/>
          <w:color w:val="auto"/>
          <w:szCs w:val="21"/>
          <w:highlight w:val="none"/>
        </w:rPr>
        <w:t>.4 在评审过程中，谈判小组任何人不得对某个供应商发表任何倾向性意见，不得向其他谈判小组成员明示或者暗示自己的评审意见。</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1"/>
          <w:highlight w:val="none"/>
        </w:rPr>
        <w:t>.5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20.6 响应文件最后报价出现前后不一致的，除竞争性谈判文件另有规定外，按照下列规定修正：</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 响应文件中谈判报价表内容与响应文件中相应内容不一致的，以最后谈判报价表为准；</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(2) 大写金额和小写金额不一致的，以大写金额为准；</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(3) 单价金额小数点或者百分比有明显错位的，以报价表的总价为准，并修改单价；</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(4) 总价金额与按单价汇总金额不一致的，以单价金额计算结果为准。</w:t>
      </w:r>
    </w:p>
    <w:p>
      <w:pPr>
        <w:pStyle w:val="38"/>
        <w:rPr>
          <w:color w:val="auto"/>
          <w:highlight w:val="none"/>
        </w:rPr>
      </w:pPr>
      <w:r>
        <w:rPr>
          <w:rFonts w:ascii="Arial" w:hAnsi="Arial" w:cs="Arial"/>
          <w:color w:val="auto"/>
          <w:szCs w:val="21"/>
          <w:highlight w:val="none"/>
        </w:rPr>
        <w:t>同时出现两种以上不一致的，按照前款规定的顺序修正。修正后的报价（不得超出响应文件的范围或者改变响应文件的实质性内容）经供应商确认后产生约束力，供应商不确认的，作无效响应处理。</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1</w:t>
      </w:r>
      <w:r>
        <w:rPr>
          <w:rFonts w:ascii="Arial" w:hAnsi="Arial" w:eastAsia="宋体" w:cs="Arial"/>
          <w:b/>
          <w:color w:val="auto"/>
          <w:szCs w:val="21"/>
          <w:highlight w:val="none"/>
        </w:rPr>
        <w:t>. 评审程序及谈判要求</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1</w:t>
      </w:r>
      <w:r>
        <w:rPr>
          <w:rFonts w:ascii="Arial" w:hAnsi="Arial" w:cs="Arial"/>
          <w:color w:val="auto"/>
          <w:szCs w:val="21"/>
          <w:highlight w:val="none"/>
        </w:rPr>
        <w:t>.1谈判小组成员的通讯工具或相关电子设备交由</w:t>
      </w:r>
      <w:r>
        <w:rPr>
          <w:rFonts w:hint="eastAsia" w:ascii="Arial" w:hAnsi="Arial" w:cs="Arial"/>
          <w:color w:val="auto"/>
          <w:szCs w:val="21"/>
          <w:highlight w:val="none"/>
        </w:rPr>
        <w:t>广西机电设备招标有限公司</w:t>
      </w:r>
      <w:r>
        <w:rPr>
          <w:rFonts w:ascii="Arial" w:hAnsi="Arial" w:cs="Arial"/>
          <w:color w:val="auto"/>
          <w:szCs w:val="21"/>
          <w:highlight w:val="none"/>
        </w:rPr>
        <w:t>统一保管，采购代理机构核实谈判小组成员身份，告知回避要求，宣布评审工作纪律和程序，推选谈判小组组长。</w:t>
      </w:r>
    </w:p>
    <w:p>
      <w:pPr>
        <w:pStyle w:val="13"/>
        <w:spacing w:line="390" w:lineRule="exact"/>
        <w:ind w:firstLine="420" w:firstLineChars="200"/>
        <w:rPr>
          <w:rFonts w:ascii="Arial" w:hAnsi="Arial" w:cs="Arial"/>
          <w:color w:val="auto"/>
          <w:highlight w:val="none"/>
        </w:rPr>
      </w:pPr>
      <w:r>
        <w:rPr>
          <w:rFonts w:ascii="Arial" w:hAnsi="Arial" w:cs="Arial"/>
          <w:color w:val="auto"/>
          <w:szCs w:val="21"/>
          <w:highlight w:val="none"/>
        </w:rPr>
        <w:t>2</w:t>
      </w:r>
      <w:r>
        <w:rPr>
          <w:rFonts w:hint="eastAsia" w:ascii="Arial" w:hAnsi="Arial" w:cs="Arial"/>
          <w:color w:val="auto"/>
          <w:szCs w:val="21"/>
          <w:highlight w:val="none"/>
        </w:rPr>
        <w:t>1</w:t>
      </w:r>
      <w:r>
        <w:rPr>
          <w:rFonts w:ascii="Arial" w:hAnsi="Arial" w:cs="Arial"/>
          <w:color w:val="auto"/>
          <w:szCs w:val="21"/>
          <w:highlight w:val="none"/>
        </w:rPr>
        <w:t>.2谈判小组应当对发布公告的竞争性谈判文件（简称谈判文件）进行确认，</w:t>
      </w:r>
      <w:r>
        <w:rPr>
          <w:rFonts w:ascii="Arial" w:hAnsi="Arial"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pPr>
        <w:pStyle w:val="13"/>
        <w:spacing w:line="390" w:lineRule="exact"/>
        <w:ind w:firstLine="420" w:firstLineChars="200"/>
        <w:rPr>
          <w:rFonts w:ascii="Arial" w:hAnsi="Arial" w:cs="Arial"/>
          <w:color w:val="auto"/>
          <w:highlight w:val="none"/>
        </w:rPr>
      </w:pPr>
      <w:r>
        <w:rPr>
          <w:rFonts w:ascii="Arial" w:hAnsi="Arial" w:cs="Arial"/>
          <w:color w:val="auto"/>
          <w:highlight w:val="none"/>
        </w:rPr>
        <w:t>2</w:t>
      </w:r>
      <w:r>
        <w:rPr>
          <w:rFonts w:hint="eastAsia" w:ascii="Arial" w:hAnsi="Arial" w:cs="Arial"/>
          <w:color w:val="auto"/>
          <w:highlight w:val="none"/>
        </w:rPr>
        <w:t>1</w:t>
      </w:r>
      <w:r>
        <w:rPr>
          <w:rFonts w:ascii="Arial" w:hAnsi="Arial" w:cs="Arial"/>
          <w:color w:val="auto"/>
          <w:highlight w:val="none"/>
        </w:rPr>
        <w:t>.3谈判小组依据法律法规和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w:t>
      </w:r>
    </w:p>
    <w:p>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1</w:t>
      </w:r>
      <w:r>
        <w:rPr>
          <w:rFonts w:ascii="Arial" w:hAnsi="Arial" w:eastAsia="宋体" w:cs="Arial"/>
          <w:b/>
          <w:color w:val="auto"/>
          <w:szCs w:val="21"/>
          <w:highlight w:val="none"/>
        </w:rPr>
        <w:t>.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eastAsia="宋体" w:cs="Arial"/>
          <w:color w:val="auto"/>
          <w:highlight w:val="none"/>
        </w:rPr>
        <w:t>http://www.gsxt.gov.cn/index.html</w:t>
      </w:r>
      <w:r>
        <w:rPr>
          <w:rFonts w:ascii="Arial" w:hAnsi="Arial" w:eastAsia="宋体" w:cs="Arial"/>
          <w:color w:val="auto"/>
          <w:highlight w:val="none"/>
        </w:rPr>
        <w:fldChar w:fldCharType="end"/>
      </w:r>
      <w:r>
        <w:rPr>
          <w:rFonts w:ascii="Arial" w:hAnsi="Arial" w:eastAsia="宋体" w:cs="Arial"/>
          <w:color w:val="auto"/>
          <w:szCs w:val="21"/>
          <w:highlight w:val="none"/>
        </w:rPr>
        <w:t>）</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.4.2审查流程：</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（1）进入《国家企业信用信息公示系统》（网址：http://www.gsxt.gov.cn/index.html），输入企业名称，进入企业信息主页面；</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（2）查看主页“股东及出资信息”栏，或年报中的“股东及出资信息”栏信息；</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（3）将各供应商的股东及出资信息进行比对，得出审查结论；</w:t>
      </w:r>
    </w:p>
    <w:p>
      <w:pPr>
        <w:snapToGrid w:val="0"/>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（4）将相关资料作为评审资料打印存档。</w:t>
      </w:r>
    </w:p>
    <w:p>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pStyle w:val="38"/>
        <w:ind w:firstLine="420" w:firstLineChars="200"/>
        <w:rPr>
          <w:color w:val="auto"/>
          <w:highlight w:val="none"/>
        </w:rPr>
      </w:pPr>
      <w:r>
        <w:rPr>
          <w:rFonts w:ascii="Arial" w:hAnsi="Arial" w:cs="Arial"/>
          <w:b/>
          <w:bCs/>
          <w:color w:val="auto"/>
          <w:szCs w:val="21"/>
          <w:highlight w:val="none"/>
        </w:rPr>
        <w:t>21.5 谈判小组如发现供应商提供的证明文件不齐全或不符合规定格式的，应一次性告知供应商，供应商应在规定的时间内当场补正或更正。</w:t>
      </w:r>
    </w:p>
    <w:p>
      <w:pPr>
        <w:pStyle w:val="13"/>
        <w:spacing w:line="390" w:lineRule="exact"/>
        <w:ind w:firstLine="420" w:firstLineChars="200"/>
        <w:rPr>
          <w:rFonts w:ascii="Arial" w:hAnsi="Arial" w:cs="Arial"/>
          <w:color w:val="auto"/>
          <w:szCs w:val="21"/>
          <w:highlight w:val="none"/>
        </w:rPr>
      </w:pPr>
      <w:r>
        <w:rPr>
          <w:rFonts w:ascii="Arial" w:hAnsi="Arial" w:cs="Arial"/>
          <w:color w:val="auto"/>
          <w:kern w:val="0"/>
          <w:szCs w:val="21"/>
          <w:highlight w:val="none"/>
        </w:rPr>
        <w:t>2</w:t>
      </w:r>
      <w:r>
        <w:rPr>
          <w:rFonts w:hint="eastAsia" w:ascii="Arial" w:hAnsi="Arial" w:cs="Arial"/>
          <w:color w:val="auto"/>
          <w:kern w:val="0"/>
          <w:szCs w:val="21"/>
          <w:highlight w:val="none"/>
        </w:rPr>
        <w:t>1</w:t>
      </w:r>
      <w:r>
        <w:rPr>
          <w:rFonts w:ascii="Arial" w:hAnsi="Arial" w:cs="Arial"/>
          <w:color w:val="auto"/>
          <w:kern w:val="0"/>
          <w:szCs w:val="21"/>
          <w:highlight w:val="none"/>
        </w:rPr>
        <w:t>.</w:t>
      </w:r>
      <w:r>
        <w:rPr>
          <w:rFonts w:hint="eastAsia" w:ascii="Arial" w:hAnsi="Arial" w:cs="Arial"/>
          <w:color w:val="auto"/>
          <w:kern w:val="0"/>
          <w:szCs w:val="21"/>
          <w:highlight w:val="none"/>
        </w:rPr>
        <w:t>6</w:t>
      </w:r>
      <w:r>
        <w:rPr>
          <w:rFonts w:ascii="Arial" w:hAnsi="Arial" w:cs="Arial"/>
          <w:color w:val="auto"/>
          <w:szCs w:val="21"/>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Arial" w:hAnsi="Arial" w:cs="Arial"/>
          <w:color w:val="auto"/>
          <w:szCs w:val="21"/>
          <w:highlight w:val="none"/>
        </w:rPr>
        <w:t>广西政府采购云平台</w:t>
      </w:r>
      <w:r>
        <w:rPr>
          <w:rFonts w:ascii="Arial" w:hAnsi="Arial" w:cs="Arial"/>
          <w:color w:val="auto"/>
          <w:szCs w:val="21"/>
          <w:highlight w:val="none"/>
        </w:rPr>
        <w:t>采用在线书面形式，并加盖公章（CA证书签章），或者由法定代表人（负责人）或其授权委托代理人个人CA证书签章（没有办理</w:t>
      </w:r>
      <w:r>
        <w:rPr>
          <w:rFonts w:hint="eastAsia" w:ascii="Arial" w:hAnsi="Arial" w:cs="Arial"/>
          <w:color w:val="auto"/>
          <w:szCs w:val="21"/>
          <w:highlight w:val="none"/>
        </w:rPr>
        <w:t>广西政府采购云平台</w:t>
      </w:r>
      <w:r>
        <w:rPr>
          <w:rFonts w:ascii="Arial" w:hAnsi="Arial" w:cs="Arial"/>
          <w:color w:val="auto"/>
          <w:szCs w:val="21"/>
          <w:highlight w:val="none"/>
        </w:rPr>
        <w:t>个人CA证书签章的可在响应文件中涉及到签字的位置手写签字后扫描或者拍照做成 PDF 的格式上传），供应商为自然人的，应当由本人个人CA证书签章（没有办理</w:t>
      </w:r>
      <w:r>
        <w:rPr>
          <w:rFonts w:hint="eastAsia" w:ascii="Arial" w:hAnsi="Arial" w:cs="Arial"/>
          <w:color w:val="auto"/>
          <w:szCs w:val="21"/>
          <w:highlight w:val="none"/>
        </w:rPr>
        <w:t>广西政府采购云平台</w:t>
      </w:r>
      <w:r>
        <w:rPr>
          <w:rFonts w:ascii="Arial" w:hAnsi="Arial" w:cs="Arial"/>
          <w:color w:val="auto"/>
          <w:szCs w:val="21"/>
          <w:highlight w:val="none"/>
        </w:rPr>
        <w:t>个人CA证书签章的可在响应文件中涉及到签字的位置手写签字后扫描或者拍照做成 PDF 的格式上传）并附身份证明。根据谈判文件规定的程序、评定成交的标准等事项与实质性响应竞争性谈判文件要求的供应商进行谈判。未实质性响应谈判文件的响应文件按无效处理，谈判小组应当告知有关供应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谈判小组所有成员应当按已确定的谈判顺序集中与单一供应商分别进行谈判，并给予所有实质性响应竞争性谈判文件要求的供应商平等的谈判机会。 </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谈判中，谈判小组不得透露与谈判有关的其他供应商的技术资料、价格和其他信息。 </w:t>
      </w:r>
    </w:p>
    <w:p>
      <w:pPr>
        <w:widowControl/>
        <w:tabs>
          <w:tab w:val="left" w:pos="540"/>
        </w:tabs>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谈判小组对谈判过程和重要谈判内容进行记录，谈判双方在记录上CA签</w:t>
      </w:r>
      <w:r>
        <w:rPr>
          <w:rFonts w:hint="eastAsia" w:ascii="Arial" w:hAnsi="Arial" w:eastAsia="宋体" w:cs="Arial"/>
          <w:color w:val="auto"/>
          <w:szCs w:val="21"/>
          <w:highlight w:val="none"/>
        </w:rPr>
        <w:t>字</w:t>
      </w:r>
      <w:r>
        <w:rPr>
          <w:rFonts w:ascii="Arial" w:hAnsi="Arial" w:eastAsia="宋体" w:cs="Arial"/>
          <w:color w:val="auto"/>
          <w:szCs w:val="21"/>
          <w:highlight w:val="none"/>
        </w:rPr>
        <w:t>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21.7 在谈判过程中，谈判小组可以根据谈判文件和谈判情况实质性变动项目需求中的技术、服务要求以及合同草案条款，但不得变动谈判文件中的其他内容。实质性变动的内容，须经采购人代表确认。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对谈判文件作出的实质性变动是谈判文件的有效组成部分，谈判小组应当及时以书面形式同时通知所有参加谈判的供应商。</w:t>
      </w:r>
    </w:p>
    <w:p>
      <w:pPr>
        <w:widowControl/>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供应商应当按照谈判文件的变动情况和谈判小组的要求重新提交响应文件，并由其法定代表人(负责人、自然人)或相应的授权委托代表个人CA证书签章（没有办理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个人CA证书签章的可在响应文件中涉及到签字的位置手写签字后扫描或者拍照做成 PDF 的格式上传）或者加盖供应商公章（CA证书签章）。逾时不交的，视同放弃谈判。</w:t>
      </w:r>
    </w:p>
    <w:p>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w:t>
      </w:r>
      <w:r>
        <w:rPr>
          <w:rFonts w:hint="eastAsia" w:ascii="Arial" w:hAnsi="Arial" w:eastAsia="宋体" w:cs="Arial"/>
          <w:color w:val="auto"/>
          <w:kern w:val="0"/>
          <w:szCs w:val="21"/>
          <w:highlight w:val="none"/>
        </w:rPr>
        <w:t>8</w:t>
      </w:r>
      <w:r>
        <w:rPr>
          <w:rFonts w:ascii="Arial" w:hAnsi="Arial" w:eastAsia="宋体" w:cs="Arial"/>
          <w:color w:val="auto"/>
          <w:kern w:val="0"/>
          <w:szCs w:val="21"/>
          <w:highlight w:val="none"/>
        </w:rPr>
        <w:t>在采购过程中符合竞争要求的供应商或者报价未超过采购预算的供应商不足3家的，采购人或者采购代理机构应当终止竞争性谈判采购活动。</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21.9最后报价</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21.9.1谈判文件能够详细列明采购标的的技术、服务要求的，谈判结束后，谈判小组应当要求所有继续参加谈判的供应商在规定时间内密封提交最后报价，提交最后报价的供应商不得少于3家。</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21.9.3最后报价是供应商响应文件的有效组成部分。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按上述勘误修正原则及方法调整或修正响应文件的谈判报价，供应商需签字确认。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21.10已提交响应文件的供应商，在提交最后报价之前，可以根据谈判情况书面退出谈判。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未书面退出谈判的供应商在规定时间内密封提交最后报价，其最后报价超出采购预算导致已通过评审的响应文件无效的，按供应商在提交响应文件截止时间后撤回响应文件处理。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21.11评审报告</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谈判小组应当从质量和服务均能满足谈判文件全部实质性响应要求的供应商中，按照评审报价由低到高的顺序提出3名以上（含3名）成交候选人，并编写评审报告。</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21.12在评审过程中出现法律法规和谈判文件均没有明确规定的情形时，由谈判小组现场协商解决，协商不一致的，由全体谈判小组投票表决，以得票率二分之一以上专家的意见为准。</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.1</w:t>
      </w:r>
      <w:r>
        <w:rPr>
          <w:rFonts w:hint="eastAsia" w:ascii="Arial" w:hAnsi="Arial" w:eastAsia="宋体" w:cs="Arial"/>
          <w:color w:val="auto"/>
          <w:szCs w:val="21"/>
          <w:highlight w:val="none"/>
        </w:rPr>
        <w:t>3</w:t>
      </w:r>
      <w:r>
        <w:rPr>
          <w:rFonts w:ascii="Arial" w:hAnsi="Arial" w:eastAsia="宋体" w:cs="Arial"/>
          <w:color w:val="auto"/>
          <w:szCs w:val="21"/>
          <w:highlight w:val="none"/>
        </w:rPr>
        <w:t>采购代理机构发现谈判小组有明显的违规倾向或歧视现象，或不按评审办法进行，或其他不正常行为的，应当及时制止。如制止无效，应及时向政府采购监督管理机构报告。</w:t>
      </w:r>
    </w:p>
    <w:p>
      <w:pPr>
        <w:pStyle w:val="13"/>
        <w:spacing w:line="39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2</w:t>
      </w:r>
      <w:r>
        <w:rPr>
          <w:rFonts w:hint="eastAsia" w:ascii="Arial" w:hAnsi="Arial" w:cs="Arial"/>
          <w:b/>
          <w:bCs/>
          <w:color w:val="auto"/>
          <w:szCs w:val="21"/>
          <w:highlight w:val="none"/>
        </w:rPr>
        <w:t>2</w:t>
      </w:r>
      <w:r>
        <w:rPr>
          <w:rFonts w:ascii="Arial" w:hAnsi="Arial" w:cs="Arial"/>
          <w:b/>
          <w:bCs/>
          <w:color w:val="auto"/>
          <w:szCs w:val="21"/>
          <w:highlight w:val="none"/>
        </w:rPr>
        <w:t>. 确定成交供应商</w:t>
      </w:r>
    </w:p>
    <w:p>
      <w:pPr>
        <w:pStyle w:val="13"/>
        <w:tabs>
          <w:tab w:val="left" w:pos="4214"/>
        </w:tabs>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（1）采购单位应当确定谈判小组推荐排名第一的成交候选人为成交供应商。</w:t>
      </w:r>
    </w:p>
    <w:p>
      <w:pPr>
        <w:pStyle w:val="13"/>
        <w:spacing w:line="390" w:lineRule="exact"/>
        <w:ind w:firstLine="447" w:firstLineChars="213"/>
        <w:rPr>
          <w:rFonts w:ascii="Arial" w:hAnsi="Arial" w:cs="Arial"/>
          <w:color w:val="auto"/>
          <w:szCs w:val="21"/>
          <w:highlight w:val="none"/>
        </w:rPr>
      </w:pPr>
      <w:r>
        <w:rPr>
          <w:rFonts w:ascii="Arial" w:hAnsi="Arial"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（3）排名第二的成交候选人因前款规定的同样原因不能签订合同的，采购单位可以确定排名第三的成交候选人为成交供应商。</w:t>
      </w:r>
    </w:p>
    <w:p>
      <w:pPr>
        <w:widowControl/>
        <w:shd w:val="clear" w:color="auto" w:fill="FFFFFF"/>
        <w:spacing w:line="390" w:lineRule="exact"/>
        <w:ind w:firstLine="480"/>
        <w:jc w:val="left"/>
        <w:rPr>
          <w:rFonts w:ascii="Arial" w:hAnsi="Arial" w:eastAsia="宋体" w:cs="Arial"/>
          <w:b/>
          <w:color w:val="auto"/>
          <w:szCs w:val="21"/>
          <w:highlight w:val="none"/>
        </w:rPr>
      </w:pPr>
      <w:r>
        <w:rPr>
          <w:rFonts w:ascii="Arial" w:hAnsi="Arial" w:eastAsia="宋体" w:cs="Arial"/>
          <w:b/>
          <w:bCs/>
          <w:color w:val="auto"/>
          <w:szCs w:val="21"/>
          <w:highlight w:val="none"/>
        </w:rPr>
        <w:t>2</w:t>
      </w:r>
      <w:r>
        <w:rPr>
          <w:rFonts w:hint="eastAsia" w:ascii="Arial" w:hAnsi="Arial" w:eastAsia="宋体" w:cs="Arial"/>
          <w:b/>
          <w:bCs/>
          <w:color w:val="auto"/>
          <w:szCs w:val="21"/>
          <w:highlight w:val="none"/>
        </w:rPr>
        <w:t>3</w:t>
      </w:r>
      <w:r>
        <w:rPr>
          <w:rFonts w:ascii="Arial" w:hAnsi="Arial" w:eastAsia="宋体" w:cs="Arial"/>
          <w:b/>
          <w:bCs/>
          <w:color w:val="auto"/>
          <w:szCs w:val="21"/>
          <w:highlight w:val="none"/>
        </w:rPr>
        <w:t xml:space="preserve">. </w:t>
      </w:r>
      <w:r>
        <w:rPr>
          <w:rFonts w:ascii="Arial" w:hAnsi="Arial" w:eastAsia="宋体" w:cs="Arial"/>
          <w:b/>
          <w:color w:val="auto"/>
          <w:szCs w:val="21"/>
          <w:highlight w:val="none"/>
        </w:rPr>
        <w:t>属于下列情况之一者，响应文件无效：</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（1）未按谈判文件规定完整提交响应文件或未按规定要求在线提交、加盖供应商CA签章的；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（2）超越了行政许可的经营范围的；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（3）不具备谈判文件规定的资格要求的</w:t>
      </w:r>
      <w:r>
        <w:rPr>
          <w:rFonts w:ascii="Arial" w:hAnsi="Arial" w:eastAsia="宋体" w:cs="Arial"/>
          <w:color w:val="auto"/>
          <w:highlight w:val="none"/>
        </w:rPr>
        <w:t>；</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（4）响应文件未按谈判文件的内容和要求编制，或提供虚假材料的；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（5）响应文件有效期、交付使用期、</w:t>
      </w:r>
      <w:r>
        <w:rPr>
          <w:rFonts w:hint="eastAsia" w:ascii="Arial" w:hAnsi="Arial" w:eastAsia="宋体" w:cs="Arial"/>
          <w:color w:val="auto"/>
          <w:szCs w:val="21"/>
          <w:highlight w:val="none"/>
        </w:rPr>
        <w:t>质保期</w:t>
      </w:r>
      <w:r>
        <w:rPr>
          <w:rFonts w:ascii="Arial" w:hAnsi="Arial" w:eastAsia="宋体" w:cs="Arial"/>
          <w:color w:val="auto"/>
          <w:szCs w:val="21"/>
          <w:highlight w:val="none"/>
        </w:rPr>
        <w:t>、售后服务不能满足谈判文件要求的；</w:t>
      </w:r>
    </w:p>
    <w:p>
      <w:pPr>
        <w:snapToGrid w:val="0"/>
        <w:spacing w:line="390" w:lineRule="exact"/>
        <w:ind w:firstLine="411" w:firstLineChars="196"/>
        <w:rPr>
          <w:rFonts w:ascii="Arial" w:hAnsi="Arial" w:eastAsia="宋体" w:cs="Arial"/>
          <w:color w:val="auto"/>
          <w:highlight w:val="none"/>
        </w:rPr>
      </w:pPr>
      <w:r>
        <w:rPr>
          <w:rFonts w:ascii="Arial" w:hAnsi="Arial" w:eastAsia="宋体" w:cs="Arial"/>
          <w:color w:val="auto"/>
          <w:szCs w:val="21"/>
          <w:highlight w:val="none"/>
        </w:rPr>
        <w:t>（</w:t>
      </w:r>
      <w:r>
        <w:rPr>
          <w:rFonts w:ascii="Arial" w:hAnsi="Arial" w:eastAsia="宋体" w:cs="Arial"/>
          <w:color w:val="auto"/>
          <w:highlight w:val="none"/>
        </w:rPr>
        <w:t>6）供应商</w:t>
      </w:r>
      <w:r>
        <w:rPr>
          <w:rFonts w:ascii="Arial" w:hAnsi="Arial" w:eastAsia="宋体" w:cs="Arial"/>
          <w:color w:val="auto"/>
          <w:szCs w:val="21"/>
          <w:highlight w:val="none"/>
        </w:rPr>
        <w:t>未就“货物采购需求”中的所有货物内容作完整唯一报价的</w:t>
      </w:r>
      <w:r>
        <w:rPr>
          <w:rFonts w:ascii="Arial" w:hAnsi="Arial" w:eastAsia="宋体" w:cs="Arial"/>
          <w:color w:val="auto"/>
          <w:highlight w:val="none"/>
        </w:rPr>
        <w:t>，或报价超出采购预算金额的，或谈判过程中谈判文件未作实质性变动，最后报价超出首次报价的；</w:t>
      </w:r>
    </w:p>
    <w:p>
      <w:pPr>
        <w:pStyle w:val="13"/>
        <w:spacing w:line="390" w:lineRule="exact"/>
        <w:ind w:firstLine="420" w:firstLineChars="200"/>
        <w:rPr>
          <w:rFonts w:ascii="Arial" w:hAnsi="Arial" w:cs="Arial"/>
          <w:color w:val="auto"/>
          <w:szCs w:val="24"/>
          <w:highlight w:val="none"/>
        </w:rPr>
      </w:pPr>
      <w:r>
        <w:rPr>
          <w:rFonts w:ascii="Arial" w:hAnsi="Arial" w:cs="Arial"/>
          <w:color w:val="auto"/>
          <w:highlight w:val="none"/>
        </w:rPr>
        <w:t>（7）未在谈判小组规定的时间内重新提交响应文件的；</w:t>
      </w:r>
    </w:p>
    <w:p>
      <w:pPr>
        <w:pStyle w:val="13"/>
        <w:spacing w:line="390" w:lineRule="exact"/>
        <w:ind w:firstLine="420" w:firstLineChars="200"/>
        <w:rPr>
          <w:rFonts w:ascii="Arial" w:hAnsi="Arial" w:cs="Arial"/>
          <w:color w:val="auto"/>
          <w:szCs w:val="24"/>
          <w:highlight w:val="none"/>
        </w:rPr>
      </w:pPr>
      <w:r>
        <w:rPr>
          <w:rFonts w:ascii="Arial" w:hAnsi="Arial" w:cs="Arial"/>
          <w:color w:val="auto"/>
          <w:szCs w:val="24"/>
          <w:highlight w:val="none"/>
        </w:rPr>
        <w:t>（8）未满足谈判文件全部实质性要求的；或者响应文件有采购人不能接受的附加条件的；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（9）不符合法律、法规和谈判文件规定的其他实质性要求和条件的。</w:t>
      </w:r>
    </w:p>
    <w:p>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 供应商有下列2</w:t>
      </w:r>
      <w:r>
        <w:rPr>
          <w:rFonts w:hint="eastAsia" w:ascii="Arial" w:hAnsi="Arial" w:eastAsia="宋体" w:cs="Arial"/>
          <w:b/>
          <w:color w:val="auto"/>
          <w:szCs w:val="21"/>
          <w:highlight w:val="none"/>
        </w:rPr>
        <w:t>4</w:t>
      </w:r>
      <w:r>
        <w:rPr>
          <w:rFonts w:ascii="Arial" w:hAnsi="Arial" w:eastAsia="宋体" w:cs="Arial"/>
          <w:b/>
          <w:color w:val="auto"/>
          <w:szCs w:val="21"/>
          <w:highlight w:val="none"/>
        </w:rPr>
        <w:t>.1、2</w:t>
      </w:r>
      <w:r>
        <w:rPr>
          <w:rFonts w:hint="eastAsia" w:ascii="Arial" w:hAnsi="Arial" w:eastAsia="宋体" w:cs="Arial"/>
          <w:b/>
          <w:color w:val="auto"/>
          <w:szCs w:val="21"/>
          <w:highlight w:val="none"/>
        </w:rPr>
        <w:t>4</w:t>
      </w:r>
      <w:r>
        <w:rPr>
          <w:rFonts w:ascii="Arial" w:hAnsi="Arial" w:eastAsia="宋体" w:cs="Arial"/>
          <w:b/>
          <w:color w:val="auto"/>
          <w:szCs w:val="21"/>
          <w:highlight w:val="none"/>
        </w:rPr>
        <w:t>.2情形之一的，视为串通谈判或属于恶意串通行为，响应文件将被视为无效：</w:t>
      </w:r>
    </w:p>
    <w:p>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.1供应商有下列情形之一的，视为串通参与谈判：</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（1）不同供应商的响应文件由同一单位或者个人编制的；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（2）不同供应商委托同一单位或者个人办理谈判事宜的；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（3）不同的供应商的响应文件载明的项目管理员为同一个人的；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 xml:space="preserve">（4）不同供应商的响应文件异常一致或最后报价呈规律性差异的； </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（5）不同供应商的响应文件相互混装的；</w:t>
      </w:r>
    </w:p>
    <w:p>
      <w:pPr>
        <w:snapToGrid w:val="0"/>
        <w:spacing w:line="390" w:lineRule="exact"/>
        <w:ind w:firstLine="516" w:firstLineChars="246"/>
        <w:rPr>
          <w:rFonts w:ascii="Arial" w:hAnsi="Arial" w:eastAsia="宋体" w:cs="Arial"/>
          <w:color w:val="auto"/>
          <w:szCs w:val="21"/>
          <w:highlight w:val="none"/>
        </w:rPr>
      </w:pPr>
      <w:r>
        <w:rPr>
          <w:rFonts w:ascii="Arial" w:hAnsi="Arial" w:eastAsia="宋体" w:cs="Arial"/>
          <w:color w:val="auto"/>
          <w:szCs w:val="21"/>
          <w:highlight w:val="none"/>
        </w:rPr>
        <w:t>（6）谈判文件未做实质性变动，供应商最后报价高于首次报价的。</w:t>
      </w:r>
    </w:p>
    <w:p>
      <w:pPr>
        <w:snapToGrid w:val="0"/>
        <w:spacing w:line="38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.2供应商有下列情形之一的，属于恶意串通行为：</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（5）供应商之间事先约定一致抬高或者压低报价,或者在采购项目中事先约定轮流以高价位或者低价位成交,或者事先约定由某一特定供应商成交,然后再参加谈判的；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（6）供应商之间商定部分供应商放弃参加政府采购活动或者放弃成交的；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（7）供应商与采购人或者采购代理机构之间、供应商相互之间，为谋求特定供应商成交或者排斥其他供应商的其他串通行为的。</w:t>
      </w:r>
    </w:p>
    <w:p>
      <w:pPr>
        <w:snapToGrid w:val="0"/>
        <w:spacing w:line="36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5</w:t>
      </w:r>
      <w:r>
        <w:rPr>
          <w:rFonts w:ascii="Arial" w:hAnsi="Arial" w:eastAsia="宋体" w:cs="Arial"/>
          <w:b/>
          <w:color w:val="auto"/>
          <w:szCs w:val="21"/>
          <w:highlight w:val="none"/>
        </w:rPr>
        <w:t>. 出现下列情形之一的，采购人或者采购代理机构应当终止竞争性谈判采购活动，发布项目终止公告并说明原因，重新开展采购活动：</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（1）因情况变化，不再符合规定的竞争性谈判采购方式适用情形的；</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（2）出现影响采购公正的违法、违规行为的； </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（3）在采购过程中符合竞争要求的供应商或者报价未超过采购预算的供应商不足3家的。  </w:t>
      </w:r>
    </w:p>
    <w:p>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6</w:t>
      </w:r>
      <w:r>
        <w:rPr>
          <w:rFonts w:ascii="Arial" w:hAnsi="Arial" w:eastAsia="宋体" w:cs="Arial"/>
          <w:b/>
          <w:color w:val="auto"/>
          <w:highlight w:val="none"/>
        </w:rPr>
        <w:t>. 谈判过程的监控</w:t>
      </w:r>
    </w:p>
    <w:p>
      <w:pPr>
        <w:pStyle w:val="13"/>
        <w:spacing w:line="360" w:lineRule="exact"/>
        <w:ind w:firstLine="411" w:firstLineChars="196"/>
        <w:rPr>
          <w:rFonts w:ascii="Arial" w:hAnsi="Arial" w:cs="Arial"/>
          <w:color w:val="auto"/>
          <w:highlight w:val="none"/>
        </w:rPr>
      </w:pPr>
      <w:r>
        <w:rPr>
          <w:rFonts w:ascii="Arial" w:hAnsi="Arial" w:cs="Arial"/>
          <w:color w:val="auto"/>
          <w:highlight w:val="none"/>
        </w:rPr>
        <w:t>本项目谈判过程实行全程录音、录像监控，供应商在谈判过程中所进行的试图影响谈判结果的不公正活动，可能导致其谈判被拒绝。</w:t>
      </w:r>
    </w:p>
    <w:p>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7</w:t>
      </w:r>
      <w:r>
        <w:rPr>
          <w:rFonts w:ascii="Arial" w:hAnsi="Arial" w:eastAsia="宋体" w:cs="Arial"/>
          <w:b/>
          <w:color w:val="auto"/>
          <w:highlight w:val="none"/>
        </w:rPr>
        <w:t xml:space="preserve">. 信用查询 </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根据《关于做好政府采购有关信用主体标识码登记及在政府采购活动中查询使用信用记录有关问题的通知》（桂财采〔2016〕37号），由采购代理机构对第一成交候选人进行信用查询：</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w:t>
      </w:r>
      <w:r>
        <w:rPr>
          <w:rFonts w:hint="eastAsia" w:ascii="Arial" w:hAnsi="Arial" w:eastAsia="宋体" w:cs="Arial"/>
          <w:color w:val="auto"/>
          <w:szCs w:val="21"/>
          <w:highlight w:val="none"/>
        </w:rPr>
        <w:t>重大税收违法失信主体</w:t>
      </w:r>
      <w:r>
        <w:rPr>
          <w:rFonts w:ascii="Arial" w:hAnsi="Arial" w:eastAsia="宋体" w:cs="Arial"/>
          <w:color w:val="auto"/>
          <w:szCs w:val="21"/>
          <w:highlight w:val="none"/>
        </w:rPr>
        <w:t xml:space="preserve">、政府采购严重违法失信行为记录名单及其他不符合《中华人民共和国政府采购法》第二十二条规定条件的供应商，取消其成交候选人资格。    </w:t>
      </w:r>
    </w:p>
    <w:p>
      <w:pPr>
        <w:pStyle w:val="13"/>
        <w:spacing w:line="360" w:lineRule="exact"/>
        <w:ind w:firstLine="411" w:firstLineChars="196"/>
        <w:rPr>
          <w:rFonts w:ascii="Arial" w:hAnsi="Arial" w:cs="Arial"/>
          <w:b/>
          <w:color w:val="auto"/>
          <w:highlight w:val="none"/>
        </w:rPr>
      </w:pPr>
      <w:r>
        <w:rPr>
          <w:rFonts w:ascii="Arial" w:hAnsi="Arial" w:cs="Arial"/>
          <w:b/>
          <w:color w:val="auto"/>
          <w:highlight w:val="none"/>
        </w:rPr>
        <w:t>2</w:t>
      </w:r>
      <w:r>
        <w:rPr>
          <w:rFonts w:hint="eastAsia" w:ascii="Arial" w:hAnsi="Arial" w:cs="Arial"/>
          <w:b/>
          <w:color w:val="auto"/>
          <w:highlight w:val="none"/>
        </w:rPr>
        <w:t>8</w:t>
      </w:r>
      <w:r>
        <w:rPr>
          <w:rFonts w:ascii="Arial" w:hAnsi="Arial" w:cs="Arial"/>
          <w:b/>
          <w:color w:val="auto"/>
          <w:szCs w:val="21"/>
          <w:highlight w:val="none"/>
        </w:rPr>
        <w:t xml:space="preserve">. </w:t>
      </w:r>
      <w:r>
        <w:rPr>
          <w:rFonts w:ascii="Arial" w:hAnsi="Arial" w:cs="Arial"/>
          <w:b/>
          <w:color w:val="auto"/>
          <w:szCs w:val="24"/>
          <w:highlight w:val="none"/>
        </w:rPr>
        <w:t>成交公告及成交通知书</w:t>
      </w:r>
    </w:p>
    <w:p>
      <w:pPr>
        <w:pStyle w:val="13"/>
        <w:tabs>
          <w:tab w:val="left" w:pos="455"/>
        </w:tabs>
        <w:spacing w:line="360" w:lineRule="exact"/>
        <w:ind w:firstLine="420" w:firstLineChars="200"/>
        <w:rPr>
          <w:rFonts w:ascii="Arial" w:hAnsi="Arial" w:cs="Arial"/>
          <w:color w:val="auto"/>
          <w:szCs w:val="24"/>
          <w:highlight w:val="none"/>
        </w:rPr>
      </w:pPr>
      <w:r>
        <w:rPr>
          <w:rFonts w:ascii="Arial" w:hAnsi="Arial" w:cs="Arial"/>
          <w:color w:val="auto"/>
          <w:highlight w:val="none"/>
        </w:rPr>
        <w:t>2</w:t>
      </w:r>
      <w:r>
        <w:rPr>
          <w:rFonts w:hint="eastAsia" w:ascii="Arial" w:hAnsi="Arial" w:cs="Arial"/>
          <w:color w:val="auto"/>
          <w:highlight w:val="none"/>
        </w:rPr>
        <w:t>8</w:t>
      </w:r>
      <w:r>
        <w:rPr>
          <w:rFonts w:ascii="Arial" w:hAnsi="Arial" w:cs="Arial"/>
          <w:color w:val="auto"/>
          <w:highlight w:val="none"/>
        </w:rPr>
        <w:t xml:space="preserve">.1 </w:t>
      </w:r>
      <w:r>
        <w:rPr>
          <w:rFonts w:ascii="Arial" w:hAnsi="Arial" w:cs="Arial"/>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cs="Arial"/>
          <w:color w:val="auto"/>
          <w:szCs w:val="24"/>
          <w:highlight w:val="none"/>
        </w:rPr>
        <w:t>内发出成交通知书，并在指定媒体上公告成交信息。</w:t>
      </w:r>
    </w:p>
    <w:p>
      <w:pPr>
        <w:pStyle w:val="13"/>
        <w:tabs>
          <w:tab w:val="left" w:pos="455"/>
        </w:tabs>
        <w:spacing w:line="360" w:lineRule="exact"/>
        <w:ind w:firstLine="420" w:firstLineChars="200"/>
        <w:rPr>
          <w:rFonts w:ascii="Arial" w:hAnsi="Arial" w:cs="Arial"/>
          <w:color w:val="auto"/>
          <w:highlight w:val="none"/>
        </w:rPr>
      </w:pPr>
      <w:r>
        <w:rPr>
          <w:rFonts w:ascii="Arial" w:hAnsi="Arial" w:cs="Arial"/>
          <w:color w:val="auto"/>
          <w:szCs w:val="24"/>
          <w:highlight w:val="none"/>
        </w:rPr>
        <w:t>2</w:t>
      </w:r>
      <w:r>
        <w:rPr>
          <w:rFonts w:hint="eastAsia" w:ascii="Arial" w:hAnsi="Arial" w:cs="Arial"/>
          <w:color w:val="auto"/>
          <w:szCs w:val="24"/>
          <w:highlight w:val="none"/>
        </w:rPr>
        <w:t>8</w:t>
      </w:r>
      <w:r>
        <w:rPr>
          <w:rFonts w:ascii="Arial" w:hAnsi="Arial" w:cs="Arial"/>
          <w:color w:val="auto"/>
          <w:szCs w:val="24"/>
          <w:highlight w:val="none"/>
        </w:rPr>
        <w:t>.2中小企业在政府采购活动过程中，请根据自己的真实情况出具《中小企业声明函》。依法享受中小企业优惠政策的，采购人或采购代理机构在公告成交结果时，同时公告其《中小企业声明函》，接受社会监督。</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.3在发布成交公告的同时，采购代理机构向成交供应商发出成交通知书。成交供应商应自接到通知之日起七个工作日内，办理成交通知书领取手续。</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.4 采购代理机构无义务向未成交的供应商解释未成交原因和退还响应文件。</w:t>
      </w:r>
    </w:p>
    <w:p>
      <w:pPr>
        <w:tabs>
          <w:tab w:val="left" w:pos="1140"/>
        </w:tabs>
        <w:spacing w:line="390" w:lineRule="exact"/>
        <w:jc w:val="center"/>
        <w:rPr>
          <w:rFonts w:ascii="Arial" w:hAnsi="Arial" w:eastAsia="宋体" w:cs="Arial"/>
          <w:b/>
          <w:color w:val="auto"/>
          <w:sz w:val="28"/>
          <w:szCs w:val="28"/>
          <w:highlight w:val="none"/>
        </w:rPr>
      </w:pPr>
    </w:p>
    <w:p>
      <w:pPr>
        <w:tabs>
          <w:tab w:val="left" w:pos="114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五、签订合同</w:t>
      </w:r>
    </w:p>
    <w:p>
      <w:pPr>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9</w:t>
      </w:r>
      <w:r>
        <w:rPr>
          <w:rFonts w:ascii="Arial" w:hAnsi="Arial" w:eastAsia="宋体" w:cs="Arial"/>
          <w:b/>
          <w:color w:val="auto"/>
          <w:szCs w:val="21"/>
          <w:highlight w:val="none"/>
        </w:rPr>
        <w:t xml:space="preserve">. </w:t>
      </w:r>
      <w:r>
        <w:rPr>
          <w:rFonts w:ascii="Arial" w:hAnsi="Arial" w:eastAsia="宋体" w:cs="Arial"/>
          <w:b/>
          <w:color w:val="auto"/>
          <w:highlight w:val="none"/>
        </w:rPr>
        <w:t>履约保证金</w:t>
      </w:r>
    </w:p>
    <w:p>
      <w:pPr>
        <w:snapToGrid w:val="0"/>
        <w:spacing w:line="400" w:lineRule="exact"/>
        <w:ind w:firstLine="411" w:firstLineChars="196"/>
        <w:rPr>
          <w:rFonts w:hint="eastAsia" w:ascii="Arial" w:hAnsi="Arial" w:eastAsia="宋体" w:cs="Arial"/>
          <w:color w:val="auto"/>
          <w:highlight w:val="none"/>
        </w:rPr>
      </w:pPr>
      <w:r>
        <w:rPr>
          <w:rFonts w:hint="eastAsia" w:ascii="Arial" w:hAnsi="Arial" w:eastAsia="宋体" w:cs="Arial"/>
          <w:color w:val="auto"/>
          <w:highlight w:val="none"/>
        </w:rPr>
        <w:t>详见采购文件合同主要条款及格式部分。</w:t>
      </w:r>
    </w:p>
    <w:p>
      <w:pPr>
        <w:tabs>
          <w:tab w:val="left" w:pos="1140"/>
        </w:tabs>
        <w:spacing w:line="360" w:lineRule="exact"/>
        <w:ind w:firstLine="420" w:firstLineChars="200"/>
        <w:rPr>
          <w:rFonts w:ascii="Arial" w:hAnsi="Arial" w:eastAsia="宋体" w:cs="Arial"/>
          <w:b/>
          <w:color w:val="auto"/>
          <w:szCs w:val="21"/>
          <w:highlight w:val="none"/>
        </w:rPr>
      </w:pPr>
      <w:r>
        <w:rPr>
          <w:rFonts w:hint="eastAsia" w:ascii="Arial" w:hAnsi="Arial" w:eastAsia="宋体" w:cs="Arial"/>
          <w:b/>
          <w:color w:val="auto"/>
          <w:szCs w:val="21"/>
          <w:highlight w:val="none"/>
        </w:rPr>
        <w:t>30</w:t>
      </w:r>
      <w:r>
        <w:rPr>
          <w:rFonts w:ascii="Arial" w:hAnsi="Arial" w:eastAsia="宋体" w:cs="Arial"/>
          <w:b/>
          <w:color w:val="auto"/>
          <w:szCs w:val="21"/>
          <w:highlight w:val="none"/>
        </w:rPr>
        <w:t>. 签订合同</w:t>
      </w:r>
    </w:p>
    <w:p>
      <w:pPr>
        <w:tabs>
          <w:tab w:val="left" w:pos="1140"/>
        </w:tabs>
        <w:spacing w:line="360" w:lineRule="exact"/>
        <w:ind w:firstLine="420" w:firstLineChars="200"/>
        <w:rPr>
          <w:rFonts w:ascii="Arial" w:hAnsi="Arial" w:eastAsia="宋体" w:cs="Arial"/>
          <w:color w:val="auto"/>
          <w:highlight w:val="none"/>
        </w:rPr>
      </w:pPr>
      <w:r>
        <w:rPr>
          <w:rFonts w:hint="eastAsia" w:ascii="Arial" w:hAnsi="Arial" w:eastAsia="宋体" w:cs="Arial"/>
          <w:color w:val="auto"/>
          <w:highlight w:val="none"/>
        </w:rPr>
        <w:t>30</w:t>
      </w:r>
      <w:r>
        <w:rPr>
          <w:rFonts w:ascii="Arial" w:hAnsi="Arial" w:eastAsia="宋体" w:cs="Arial"/>
          <w:color w:val="auto"/>
          <w:highlight w:val="none"/>
        </w:rPr>
        <w:t>.1 签订合同时间：成交通知书发出之日起25日内。</w:t>
      </w:r>
      <w:r>
        <w:rPr>
          <w:rFonts w:ascii="Arial" w:hAnsi="Arial" w:eastAsia="宋体" w:cs="Arial"/>
          <w:color w:val="auto"/>
          <w:szCs w:val="21"/>
          <w:highlight w:val="none"/>
        </w:rPr>
        <w:t>成交供应商领取成交通知书后，应按规定与采购人签订合同。</w:t>
      </w:r>
    </w:p>
    <w:p>
      <w:pPr>
        <w:pStyle w:val="13"/>
        <w:spacing w:line="360" w:lineRule="exact"/>
        <w:ind w:firstLine="420" w:firstLineChars="200"/>
        <w:rPr>
          <w:rFonts w:ascii="Arial" w:hAnsi="Arial" w:cs="Arial"/>
          <w:color w:val="auto"/>
          <w:szCs w:val="24"/>
          <w:highlight w:val="none"/>
        </w:rPr>
      </w:pPr>
      <w:r>
        <w:rPr>
          <w:rFonts w:hint="eastAsia" w:ascii="Arial" w:hAnsi="Arial" w:cs="Arial"/>
          <w:color w:val="auto"/>
          <w:highlight w:val="none"/>
        </w:rPr>
        <w:t>30</w:t>
      </w:r>
      <w:r>
        <w:rPr>
          <w:rFonts w:ascii="Arial" w:hAnsi="Arial" w:cs="Arial"/>
          <w:color w:val="auto"/>
          <w:szCs w:val="24"/>
          <w:highlight w:val="none"/>
        </w:rPr>
        <w:t>.2 如成交供应商有下列情形之一，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（1）成交后不与采购人签订合同的（不可抗力除外）；</w:t>
      </w:r>
    </w:p>
    <w:p>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xml:space="preserve">    （2）将成交项目转让给他人，或者在响应文件中未说明，且未经采购人同意，将成交项目分包给他人的；</w:t>
      </w:r>
    </w:p>
    <w:p>
      <w:pPr>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（3）拒绝履行合同义务的。</w:t>
      </w:r>
    </w:p>
    <w:p>
      <w:pPr>
        <w:spacing w:line="360" w:lineRule="exact"/>
        <w:ind w:firstLine="420" w:firstLineChars="200"/>
        <w:rPr>
          <w:rFonts w:ascii="Arial" w:hAnsi="Arial" w:eastAsia="宋体" w:cs="Arial"/>
          <w:color w:val="auto"/>
          <w:highlight w:val="none"/>
        </w:rPr>
      </w:pPr>
      <w:r>
        <w:rPr>
          <w:rFonts w:hint="eastAsia" w:ascii="Arial" w:hAnsi="Arial" w:eastAsia="宋体" w:cs="Arial"/>
          <w:color w:val="auto"/>
          <w:highlight w:val="none"/>
        </w:rPr>
        <w:t>30</w:t>
      </w:r>
      <w:r>
        <w:rPr>
          <w:rFonts w:ascii="Arial" w:hAnsi="Arial" w:eastAsia="宋体" w:cs="Arial"/>
          <w:color w:val="auto"/>
          <w:highlight w:val="none"/>
        </w:rPr>
        <w:t>.3合同备案存档：</w:t>
      </w:r>
      <w:r>
        <w:rPr>
          <w:rFonts w:ascii="Arial" w:hAnsi="Arial" w:eastAsia="宋体" w:cs="Arial"/>
          <w:color w:val="auto"/>
          <w:kern w:val="0"/>
          <w:szCs w:val="21"/>
          <w:highlight w:val="none"/>
        </w:rPr>
        <w:t>政府采购合同双方自签订之日起1个工作日内将合同原件</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份交采购代理机构，采购代理机构收到政府采购合同原件后在省级以上人民政府财政部门指定媒体上公告。</w:t>
      </w:r>
    </w:p>
    <w:p>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六、其他事项</w:t>
      </w:r>
    </w:p>
    <w:p>
      <w:pPr>
        <w:spacing w:line="390" w:lineRule="exact"/>
        <w:ind w:firstLine="514" w:firstLineChars="245"/>
        <w:rPr>
          <w:rFonts w:ascii="Arial" w:hAnsi="Arial" w:eastAsia="宋体" w:cs="Arial"/>
          <w:b/>
          <w:color w:val="auto"/>
          <w:highlight w:val="none"/>
        </w:rPr>
      </w:pPr>
      <w:r>
        <w:rPr>
          <w:rFonts w:ascii="Arial" w:hAnsi="Arial" w:eastAsia="宋体" w:cs="Arial"/>
          <w:b/>
          <w:color w:val="auto"/>
          <w:highlight w:val="none"/>
        </w:rPr>
        <w:t>3</w:t>
      </w:r>
      <w:r>
        <w:rPr>
          <w:rFonts w:hint="eastAsia" w:ascii="Arial" w:hAnsi="Arial" w:eastAsia="宋体" w:cs="Arial"/>
          <w:b/>
          <w:color w:val="auto"/>
          <w:highlight w:val="none"/>
        </w:rPr>
        <w:t>1</w:t>
      </w:r>
      <w:r>
        <w:rPr>
          <w:rFonts w:ascii="Arial" w:hAnsi="Arial" w:eastAsia="宋体" w:cs="Arial"/>
          <w:b/>
          <w:color w:val="auto"/>
          <w:szCs w:val="21"/>
          <w:highlight w:val="none"/>
        </w:rPr>
        <w:t xml:space="preserve">. </w:t>
      </w:r>
      <w:r>
        <w:rPr>
          <w:rFonts w:ascii="Arial" w:hAnsi="Arial" w:eastAsia="宋体" w:cs="Arial"/>
          <w:b/>
          <w:color w:val="auto"/>
          <w:highlight w:val="none"/>
        </w:rPr>
        <w:t>采购代理服务费</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(计价格﹝2002﹞1980号)、《国家发展改革委关于降低部分建设项目收费标准规范收费行为等有关问题的通知》(发改价格﹝2011﹞534号)规定的60%采用差额定率累进法计算。具体费率如下：</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①成交金额在100万元以下的：</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货物1.5％；服务招标1.5％；工程招标1.0％；</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②成交金额在100-500万元之间：</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货物1.1％；服务招标0.8％；工程招标0.7％；</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③成交金额在500-1000万元之间：</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货物0.8％；服务招标0.45％；工程招标0.55％；</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④成交金额在1000-5000万元之间：</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货物0.5％；服务招标0.25％；工程招标0.35％；</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差额定率累进法计算过程示例：</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例如：某货物招标代理业务成交金额为300万元，招标代理服务费金额按如下计算：</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100万元×1.5%＝1.5万元</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（300－100）万元×1.1%＝2.2万元</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合计收费＝（1.5＋2.2）*60%=2.22万元</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开户银行：广西北部湾银行南宁市金湖支行</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（银行地址：南宁市金湖路57号文德大厦1楼）</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开户名称：广西机电设备招标有限公司</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银行账号：1705012090027723 (联行号 313611017053)</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财务联系人：吴茜（电话：0771-2821398）</w:t>
      </w:r>
      <w:r>
        <w:rPr>
          <w:rFonts w:ascii="Arial" w:hAnsi="Arial" w:cs="Arial"/>
          <w:color w:val="auto"/>
          <w:highlight w:val="none"/>
        </w:rPr>
        <w:t>。</w:t>
      </w:r>
    </w:p>
    <w:p>
      <w:pPr>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3</w:t>
      </w:r>
      <w:r>
        <w:rPr>
          <w:rFonts w:hint="eastAsia" w:ascii="Arial" w:hAnsi="Arial" w:eastAsia="宋体" w:cs="Arial"/>
          <w:b/>
          <w:color w:val="auto"/>
          <w:highlight w:val="none"/>
        </w:rPr>
        <w:t>2</w:t>
      </w:r>
      <w:r>
        <w:rPr>
          <w:rFonts w:ascii="Arial" w:hAnsi="Arial" w:eastAsia="宋体" w:cs="Arial"/>
          <w:b/>
          <w:color w:val="auto"/>
          <w:highlight w:val="none"/>
        </w:rPr>
        <w:t>.采购代理机构银行账户：</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公司名称：广西机电设备招标有限公司</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开户银行：广西北部湾银行金湖支行</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银行账号：1705012090027723</w:t>
      </w:r>
    </w:p>
    <w:p>
      <w:pPr>
        <w:pStyle w:val="13"/>
        <w:snapToGrid w:val="0"/>
        <w:spacing w:line="360" w:lineRule="exact"/>
        <w:ind w:left="420" w:leftChars="200"/>
        <w:rPr>
          <w:rFonts w:ascii="Arial" w:hAnsi="Arial" w:cs="Arial"/>
          <w:color w:val="auto"/>
          <w:highlight w:val="none"/>
        </w:rPr>
      </w:pPr>
      <w:r>
        <w:rPr>
          <w:rFonts w:ascii="Arial" w:hAnsi="Arial" w:cs="Arial"/>
          <w:b/>
          <w:color w:val="auto"/>
          <w:highlight w:val="none"/>
        </w:rPr>
        <w:t>3</w:t>
      </w:r>
      <w:r>
        <w:rPr>
          <w:rFonts w:hint="eastAsia" w:ascii="Arial" w:hAnsi="Arial" w:cs="Arial"/>
          <w:b/>
          <w:color w:val="auto"/>
          <w:highlight w:val="none"/>
        </w:rPr>
        <w:t>3</w:t>
      </w:r>
      <w:r>
        <w:rPr>
          <w:rFonts w:ascii="Arial" w:hAnsi="Arial" w:cs="Arial"/>
          <w:b/>
          <w:color w:val="auto"/>
          <w:highlight w:val="none"/>
        </w:rPr>
        <w:t>.解释权：</w:t>
      </w:r>
      <w:r>
        <w:rPr>
          <w:rFonts w:ascii="Arial" w:hAnsi="Arial" w:cs="Arial"/>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pacing w:line="340" w:lineRule="exact"/>
        <w:ind w:firstLine="360" w:firstLineChars="150"/>
        <w:rPr>
          <w:rFonts w:ascii="Arial" w:hAnsi="Arial" w:eastAsia="宋体" w:cs="Arial"/>
          <w:color w:val="auto"/>
          <w:kern w:val="0"/>
          <w:sz w:val="24"/>
          <w:highlight w:val="none"/>
        </w:rPr>
      </w:pPr>
    </w:p>
    <w:p>
      <w:pPr>
        <w:spacing w:line="340" w:lineRule="exact"/>
        <w:rPr>
          <w:rFonts w:ascii="Arial" w:hAnsi="Arial" w:eastAsia="宋体" w:cs="Arial"/>
          <w:color w:val="auto"/>
          <w:kern w:val="0"/>
          <w:sz w:val="24"/>
          <w:highlight w:val="none"/>
        </w:rPr>
      </w:pPr>
      <w:r>
        <w:rPr>
          <w:rFonts w:ascii="Arial" w:hAnsi="Arial" w:eastAsia="宋体" w:cs="Arial"/>
          <w:color w:val="auto"/>
          <w:kern w:val="0"/>
          <w:sz w:val="24"/>
          <w:highlight w:val="none"/>
        </w:rPr>
        <w:br w:type="page"/>
      </w:r>
    </w:p>
    <w:p>
      <w:pPr>
        <w:pStyle w:val="13"/>
        <w:snapToGrid w:val="0"/>
        <w:rPr>
          <w:rFonts w:ascii="Arial" w:hAnsi="Arial" w:cs="Arial"/>
          <w:b/>
          <w:color w:val="auto"/>
          <w:sz w:val="24"/>
          <w:szCs w:val="24"/>
          <w:highlight w:val="none"/>
        </w:rPr>
      </w:pPr>
      <w:r>
        <w:rPr>
          <w:rFonts w:ascii="Arial" w:hAnsi="Arial" w:cs="Arial"/>
          <w:b/>
          <w:color w:val="auto"/>
          <w:sz w:val="24"/>
          <w:szCs w:val="24"/>
          <w:highlight w:val="none"/>
        </w:rPr>
        <w:t>附表1：</w:t>
      </w:r>
    </w:p>
    <w:p>
      <w:pPr>
        <w:spacing w:line="460" w:lineRule="exact"/>
        <w:jc w:val="center"/>
        <w:rPr>
          <w:rFonts w:ascii="Arial" w:hAnsi="Arial" w:eastAsia="宋体" w:cs="Arial"/>
          <w:color w:val="auto"/>
          <w:sz w:val="44"/>
          <w:highlight w:val="none"/>
        </w:rPr>
      </w:pPr>
      <w:r>
        <w:rPr>
          <w:rFonts w:ascii="Arial" w:hAnsi="Arial" w:eastAsia="宋体" w:cs="Arial"/>
          <w:color w:val="auto"/>
          <w:sz w:val="44"/>
          <w:highlight w:val="none"/>
        </w:rPr>
        <w:t>质疑函（格式）</w:t>
      </w:r>
    </w:p>
    <w:p>
      <w:pPr>
        <w:pStyle w:val="13"/>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一、质疑供应商基本信息：</w:t>
      </w:r>
    </w:p>
    <w:p>
      <w:pPr>
        <w:pStyle w:val="13"/>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质疑供应商：</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授权代表：</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二、质疑项目基本情况：</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项目的名称：</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w:t>
      </w:r>
    </w:p>
    <w:p>
      <w:pPr>
        <w:pStyle w:val="13"/>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谈判文件   采购文件获取日期：</w:t>
      </w:r>
      <w:r>
        <w:rPr>
          <w:rFonts w:ascii="Arial" w:hAnsi="Arial" w:cs="Arial"/>
          <w:bCs/>
          <w:color w:val="auto"/>
          <w:highlight w:val="none"/>
          <w:u w:val="single"/>
        </w:rPr>
        <w:t xml:space="preserve">                                   </w:t>
      </w:r>
    </w:p>
    <w:p>
      <w:pPr>
        <w:pStyle w:val="13"/>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 xml:space="preserve">采购过程   </w:t>
      </w:r>
    </w:p>
    <w:p>
      <w:pPr>
        <w:pStyle w:val="13"/>
        <w:spacing w:line="360" w:lineRule="exact"/>
        <w:ind w:left="25" w:leftChars="12" w:firstLine="441" w:firstLineChars="147"/>
        <w:rPr>
          <w:rFonts w:ascii="Arial" w:hAnsi="Arial" w:cs="Arial"/>
          <w:bCs/>
          <w:color w:val="auto"/>
          <w:highlight w:val="none"/>
          <w:u w:val="single"/>
        </w:rPr>
      </w:pPr>
      <w:r>
        <w:rPr>
          <w:rFonts w:ascii="Arial" w:hAnsi="Arial" w:cs="Arial"/>
          <w:color w:val="auto"/>
          <w:sz w:val="30"/>
          <w:szCs w:val="30"/>
          <w:highlight w:val="none"/>
        </w:rPr>
        <w:t>□</w:t>
      </w:r>
      <w:r>
        <w:rPr>
          <w:rFonts w:ascii="Arial" w:hAnsi="Arial" w:cs="Arial"/>
          <w:color w:val="auto"/>
          <w:szCs w:val="21"/>
          <w:highlight w:val="none"/>
        </w:rPr>
        <w:t xml:space="preserve">成交结果   </w:t>
      </w:r>
    </w:p>
    <w:p>
      <w:pPr>
        <w:pStyle w:val="13"/>
        <w:spacing w:line="36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三、质疑事项具体内容</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质疑事项1：</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事实依据：</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法律依据：</w:t>
      </w:r>
      <w:r>
        <w:rPr>
          <w:rFonts w:ascii="Arial" w:hAnsi="Arial" w:cs="Arial"/>
          <w:color w:val="auto"/>
          <w:szCs w:val="21"/>
          <w:highlight w:val="none"/>
          <w:u w:val="single"/>
        </w:rPr>
        <w:t xml:space="preserve">                                                        </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质疑事项2</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四、与质疑事项相关的质疑请求：</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pPr>
        <w:pStyle w:val="13"/>
        <w:spacing w:line="360" w:lineRule="exact"/>
        <w:ind w:left="25" w:leftChars="12" w:firstLine="308" w:firstLineChars="147"/>
        <w:rPr>
          <w:rFonts w:ascii="Arial" w:hAnsi="Arial" w:cs="Arial"/>
          <w:color w:val="auto"/>
          <w:szCs w:val="21"/>
          <w:highlight w:val="none"/>
        </w:rPr>
      </w:pP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pPr>
        <w:pStyle w:val="13"/>
        <w:spacing w:line="360" w:lineRule="exact"/>
        <w:ind w:left="25" w:leftChars="12" w:firstLine="308" w:firstLineChars="147"/>
        <w:rPr>
          <w:rFonts w:ascii="Arial" w:hAnsi="Arial" w:cs="Arial"/>
          <w:color w:val="auto"/>
          <w:szCs w:val="21"/>
          <w:highlight w:val="none"/>
        </w:rPr>
      </w:pP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pPr>
        <w:pStyle w:val="13"/>
        <w:snapToGrid w:val="0"/>
        <w:spacing w:line="340" w:lineRule="exact"/>
        <w:rPr>
          <w:rFonts w:ascii="Arial" w:hAnsi="Arial" w:cs="Arial"/>
          <w:b/>
          <w:color w:val="auto"/>
          <w:szCs w:val="21"/>
          <w:highlight w:val="none"/>
        </w:rPr>
      </w:pPr>
    </w:p>
    <w:p>
      <w:pPr>
        <w:pStyle w:val="13"/>
        <w:snapToGrid w:val="0"/>
        <w:spacing w:line="340" w:lineRule="exact"/>
        <w:rPr>
          <w:rFonts w:ascii="Arial" w:hAnsi="Arial" w:cs="Arial"/>
          <w:b/>
          <w:color w:val="auto"/>
          <w:szCs w:val="21"/>
          <w:highlight w:val="none"/>
        </w:rPr>
      </w:pPr>
      <w:r>
        <w:rPr>
          <w:rFonts w:ascii="Arial" w:hAnsi="Arial" w:cs="Arial"/>
          <w:b/>
          <w:color w:val="auto"/>
          <w:szCs w:val="21"/>
          <w:highlight w:val="none"/>
        </w:rPr>
        <w:t>说明：</w:t>
      </w:r>
    </w:p>
    <w:p>
      <w:pPr>
        <w:pStyle w:val="13"/>
        <w:spacing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1.供应商提出质疑时，应提交质疑函和必要的证明材料</w:t>
      </w:r>
      <w:r>
        <w:rPr>
          <w:rFonts w:ascii="Arial" w:hAnsi="Arial" w:cs="Arial"/>
          <w:b/>
          <w:bCs/>
          <w:color w:val="auto"/>
          <w:highlight w:val="none"/>
        </w:rPr>
        <w:t>。</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3.质疑函的质疑事项应具体、明确，并有必要的事实依据和法律依据。</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4.质疑函的质疑请求应与质疑事项相关。</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5.质疑供应商为自然人的，质疑函应由本人签字；质疑供应商为法人或者其他组织的，质疑函应由法定代表人、主要负责人，或者其授权代表签字或者盖章，并加盖公章。</w:t>
      </w:r>
    </w:p>
    <w:p>
      <w:pPr>
        <w:pStyle w:val="13"/>
        <w:snapToGrid w:val="0"/>
        <w:rPr>
          <w:rFonts w:ascii="Arial" w:hAnsi="Arial" w:cs="Arial"/>
          <w:b/>
          <w:color w:val="auto"/>
          <w:sz w:val="24"/>
          <w:szCs w:val="24"/>
          <w:highlight w:val="none"/>
        </w:rPr>
      </w:pPr>
    </w:p>
    <w:p>
      <w:pPr>
        <w:pStyle w:val="13"/>
        <w:snapToGrid w:val="0"/>
        <w:rPr>
          <w:rFonts w:ascii="Arial" w:hAnsi="Arial" w:cs="Arial"/>
          <w:b/>
          <w:color w:val="auto"/>
          <w:sz w:val="24"/>
          <w:szCs w:val="24"/>
          <w:highlight w:val="none"/>
        </w:rPr>
      </w:pPr>
    </w:p>
    <w:p>
      <w:pPr>
        <w:pStyle w:val="13"/>
        <w:snapToGrid w:val="0"/>
        <w:rPr>
          <w:rFonts w:ascii="Arial" w:hAnsi="Arial" w:cs="Arial"/>
          <w:b/>
          <w:color w:val="auto"/>
          <w:sz w:val="24"/>
          <w:szCs w:val="24"/>
          <w:highlight w:val="none"/>
        </w:rPr>
      </w:pPr>
      <w:r>
        <w:rPr>
          <w:rFonts w:ascii="Arial" w:hAnsi="Arial" w:cs="Arial"/>
          <w:b/>
          <w:color w:val="auto"/>
          <w:sz w:val="24"/>
          <w:szCs w:val="24"/>
          <w:highlight w:val="none"/>
        </w:rPr>
        <w:t>附表2：</w:t>
      </w:r>
    </w:p>
    <w:p>
      <w:pPr>
        <w:spacing w:line="460" w:lineRule="exact"/>
        <w:jc w:val="center"/>
        <w:rPr>
          <w:rFonts w:ascii="Arial" w:hAnsi="Arial" w:eastAsia="宋体" w:cs="Arial"/>
          <w:color w:val="auto"/>
          <w:sz w:val="44"/>
          <w:highlight w:val="none"/>
        </w:rPr>
      </w:pPr>
    </w:p>
    <w:p>
      <w:pPr>
        <w:spacing w:line="460" w:lineRule="exact"/>
        <w:jc w:val="center"/>
        <w:rPr>
          <w:rFonts w:ascii="Arial" w:hAnsi="Arial" w:eastAsia="宋体" w:cs="Arial"/>
          <w:color w:val="auto"/>
          <w:sz w:val="44"/>
          <w:highlight w:val="none"/>
        </w:rPr>
      </w:pPr>
      <w:r>
        <w:rPr>
          <w:rFonts w:ascii="Arial" w:hAnsi="Arial" w:eastAsia="宋体" w:cs="Arial"/>
          <w:color w:val="auto"/>
          <w:sz w:val="44"/>
          <w:highlight w:val="none"/>
        </w:rPr>
        <w:t>投诉书（格式）</w:t>
      </w:r>
    </w:p>
    <w:p>
      <w:pPr>
        <w:pStyle w:val="13"/>
        <w:snapToGrid w:val="0"/>
        <w:spacing w:line="400" w:lineRule="exact"/>
        <w:ind w:firstLine="420" w:firstLineChars="200"/>
        <w:rPr>
          <w:rFonts w:ascii="Arial" w:hAnsi="Arial" w:cs="Arial"/>
          <w:b/>
          <w:bCs/>
          <w:color w:val="auto"/>
          <w:highlight w:val="none"/>
        </w:rPr>
      </w:pPr>
      <w:r>
        <w:rPr>
          <w:rFonts w:ascii="Arial" w:hAnsi="Arial" w:cs="Arial"/>
          <w:b/>
          <w:bCs/>
          <w:color w:val="auto"/>
          <w:highlight w:val="none"/>
        </w:rPr>
        <w:t>一、投诉相关主体基本情况：</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供应商：</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法定代表人：</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授权代表：</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被投诉人1：</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被投诉人2：</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相关供应商：</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
          <w:bCs/>
          <w:color w:val="auto"/>
          <w:highlight w:val="none"/>
        </w:rPr>
      </w:pPr>
      <w:r>
        <w:rPr>
          <w:rFonts w:ascii="Arial" w:hAnsi="Arial" w:cs="Arial"/>
          <w:b/>
          <w:bCs/>
          <w:color w:val="auto"/>
          <w:highlight w:val="none"/>
        </w:rPr>
        <w:t>二、投诉项目基本情况：</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代理机构名称：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bCs/>
          <w:color w:val="auto"/>
          <w:highlight w:val="none"/>
        </w:rPr>
        <w:t>采购文件公告：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
          <w:color w:val="auto"/>
          <w:szCs w:val="21"/>
          <w:highlight w:val="none"/>
        </w:rPr>
      </w:pPr>
      <w:r>
        <w:rPr>
          <w:rFonts w:ascii="Arial" w:hAnsi="Arial" w:cs="Arial"/>
          <w:bCs/>
          <w:color w:val="auto"/>
          <w:highlight w:val="none"/>
        </w:rPr>
        <w:t>采购结果公告：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三、质疑基本情况</w:t>
      </w:r>
    </w:p>
    <w:p>
      <w:pPr>
        <w:pStyle w:val="13"/>
        <w:spacing w:line="400" w:lineRule="exact"/>
        <w:ind w:left="25" w:leftChars="12" w:firstLine="833" w:firstLineChars="397"/>
        <w:rPr>
          <w:rFonts w:ascii="Arial" w:hAnsi="Arial" w:cs="Arial"/>
          <w:color w:val="auto"/>
          <w:szCs w:val="21"/>
          <w:highlight w:val="none"/>
        </w:rPr>
      </w:pPr>
      <w:r>
        <w:rPr>
          <w:rFonts w:ascii="Arial" w:hAnsi="Arial" w:cs="Arial"/>
          <w:color w:val="auto"/>
          <w:szCs w:val="21"/>
          <w:highlight w:val="none"/>
        </w:rPr>
        <w:t>投诉人于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日，向</w:t>
      </w:r>
      <w:r>
        <w:rPr>
          <w:rFonts w:ascii="Arial" w:hAnsi="Arial" w:cs="Arial"/>
          <w:color w:val="auto"/>
          <w:szCs w:val="21"/>
          <w:highlight w:val="none"/>
          <w:u w:val="single"/>
        </w:rPr>
        <w:t xml:space="preserve">                                </w:t>
      </w:r>
      <w:r>
        <w:rPr>
          <w:rFonts w:ascii="Arial" w:hAnsi="Arial" w:cs="Arial"/>
          <w:color w:val="auto"/>
          <w:szCs w:val="21"/>
          <w:highlight w:val="none"/>
        </w:rPr>
        <w:t>提出质疑，质疑事项为：</w:t>
      </w:r>
    </w:p>
    <w:p>
      <w:pPr>
        <w:pStyle w:val="13"/>
        <w:spacing w:line="400" w:lineRule="exact"/>
        <w:rPr>
          <w:rFonts w:ascii="Arial" w:hAnsi="Arial" w:cs="Arial"/>
          <w:bCs/>
          <w:color w:val="auto"/>
          <w:highlight w:val="none"/>
          <w:u w:val="single"/>
        </w:rPr>
      </w:pP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pPr>
        <w:pStyle w:val="13"/>
        <w:spacing w:line="400" w:lineRule="exact"/>
        <w:rPr>
          <w:rFonts w:ascii="Arial" w:hAnsi="Arial" w:cs="Arial"/>
          <w:color w:val="auto"/>
          <w:szCs w:val="21"/>
          <w:highlight w:val="none"/>
        </w:rPr>
      </w:pPr>
      <w:r>
        <w:rPr>
          <w:rFonts w:ascii="Arial" w:hAnsi="Arial" w:cs="Arial"/>
          <w:bCs/>
          <w:color w:val="auto"/>
          <w:highlight w:val="none"/>
        </w:rPr>
        <w:t xml:space="preserve">        </w:t>
      </w:r>
      <w:r>
        <w:rPr>
          <w:rFonts w:ascii="Arial" w:hAnsi="Arial" w:cs="Arial"/>
          <w:bCs/>
          <w:color w:val="auto"/>
          <w:highlight w:val="none"/>
          <w:u w:val="single"/>
        </w:rPr>
        <w:t>采购人/代理机构</w:t>
      </w:r>
      <w:r>
        <w:rPr>
          <w:rFonts w:ascii="Arial" w:hAnsi="Arial" w:cs="Arial"/>
          <w:bCs/>
          <w:color w:val="auto"/>
          <w:highlight w:val="none"/>
        </w:rPr>
        <w:t>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r>
        <w:rPr>
          <w:rFonts w:ascii="Arial" w:hAnsi="Arial" w:cs="Arial"/>
          <w:bCs/>
          <w:color w:val="auto"/>
          <w:highlight w:val="none"/>
        </w:rPr>
        <w:t xml:space="preserve">就质疑事项作出了答复/没有在法定期限内作出答复。                                                                                             </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四、投诉事项具体内容</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投诉事项1：</w:t>
      </w:r>
      <w:r>
        <w:rPr>
          <w:rFonts w:ascii="Arial" w:hAnsi="Arial" w:cs="Arial"/>
          <w:bCs/>
          <w:color w:val="auto"/>
          <w:highlight w:val="none"/>
          <w:u w:val="single"/>
        </w:rPr>
        <w:t xml:space="preserve">                                                                           </w:t>
      </w:r>
    </w:p>
    <w:p>
      <w:pPr>
        <w:pStyle w:val="13"/>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事实依据：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u w:val="single"/>
        </w:rPr>
        <w:t xml:space="preserve">                                                                                        </w:t>
      </w:r>
    </w:p>
    <w:p>
      <w:pPr>
        <w:pStyle w:val="13"/>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法律依据：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308" w:firstLineChars="147"/>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rPr>
      </w:pPr>
      <w:r>
        <w:rPr>
          <w:rFonts w:ascii="Arial" w:hAnsi="Arial" w:cs="Arial"/>
          <w:color w:val="auto"/>
          <w:szCs w:val="21"/>
          <w:highlight w:val="none"/>
        </w:rPr>
        <w:t xml:space="preserve">投诉事项2  </w:t>
      </w:r>
      <w:r>
        <w:rPr>
          <w:rFonts w:ascii="Arial" w:hAnsi="Arial" w:cs="Arial"/>
          <w:bCs/>
          <w:color w:val="auto"/>
          <w:highlight w:val="none"/>
        </w:rPr>
        <w:t xml:space="preserve">   </w:t>
      </w:r>
    </w:p>
    <w:p>
      <w:pPr>
        <w:pStyle w:val="13"/>
        <w:spacing w:line="400" w:lineRule="exact"/>
        <w:ind w:left="25" w:leftChars="12" w:firstLine="413" w:firstLineChars="197"/>
        <w:rPr>
          <w:rFonts w:ascii="Arial" w:hAnsi="Arial" w:cs="Arial"/>
          <w:bCs/>
          <w:color w:val="auto"/>
          <w:highlight w:val="none"/>
        </w:rPr>
      </w:pPr>
      <w:r>
        <w:rPr>
          <w:rFonts w:ascii="Arial" w:hAnsi="Arial" w:cs="Arial"/>
          <w:bCs/>
          <w:color w:val="auto"/>
          <w:highlight w:val="none"/>
        </w:rPr>
        <w:t>……</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五、与投诉事项相关的投诉请求：</w:t>
      </w: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pPr>
        <w:pStyle w:val="13"/>
        <w:spacing w:line="400" w:lineRule="exact"/>
        <w:ind w:left="25" w:leftChars="12" w:firstLine="308" w:firstLineChars="147"/>
        <w:rPr>
          <w:rFonts w:ascii="Arial" w:hAnsi="Arial" w:cs="Arial"/>
          <w:color w:val="auto"/>
          <w:szCs w:val="21"/>
          <w:highlight w:val="none"/>
        </w:rPr>
      </w:pP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pPr>
        <w:pStyle w:val="13"/>
        <w:spacing w:line="400" w:lineRule="exact"/>
        <w:ind w:left="25" w:leftChars="12" w:firstLine="308" w:firstLineChars="147"/>
        <w:rPr>
          <w:rFonts w:ascii="Arial" w:hAnsi="Arial" w:cs="Arial"/>
          <w:color w:val="auto"/>
          <w:szCs w:val="21"/>
          <w:highlight w:val="none"/>
        </w:rPr>
      </w:pP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 xml:space="preserve">                                                                                 </w:t>
      </w:r>
    </w:p>
    <w:p>
      <w:pPr>
        <w:pStyle w:val="13"/>
        <w:snapToGrid w:val="0"/>
        <w:spacing w:line="340" w:lineRule="exact"/>
        <w:rPr>
          <w:rFonts w:ascii="Arial" w:hAnsi="Arial" w:cs="Arial"/>
          <w:b/>
          <w:color w:val="auto"/>
          <w:szCs w:val="21"/>
          <w:highlight w:val="none"/>
        </w:rPr>
      </w:pPr>
    </w:p>
    <w:p>
      <w:pPr>
        <w:pStyle w:val="13"/>
        <w:snapToGrid w:val="0"/>
        <w:spacing w:line="340" w:lineRule="exact"/>
        <w:rPr>
          <w:rFonts w:ascii="Arial" w:hAnsi="Arial" w:cs="Arial"/>
          <w:b/>
          <w:color w:val="auto"/>
          <w:szCs w:val="21"/>
          <w:highlight w:val="none"/>
        </w:rPr>
      </w:pPr>
      <w:r>
        <w:rPr>
          <w:rFonts w:ascii="Arial" w:hAnsi="Arial" w:cs="Arial"/>
          <w:b/>
          <w:color w:val="auto"/>
          <w:szCs w:val="21"/>
          <w:highlight w:val="none"/>
        </w:rPr>
        <w:t>说明：</w:t>
      </w:r>
    </w:p>
    <w:p>
      <w:pPr>
        <w:pStyle w:val="13"/>
        <w:spacing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1.投诉人提起投诉时，应当提交投诉书和必要的证明材料，并按照被投诉人和与投诉事项有关的供应商数量提供投诉书副本</w:t>
      </w:r>
      <w:r>
        <w:rPr>
          <w:rFonts w:ascii="Arial" w:hAnsi="Arial" w:cs="Arial"/>
          <w:b/>
          <w:bCs/>
          <w:color w:val="auto"/>
          <w:highlight w:val="none"/>
        </w:rPr>
        <w:t>。</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3.投诉书应简要列明质疑事项，质疑函、质疑答复等作为附件材料提供。</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4.投诉书的投诉事项应具体、明确，并有必要的事实依据和法律依据。</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5.投诉书的投诉请求应与投诉事项相关。</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6. 投诉人为自然人的，投诉书应由本人签字；投诉人为法人或者其他组织的，投诉书应由法定代表人、主要负责人，或者其授权代表签字或者盖章，并加盖公章。</w:t>
      </w: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pStyle w:val="3"/>
        <w:adjustRightInd w:val="0"/>
        <w:snapToGrid w:val="0"/>
        <w:spacing w:before="0" w:after="0" w:line="240" w:lineRule="auto"/>
        <w:jc w:val="center"/>
        <w:rPr>
          <w:rFonts w:ascii="Arial" w:hAnsi="Arial" w:cs="Arial"/>
          <w:b w:val="0"/>
          <w:color w:val="auto"/>
          <w:highlight w:val="none"/>
        </w:rPr>
      </w:pPr>
      <w:r>
        <w:rPr>
          <w:rFonts w:ascii="Arial" w:hAnsi="Arial" w:cs="Arial"/>
          <w:b w:val="0"/>
          <w:color w:val="auto"/>
          <w:highlight w:val="none"/>
        </w:rPr>
        <w:br w:type="page"/>
      </w:r>
      <w:bookmarkStart w:id="21" w:name="_Toc6011"/>
      <w:bookmarkStart w:id="22" w:name="_Toc3394"/>
      <w:r>
        <w:rPr>
          <w:rFonts w:ascii="Arial" w:hAnsi="Arial" w:cs="Arial"/>
          <w:bCs w:val="0"/>
          <w:color w:val="auto"/>
          <w:highlight w:val="none"/>
        </w:rPr>
        <w:t>第三章  货物采购需求</w:t>
      </w:r>
      <w:bookmarkEnd w:id="21"/>
      <w:bookmarkEnd w:id="22"/>
    </w:p>
    <w:p>
      <w:pPr>
        <w:spacing w:line="360" w:lineRule="auto"/>
        <w:rPr>
          <w:rFonts w:ascii="黑体" w:hAnsi="黑体" w:eastAsia="黑体" w:cs="Arial"/>
          <w:b/>
          <w:color w:val="auto"/>
          <w:kern w:val="0"/>
          <w:sz w:val="28"/>
          <w:szCs w:val="28"/>
          <w:highlight w:val="none"/>
        </w:rPr>
      </w:pPr>
    </w:p>
    <w:p>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pPr>
        <w:adjustRightInd w:val="0"/>
        <w:spacing w:line="340" w:lineRule="exact"/>
        <w:ind w:firstLine="420" w:firstLineChars="200"/>
        <w:rPr>
          <w:rFonts w:ascii="Arial" w:hAnsi="Arial" w:eastAsia="宋体" w:cs="Arial"/>
          <w:b/>
          <w:bCs/>
          <w:color w:val="auto"/>
          <w:highlight w:val="none"/>
        </w:rPr>
      </w:pPr>
      <w:r>
        <w:rPr>
          <w:rFonts w:hint="eastAsia" w:ascii="Arial" w:hAnsi="Arial" w:eastAsia="宋体" w:cs="Arial"/>
          <w:b/>
          <w:bCs/>
          <w:color w:val="auto"/>
          <w:highlight w:val="none"/>
        </w:rPr>
        <w:t>（一）</w:t>
      </w:r>
      <w:r>
        <w:rPr>
          <w:rFonts w:ascii="Arial" w:hAnsi="Arial" w:eastAsia="宋体" w:cs="Arial"/>
          <w:b/>
          <w:bCs/>
          <w:color w:val="auto"/>
          <w:highlight w:val="none"/>
        </w:rPr>
        <w:t>本项目所要执行的政府采购政策：</w:t>
      </w:r>
    </w:p>
    <w:p>
      <w:pPr>
        <w:widowControl/>
        <w:ind w:firstLine="420" w:firstLineChars="200"/>
        <w:jc w:val="left"/>
        <w:rPr>
          <w:rFonts w:ascii="Arial" w:hAnsi="Arial" w:eastAsia="宋体" w:cs="Arial"/>
          <w:bCs/>
          <w:color w:val="auto"/>
          <w:highlight w:val="none"/>
        </w:rPr>
      </w:pPr>
      <w:r>
        <w:rPr>
          <w:rFonts w:hint="eastAsia" w:ascii="Arial" w:hAnsi="Arial" w:eastAsia="宋体" w:cs="Arial"/>
          <w:bCs/>
          <w:color w:val="auto"/>
          <w:highlight w:val="none"/>
        </w:rPr>
        <w:t>1</w:t>
      </w:r>
      <w:r>
        <w:rPr>
          <w:rFonts w:ascii="Arial" w:hAnsi="Arial" w:eastAsia="宋体" w:cs="Arial"/>
          <w:bCs/>
          <w:color w:val="auto"/>
          <w:highlight w:val="none"/>
        </w:rPr>
        <w:t>.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w:t>
      </w:r>
      <w:r>
        <w:rPr>
          <w:rFonts w:hint="eastAsia" w:ascii="Arial" w:hAnsi="Arial" w:eastAsia="宋体" w:cs="Arial"/>
          <w:bCs/>
          <w:color w:val="auto"/>
          <w:highlight w:val="none"/>
        </w:rPr>
        <w:t>≤</w:t>
      </w:r>
      <w:r>
        <w:rPr>
          <w:rFonts w:ascii="Arial" w:hAnsi="Arial" w:eastAsia="宋体" w:cs="Arial"/>
          <w:bCs/>
          <w:color w:val="auto"/>
          <w:highlight w:val="none"/>
        </w:rPr>
        <w:t>14000W）、单元式空气调节机（制冷量</w:t>
      </w:r>
      <w:r>
        <w:rPr>
          <w:rFonts w:hint="eastAsia" w:ascii="Arial" w:hAnsi="Arial" w:eastAsia="宋体" w:cs="Arial"/>
          <w:bCs/>
          <w:color w:val="auto"/>
          <w:highlight w:val="none"/>
        </w:rPr>
        <w:t>≤</w:t>
      </w:r>
      <w:r>
        <w:rPr>
          <w:rFonts w:ascii="Arial" w:hAnsi="Arial" w:eastAsia="宋体" w:cs="Arial"/>
          <w:bCs/>
          <w:color w:val="auto"/>
          <w:highlight w:val="none"/>
        </w:rPr>
        <w:t>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所竞货物必须使用政府强制采购的节能产品，供应商于响应文件中必须提供由国家确定的认证机构出具的处于有效期之内的节能产品认证证书复印件（加盖供应商公章），否则相应响应文件无效处理。</w:t>
      </w:r>
    </w:p>
    <w:p>
      <w:pPr>
        <w:widowControl/>
        <w:ind w:firstLine="420" w:firstLineChars="200"/>
        <w:jc w:val="left"/>
        <w:rPr>
          <w:rFonts w:ascii="Arial" w:hAnsi="Arial" w:eastAsia="宋体" w:cs="Arial"/>
          <w:bCs/>
          <w:color w:val="auto"/>
          <w:highlight w:val="none"/>
        </w:rPr>
      </w:pPr>
      <w:r>
        <w:rPr>
          <w:rFonts w:hint="eastAsia" w:ascii="Arial" w:hAnsi="Arial" w:eastAsia="宋体" w:cs="Arial"/>
          <w:bCs/>
          <w:color w:val="auto"/>
          <w:highlight w:val="none"/>
        </w:rPr>
        <w:t>2</w:t>
      </w:r>
      <w:r>
        <w:rPr>
          <w:rFonts w:ascii="Arial" w:hAnsi="Arial" w:eastAsia="宋体" w:cs="Arial"/>
          <w:bCs/>
          <w:color w:val="auto"/>
          <w:highlight w:val="none"/>
        </w:rPr>
        <w:t>.最后报价相同时，优先采购环境标志产品、节能产品。</w:t>
      </w:r>
    </w:p>
    <w:p>
      <w:pPr>
        <w:widowControl/>
        <w:ind w:firstLine="420" w:firstLineChars="200"/>
        <w:jc w:val="left"/>
        <w:rPr>
          <w:rFonts w:hint="eastAsia" w:ascii="Arial" w:hAnsi="Arial" w:eastAsia="宋体" w:cs="Arial"/>
          <w:b/>
          <w:color w:val="auto"/>
          <w:highlight w:val="none"/>
        </w:rPr>
      </w:pPr>
      <w:r>
        <w:rPr>
          <w:rFonts w:hint="eastAsia" w:ascii="Arial" w:hAnsi="Arial" w:eastAsia="宋体" w:cs="Arial"/>
          <w:b/>
          <w:color w:val="auto"/>
          <w:highlight w:val="none"/>
        </w:rPr>
        <w:t>（二）“货物采购需求”中所有条款要求及采购文件中要求“必须提供”的条款均为实质性要求，如有负偏离或不满足要求则响应被否决。</w:t>
      </w:r>
    </w:p>
    <w:p>
      <w:pPr>
        <w:widowControl/>
        <w:ind w:firstLine="420" w:firstLineChars="200"/>
        <w:jc w:val="left"/>
        <w:rPr>
          <w:rFonts w:hint="eastAsia" w:ascii="Arial" w:hAnsi="Arial" w:eastAsia="宋体" w:cs="Arial"/>
          <w:b/>
          <w:color w:val="auto"/>
          <w:highlight w:val="none"/>
        </w:rPr>
      </w:pPr>
      <w:r>
        <w:rPr>
          <w:rFonts w:hint="eastAsia" w:ascii="Arial" w:hAnsi="Arial" w:eastAsia="宋体" w:cs="Arial"/>
          <w:b/>
          <w:color w:val="auto"/>
          <w:highlight w:val="none"/>
        </w:rPr>
        <w:t>（三）是否接受进口产品：本项目所有采购货物均不接受进口产品。</w:t>
      </w:r>
    </w:p>
    <w:p>
      <w:pPr>
        <w:spacing w:line="360" w:lineRule="auto"/>
        <w:rPr>
          <w:rFonts w:ascii="Arial" w:hAnsi="Arial" w:eastAsia="宋体" w:cs="Arial"/>
          <w:b/>
          <w:color w:val="auto"/>
          <w:sz w:val="32"/>
          <w:szCs w:val="40"/>
          <w:highlight w:val="none"/>
        </w:rPr>
      </w:pPr>
      <w:r>
        <w:rPr>
          <w:rFonts w:hint="eastAsia" w:ascii="黑体" w:hAnsi="黑体" w:eastAsia="黑体" w:cs="Arial"/>
          <w:b/>
          <w:color w:val="auto"/>
          <w:kern w:val="0"/>
          <w:sz w:val="28"/>
          <w:szCs w:val="28"/>
          <w:highlight w:val="none"/>
        </w:rPr>
        <w:br w:type="page"/>
      </w:r>
      <w:r>
        <w:rPr>
          <w:rFonts w:hint="eastAsia" w:ascii="黑体" w:hAnsi="黑体" w:eastAsia="黑体" w:cs="Arial"/>
          <w:b/>
          <w:color w:val="auto"/>
          <w:kern w:val="0"/>
          <w:sz w:val="28"/>
          <w:szCs w:val="28"/>
          <w:highlight w:val="none"/>
        </w:rPr>
        <w:t>二、技术要求</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1.一般说明</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（1）本章中如提及品牌型号，仅起参考作用。供应商可选用其他品牌型号替代，但这些替代的品牌型号要实质上参照或相当于或优于参考品牌型号及其技术参数性能（配置）要求。</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2）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2.核心产品</w:t>
      </w:r>
    </w:p>
    <w:p>
      <w:pPr>
        <w:adjustRightInd w:val="0"/>
        <w:snapToGrid w:val="0"/>
        <w:spacing w:line="360" w:lineRule="auto"/>
        <w:rPr>
          <w:rFonts w:ascii="Arial" w:hAnsi="Arial" w:eastAsia="宋体" w:cs="Arial"/>
          <w:b/>
          <w:bCs/>
          <w:color w:val="auto"/>
          <w:szCs w:val="21"/>
          <w:highlight w:val="none"/>
          <w:u w:val="single"/>
        </w:rPr>
      </w:pPr>
      <w:r>
        <w:rPr>
          <w:rFonts w:ascii="Arial" w:hAnsi="Arial" w:eastAsia="宋体" w:cs="Arial"/>
          <w:b/>
          <w:bCs/>
          <w:color w:val="auto"/>
          <w:szCs w:val="21"/>
          <w:highlight w:val="none"/>
        </w:rPr>
        <w:t>本项目为货物采购项目，核心产品为：</w:t>
      </w:r>
      <w:r>
        <w:rPr>
          <w:rFonts w:ascii="Arial" w:hAnsi="Arial" w:eastAsia="宋体" w:cs="Arial"/>
          <w:b/>
          <w:bCs/>
          <w:color w:val="auto"/>
          <w:szCs w:val="21"/>
          <w:highlight w:val="none"/>
          <w:u w:val="single"/>
        </w:rPr>
        <w:t xml:space="preserve">  序号</w:t>
      </w:r>
      <w:r>
        <w:rPr>
          <w:rFonts w:hint="eastAsia" w:ascii="Arial" w:hAnsi="Arial" w:eastAsia="宋体" w:cs="Arial"/>
          <w:b/>
          <w:bCs/>
          <w:color w:val="auto"/>
          <w:szCs w:val="21"/>
          <w:highlight w:val="none"/>
          <w:u w:val="single"/>
        </w:rPr>
        <w:t xml:space="preserve">3  多功能成像系统 </w:t>
      </w:r>
      <w:r>
        <w:rPr>
          <w:rFonts w:ascii="Arial" w:hAnsi="Arial" w:eastAsia="宋体" w:cs="Arial"/>
          <w:b/>
          <w:bCs/>
          <w:color w:val="auto"/>
          <w:szCs w:val="21"/>
          <w:highlight w:val="none"/>
          <w:u w:val="single"/>
        </w:rPr>
        <w:t xml:space="preserve"> </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3.标的名称、数量、需满足的质量、技术规格、物理特性、性能、材料、结构、外观、安全，或者服务内容和标准一览表</w:t>
      </w:r>
    </w:p>
    <w:tbl>
      <w:tblPr>
        <w:tblStyle w:val="23"/>
        <w:tblW w:w="96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910"/>
        <w:gridCol w:w="583"/>
        <w:gridCol w:w="686"/>
        <w:gridCol w:w="754"/>
        <w:gridCol w:w="6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adjustRightInd w:val="0"/>
              <w:snapToGrid w:val="0"/>
              <w:spacing w:line="288" w:lineRule="auto"/>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序号</w:t>
            </w:r>
          </w:p>
        </w:tc>
        <w:tc>
          <w:tcPr>
            <w:tcW w:w="910" w:type="dxa"/>
            <w:noWrap w:val="0"/>
            <w:vAlign w:val="center"/>
          </w:tcPr>
          <w:p>
            <w:pPr>
              <w:adjustRightInd w:val="0"/>
              <w:snapToGrid w:val="0"/>
              <w:spacing w:line="288" w:lineRule="auto"/>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货物名称</w:t>
            </w:r>
          </w:p>
        </w:tc>
        <w:tc>
          <w:tcPr>
            <w:tcW w:w="583" w:type="dxa"/>
            <w:noWrap w:val="0"/>
            <w:vAlign w:val="center"/>
          </w:tcPr>
          <w:p>
            <w:pPr>
              <w:adjustRightInd w:val="0"/>
              <w:snapToGrid w:val="0"/>
              <w:spacing w:line="288" w:lineRule="auto"/>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数量</w:t>
            </w:r>
          </w:p>
        </w:tc>
        <w:tc>
          <w:tcPr>
            <w:tcW w:w="686" w:type="dxa"/>
            <w:noWrap w:val="0"/>
            <w:vAlign w:val="center"/>
          </w:tcPr>
          <w:p>
            <w:pPr>
              <w:adjustRightInd w:val="0"/>
              <w:snapToGrid w:val="0"/>
              <w:spacing w:line="288" w:lineRule="auto"/>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计量单位</w:t>
            </w:r>
          </w:p>
        </w:tc>
        <w:tc>
          <w:tcPr>
            <w:tcW w:w="754" w:type="dxa"/>
            <w:noWrap w:val="0"/>
            <w:vAlign w:val="center"/>
          </w:tcPr>
          <w:p>
            <w:pPr>
              <w:adjustRightInd w:val="0"/>
              <w:snapToGrid w:val="0"/>
              <w:spacing w:line="288" w:lineRule="auto"/>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所属行业</w:t>
            </w:r>
          </w:p>
        </w:tc>
        <w:tc>
          <w:tcPr>
            <w:tcW w:w="6204" w:type="dxa"/>
            <w:tcBorders>
              <w:left w:val="single" w:color="auto" w:sz="4" w:space="0"/>
              <w:right w:val="single" w:color="auto" w:sz="4" w:space="0"/>
            </w:tcBorders>
            <w:noWrap w:val="0"/>
            <w:vAlign w:val="center"/>
          </w:tcPr>
          <w:p>
            <w:pPr>
              <w:adjustRightInd w:val="0"/>
              <w:snapToGrid w:val="0"/>
              <w:spacing w:line="288" w:lineRule="auto"/>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1</w:t>
            </w:r>
          </w:p>
        </w:tc>
        <w:tc>
          <w:tcPr>
            <w:tcW w:w="910"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纯水仪</w:t>
            </w:r>
          </w:p>
        </w:tc>
        <w:tc>
          <w:tcPr>
            <w:tcW w:w="583"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1</w:t>
            </w:r>
          </w:p>
        </w:tc>
        <w:tc>
          <w:tcPr>
            <w:tcW w:w="686"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一、</w:t>
            </w:r>
            <w:r>
              <w:rPr>
                <w:rFonts w:hint="default" w:ascii="Arial" w:hAnsi="Arial" w:eastAsia="宋体" w:cs="Arial"/>
                <w:szCs w:val="21"/>
              </w:rPr>
              <w:t>总体概述</w:t>
            </w:r>
            <w:r>
              <w:rPr>
                <w:rFonts w:hint="default" w:ascii="Arial" w:hAnsi="Arial" w:eastAsia="宋体" w:cs="Arial"/>
                <w:kern w:val="0"/>
                <w:szCs w:val="21"/>
                <w:lang w:bidi="ar"/>
              </w:rPr>
              <w:br w:type="textWrapping"/>
            </w:r>
            <w:r>
              <w:rPr>
                <w:rFonts w:hint="default" w:ascii="Arial" w:hAnsi="Arial" w:eastAsia="宋体" w:cs="Arial"/>
                <w:kern w:val="0"/>
                <w:szCs w:val="21"/>
                <w:lang w:bidi="ar"/>
              </w:rPr>
              <w:t>1. 全自动微电脑控制系统，多级菜单式操作，触摸按键。</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2. </w:t>
            </w:r>
            <w:r>
              <w:rPr>
                <w:rFonts w:hint="default" w:ascii="Arial" w:hAnsi="Arial" w:eastAsia="宋体" w:cs="Arial"/>
                <w:szCs w:val="21"/>
              </w:rPr>
              <w:t>≥</w:t>
            </w:r>
            <w:r>
              <w:rPr>
                <w:rFonts w:hint="default" w:ascii="Arial" w:hAnsi="Arial" w:eastAsia="宋体" w:cs="Arial"/>
                <w:kern w:val="0"/>
                <w:szCs w:val="21"/>
                <w:lang w:bidi="ar"/>
              </w:rPr>
              <w:t>4.3寸屏幕液晶式显示、人性化操作界面，全程实时动画式工作模式显示。</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3.完善的RO 纯水和超纯水制水、超纯水循环系统。 </w:t>
            </w:r>
            <w:r>
              <w:rPr>
                <w:rFonts w:hint="default" w:ascii="Arial" w:hAnsi="Arial" w:eastAsia="宋体" w:cs="Arial"/>
                <w:kern w:val="0"/>
                <w:szCs w:val="21"/>
                <w:lang w:bidi="ar"/>
              </w:rPr>
              <w:br w:type="textWrapping"/>
            </w:r>
            <w:r>
              <w:rPr>
                <w:rFonts w:hint="default" w:ascii="Arial" w:hAnsi="Arial" w:eastAsia="宋体" w:cs="Arial"/>
                <w:kern w:val="0"/>
                <w:szCs w:val="21"/>
                <w:lang w:bidi="ar"/>
              </w:rPr>
              <w:t>4.在线2路水质监控（实时监测RO水和高/超纯水水质）</w:t>
            </w:r>
            <w:r>
              <w:rPr>
                <w:rFonts w:hint="default" w:ascii="Arial" w:hAnsi="Arial" w:eastAsia="宋体" w:cs="Arial"/>
                <w:kern w:val="0"/>
                <w:szCs w:val="21"/>
                <w:lang w:bidi="ar"/>
              </w:rPr>
              <w:br w:type="textWrapping"/>
            </w:r>
            <w:r>
              <w:rPr>
                <w:rFonts w:hint="default" w:ascii="Arial" w:hAnsi="Arial" w:eastAsia="宋体" w:cs="Arial"/>
                <w:kern w:val="0"/>
                <w:szCs w:val="21"/>
                <w:lang w:bidi="ar"/>
              </w:rPr>
              <w:t>5.全自动RO膜防垢冲洗程序，延长RO膜使用寿命</w:t>
            </w:r>
            <w:r>
              <w:rPr>
                <w:rFonts w:hint="default" w:ascii="Arial" w:hAnsi="Arial" w:eastAsia="宋体" w:cs="Arial"/>
                <w:kern w:val="0"/>
                <w:szCs w:val="21"/>
                <w:lang w:bidi="ar"/>
              </w:rPr>
              <w:br w:type="textWrapping"/>
            </w:r>
            <w:r>
              <w:rPr>
                <w:rFonts w:hint="default" w:ascii="Arial" w:hAnsi="Arial" w:eastAsia="宋体" w:cs="Arial"/>
                <w:kern w:val="0"/>
                <w:szCs w:val="21"/>
                <w:lang w:bidi="ar"/>
              </w:rPr>
              <w:t>6.无水、水满报警，源水、RO水、高/超纯水(参数可设定)超标报警，耗材寿命终结报警，故障自动检测，提供安全保证</w:t>
            </w:r>
            <w:r>
              <w:rPr>
                <w:rFonts w:hint="default" w:ascii="Arial" w:hAnsi="Arial" w:eastAsia="宋体" w:cs="Arial"/>
                <w:kern w:val="0"/>
                <w:szCs w:val="21"/>
                <w:lang w:bidi="ar"/>
              </w:rPr>
              <w:br w:type="textWrapping"/>
            </w:r>
            <w:r>
              <w:rPr>
                <w:rFonts w:hint="default" w:ascii="Arial" w:hAnsi="Arial" w:eastAsia="宋体" w:cs="Arial"/>
                <w:kern w:val="0"/>
                <w:szCs w:val="21"/>
                <w:lang w:bidi="ar"/>
              </w:rPr>
              <w:t>7.特设工厂、客户二级密码，系统设置均由密码保护，防止未经授权的更改</w:t>
            </w:r>
            <w:r>
              <w:rPr>
                <w:rFonts w:hint="default" w:ascii="Arial" w:hAnsi="Arial" w:eastAsia="宋体" w:cs="Arial"/>
                <w:kern w:val="0"/>
                <w:szCs w:val="21"/>
                <w:lang w:bidi="ar"/>
              </w:rPr>
              <w:br w:type="textWrapping"/>
            </w:r>
            <w:r>
              <w:rPr>
                <w:rFonts w:hint="default" w:ascii="Arial" w:hAnsi="Arial" w:eastAsia="宋体" w:cs="Arial"/>
                <w:kern w:val="0"/>
                <w:szCs w:val="21"/>
                <w:lang w:bidi="ar"/>
              </w:rPr>
              <w:t>8.可设定预处理、RO膜、UV灯和超纯化柱的寿命，显示耗材已用和剩余时间，耗材到期更换自动提醒，避免水质下降</w:t>
            </w:r>
            <w:r>
              <w:rPr>
                <w:rFonts w:hint="default" w:ascii="Arial" w:hAnsi="Arial" w:eastAsia="宋体" w:cs="Arial"/>
                <w:kern w:val="0"/>
                <w:szCs w:val="21"/>
                <w:lang w:bidi="ar"/>
              </w:rPr>
              <w:br w:type="textWrapping"/>
            </w:r>
            <w:r>
              <w:rPr>
                <w:rFonts w:hint="default" w:ascii="Arial" w:hAnsi="Arial" w:eastAsia="宋体" w:cs="Arial"/>
                <w:kern w:val="0"/>
                <w:szCs w:val="21"/>
                <w:lang w:bidi="ar"/>
              </w:rPr>
              <w:t>9.具有定时/定质取水功能(定时：1-999min；定质：0.1-18.25MΩ.cm)</w:t>
            </w:r>
            <w:r>
              <w:rPr>
                <w:rFonts w:hint="default" w:ascii="Arial" w:hAnsi="Arial" w:eastAsia="宋体" w:cs="Arial"/>
                <w:kern w:val="0"/>
                <w:szCs w:val="21"/>
                <w:lang w:bidi="ar"/>
              </w:rPr>
              <w:br w:type="textWrapping"/>
            </w:r>
            <w:r>
              <w:rPr>
                <w:rFonts w:hint="default" w:ascii="Arial" w:hAnsi="Arial" w:eastAsia="宋体" w:cs="Arial"/>
                <w:kern w:val="0"/>
                <w:szCs w:val="21"/>
                <w:lang w:bidi="ar"/>
              </w:rPr>
              <w:t>10.工程塑料ABS机箱，人体工程学设计，水电分离结构,符合GLP规范</w:t>
            </w:r>
            <w:r>
              <w:rPr>
                <w:rFonts w:hint="default" w:ascii="Arial" w:hAnsi="Arial" w:eastAsia="宋体" w:cs="Arial"/>
                <w:kern w:val="0"/>
                <w:szCs w:val="21"/>
                <w:lang w:bidi="ar"/>
              </w:rPr>
              <w:br w:type="textWrapping"/>
            </w:r>
            <w:r>
              <w:rPr>
                <w:rFonts w:hint="default" w:ascii="Arial" w:hAnsi="Arial" w:eastAsia="宋体" w:cs="Arial"/>
                <w:kern w:val="0"/>
                <w:szCs w:val="21"/>
                <w:lang w:bidi="ar"/>
              </w:rPr>
              <w:t>11.所有管路均是全新快插式接头，滤柱更换维护更方便</w:t>
            </w:r>
            <w:r>
              <w:rPr>
                <w:rFonts w:hint="default" w:ascii="Arial" w:hAnsi="Arial" w:eastAsia="宋体" w:cs="Arial"/>
                <w:kern w:val="0"/>
                <w:szCs w:val="21"/>
                <w:lang w:bidi="ar"/>
              </w:rPr>
              <w:br w:type="textWrapping"/>
            </w:r>
            <w:r>
              <w:rPr>
                <w:rFonts w:hint="default" w:ascii="Arial" w:hAnsi="Arial" w:eastAsia="宋体" w:cs="Arial"/>
                <w:kern w:val="0"/>
                <w:szCs w:val="21"/>
                <w:lang w:bidi="ar"/>
              </w:rPr>
              <w:t>12.采用RO反渗透膜片，可实现RO 膜的长寿命、稳定性和高脱盐率的结合</w:t>
            </w:r>
            <w:r>
              <w:rPr>
                <w:rFonts w:hint="default" w:ascii="Arial" w:hAnsi="Arial" w:eastAsia="宋体" w:cs="Arial"/>
                <w:kern w:val="0"/>
                <w:szCs w:val="21"/>
                <w:lang w:bidi="ar"/>
              </w:rPr>
              <w:br w:type="textWrapping"/>
            </w:r>
            <w:r>
              <w:rPr>
                <w:rFonts w:hint="default" w:ascii="Arial" w:hAnsi="Arial" w:eastAsia="宋体" w:cs="Arial"/>
                <w:kern w:val="0"/>
                <w:szCs w:val="21"/>
                <w:lang w:bidi="ar"/>
              </w:rPr>
              <w:t>13.一次注塑成型一体化柱式预纯化柱和DI纯化柱（PP材质）</w:t>
            </w:r>
            <w:r>
              <w:rPr>
                <w:rFonts w:hint="default" w:ascii="Arial" w:hAnsi="Arial" w:eastAsia="宋体" w:cs="Arial"/>
                <w:kern w:val="0"/>
                <w:szCs w:val="21"/>
                <w:lang w:bidi="ar"/>
              </w:rPr>
              <w:br w:type="textWrapping"/>
            </w:r>
            <w:r>
              <w:rPr>
                <w:rFonts w:hint="default" w:ascii="Arial" w:hAnsi="Arial" w:eastAsia="宋体" w:cs="Arial"/>
                <w:kern w:val="0"/>
                <w:szCs w:val="21"/>
                <w:lang w:bidi="ar"/>
              </w:rPr>
              <w:t>二、具体参数</w:t>
            </w:r>
            <w:r>
              <w:rPr>
                <w:rFonts w:hint="default" w:ascii="Arial" w:hAnsi="Arial" w:eastAsia="宋体" w:cs="Arial"/>
                <w:kern w:val="0"/>
                <w:szCs w:val="21"/>
                <w:lang w:bidi="ar"/>
              </w:rPr>
              <w:br w:type="textWrapping"/>
            </w:r>
            <w:r>
              <w:rPr>
                <w:rFonts w:hint="default" w:ascii="Arial" w:hAnsi="Arial" w:eastAsia="宋体" w:cs="Arial"/>
                <w:kern w:val="0"/>
                <w:szCs w:val="21"/>
                <w:lang w:bidi="ar"/>
              </w:rPr>
              <w:t>1.系统流程：IPC+RO+DI</w:t>
            </w:r>
            <w:r>
              <w:rPr>
                <w:rFonts w:hint="default" w:ascii="Arial" w:hAnsi="Arial" w:eastAsia="宋体" w:cs="Arial"/>
                <w:kern w:val="0"/>
                <w:szCs w:val="21"/>
                <w:lang w:bidi="ar"/>
              </w:rPr>
              <w:br w:type="textWrapping"/>
            </w:r>
            <w:r>
              <w:rPr>
                <w:rFonts w:hint="default" w:ascii="Arial" w:hAnsi="Arial" w:eastAsia="宋体" w:cs="Arial"/>
                <w:kern w:val="0"/>
                <w:szCs w:val="21"/>
                <w:lang w:bidi="ar"/>
              </w:rPr>
              <w:t>2.进水要求：城市自来水：TDS&lt;200 ppm，5-45℃，1.0-4.0Kgf/cm</w:t>
            </w:r>
            <w:r>
              <w:rPr>
                <w:rFonts w:hint="default" w:ascii="Arial" w:hAnsi="Arial" w:eastAsia="宋体" w:cs="Arial"/>
                <w:kern w:val="0"/>
                <w:szCs w:val="21"/>
                <w:vertAlign w:val="superscript"/>
                <w:lang w:bidi="ar"/>
              </w:rPr>
              <w:t>2</w:t>
            </w:r>
            <w:r>
              <w:rPr>
                <w:rFonts w:hint="default" w:ascii="Arial" w:hAnsi="Arial" w:eastAsia="宋体" w:cs="Arial"/>
                <w:kern w:val="0"/>
                <w:szCs w:val="21"/>
                <w:lang w:bidi="ar"/>
              </w:rPr>
              <w:t xml:space="preserve"> (进水TDS&gt;200ppm时，建议选配外置软化器)</w:t>
            </w:r>
            <w:r>
              <w:rPr>
                <w:rFonts w:hint="default" w:ascii="Arial" w:hAnsi="Arial" w:eastAsia="宋体" w:cs="Arial"/>
                <w:kern w:val="0"/>
                <w:szCs w:val="21"/>
                <w:lang w:bidi="ar"/>
              </w:rPr>
              <w:br w:type="textWrapping"/>
            </w:r>
            <w:r>
              <w:rPr>
                <w:rFonts w:hint="default" w:ascii="Arial" w:hAnsi="Arial" w:eastAsia="宋体" w:cs="Arial"/>
                <w:kern w:val="0"/>
                <w:szCs w:val="21"/>
                <w:lang w:bidi="ar"/>
              </w:rPr>
              <w:t>3. RO纯水水质指标：无机物去除率（含各种离子）96-98％，有机物（MW&gt;100Delton）和细菌去除率 &gt;99 ％</w:t>
            </w:r>
            <w:r>
              <w:rPr>
                <w:rFonts w:hint="default" w:ascii="Arial" w:hAnsi="Arial" w:eastAsia="宋体" w:cs="Arial"/>
                <w:kern w:val="0"/>
                <w:szCs w:val="21"/>
                <w:lang w:bidi="ar"/>
              </w:rPr>
              <w:br w:type="textWrapping"/>
            </w:r>
            <w:r>
              <w:rPr>
                <w:rFonts w:hint="default" w:ascii="Arial" w:hAnsi="Arial" w:eastAsia="宋体" w:cs="Arial"/>
                <w:kern w:val="0"/>
                <w:szCs w:val="21"/>
                <w:lang w:bidi="ar"/>
              </w:rPr>
              <w:t>4. 高纯水指标：&gt;2MΩ.cm@25℃，最高10-17MΩ.cm@25℃</w:t>
            </w:r>
            <w:r>
              <w:rPr>
                <w:rFonts w:hint="default" w:ascii="Arial" w:hAnsi="Arial" w:eastAsia="宋体" w:cs="Arial"/>
                <w:kern w:val="0"/>
                <w:szCs w:val="21"/>
                <w:lang w:bidi="ar"/>
              </w:rPr>
              <w:br w:type="textWrapping"/>
            </w:r>
            <w:r>
              <w:rPr>
                <w:rFonts w:hint="default" w:ascii="Arial" w:hAnsi="Arial" w:eastAsia="宋体" w:cs="Arial"/>
                <w:kern w:val="0"/>
                <w:szCs w:val="21"/>
                <w:lang w:bidi="ar"/>
              </w:rPr>
              <w:t>5. RO产水量：30升/小时</w:t>
            </w:r>
            <w:r>
              <w:rPr>
                <w:rFonts w:hint="default" w:ascii="Arial" w:hAnsi="Arial" w:eastAsia="宋体" w:cs="Arial"/>
                <w:kern w:val="0"/>
                <w:szCs w:val="21"/>
                <w:lang w:bidi="ar"/>
              </w:rPr>
              <w:br w:type="textWrapping"/>
            </w:r>
            <w:r>
              <w:rPr>
                <w:rFonts w:hint="default" w:ascii="Arial" w:hAnsi="Arial" w:eastAsia="宋体" w:cs="Arial"/>
                <w:kern w:val="0"/>
                <w:szCs w:val="21"/>
                <w:lang w:bidi="ar"/>
              </w:rPr>
              <w:t>6. 取水流速：1.5-2.0升/分钟</w:t>
            </w:r>
            <w:r>
              <w:rPr>
                <w:rFonts w:hint="default" w:ascii="Arial" w:hAnsi="Arial" w:eastAsia="宋体" w:cs="Arial"/>
                <w:kern w:val="0"/>
                <w:szCs w:val="21"/>
                <w:lang w:bidi="ar"/>
              </w:rPr>
              <w:br w:type="textWrapping"/>
            </w:r>
            <w:r>
              <w:rPr>
                <w:rFonts w:hint="default" w:ascii="Arial" w:hAnsi="Arial" w:eastAsia="宋体" w:cs="Arial"/>
                <w:kern w:val="0"/>
                <w:szCs w:val="21"/>
                <w:lang w:bidi="ar"/>
              </w:rPr>
              <w:t>7.出水口：二个取水口：一个纯水口 和一个UP纯水口</w:t>
            </w:r>
            <w:r>
              <w:rPr>
                <w:rFonts w:hint="default" w:ascii="Arial" w:hAnsi="Arial" w:eastAsia="宋体" w:cs="Arial"/>
                <w:kern w:val="0"/>
                <w:szCs w:val="21"/>
                <w:lang w:bidi="ar"/>
              </w:rPr>
              <w:br w:type="textWrapping"/>
            </w:r>
            <w:r>
              <w:rPr>
                <w:rFonts w:hint="default" w:ascii="Arial" w:hAnsi="Arial" w:eastAsia="宋体" w:cs="Arial"/>
                <w:kern w:val="0"/>
                <w:szCs w:val="21"/>
                <w:lang w:bidi="ar"/>
              </w:rPr>
              <w:t>8.外形尺寸/重量：宽×深×高：≤470×560×620mm / ≤33.5Kg</w:t>
            </w:r>
            <w:r>
              <w:rPr>
                <w:rFonts w:hint="default" w:ascii="Arial" w:hAnsi="Arial" w:eastAsia="宋体" w:cs="Arial"/>
                <w:kern w:val="0"/>
                <w:szCs w:val="21"/>
                <w:lang w:bidi="ar"/>
              </w:rPr>
              <w:br w:type="textWrapping"/>
            </w:r>
            <w:r>
              <w:rPr>
                <w:rFonts w:hint="default" w:ascii="Arial" w:hAnsi="Arial" w:eastAsia="宋体" w:cs="Arial"/>
                <w:kern w:val="0"/>
                <w:szCs w:val="21"/>
                <w:lang w:bidi="ar"/>
              </w:rPr>
              <w:t>9.电源/功率：220V、50Hz/120W</w:t>
            </w:r>
            <w:r>
              <w:rPr>
                <w:rFonts w:hint="default" w:ascii="Arial" w:hAnsi="Arial" w:eastAsia="宋体" w:cs="Arial"/>
                <w:kern w:val="0"/>
                <w:szCs w:val="21"/>
                <w:lang w:bidi="ar"/>
              </w:rPr>
              <w:br w:type="textWrapping"/>
            </w:r>
            <w:r>
              <w:rPr>
                <w:rFonts w:hint="default" w:ascii="Arial" w:hAnsi="Arial" w:eastAsia="宋体" w:cs="Arial"/>
                <w:kern w:val="0"/>
                <w:szCs w:val="21"/>
                <w:lang w:bidi="ar"/>
              </w:rPr>
              <w:t>三．配置清单</w:t>
            </w:r>
            <w:r>
              <w:rPr>
                <w:rFonts w:hint="default" w:ascii="Arial" w:hAnsi="Arial" w:eastAsia="宋体" w:cs="Arial"/>
                <w:kern w:val="0"/>
                <w:szCs w:val="21"/>
                <w:lang w:bidi="ar"/>
              </w:rPr>
              <w:br w:type="textWrapping"/>
            </w:r>
            <w:r>
              <w:rPr>
                <w:rFonts w:hint="default" w:ascii="Arial" w:hAnsi="Arial" w:eastAsia="宋体" w:cs="Arial"/>
                <w:kern w:val="0"/>
                <w:szCs w:val="21"/>
                <w:lang w:bidi="ar"/>
              </w:rPr>
              <w:t>1. 纯水主机1台</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2. </w:t>
            </w:r>
            <w:r>
              <w:rPr>
                <w:rFonts w:hint="default" w:ascii="Arial" w:hAnsi="Arial" w:eastAsia="宋体" w:cs="Arial"/>
                <w:szCs w:val="21"/>
              </w:rPr>
              <w:t>不低于</w:t>
            </w:r>
            <w:r>
              <w:rPr>
                <w:rFonts w:hint="default" w:ascii="Arial" w:hAnsi="Arial" w:eastAsia="宋体" w:cs="Arial"/>
                <w:kern w:val="0"/>
                <w:szCs w:val="21"/>
                <w:lang w:bidi="ar"/>
              </w:rPr>
              <w:t>40升压力水桶 1个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3.安装附件包一个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4.说明书1份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2</w:t>
            </w:r>
          </w:p>
        </w:tc>
        <w:tc>
          <w:tcPr>
            <w:tcW w:w="910"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超纯水仪</w:t>
            </w:r>
          </w:p>
        </w:tc>
        <w:tc>
          <w:tcPr>
            <w:tcW w:w="583"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1</w:t>
            </w:r>
          </w:p>
        </w:tc>
        <w:tc>
          <w:tcPr>
            <w:tcW w:w="686"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一、技术参数</w:t>
            </w:r>
            <w:r>
              <w:rPr>
                <w:rFonts w:hint="default" w:ascii="Arial" w:hAnsi="Arial" w:eastAsia="宋体" w:cs="Arial"/>
                <w:kern w:val="0"/>
                <w:szCs w:val="21"/>
                <w:lang w:bidi="ar"/>
              </w:rPr>
              <w:br w:type="textWrapping"/>
            </w:r>
            <w:r>
              <w:rPr>
                <w:rFonts w:hint="default" w:ascii="Arial" w:hAnsi="Arial" w:eastAsia="宋体" w:cs="Arial"/>
                <w:kern w:val="0"/>
                <w:szCs w:val="21"/>
                <w:lang w:bidi="ar"/>
              </w:rPr>
              <w:t>1、进水条件：以纯水（反渗透水、蒸馏水、EDI水）作为进水水源。</w:t>
            </w:r>
            <w:r>
              <w:rPr>
                <w:rFonts w:hint="default" w:ascii="Arial" w:hAnsi="Arial" w:eastAsia="宋体" w:cs="Arial"/>
                <w:kern w:val="0"/>
                <w:szCs w:val="21"/>
                <w:lang w:bidi="ar"/>
              </w:rPr>
              <w:br w:type="textWrapping"/>
            </w:r>
            <w:r>
              <w:rPr>
                <w:rFonts w:hint="default" w:ascii="Arial" w:hAnsi="Arial" w:eastAsia="宋体" w:cs="Arial"/>
                <w:kern w:val="0"/>
                <w:szCs w:val="21"/>
                <w:lang w:bidi="ar"/>
              </w:rPr>
              <w:t>2、实验应用：各种精密理化分析，如高效液相色谱、质谱等；生命科学领域实验（如PCR、细胞培养、分子生物学、基因测序、蛋白纯化等）。</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3、产水水质：达到或超过各种标准中规定的I 级水质，中国2020版药典（ChP）中规定的试剂级超纯水要求：</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产水电阻率：≥18.2 MΩ.cm @ 25℃；</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TOC含量：＜2ppb（＜2μg/L）；</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颗粒（＞0.22μm）：＜1 unit/mL；</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微生物：＜0.01CFU/mL；</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致热原（内毒素）：＜0.001EU/mL；</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RNA酶：＜1pg/mL；</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DNA酶：＜5pg/mL；</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最大产水速度：≥2L/min，可连续调节，不受档位限制。</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4、纯化柱采用≥3支独立纯化柱设计，填充高分子材料合成活性</w:t>
            </w:r>
            <w:r>
              <w:rPr>
                <w:rFonts w:hint="default" w:ascii="Arial" w:hAnsi="Arial" w:eastAsia="宋体" w:cs="Arial"/>
                <w:kern w:val="0"/>
                <w:szCs w:val="21"/>
                <w:lang w:bidi="ar"/>
              </w:rPr>
              <w:t>炭，去除水中痕量有机物，电子级树脂，去除痕量离子。纯化柱具备识别芯片，系统自动识别和记录耗材；卡扣式设计，安装方便</w:t>
            </w:r>
            <w:r>
              <w:rPr>
                <w:rFonts w:hint="default" w:ascii="Arial" w:hAnsi="Arial" w:eastAsia="宋体" w:cs="Arial"/>
                <w:b/>
                <w:bCs/>
                <w:kern w:val="0"/>
                <w:szCs w:val="21"/>
                <w:lang w:bidi="ar"/>
              </w:rPr>
              <w:t>。</w:t>
            </w:r>
            <w:r>
              <w:rPr>
                <w:rFonts w:hint="default" w:ascii="Arial" w:hAnsi="Arial" w:eastAsia="宋体" w:cs="Arial"/>
                <w:b/>
                <w:bCs/>
                <w:kern w:val="0"/>
                <w:szCs w:val="21"/>
                <w:lang w:bidi="ar"/>
              </w:rPr>
              <w:br w:type="textWrapping"/>
            </w:r>
            <w:r>
              <w:rPr>
                <w:rFonts w:hint="default" w:ascii="Arial" w:hAnsi="Arial" w:eastAsia="宋体" w:cs="Arial"/>
                <w:kern w:val="0"/>
                <w:szCs w:val="21"/>
                <w:lang w:bidi="ar"/>
              </w:rPr>
              <w:t>5、供水泵具备智能反馈调节功能，可根据温度、产水水质等变化自动调节增压泵工作状态，保证系统供水速度稳定。</w:t>
            </w:r>
            <w:r>
              <w:rPr>
                <w:rFonts w:hint="default" w:ascii="Arial" w:hAnsi="Arial" w:eastAsia="宋体" w:cs="Arial"/>
                <w:kern w:val="0"/>
                <w:szCs w:val="21"/>
                <w:lang w:bidi="ar"/>
              </w:rPr>
              <w:br w:type="textWrapping"/>
            </w:r>
            <w:r>
              <w:rPr>
                <w:rFonts w:hint="default" w:ascii="Arial" w:hAnsi="Arial" w:eastAsia="宋体" w:cs="Arial"/>
                <w:kern w:val="0"/>
                <w:szCs w:val="21"/>
                <w:lang w:bidi="ar"/>
              </w:rPr>
              <w:t>6、内置≥2个高精度电导率仪，电阻池灵敏常数：≤ 0.01cm-1，温度灵敏度≤ 0.1℃，符合GB6682-2008的要求；同时监测源水电导率、超纯水电阻率；检测异常时自动报警。</w:t>
            </w:r>
            <w:r>
              <w:rPr>
                <w:rFonts w:hint="default" w:ascii="Arial" w:hAnsi="Arial" w:eastAsia="宋体" w:cs="Arial"/>
                <w:kern w:val="0"/>
                <w:szCs w:val="21"/>
                <w:lang w:bidi="ar"/>
              </w:rPr>
              <w:br w:type="textWrapping"/>
            </w:r>
            <w:r>
              <w:rPr>
                <w:rFonts w:hint="default" w:ascii="Arial" w:hAnsi="Arial" w:eastAsia="宋体" w:cs="Arial"/>
                <w:kern w:val="0"/>
                <w:szCs w:val="21"/>
                <w:lang w:bidi="ar"/>
              </w:rPr>
              <w:t>7、系统内置185/254nm双波长紫外灯，非单波长设计；254nm有效杀菌，抑菌效果好；185nm氧化有机物，有效降低TOC值。</w:t>
            </w:r>
            <w:r>
              <w:rPr>
                <w:rFonts w:hint="default" w:ascii="Arial" w:hAnsi="Arial" w:eastAsia="宋体" w:cs="Arial"/>
                <w:kern w:val="0"/>
                <w:szCs w:val="21"/>
                <w:lang w:bidi="ar"/>
              </w:rPr>
              <w:br w:type="textWrapping"/>
            </w:r>
            <w:r>
              <w:rPr>
                <w:rFonts w:hint="default" w:ascii="Arial" w:hAnsi="Arial" w:eastAsia="宋体" w:cs="Arial"/>
                <w:kern w:val="0"/>
                <w:szCs w:val="21"/>
                <w:lang w:bidi="ar"/>
              </w:rPr>
              <w:t>8、配置总有机碳（TOC）检测功能，实时显示TOC数值，具备电阻值和总有机碳值双指标同时显示。</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9、取水手臂同主机悬挂一体式设计，主机集成液晶触摸屏幕，屏幕≤5英寸，屏幕可显示：（1）原水电导率及温度、（2）超纯水电阻率及温度、（3）TOC含量等数据。供应商于</w:t>
            </w:r>
            <w:r>
              <w:rPr>
                <w:rFonts w:hint="default" w:ascii="Arial" w:hAnsi="Arial" w:eastAsia="宋体" w:cs="Arial"/>
                <w:b w:val="0"/>
                <w:bCs w:val="0"/>
                <w:kern w:val="0"/>
                <w:szCs w:val="21"/>
                <w:lang w:eastAsia="zh-CN" w:bidi="ar"/>
              </w:rPr>
              <w:t>响应文件</w:t>
            </w:r>
            <w:r>
              <w:rPr>
                <w:rFonts w:hint="default" w:ascii="Arial" w:hAnsi="Arial" w:eastAsia="宋体" w:cs="Arial"/>
                <w:b w:val="0"/>
                <w:bCs w:val="0"/>
                <w:kern w:val="0"/>
                <w:szCs w:val="21"/>
                <w:lang w:bidi="ar"/>
              </w:rPr>
              <w:t>中提供（1）（2）（3）项彩页资料或官网截图等相关证明材料复印件并加盖供应商公章</w:t>
            </w:r>
            <w:r>
              <w:rPr>
                <w:rFonts w:hint="default" w:ascii="Arial" w:hAnsi="Arial" w:eastAsia="宋体" w:cs="Arial"/>
                <w:b w:val="0"/>
                <w:bCs w:val="0"/>
                <w:kern w:val="0"/>
                <w:szCs w:val="21"/>
                <w:lang w:eastAsia="zh-CN" w:bidi="ar"/>
              </w:rPr>
              <w:t>。</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10、取水手臂辅助磁吸设计，灵活拿取；手臂取水流速0-2L/min，无级变速，逐滴取水-100%可调，不受档位限制。</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11、三种取水功能选择：手柄按键取水：单击按键取水，无需长按，方便快捷；定量取水：0.01-100L，人性化设置，可中断操作；标配脚踏取水开关，解放双手，适应多种取水环境。</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12、设备提供中英俄等多种语言显示，三级权限管理：操作者、管理员、工程师。</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13、云端物联网功能，用户可通过手机或电脑实时查看水机运行状况，支持WiFi和数据两种模式。所有水质参数与水机实时同步，用户以短信或公众号方式接收报警信息；耗材到期远程预警功能；具有远程诊断功能，可以通过云端，远程诊断水机故障，及时解决。</w:t>
            </w:r>
            <w:r>
              <w:rPr>
                <w:rFonts w:hint="default" w:ascii="Arial" w:hAnsi="Arial" w:eastAsia="宋体" w:cs="Arial"/>
                <w:b w:val="0"/>
                <w:bCs w:val="0"/>
                <w:szCs w:val="21"/>
              </w:rPr>
              <w:t>供应商于</w:t>
            </w:r>
            <w:r>
              <w:rPr>
                <w:rFonts w:hint="default" w:ascii="Arial" w:hAnsi="Arial" w:eastAsia="宋体" w:cs="Arial"/>
                <w:b w:val="0"/>
                <w:bCs w:val="0"/>
                <w:szCs w:val="21"/>
                <w:lang w:eastAsia="zh-CN"/>
              </w:rPr>
              <w:t>响应文件</w:t>
            </w:r>
            <w:r>
              <w:rPr>
                <w:rFonts w:hint="default" w:ascii="Arial" w:hAnsi="Arial" w:eastAsia="宋体" w:cs="Arial"/>
                <w:b w:val="0"/>
                <w:bCs w:val="0"/>
                <w:szCs w:val="21"/>
              </w:rPr>
              <w:t>中提供彩页资料或官网截图等相关材料复印件并加盖供应商公章</w:t>
            </w:r>
            <w:r>
              <w:rPr>
                <w:rFonts w:hint="default" w:ascii="Arial" w:hAnsi="Arial" w:eastAsia="宋体" w:cs="Arial"/>
                <w:b w:val="0"/>
                <w:bCs w:val="0"/>
                <w:kern w:val="0"/>
                <w:szCs w:val="21"/>
                <w:lang w:bidi="ar"/>
              </w:rPr>
              <w:t>。</w:t>
            </w:r>
            <w:r>
              <w:rPr>
                <w:rFonts w:hint="default" w:ascii="Arial" w:hAnsi="Arial" w:eastAsia="宋体" w:cs="Arial"/>
                <w:b/>
                <w:bCs/>
                <w:kern w:val="0"/>
                <w:szCs w:val="21"/>
                <w:lang w:bidi="ar"/>
              </w:rPr>
              <w:br w:type="textWrapping"/>
            </w:r>
            <w:r>
              <w:rPr>
                <w:rFonts w:hint="default" w:ascii="Arial" w:hAnsi="Arial" w:eastAsia="宋体" w:cs="Arial"/>
                <w:kern w:val="0"/>
                <w:szCs w:val="21"/>
                <w:lang w:bidi="ar"/>
              </w:rPr>
              <w:t>14、主机与云端双备份数据存储，用户可通过云端下载数据报表，也可通过U盘实时导出，信息存储≥60万条；用户还可自己设置子账号，方便管理；预留接口可直接对接实验室LIMS系统。</w:t>
            </w:r>
            <w:r>
              <w:rPr>
                <w:rFonts w:hint="default" w:ascii="Arial" w:hAnsi="Arial" w:eastAsia="宋体" w:cs="Arial"/>
                <w:kern w:val="0"/>
                <w:szCs w:val="21"/>
                <w:lang w:bidi="ar"/>
              </w:rPr>
              <w:br w:type="textWrapping"/>
            </w:r>
            <w:r>
              <w:rPr>
                <w:rFonts w:hint="default" w:ascii="Arial" w:hAnsi="Arial" w:eastAsia="宋体" w:cs="Arial"/>
                <w:kern w:val="0"/>
                <w:szCs w:val="21"/>
                <w:lang w:bidi="ar"/>
              </w:rPr>
              <w:t>15、标配双位点漏水检测器，精准识别触水点，区分水源与仪器风险，保证整个实验室安全；智能程序控制，根据运行状态自动启停，无需人工。</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16、可同品牌升级痕量离子去除装置，离子含量达到ppt及亚ppt级（ICP-MS专用）。</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17、可选择安装≥5种同品牌专用终端滤器,保证水质满足多种实验室应用要求：</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生产无颗粒无细菌的0.22+0.45微米的微孔过滤器；</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除热源和核酸酶污染物过滤器；</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无内分泌干扰污染物终端过滤器；</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超低有机物型终端过滤器，产水TOC≤1ppb；</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超低挥发性有机物型终端过滤器，产水苯≤0.05ppb，一溴二氯甲烷≤0.05ppb。</w:t>
            </w:r>
            <w:r>
              <w:rPr>
                <w:rFonts w:hint="default" w:ascii="Arial" w:hAnsi="Arial" w:eastAsia="宋体" w:cs="Arial"/>
                <w:b w:val="0"/>
                <w:bCs w:val="0"/>
                <w:kern w:val="0"/>
                <w:szCs w:val="21"/>
                <w:lang w:bidi="ar"/>
              </w:rPr>
              <w:br w:type="textWrapping"/>
            </w:r>
            <w:r>
              <w:rPr>
                <w:rFonts w:hint="default" w:ascii="Arial" w:hAnsi="Arial" w:eastAsia="宋体" w:cs="Arial"/>
                <w:kern w:val="0"/>
                <w:szCs w:val="21"/>
                <w:lang w:bidi="ar"/>
              </w:rPr>
              <w:t>二、主要配置清单</w:t>
            </w:r>
            <w:r>
              <w:rPr>
                <w:rFonts w:hint="default" w:ascii="Arial" w:hAnsi="Arial" w:eastAsia="宋体" w:cs="Arial"/>
                <w:kern w:val="0"/>
                <w:szCs w:val="21"/>
                <w:lang w:bidi="ar"/>
              </w:rPr>
              <w:br w:type="textWrapping"/>
            </w:r>
            <w:r>
              <w:rPr>
                <w:rFonts w:hint="default" w:ascii="Arial" w:hAnsi="Arial" w:eastAsia="宋体" w:cs="Arial"/>
                <w:kern w:val="0"/>
                <w:szCs w:val="21"/>
                <w:lang w:bidi="ar"/>
              </w:rPr>
              <w:t>1、主机（内置TOC检测模块）：1套。</w:t>
            </w:r>
            <w:r>
              <w:rPr>
                <w:rFonts w:hint="default" w:ascii="Arial" w:hAnsi="Arial" w:eastAsia="宋体" w:cs="Arial"/>
                <w:kern w:val="0"/>
                <w:szCs w:val="21"/>
                <w:lang w:bidi="ar"/>
              </w:rPr>
              <w:br w:type="textWrapping"/>
            </w:r>
            <w:r>
              <w:rPr>
                <w:rFonts w:hint="default" w:ascii="Arial" w:hAnsi="Arial" w:eastAsia="宋体" w:cs="Arial"/>
                <w:kern w:val="0"/>
                <w:szCs w:val="21"/>
                <w:lang w:bidi="ar"/>
              </w:rPr>
              <w:t>2、取水手臂：1个。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3、漏水检测器：1个。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4、纯化柱：1个。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5、智能控制系统：1个。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6、云端控制系统：1个。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3</w:t>
            </w:r>
          </w:p>
        </w:tc>
        <w:tc>
          <w:tcPr>
            <w:tcW w:w="910"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多功能成像系统</w:t>
            </w:r>
          </w:p>
        </w:tc>
        <w:tc>
          <w:tcPr>
            <w:tcW w:w="583"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1</w:t>
            </w:r>
          </w:p>
        </w:tc>
        <w:tc>
          <w:tcPr>
            <w:tcW w:w="686"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b w:val="0"/>
                <w:bCs w:val="0"/>
                <w:kern w:val="0"/>
                <w:szCs w:val="21"/>
                <w:lang w:bidi="ar"/>
              </w:rPr>
              <w:t>1.数码CCD：高分辨率低照度数码制冷CCD芯片</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2.镜头：F/0.80, 4/3英寸高清晰大口径高通透电动镜头，可通过软件进行自动对焦</w:t>
            </w:r>
            <w:r>
              <w:rPr>
                <w:rFonts w:hint="default" w:ascii="Arial" w:hAnsi="Arial" w:eastAsia="宋体" w:cs="Arial"/>
                <w:b w:val="0"/>
                <w:bCs w:val="0"/>
                <w:kern w:val="0"/>
                <w:szCs w:val="21"/>
                <w:lang w:bidi="ar"/>
              </w:rPr>
              <w:br w:type="textWrapping"/>
            </w:r>
            <w:r>
              <w:rPr>
                <w:rFonts w:hint="default" w:ascii="Arial" w:hAnsi="Arial" w:eastAsia="宋体" w:cs="Arial"/>
                <w:kern w:val="0"/>
                <w:szCs w:val="21"/>
                <w:lang w:bidi="ar"/>
              </w:rPr>
              <w:t>3.冷却方式：三级半导体制冷</w:t>
            </w:r>
            <w:r>
              <w:rPr>
                <w:rFonts w:hint="default" w:ascii="Arial" w:hAnsi="Arial" w:eastAsia="宋体" w:cs="Arial"/>
                <w:kern w:val="0"/>
                <w:szCs w:val="21"/>
                <w:lang w:bidi="ar"/>
              </w:rPr>
              <w:br w:type="textWrapping"/>
            </w:r>
            <w:r>
              <w:rPr>
                <w:rFonts w:hint="default" w:ascii="Arial" w:hAnsi="Arial" w:eastAsia="宋体" w:cs="Arial"/>
                <w:kern w:val="0"/>
                <w:szCs w:val="21"/>
                <w:lang w:bidi="ar"/>
              </w:rPr>
              <w:t>4.冷却温度：低于环境温度65℃（绝对温度-45℃，动态可调实时显示CCD制冷温度）</w:t>
            </w:r>
            <w:r>
              <w:rPr>
                <w:rFonts w:hint="default" w:ascii="Arial" w:hAnsi="Arial" w:eastAsia="宋体" w:cs="Arial"/>
                <w:kern w:val="0"/>
                <w:szCs w:val="21"/>
                <w:lang w:bidi="ar"/>
              </w:rPr>
              <w:br w:type="textWrapping"/>
            </w:r>
            <w:r>
              <w:rPr>
                <w:rFonts w:hint="default" w:ascii="Arial" w:hAnsi="Arial" w:eastAsia="宋体" w:cs="Arial"/>
                <w:kern w:val="0"/>
                <w:szCs w:val="21"/>
                <w:lang w:bidi="ar"/>
              </w:rPr>
              <w:t>5.有效像素：2750 X 2200(605万像素)</w:t>
            </w:r>
            <w:r>
              <w:rPr>
                <w:rFonts w:hint="default" w:ascii="Arial" w:hAnsi="Arial" w:eastAsia="宋体" w:cs="Arial"/>
                <w:kern w:val="0"/>
                <w:szCs w:val="21"/>
                <w:lang w:bidi="ar"/>
              </w:rPr>
              <w:br w:type="textWrapping"/>
            </w:r>
            <w:r>
              <w:rPr>
                <w:rFonts w:hint="default" w:ascii="Arial" w:hAnsi="Arial" w:eastAsia="宋体" w:cs="Arial"/>
                <w:kern w:val="0"/>
                <w:szCs w:val="21"/>
                <w:lang w:bidi="ar"/>
              </w:rPr>
              <w:t>6.CCD传感器大小：</w:t>
            </w:r>
            <w:r>
              <w:rPr>
                <w:rFonts w:hint="default" w:ascii="Arial" w:hAnsi="Arial" w:eastAsia="宋体" w:cs="Arial"/>
                <w:szCs w:val="21"/>
              </w:rPr>
              <w:t>≥</w:t>
            </w:r>
            <w:r>
              <w:rPr>
                <w:rFonts w:hint="default" w:ascii="Arial" w:hAnsi="Arial" w:eastAsia="宋体" w:cs="Arial"/>
                <w:kern w:val="0"/>
                <w:szCs w:val="21"/>
                <w:lang w:bidi="ar"/>
              </w:rPr>
              <w:t>15.2mmx15.2mm</w:t>
            </w:r>
            <w:r>
              <w:rPr>
                <w:rFonts w:hint="default" w:ascii="Arial" w:hAnsi="Arial" w:eastAsia="宋体" w:cs="Arial"/>
                <w:kern w:val="0"/>
                <w:szCs w:val="21"/>
                <w:lang w:bidi="ar"/>
              </w:rPr>
              <w:br w:type="textWrapping"/>
            </w:r>
            <w:r>
              <w:rPr>
                <w:rFonts w:hint="default" w:ascii="Arial" w:hAnsi="Arial" w:eastAsia="宋体" w:cs="Arial"/>
                <w:kern w:val="0"/>
                <w:szCs w:val="21"/>
                <w:lang w:bidi="ar"/>
              </w:rPr>
              <w:t>7.光量子效率：CCD芯片光电转换效率：High Qe：≥80%</w:t>
            </w:r>
            <w:r>
              <w:rPr>
                <w:rFonts w:hint="default" w:ascii="Arial" w:hAnsi="Arial" w:eastAsia="宋体" w:cs="Arial"/>
                <w:kern w:val="0"/>
                <w:szCs w:val="21"/>
                <w:lang w:bidi="ar"/>
              </w:rPr>
              <w:br w:type="textWrapping"/>
            </w:r>
            <w:r>
              <w:rPr>
                <w:rFonts w:hint="default" w:ascii="Arial" w:hAnsi="Arial" w:eastAsia="宋体" w:cs="Arial"/>
                <w:kern w:val="0"/>
                <w:szCs w:val="21"/>
                <w:lang w:bidi="ar"/>
              </w:rPr>
              <w:t>8.CCD暗电流：&lt; 0.0005 e-/pixel/sec@-45ºC</w:t>
            </w:r>
            <w:r>
              <w:rPr>
                <w:rFonts w:hint="default" w:ascii="Arial" w:hAnsi="Arial" w:eastAsia="宋体" w:cs="Arial"/>
                <w:kern w:val="0"/>
                <w:szCs w:val="21"/>
                <w:lang w:bidi="ar"/>
              </w:rPr>
              <w:br w:type="textWrapping"/>
            </w:r>
            <w:r>
              <w:rPr>
                <w:rFonts w:hint="default" w:ascii="Arial" w:hAnsi="Arial" w:eastAsia="宋体" w:cs="Arial"/>
                <w:kern w:val="0"/>
                <w:szCs w:val="21"/>
                <w:lang w:bidi="ar"/>
              </w:rPr>
              <w:t>9.数据位数：≥16 bit（0-65536灰阶）</w:t>
            </w:r>
            <w:r>
              <w:rPr>
                <w:rFonts w:hint="default" w:ascii="Arial" w:hAnsi="Arial" w:eastAsia="宋体" w:cs="Arial"/>
                <w:kern w:val="0"/>
                <w:szCs w:val="21"/>
                <w:lang w:bidi="ar"/>
              </w:rPr>
              <w:br w:type="textWrapping"/>
            </w:r>
            <w:r>
              <w:rPr>
                <w:rFonts w:hint="default" w:ascii="Arial" w:hAnsi="Arial" w:eastAsia="宋体" w:cs="Arial"/>
                <w:kern w:val="0"/>
                <w:szCs w:val="21"/>
                <w:lang w:bidi="ar"/>
              </w:rPr>
              <w:t>10.像素点大小：≥6.45μm×6.45μm</w:t>
            </w:r>
            <w:r>
              <w:rPr>
                <w:rFonts w:hint="default" w:ascii="Arial" w:hAnsi="Arial" w:eastAsia="宋体" w:cs="Arial"/>
                <w:kern w:val="0"/>
                <w:szCs w:val="21"/>
                <w:lang w:bidi="ar"/>
              </w:rPr>
              <w:br w:type="textWrapping"/>
            </w:r>
            <w:r>
              <w:rPr>
                <w:rFonts w:hint="default" w:ascii="Arial" w:hAnsi="Arial" w:eastAsia="宋体" w:cs="Arial"/>
                <w:kern w:val="0"/>
                <w:szCs w:val="21"/>
                <w:lang w:bidi="ar"/>
              </w:rPr>
              <w:t>11.动态范围：</w:t>
            </w:r>
            <w:r>
              <w:rPr>
                <w:rFonts w:hint="default" w:ascii="Arial" w:hAnsi="Arial" w:eastAsia="宋体" w:cs="Arial"/>
                <w:szCs w:val="21"/>
              </w:rPr>
              <w:t>≥</w:t>
            </w:r>
            <w:r>
              <w:rPr>
                <w:rFonts w:hint="default" w:ascii="Arial" w:hAnsi="Arial" w:eastAsia="宋体" w:cs="Arial"/>
                <w:kern w:val="0"/>
                <w:szCs w:val="21"/>
                <w:lang w:bidi="ar"/>
              </w:rPr>
              <w:t>4.6个数量级</w:t>
            </w:r>
            <w:r>
              <w:rPr>
                <w:rFonts w:hint="default" w:ascii="Arial" w:hAnsi="Arial" w:eastAsia="宋体" w:cs="Arial"/>
                <w:kern w:val="0"/>
                <w:szCs w:val="21"/>
                <w:lang w:bidi="ar"/>
              </w:rPr>
              <w:br w:type="textWrapping"/>
            </w:r>
            <w:r>
              <w:rPr>
                <w:rFonts w:hint="default" w:ascii="Arial" w:hAnsi="Arial" w:eastAsia="宋体" w:cs="Arial"/>
                <w:kern w:val="0"/>
                <w:szCs w:val="21"/>
                <w:lang w:bidi="ar"/>
              </w:rPr>
              <w:t>12.信噪：≤40.5dB</w:t>
            </w:r>
            <w:r>
              <w:rPr>
                <w:rFonts w:hint="default" w:ascii="Arial" w:hAnsi="Arial" w:eastAsia="宋体" w:cs="Arial"/>
                <w:kern w:val="0"/>
                <w:szCs w:val="21"/>
                <w:lang w:bidi="ar"/>
              </w:rPr>
              <w:br w:type="textWrapping"/>
            </w:r>
            <w:r>
              <w:rPr>
                <w:rFonts w:hint="default" w:ascii="Arial" w:hAnsi="Arial" w:eastAsia="宋体" w:cs="Arial"/>
                <w:kern w:val="0"/>
                <w:szCs w:val="21"/>
                <w:lang w:bidi="ar"/>
              </w:rPr>
              <w:t>13.像数整合：≥1×1，2×2, 4×4，6×6,8×8</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14.拍摄模式：一键拍摄，无需揣摩曝光时间,一键完成western blot结果成像；一次拍摄无需任何操作即可将marker图像与化学发光图像自动叠加并且自动生成三种不同效果的化学发光图像</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15.图片导出模式：4种导出模式（U盘，无线网络，无线蓝牙，白板+APP手机传输）</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16.紫外：透射紫外（可选配透射蓝光）</w:t>
            </w:r>
            <w:r>
              <w:rPr>
                <w:rFonts w:hint="default" w:ascii="Arial" w:hAnsi="Arial" w:eastAsia="宋体" w:cs="Arial"/>
                <w:b/>
                <w:bCs/>
                <w:kern w:val="0"/>
                <w:szCs w:val="21"/>
                <w:lang w:bidi="ar"/>
              </w:rPr>
              <w:br w:type="textWrapping"/>
            </w:r>
            <w:r>
              <w:rPr>
                <w:rFonts w:hint="default" w:ascii="Arial" w:hAnsi="Arial" w:eastAsia="宋体" w:cs="Arial"/>
                <w:kern w:val="0"/>
                <w:szCs w:val="21"/>
                <w:lang w:bidi="ar"/>
              </w:rPr>
              <w:t>17.三色荧光：红、绿、蓝反射激发光源，可实现Cy2、Cy3、Cy5等多色荧光的拍摄。图像条带伪彩色，加入模拟滤镜的参数后，灰色条带还原成彩色条带</w:t>
            </w:r>
            <w:r>
              <w:rPr>
                <w:rFonts w:hint="default" w:ascii="Arial" w:hAnsi="Arial" w:eastAsia="宋体" w:cs="Arial"/>
                <w:kern w:val="0"/>
                <w:szCs w:val="21"/>
                <w:lang w:bidi="ar"/>
              </w:rPr>
              <w:br w:type="textWrapping"/>
            </w:r>
            <w:r>
              <w:rPr>
                <w:rFonts w:hint="default" w:ascii="Arial" w:hAnsi="Arial" w:eastAsia="宋体" w:cs="Arial"/>
                <w:kern w:val="0"/>
                <w:szCs w:val="21"/>
                <w:lang w:bidi="ar"/>
              </w:rPr>
              <w:t>18.辅助光源 透射：LED白光板; 双侧反射：反射白光灯（冷光）可通过计算机对透射和反射白光灯进行强度调整</w:t>
            </w:r>
            <w:r>
              <w:rPr>
                <w:rFonts w:hint="default" w:ascii="Arial" w:hAnsi="Arial" w:eastAsia="宋体" w:cs="Arial"/>
                <w:kern w:val="0"/>
                <w:szCs w:val="21"/>
                <w:lang w:bidi="ar"/>
              </w:rPr>
              <w:br w:type="textWrapping"/>
            </w:r>
            <w:r>
              <w:rPr>
                <w:rFonts w:hint="default" w:ascii="Arial" w:hAnsi="Arial" w:eastAsia="宋体" w:cs="Arial"/>
                <w:kern w:val="0"/>
                <w:szCs w:val="21"/>
                <w:lang w:bidi="ar"/>
              </w:rPr>
              <w:t>19.快门控制：电子快门</w:t>
            </w:r>
            <w:r>
              <w:rPr>
                <w:rFonts w:hint="default" w:ascii="Arial" w:hAnsi="Arial" w:eastAsia="宋体" w:cs="Arial"/>
                <w:kern w:val="0"/>
                <w:szCs w:val="21"/>
                <w:lang w:bidi="ar"/>
              </w:rPr>
              <w:br w:type="textWrapping"/>
            </w:r>
            <w:r>
              <w:rPr>
                <w:rFonts w:hint="default" w:ascii="Arial" w:hAnsi="Arial" w:eastAsia="宋体" w:cs="Arial"/>
                <w:kern w:val="0"/>
                <w:szCs w:val="21"/>
                <w:lang w:bidi="ar"/>
              </w:rPr>
              <w:t>20.接口：标准C接口</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21.控制：高度程序化电脑控制暗箱 </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22.定时关机：1-60分钟定时关机功能  </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23.变焦：全自动光学对焦，无需手动调整，标配抽屉式四位载物平台，可兼容拍摄各种厚度的样品</w:t>
            </w:r>
            <w:r>
              <w:rPr>
                <w:rFonts w:hint="default" w:ascii="Arial" w:hAnsi="Arial" w:eastAsia="宋体" w:cs="Arial"/>
                <w:kern w:val="0"/>
                <w:szCs w:val="21"/>
                <w:lang w:bidi="ar"/>
              </w:rPr>
              <w:br w:type="textWrapping"/>
            </w:r>
            <w:r>
              <w:rPr>
                <w:rFonts w:hint="default" w:ascii="Arial" w:hAnsi="Arial" w:eastAsia="宋体" w:cs="Arial"/>
                <w:kern w:val="0"/>
                <w:szCs w:val="21"/>
                <w:lang w:bidi="ar"/>
              </w:rPr>
              <w:t>24.拍摄面积：紫外：</w:t>
            </w:r>
            <w:r>
              <w:rPr>
                <w:rFonts w:hint="default" w:ascii="Arial" w:hAnsi="Arial" w:eastAsia="宋体" w:cs="Arial"/>
                <w:szCs w:val="21"/>
              </w:rPr>
              <w:t>≥</w:t>
            </w:r>
            <w:r>
              <w:rPr>
                <w:rFonts w:hint="default" w:ascii="Arial" w:hAnsi="Arial" w:eastAsia="宋体" w:cs="Arial"/>
                <w:kern w:val="0"/>
                <w:szCs w:val="21"/>
                <w:lang w:bidi="ar"/>
              </w:rPr>
              <w:t>18×18cm 白光：</w:t>
            </w:r>
            <w:r>
              <w:rPr>
                <w:rFonts w:hint="default" w:ascii="Arial" w:hAnsi="Arial" w:eastAsia="宋体" w:cs="Arial"/>
                <w:szCs w:val="21"/>
              </w:rPr>
              <w:t>≥</w:t>
            </w:r>
            <w:r>
              <w:rPr>
                <w:rFonts w:hint="default" w:ascii="Arial" w:hAnsi="Arial" w:eastAsia="宋体" w:cs="Arial"/>
                <w:kern w:val="0"/>
                <w:szCs w:val="21"/>
                <w:lang w:bidi="ar"/>
              </w:rPr>
              <w:t>16×16cm蓝光：</w:t>
            </w:r>
            <w:r>
              <w:rPr>
                <w:rFonts w:hint="default" w:ascii="Arial" w:hAnsi="Arial" w:eastAsia="宋体" w:cs="Arial"/>
                <w:szCs w:val="21"/>
              </w:rPr>
              <w:t>≥</w:t>
            </w:r>
            <w:r>
              <w:rPr>
                <w:rFonts w:hint="default" w:ascii="Arial" w:hAnsi="Arial" w:eastAsia="宋体" w:cs="Arial"/>
                <w:kern w:val="0"/>
                <w:szCs w:val="21"/>
                <w:lang w:bidi="ar"/>
              </w:rPr>
              <w:t>16×16cm (特殊规格可定制)</w:t>
            </w:r>
            <w:r>
              <w:rPr>
                <w:rFonts w:hint="default" w:ascii="Arial" w:hAnsi="Arial" w:eastAsia="宋体" w:cs="Arial"/>
                <w:kern w:val="0"/>
                <w:szCs w:val="21"/>
                <w:lang w:bidi="ar"/>
              </w:rPr>
              <w:br w:type="textWrapping"/>
            </w:r>
            <w:r>
              <w:rPr>
                <w:rFonts w:hint="default" w:ascii="Arial" w:hAnsi="Arial" w:eastAsia="宋体" w:cs="Arial"/>
                <w:kern w:val="0"/>
                <w:szCs w:val="21"/>
                <w:lang w:bidi="ar"/>
              </w:rPr>
              <w:t>25.图像调整：提供几种不同灰阶范围的显示效果，且能手动调整,如在调整条带亮度时,背景是不会产生变化,只增加条带的亮度，在调整背景亮度时条带的亮度是不会产生变化的。</w:t>
            </w:r>
            <w:r>
              <w:rPr>
                <w:rFonts w:hint="default" w:ascii="Arial" w:hAnsi="Arial" w:eastAsia="宋体" w:cs="Arial"/>
                <w:kern w:val="0"/>
                <w:szCs w:val="21"/>
                <w:lang w:bidi="ar"/>
              </w:rPr>
              <w:br w:type="textWrapping"/>
            </w:r>
            <w:r>
              <w:rPr>
                <w:rFonts w:hint="default" w:ascii="Arial" w:hAnsi="Arial" w:eastAsia="宋体" w:cs="Arial"/>
                <w:kern w:val="0"/>
                <w:szCs w:val="21"/>
                <w:lang w:bidi="ar"/>
              </w:rPr>
              <w:t>26.图像格式：拍摄完成后自动生成TIF文件格式,并能自定义文件格式,文件格式富含原始数据信息（如：曝光时间、拍摄日期、拍摄时间等）不可修改,拍摄的所有图像，采集界面以窗口形式显示，方便查找、浏览</w:t>
            </w:r>
            <w:r>
              <w:rPr>
                <w:rFonts w:hint="default" w:ascii="Arial" w:hAnsi="Arial" w:eastAsia="宋体" w:cs="Arial"/>
                <w:kern w:val="0"/>
                <w:szCs w:val="21"/>
                <w:lang w:bidi="ar"/>
              </w:rPr>
              <w:br w:type="textWrapping"/>
            </w:r>
            <w:r>
              <w:rPr>
                <w:rFonts w:hint="default" w:ascii="Arial" w:hAnsi="Arial" w:eastAsia="宋体" w:cs="Arial"/>
                <w:kern w:val="0"/>
                <w:szCs w:val="21"/>
                <w:lang w:bidi="ar"/>
              </w:rPr>
              <w:t>27.荧光光源：365nm, 395nm, 460nm, 490nm, 530nm, 630nm</w:t>
            </w:r>
            <w:r>
              <w:rPr>
                <w:rFonts w:hint="default" w:ascii="Arial" w:hAnsi="Arial" w:eastAsia="宋体" w:cs="Arial"/>
                <w:kern w:val="0"/>
                <w:szCs w:val="21"/>
                <w:lang w:bidi="ar"/>
              </w:rPr>
              <w:br w:type="textWrapping"/>
            </w:r>
            <w:r>
              <w:rPr>
                <w:rFonts w:hint="default" w:ascii="Arial" w:hAnsi="Arial" w:eastAsia="宋体" w:cs="Arial"/>
                <w:kern w:val="0"/>
                <w:szCs w:val="21"/>
                <w:lang w:bidi="ar"/>
              </w:rPr>
              <w:t>28.滤镜镜片：标配590nm（EB/Gel Red/Biosafe/Gelsafe），可选配535nm、605nm、699nm波长</w:t>
            </w:r>
            <w:r>
              <w:rPr>
                <w:rFonts w:hint="default" w:ascii="Arial" w:hAnsi="Arial" w:eastAsia="宋体" w:cs="Arial"/>
                <w:kern w:val="0"/>
                <w:szCs w:val="21"/>
                <w:lang w:bidi="ar"/>
              </w:rPr>
              <w:br w:type="textWrapping"/>
            </w:r>
            <w:r>
              <w:rPr>
                <w:rFonts w:hint="default" w:ascii="Arial" w:hAnsi="Arial" w:eastAsia="宋体" w:cs="Arial"/>
                <w:kern w:val="0"/>
                <w:szCs w:val="21"/>
                <w:lang w:bidi="ar"/>
              </w:rPr>
              <w:t>29.滤光镜片位置：</w:t>
            </w:r>
            <w:r>
              <w:rPr>
                <w:rFonts w:hint="default" w:ascii="Arial" w:hAnsi="Arial" w:eastAsia="宋体" w:cs="Arial"/>
                <w:szCs w:val="21"/>
              </w:rPr>
              <w:t>≥</w:t>
            </w:r>
            <w:r>
              <w:rPr>
                <w:rFonts w:hint="default" w:ascii="Arial" w:hAnsi="Arial" w:eastAsia="宋体" w:cs="Arial"/>
                <w:kern w:val="0"/>
                <w:szCs w:val="21"/>
                <w:lang w:bidi="ar"/>
              </w:rPr>
              <w:t>8位电脑控制自动定位滤光片轮</w:t>
            </w:r>
            <w:r>
              <w:rPr>
                <w:rFonts w:hint="default" w:ascii="Arial" w:hAnsi="Arial" w:eastAsia="宋体" w:cs="Arial"/>
                <w:kern w:val="0"/>
                <w:szCs w:val="21"/>
                <w:lang w:bidi="ar"/>
              </w:rPr>
              <w:br w:type="textWrapping"/>
            </w:r>
            <w:r>
              <w:rPr>
                <w:rFonts w:hint="default" w:ascii="Arial" w:hAnsi="Arial" w:eastAsia="宋体" w:cs="Arial"/>
                <w:kern w:val="0"/>
                <w:szCs w:val="21"/>
                <w:lang w:bidi="ar"/>
              </w:rPr>
              <w:t>31.外观尺寸：≤长39CM×宽35CM×高59CM</w:t>
            </w:r>
            <w:r>
              <w:rPr>
                <w:rFonts w:hint="default" w:ascii="Arial" w:hAnsi="Arial" w:eastAsia="宋体" w:cs="Arial"/>
                <w:kern w:val="0"/>
                <w:szCs w:val="21"/>
                <w:lang w:bidi="ar"/>
              </w:rPr>
              <w:br w:type="textWrapping"/>
            </w:r>
            <w:r>
              <w:rPr>
                <w:rFonts w:hint="default" w:ascii="Arial" w:hAnsi="Arial" w:eastAsia="宋体" w:cs="Arial"/>
                <w:kern w:val="0"/>
                <w:szCs w:val="21"/>
                <w:lang w:bidi="ar"/>
              </w:rPr>
              <w:t>32.应用范围：化学发光检测Western Lightning、 ECL、ECL plus、CDP Star、SuperSignal、CSPD、 LumiGlo、植物活体成像等发光底物；可用于DNA/RNA凝胶、蛋白质凝胶、印迹杂交膜放射自显影胶牌、酶标板、薄层层析板、培养皿的成像及分析</w:t>
            </w:r>
            <w:r>
              <w:rPr>
                <w:rFonts w:hint="default" w:ascii="Arial" w:hAnsi="Arial" w:eastAsia="宋体" w:cs="Arial"/>
                <w:kern w:val="0"/>
                <w:szCs w:val="21"/>
                <w:lang w:bidi="ar"/>
              </w:rPr>
              <w:br w:type="textWrapping"/>
            </w:r>
            <w:r>
              <w:rPr>
                <w:rFonts w:hint="default" w:ascii="Arial" w:hAnsi="Arial" w:eastAsia="宋体" w:cs="Arial"/>
                <w:kern w:val="0"/>
                <w:szCs w:val="21"/>
                <w:lang w:bidi="ar"/>
              </w:rPr>
              <w:t>33.分析软件：专业凝胶图像分析软，专业凝胶图像采集软件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4</w:t>
            </w:r>
          </w:p>
        </w:tc>
        <w:tc>
          <w:tcPr>
            <w:tcW w:w="910"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二氧化碳培养箱</w:t>
            </w:r>
          </w:p>
        </w:tc>
        <w:tc>
          <w:tcPr>
            <w:tcW w:w="583"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3</w:t>
            </w:r>
          </w:p>
        </w:tc>
        <w:tc>
          <w:tcPr>
            <w:tcW w:w="686" w:type="dxa"/>
            <w:noWrap w:val="0"/>
            <w:vAlign w:val="center"/>
          </w:tcPr>
          <w:p>
            <w:pPr>
              <w:widowControl/>
              <w:jc w:val="center"/>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szCs w:val="21"/>
                <w:highlight w:val="none"/>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b w:val="0"/>
                <w:bCs w:val="0"/>
                <w:color w:val="auto"/>
                <w:szCs w:val="21"/>
                <w:highlight w:val="none"/>
              </w:rPr>
            </w:pPr>
            <w:r>
              <w:rPr>
                <w:rFonts w:hint="default" w:ascii="Arial" w:hAnsi="Arial" w:eastAsia="宋体" w:cs="Arial"/>
                <w:b w:val="0"/>
                <w:bCs w:val="0"/>
                <w:kern w:val="0"/>
                <w:szCs w:val="21"/>
                <w:lang w:bidi="ar"/>
              </w:rPr>
              <w:t>1、直热气套式；</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2、有效容积160-180升直热气套式CO</w:t>
            </w:r>
            <w:r>
              <w:rPr>
                <w:rFonts w:hint="default" w:ascii="Arial" w:hAnsi="Arial" w:eastAsia="宋体" w:cs="Arial"/>
                <w:b w:val="0"/>
                <w:bCs w:val="0"/>
                <w:kern w:val="0"/>
                <w:szCs w:val="21"/>
                <w:vertAlign w:val="subscript"/>
                <w:lang w:bidi="ar"/>
              </w:rPr>
              <w:t>2</w:t>
            </w:r>
            <w:r>
              <w:rPr>
                <w:rFonts w:hint="default" w:ascii="Arial" w:hAnsi="Arial" w:eastAsia="宋体" w:cs="Arial"/>
                <w:b w:val="0"/>
                <w:bCs w:val="0"/>
                <w:kern w:val="0"/>
                <w:szCs w:val="21"/>
                <w:lang w:bidi="ar"/>
              </w:rPr>
              <w:t>培养箱；</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3、外形尺寸：长≤670mm，宽≤670mm，高≤950mm；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4、搁架数：标准搁板数量：4块，最大搁板数量：≥22块；搁板尺寸：≥460x 470mm；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5、具有85-100℃高温湿热循环灭菌或者200℃以上高温干热灭菌；灭菌周期：整个灭菌周期≤20个小时（包括升温，灭菌，降温，干燥整个周期）；</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6、温度控制范围：环境温度+3-55℃；开门30S后，37℃温度恢复时间（min）：≤5min；</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7、采用单光束双波长或者单束四波长IR红外传感器，替代传统的TC或者TCD等热导式传感器，5%浓度时CO</w:t>
            </w:r>
            <w:r>
              <w:rPr>
                <w:rFonts w:hint="default" w:ascii="Arial" w:hAnsi="Arial" w:eastAsia="宋体" w:cs="Arial"/>
                <w:b w:val="0"/>
                <w:bCs w:val="0"/>
                <w:kern w:val="0"/>
                <w:szCs w:val="21"/>
                <w:vertAlign w:val="subscript"/>
                <w:lang w:bidi="ar"/>
              </w:rPr>
              <w:t>2</w:t>
            </w:r>
            <w:r>
              <w:rPr>
                <w:rFonts w:hint="default" w:ascii="Arial" w:hAnsi="Arial" w:eastAsia="宋体" w:cs="Arial"/>
                <w:b w:val="0"/>
                <w:bCs w:val="0"/>
                <w:kern w:val="0"/>
                <w:szCs w:val="21"/>
                <w:lang w:bidi="ar"/>
              </w:rPr>
              <w:t>恢复时间：≤6min；</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8、灭菌认证：符合国标</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9、柜体涂层：污染控制：外漆面采用银离子抑菌涂层，有效抑制99.9%的细菌、微生物在柜面滋生，预防交叉污染细胞，柜体涂层耐过氧化氢、臭氧腐蚀（</w:t>
            </w:r>
            <w:r>
              <w:rPr>
                <w:rFonts w:hint="default" w:ascii="Arial" w:hAnsi="Arial" w:eastAsia="宋体" w:cs="Arial"/>
                <w:b w:val="0"/>
                <w:bCs w:val="0"/>
                <w:szCs w:val="21"/>
              </w:rPr>
              <w:t>供应商于</w:t>
            </w:r>
            <w:r>
              <w:rPr>
                <w:rFonts w:hint="default" w:ascii="Arial" w:hAnsi="Arial" w:eastAsia="宋体" w:cs="Arial"/>
                <w:b w:val="0"/>
                <w:bCs w:val="0"/>
                <w:szCs w:val="21"/>
                <w:lang w:eastAsia="zh-CN"/>
              </w:rPr>
              <w:t>响应文件</w:t>
            </w:r>
            <w:r>
              <w:rPr>
                <w:rFonts w:hint="default" w:ascii="Arial" w:hAnsi="Arial" w:eastAsia="宋体" w:cs="Arial"/>
                <w:b w:val="0"/>
                <w:bCs w:val="0"/>
                <w:szCs w:val="21"/>
              </w:rPr>
              <w:t>中</w:t>
            </w:r>
            <w:r>
              <w:rPr>
                <w:rFonts w:hint="default" w:ascii="Arial" w:hAnsi="Arial" w:eastAsia="宋体" w:cs="Arial"/>
                <w:b w:val="0"/>
                <w:bCs w:val="0"/>
              </w:rPr>
              <w:t>提供涂层抗菌实验图文资料</w:t>
            </w:r>
            <w:r>
              <w:rPr>
                <w:rFonts w:hint="default" w:ascii="Arial" w:hAnsi="Arial" w:eastAsia="宋体" w:cs="Arial"/>
                <w:b w:val="0"/>
                <w:bCs w:val="0"/>
                <w:szCs w:val="21"/>
              </w:rPr>
              <w:t>并加盖供应商公章</w:t>
            </w:r>
            <w:r>
              <w:rPr>
                <w:rFonts w:hint="default" w:ascii="Arial" w:hAnsi="Arial" w:eastAsia="宋体" w:cs="Arial"/>
                <w:b w:val="0"/>
                <w:bCs w:val="0"/>
                <w:kern w:val="0"/>
                <w:szCs w:val="21"/>
                <w:lang w:bidi="ar"/>
              </w:rPr>
              <w:t>）</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10、高温灭菌过程中不需要拆除ULPA过滤器，不需要拆除二氧化碳浓度探头；</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11、预留RS232或者RS485接口，选配同品牌远程监控和数据记录软件，设备参数（温度、CO</w:t>
            </w:r>
            <w:r>
              <w:rPr>
                <w:rFonts w:hint="default" w:ascii="Arial" w:hAnsi="Arial" w:eastAsia="宋体" w:cs="Arial"/>
                <w:b w:val="0"/>
                <w:bCs w:val="0"/>
                <w:kern w:val="0"/>
                <w:szCs w:val="21"/>
                <w:vertAlign w:val="subscript"/>
                <w:lang w:bidi="ar"/>
              </w:rPr>
              <w:t>2</w:t>
            </w:r>
            <w:r>
              <w:rPr>
                <w:rFonts w:hint="default" w:ascii="Arial" w:hAnsi="Arial" w:eastAsia="宋体" w:cs="Arial"/>
                <w:b w:val="0"/>
                <w:bCs w:val="0"/>
                <w:kern w:val="0"/>
                <w:szCs w:val="21"/>
                <w:lang w:bidi="ar"/>
              </w:rPr>
              <w:t>等）的自动化、连续监控，可以保存并输出不同格式的记录数据，直接读取主机主板数据（非第三方探头方式），软件可通过电脑反向设置主机参数，当一个报警条件出现，自动发送邮件警告，可同时连接＞10台设备；</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12、箱内主滤器及箱内洁净度：配备ULPA超高效空气滤器，0.3μm颗粒截留效率≥99.999%；过滤器安装在箱内，原位高温灭菌无需取出，避免二次污染；外门关闭5分钟内，腔室可快速恢复至ISO 5级及以上水平保护样品；</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13、气体在线过滤器：进入培养箱内的气体需经过0.2um在线过滤器，消除输入气体中的污染物和杂质；在线滤器数量≥2个；</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14、增湿水盘：水盘式加湿，方便取出换水及消毒，预防水垢形成；避免化学抑菌剂对内胆底部长期侵蚀，损害结构，避免水库式造成的污渍残留；</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15、报警功能：具有温度超限、CO</w:t>
            </w:r>
            <w:r>
              <w:rPr>
                <w:rFonts w:hint="default" w:ascii="Arial" w:hAnsi="Arial" w:eastAsia="宋体" w:cs="Arial"/>
                <w:b w:val="0"/>
                <w:bCs w:val="0"/>
                <w:kern w:val="0"/>
                <w:szCs w:val="21"/>
                <w:vertAlign w:val="subscript"/>
                <w:lang w:bidi="ar"/>
              </w:rPr>
              <w:t>2</w:t>
            </w:r>
            <w:r>
              <w:rPr>
                <w:rFonts w:hint="default" w:ascii="Arial" w:hAnsi="Arial" w:eastAsia="宋体" w:cs="Arial"/>
                <w:b w:val="0"/>
                <w:bCs w:val="0"/>
                <w:kern w:val="0"/>
                <w:szCs w:val="21"/>
                <w:lang w:bidi="ar"/>
              </w:rPr>
              <w:t>浓度超限、开门超时报警提示功能；</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16、配置：</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16.1、主机箱体1台</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16.2、ULPA高效过滤器 1套</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16.3、CO</w:t>
            </w:r>
            <w:r>
              <w:rPr>
                <w:rFonts w:hint="default" w:ascii="Arial" w:hAnsi="Arial" w:eastAsia="宋体" w:cs="Arial"/>
                <w:b w:val="0"/>
                <w:bCs w:val="0"/>
                <w:kern w:val="0"/>
                <w:szCs w:val="21"/>
                <w:vertAlign w:val="subscript"/>
                <w:lang w:bidi="ar"/>
              </w:rPr>
              <w:t>2</w:t>
            </w:r>
            <w:r>
              <w:rPr>
                <w:rFonts w:hint="default" w:ascii="Arial" w:hAnsi="Arial" w:eastAsia="宋体" w:cs="Arial"/>
                <w:b w:val="0"/>
                <w:bCs w:val="0"/>
                <w:kern w:val="0"/>
                <w:szCs w:val="21"/>
                <w:lang w:bidi="ar"/>
              </w:rPr>
              <w:t>进气在线过滤器1件</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16.4、不锈钢隔板4件</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16.5、电源线（中国制式标准）1件</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16.6、出厂检测报告及合格证书1套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5</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旋转蒸发仪</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2</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b w:val="0"/>
                <w:bCs w:val="0"/>
                <w:color w:val="auto"/>
                <w:szCs w:val="21"/>
                <w:highlight w:val="none"/>
              </w:rPr>
            </w:pPr>
            <w:r>
              <w:rPr>
                <w:rFonts w:hint="default" w:ascii="Arial" w:hAnsi="Arial" w:eastAsia="宋体" w:cs="Arial"/>
                <w:b w:val="0"/>
                <w:bCs w:val="0"/>
                <w:kern w:val="0"/>
                <w:szCs w:val="21"/>
                <w:lang w:bidi="ar"/>
              </w:rPr>
              <w:t>1、水浴锅温度调节范围:室温+5℃~180℃</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2、水浴锅温度调节精度：±1.5℃（水）±3℃（油）</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3、水浴锅温度控制：微电脑ON-OFF控制</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4、水浴锅加热功率：1.0kW（水浴锅本体加热）、水油兼用</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5、水浴锅温度设定及显示方式：薄膜按键输入，数字显示。</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6、回转速度：10~310rpm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7、蒸发能力：25mL/min(水的蒸发量)</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8、到达真空度：399.9Pa（3mmHg）以下</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9、管路连接口径：</w:t>
            </w:r>
            <w:r>
              <w:rPr>
                <w:rFonts w:hint="default" w:ascii="Arial" w:hAnsi="Arial" w:eastAsia="宋体" w:cs="Arial"/>
                <w:b w:val="0"/>
                <w:bCs w:val="0"/>
                <w:szCs w:val="21"/>
              </w:rPr>
              <w:t>≥</w:t>
            </w:r>
            <w:r>
              <w:rPr>
                <w:rFonts w:hint="default" w:ascii="Arial" w:hAnsi="Arial" w:eastAsia="宋体" w:cs="Arial"/>
                <w:b w:val="0"/>
                <w:bCs w:val="0"/>
                <w:kern w:val="0"/>
                <w:szCs w:val="21"/>
                <w:lang w:bidi="ar"/>
              </w:rPr>
              <w:t>接口外径10mm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10、旋转设定：旋钮设定</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11、安全功能：保险丝、温度过升防止器</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12、升降方式：无段式升降，根据试料容器的尺寸形状，可在任何位置固定。</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13、升降器冲程：≥180mm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14、冷凝管：直立式双层冷凝管•冷却面积≥0.146㎡</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15、要求具有独立四通瓶结构，防止冷凝液回流到密封垫位置</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16、回收瓶：球型瓶 1L球磨口 NS35/20</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17、试料瓶：梨型瓶1L标准磨口 NS29/38</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18、旋转轴：内径18 x全长156mm TS29/38</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19、真空密封垫：特氟龙密封垫+特氟龙复合含氟橡胶密封垫的双重密封型</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20、玻璃件可安装在主机左右任何方向，可根据试验台空间以及用手习惯进行安装</w:t>
            </w:r>
            <w:r>
              <w:rPr>
                <w:rFonts w:hint="default" w:ascii="Arial" w:hAnsi="Arial" w:eastAsia="宋体" w:cs="Arial"/>
                <w:b w:val="0"/>
                <w:bCs w:val="0"/>
                <w:kern w:val="0"/>
                <w:szCs w:val="21"/>
                <w:lang w:eastAsia="zh-CN" w:bidi="ar"/>
              </w:rPr>
              <w:t>，</w:t>
            </w:r>
            <w:r>
              <w:rPr>
                <w:rFonts w:hint="default" w:ascii="Arial" w:hAnsi="Arial" w:eastAsia="宋体" w:cs="Arial"/>
                <w:b w:val="0"/>
                <w:bCs w:val="0"/>
                <w:kern w:val="0"/>
                <w:szCs w:val="21"/>
                <w:lang w:bidi="ar"/>
              </w:rPr>
              <w:t>可设置自动正反转，可使用于粉体等样品的干燥及含有固体物质的样品干燥、浓缩。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6</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隔膜泵</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2</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b w:val="0"/>
                <w:bCs w:val="0"/>
                <w:color w:val="auto"/>
                <w:szCs w:val="21"/>
                <w:highlight w:val="none"/>
              </w:rPr>
            </w:pPr>
            <w:r>
              <w:rPr>
                <w:rFonts w:hint="default" w:ascii="Arial" w:hAnsi="Arial" w:eastAsia="宋体" w:cs="Arial"/>
                <w:b w:val="0"/>
                <w:bCs w:val="0"/>
                <w:kern w:val="0"/>
                <w:szCs w:val="21"/>
                <w:lang w:bidi="ar"/>
              </w:rPr>
              <w:t>1、排气量(HIGH•LOW)：</w:t>
            </w:r>
            <w:r>
              <w:rPr>
                <w:rFonts w:hint="default" w:ascii="Arial" w:hAnsi="Arial" w:eastAsia="宋体" w:cs="Arial"/>
                <w:b w:val="0"/>
                <w:bCs w:val="0"/>
                <w:szCs w:val="21"/>
              </w:rPr>
              <w:t>≥</w:t>
            </w:r>
            <w:r>
              <w:rPr>
                <w:rFonts w:hint="default" w:ascii="Arial" w:hAnsi="Arial" w:eastAsia="宋体" w:cs="Arial"/>
                <w:b w:val="0"/>
                <w:bCs w:val="0"/>
                <w:kern w:val="0"/>
                <w:szCs w:val="21"/>
                <w:lang w:bidi="ar"/>
              </w:rPr>
              <w:t>30L/min•20L/min</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2、到达真空度：</w:t>
            </w:r>
            <w:r>
              <w:rPr>
                <w:rFonts w:hint="default" w:ascii="Arial" w:hAnsi="Arial" w:eastAsia="宋体" w:cs="Arial"/>
                <w:b w:val="0"/>
                <w:bCs w:val="0"/>
                <w:szCs w:val="21"/>
              </w:rPr>
              <w:t>≥</w:t>
            </w:r>
            <w:r>
              <w:rPr>
                <w:rFonts w:hint="default" w:ascii="Arial" w:hAnsi="Arial" w:eastAsia="宋体" w:cs="Arial"/>
                <w:b w:val="0"/>
                <w:bCs w:val="0"/>
                <w:kern w:val="0"/>
                <w:szCs w:val="21"/>
                <w:lang w:bidi="ar"/>
              </w:rPr>
              <w:t>10hPa</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3、安全功能：马达异常检知</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4、马达：90W</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5、接触气体部材质：PPS、特氟隆</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6、外部尺寸·重量：约177W×260D×180H  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7</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冷却循环水</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2</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1.储液容积：</w:t>
            </w:r>
            <w:r>
              <w:rPr>
                <w:rFonts w:hint="default" w:ascii="Arial" w:hAnsi="Arial" w:eastAsia="宋体" w:cs="Arial"/>
                <w:szCs w:val="21"/>
              </w:rPr>
              <w:t>≥</w:t>
            </w:r>
            <w:r>
              <w:rPr>
                <w:rFonts w:hint="default" w:ascii="Arial" w:hAnsi="Arial" w:eastAsia="宋体" w:cs="Arial"/>
                <w:kern w:val="0"/>
                <w:szCs w:val="21"/>
                <w:lang w:bidi="ar"/>
              </w:rPr>
              <w:t xml:space="preserve">10L </w:t>
            </w:r>
            <w:r>
              <w:rPr>
                <w:rFonts w:hint="default" w:ascii="Arial" w:hAnsi="Arial" w:eastAsia="宋体" w:cs="Arial"/>
                <w:kern w:val="0"/>
                <w:szCs w:val="21"/>
                <w:lang w:bidi="ar"/>
              </w:rPr>
              <w:br w:type="textWrapping"/>
            </w:r>
            <w:r>
              <w:rPr>
                <w:rFonts w:hint="default" w:ascii="Arial" w:hAnsi="Arial" w:eastAsia="宋体" w:cs="Arial"/>
                <w:kern w:val="0"/>
                <w:szCs w:val="21"/>
                <w:lang w:bidi="ar"/>
              </w:rPr>
              <w:t>2.空载最低温度：</w:t>
            </w:r>
            <w:r>
              <w:rPr>
                <w:rFonts w:hint="default" w:ascii="Arial" w:hAnsi="Arial" w:eastAsia="宋体" w:cs="Arial"/>
                <w:szCs w:val="21"/>
              </w:rPr>
              <w:t>≥</w:t>
            </w:r>
            <w:r>
              <w:rPr>
                <w:rFonts w:hint="default" w:ascii="Arial" w:hAnsi="Arial" w:eastAsia="宋体" w:cs="Arial"/>
                <w:kern w:val="0"/>
                <w:szCs w:val="21"/>
                <w:lang w:bidi="ar"/>
              </w:rPr>
              <w:t xml:space="preserve">-23度 </w:t>
            </w:r>
            <w:r>
              <w:rPr>
                <w:rFonts w:hint="default" w:ascii="Arial" w:hAnsi="Arial" w:eastAsia="宋体" w:cs="Arial"/>
                <w:kern w:val="0"/>
                <w:szCs w:val="21"/>
                <w:lang w:bidi="ar"/>
              </w:rPr>
              <w:br w:type="textWrapping"/>
            </w:r>
            <w:r>
              <w:rPr>
                <w:rFonts w:hint="default" w:ascii="Arial" w:hAnsi="Arial" w:eastAsia="宋体" w:cs="Arial"/>
                <w:kern w:val="0"/>
                <w:szCs w:val="21"/>
                <w:lang w:bidi="ar"/>
              </w:rPr>
              <w:t>3.制冷量：</w:t>
            </w:r>
            <w:r>
              <w:rPr>
                <w:rFonts w:hint="default" w:ascii="Arial" w:hAnsi="Arial" w:eastAsia="宋体" w:cs="Arial"/>
                <w:szCs w:val="21"/>
              </w:rPr>
              <w:t>≥</w:t>
            </w:r>
            <w:r>
              <w:rPr>
                <w:rFonts w:hint="default" w:ascii="Arial" w:hAnsi="Arial" w:eastAsia="宋体" w:cs="Arial"/>
                <w:kern w:val="0"/>
                <w:szCs w:val="21"/>
                <w:lang w:bidi="ar"/>
              </w:rPr>
              <w:t xml:space="preserve">2100-780W </w:t>
            </w:r>
            <w:r>
              <w:rPr>
                <w:rFonts w:hint="default" w:ascii="Arial" w:hAnsi="Arial" w:eastAsia="宋体" w:cs="Arial"/>
                <w:kern w:val="0"/>
                <w:szCs w:val="21"/>
                <w:lang w:bidi="ar"/>
              </w:rPr>
              <w:br w:type="textWrapping"/>
            </w:r>
            <w:r>
              <w:rPr>
                <w:rFonts w:hint="default" w:ascii="Arial" w:hAnsi="Arial" w:eastAsia="宋体" w:cs="Arial"/>
                <w:kern w:val="0"/>
                <w:szCs w:val="21"/>
                <w:lang w:bidi="ar"/>
              </w:rPr>
              <w:t>4流量：</w:t>
            </w:r>
            <w:r>
              <w:rPr>
                <w:rFonts w:hint="default" w:ascii="Arial" w:hAnsi="Arial" w:eastAsia="宋体" w:cs="Arial"/>
                <w:szCs w:val="21"/>
              </w:rPr>
              <w:t>≥</w:t>
            </w:r>
            <w:r>
              <w:rPr>
                <w:rFonts w:hint="default" w:ascii="Arial" w:hAnsi="Arial" w:eastAsia="宋体" w:cs="Arial"/>
                <w:kern w:val="0"/>
                <w:szCs w:val="21"/>
                <w:lang w:bidi="ar"/>
              </w:rPr>
              <w:t xml:space="preserve">35L/min </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5扬程：4-6米 </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6.调温范围：室温到负20度 </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7.温度拨动范围：正负1度 </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8.电源：220V±10%50Hz </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9.湿度（60-80%）通风 </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10.外形尺寸：长*宽*高≤（580*450*730)mm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8</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试剂冷藏柜</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2</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b w:val="0"/>
                <w:bCs w:val="0"/>
                <w:kern w:val="0"/>
                <w:szCs w:val="21"/>
                <w:lang w:bidi="ar"/>
              </w:rPr>
            </w:pPr>
            <w:r>
              <w:rPr>
                <w:rFonts w:hint="default" w:ascii="Arial" w:hAnsi="Arial" w:eastAsia="宋体" w:cs="Arial"/>
                <w:b w:val="0"/>
                <w:bCs w:val="0"/>
                <w:kern w:val="0"/>
                <w:szCs w:val="21"/>
                <w:lang w:bidi="ar"/>
              </w:rPr>
              <w:t>1、有效容积：箱内有效容积≥310L；</w:t>
            </w:r>
          </w:p>
          <w:p>
            <w:pPr>
              <w:widowControl/>
              <w:spacing w:after="0" w:line="288" w:lineRule="auto"/>
              <w:jc w:val="left"/>
              <w:textAlignment w:val="center"/>
              <w:rPr>
                <w:rFonts w:hint="default" w:ascii="Arial" w:hAnsi="Arial" w:eastAsia="宋体" w:cs="Arial"/>
                <w:b w:val="0"/>
                <w:bCs w:val="0"/>
                <w:kern w:val="0"/>
                <w:szCs w:val="21"/>
                <w:lang w:bidi="ar"/>
              </w:rPr>
            </w:pPr>
            <w:r>
              <w:rPr>
                <w:rFonts w:hint="default" w:ascii="Arial" w:hAnsi="Arial" w:eastAsia="宋体" w:cs="Arial"/>
                <w:b w:val="0"/>
                <w:bCs w:val="0"/>
                <w:kern w:val="0"/>
                <w:szCs w:val="21"/>
                <w:lang w:bidi="ar"/>
              </w:rPr>
              <w:t xml:space="preserve">外部尺寸≤600mm*630mm*1980mm </w:t>
            </w:r>
          </w:p>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b w:val="0"/>
                <w:bCs w:val="0"/>
                <w:kern w:val="0"/>
                <w:szCs w:val="21"/>
                <w:lang w:bidi="ar"/>
              </w:rPr>
              <w:t>内部尺寸</w:t>
            </w:r>
            <w:r>
              <w:rPr>
                <w:rFonts w:hint="default" w:ascii="Arial" w:hAnsi="Arial" w:eastAsia="宋体" w:cs="Arial"/>
                <w:b w:val="0"/>
                <w:bCs w:val="0"/>
                <w:szCs w:val="21"/>
              </w:rPr>
              <w:t>≥</w:t>
            </w:r>
            <w:r>
              <w:rPr>
                <w:rFonts w:hint="default" w:ascii="Arial" w:hAnsi="Arial" w:eastAsia="宋体" w:cs="Arial"/>
                <w:b w:val="0"/>
                <w:bCs w:val="0"/>
                <w:kern w:val="0"/>
                <w:szCs w:val="21"/>
                <w:lang w:bidi="ar"/>
              </w:rPr>
              <w:t>525mm*500mm*1290mm；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2、温度控制:微电脑控制，箱内控温范围2-8℃，操作方便简洁，LED数码管显示，实时显示箱内温度，观察方便；</w:t>
            </w:r>
            <w:r>
              <w:rPr>
                <w:rFonts w:hint="default" w:ascii="Arial" w:hAnsi="Arial" w:eastAsia="宋体" w:cs="Arial"/>
                <w:kern w:val="0"/>
                <w:szCs w:val="21"/>
                <w:lang w:bidi="ar"/>
              </w:rPr>
              <w:t>控温精度显示精度均为0.1℃；</w:t>
            </w:r>
            <w:r>
              <w:rPr>
                <w:rFonts w:hint="default" w:ascii="Arial" w:hAnsi="Arial" w:eastAsia="宋体" w:cs="Arial"/>
                <w:kern w:val="0"/>
                <w:szCs w:val="21"/>
                <w:lang w:bidi="ar"/>
              </w:rPr>
              <w:br w:type="textWrapping"/>
            </w:r>
            <w:r>
              <w:rPr>
                <w:rFonts w:hint="default" w:ascii="Arial" w:hAnsi="Arial" w:eastAsia="宋体" w:cs="Arial"/>
                <w:kern w:val="0"/>
                <w:szCs w:val="21"/>
                <w:lang w:bidi="ar"/>
              </w:rPr>
              <w:t>3、整体结构：立式，单开真空玻璃门体，采用LBA无氟发泡，真正完全绿色环保，外壳采用预涂钢板外壳，内胆采用PS吸附成型内胆，便于箱内清洁、消毒；</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 xml:space="preserve">4、核心组件：采用压缩机及风机，碳氢制冷剂，节能环保，质量可靠、性能稳定、使用寿命长； </w:t>
            </w:r>
            <w:r>
              <w:rPr>
                <w:rFonts w:hint="default" w:ascii="Arial" w:hAnsi="Arial" w:eastAsia="宋体" w:cs="Arial"/>
                <w:b/>
                <w:bCs/>
                <w:kern w:val="0"/>
                <w:szCs w:val="21"/>
                <w:lang w:bidi="ar"/>
              </w:rPr>
              <w:br w:type="textWrapping"/>
            </w:r>
            <w:r>
              <w:rPr>
                <w:rFonts w:hint="default" w:ascii="Arial" w:hAnsi="Arial" w:eastAsia="宋体" w:cs="Arial"/>
                <w:kern w:val="0"/>
                <w:szCs w:val="21"/>
                <w:lang w:bidi="ar"/>
              </w:rPr>
              <w:t>5、制冷系统：采用板式蒸发器设计，制冷速度快，丝管式冷凝器设计，散热效果好；</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6、温度均匀性：采用高性能保温材料，保温效果好，风冷系统，保证箱体温度均匀度≤2℃，波动度≤2℃；</w:t>
            </w:r>
            <w:r>
              <w:rPr>
                <w:rFonts w:hint="default" w:ascii="Arial" w:hAnsi="Arial" w:eastAsia="宋体" w:cs="Arial"/>
                <w:b/>
                <w:bCs/>
                <w:kern w:val="0"/>
                <w:szCs w:val="21"/>
                <w:lang w:bidi="ar"/>
              </w:rPr>
              <w:br w:type="textWrapping"/>
            </w:r>
            <w:r>
              <w:rPr>
                <w:rFonts w:hint="default" w:ascii="Arial" w:hAnsi="Arial" w:eastAsia="宋体" w:cs="Arial"/>
                <w:kern w:val="0"/>
                <w:szCs w:val="21"/>
                <w:lang w:bidi="ar"/>
              </w:rPr>
              <w:t>7、控温技术：搭配高精度2路传感器设计，包括显示传感器，控制传感器。</w:t>
            </w:r>
            <w:r>
              <w:rPr>
                <w:rFonts w:hint="default" w:ascii="Arial" w:hAnsi="Arial" w:eastAsia="宋体" w:cs="Arial"/>
                <w:kern w:val="0"/>
                <w:szCs w:val="21"/>
                <w:lang w:bidi="ar"/>
              </w:rPr>
              <w:br w:type="textWrapping"/>
            </w:r>
            <w:r>
              <w:rPr>
                <w:rFonts w:hint="default" w:ascii="Arial" w:hAnsi="Arial" w:eastAsia="宋体" w:cs="Arial"/>
                <w:kern w:val="0"/>
                <w:szCs w:val="21"/>
                <w:lang w:bidi="ar"/>
              </w:rPr>
              <w:t>8、温度显示：感温探头置于甘油感温盒内，可选择检测温度或者仿生温度；</w:t>
            </w:r>
            <w:r>
              <w:rPr>
                <w:rFonts w:hint="default" w:ascii="Arial" w:hAnsi="Arial" w:eastAsia="宋体" w:cs="Arial"/>
                <w:kern w:val="0"/>
                <w:szCs w:val="21"/>
                <w:lang w:bidi="ar"/>
              </w:rPr>
              <w:br w:type="textWrapping"/>
            </w:r>
            <w:r>
              <w:rPr>
                <w:rFonts w:hint="default" w:ascii="Arial" w:hAnsi="Arial" w:eastAsia="宋体" w:cs="Arial"/>
                <w:kern w:val="0"/>
                <w:szCs w:val="21"/>
                <w:lang w:bidi="ar"/>
              </w:rPr>
              <w:t>9、门体结构：门体双层钢化LOW-E玻璃并拥有上吹风，门体具有自关门设计，防止用户开门后忘记关门；</w:t>
            </w:r>
            <w:r>
              <w:rPr>
                <w:rFonts w:hint="default" w:ascii="Arial" w:hAnsi="Arial" w:eastAsia="宋体" w:cs="Arial"/>
                <w:kern w:val="0"/>
                <w:szCs w:val="21"/>
                <w:lang w:bidi="ar"/>
              </w:rPr>
              <w:br w:type="textWrapping"/>
            </w:r>
            <w:r>
              <w:rPr>
                <w:rFonts w:hint="default" w:ascii="Arial" w:hAnsi="Arial" w:eastAsia="宋体" w:cs="Arial"/>
                <w:kern w:val="0"/>
                <w:szCs w:val="21"/>
                <w:lang w:bidi="ar"/>
              </w:rPr>
              <w:t>10、安全系统：多重故障报警，具有蜂鸣报警、灯光闪烁两种报警方式，可实现高低温报警、传感器故障报警、断电报警；</w:t>
            </w:r>
            <w:r>
              <w:rPr>
                <w:rFonts w:hint="default" w:ascii="Arial" w:hAnsi="Arial" w:eastAsia="宋体" w:cs="Arial"/>
                <w:kern w:val="0"/>
                <w:szCs w:val="21"/>
                <w:lang w:bidi="ar"/>
              </w:rPr>
              <w:br w:type="textWrapping"/>
            </w:r>
            <w:r>
              <w:rPr>
                <w:rFonts w:hint="default" w:ascii="Arial" w:hAnsi="Arial" w:eastAsia="宋体" w:cs="Arial"/>
                <w:kern w:val="0"/>
                <w:szCs w:val="21"/>
                <w:lang w:bidi="ar"/>
              </w:rPr>
              <w:t>11、数据存储：选配数据存储模块，每6分钟记录一次数据，可通过前置的USB接口读取，插入U盘导出冰箱使用期间所有数据，数据可导出图表格式，温度数据可存储不低于十年，实现温度数据的可追溯性；</w:t>
            </w:r>
            <w:r>
              <w:rPr>
                <w:rFonts w:hint="default" w:ascii="Arial" w:hAnsi="Arial" w:eastAsia="宋体" w:cs="Arial"/>
                <w:kern w:val="0"/>
                <w:szCs w:val="21"/>
                <w:lang w:bidi="ar"/>
              </w:rPr>
              <w:br w:type="textWrapping"/>
            </w:r>
            <w:r>
              <w:rPr>
                <w:rFonts w:hint="default" w:ascii="Arial" w:hAnsi="Arial" w:eastAsia="宋体" w:cs="Arial"/>
                <w:kern w:val="0"/>
                <w:szCs w:val="21"/>
                <w:lang w:bidi="ar"/>
              </w:rPr>
              <w:t>12、温度监控：产品配有一个测试孔，方便采购人接入各式设备，对箱内温度进行监测；</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13、箱内配置：多层搁架设计，搁架间距可调，充分利用箱内空间；出厂标配6个搁架，数量可根据用户需求增加，标配价目条； </w:t>
            </w:r>
            <w:r>
              <w:rPr>
                <w:rFonts w:hint="default" w:ascii="Arial" w:hAnsi="Arial" w:eastAsia="宋体" w:cs="Arial"/>
                <w:kern w:val="0"/>
                <w:szCs w:val="21"/>
                <w:lang w:bidi="ar"/>
              </w:rPr>
              <w:br w:type="textWrapping"/>
            </w:r>
            <w:r>
              <w:rPr>
                <w:rFonts w:hint="default" w:ascii="Arial" w:hAnsi="Arial" w:eastAsia="宋体" w:cs="Arial"/>
                <w:kern w:val="0"/>
                <w:szCs w:val="21"/>
                <w:lang w:bidi="ar"/>
              </w:rPr>
              <w:t>14、节能降噪：低噪音，噪音低于41分贝；</w:t>
            </w:r>
            <w:r>
              <w:rPr>
                <w:rFonts w:hint="default" w:ascii="Arial" w:hAnsi="Arial" w:eastAsia="宋体" w:cs="Arial"/>
                <w:kern w:val="0"/>
                <w:szCs w:val="21"/>
                <w:lang w:bidi="ar"/>
              </w:rPr>
              <w:br w:type="textWrapping"/>
            </w:r>
            <w:r>
              <w:rPr>
                <w:rFonts w:hint="default" w:ascii="Arial" w:hAnsi="Arial" w:eastAsia="宋体" w:cs="Arial"/>
                <w:kern w:val="0"/>
                <w:szCs w:val="21"/>
                <w:lang w:bidi="ar"/>
              </w:rPr>
              <w:t>15、柜内照明：内设LED照明灯，高亮节能，柜内试剂一目了然；</w:t>
            </w:r>
            <w:r>
              <w:rPr>
                <w:rFonts w:hint="default" w:ascii="Arial" w:hAnsi="Arial" w:eastAsia="宋体" w:cs="Arial"/>
                <w:kern w:val="0"/>
                <w:szCs w:val="21"/>
                <w:lang w:bidi="ar"/>
              </w:rPr>
              <w:br w:type="textWrapping"/>
            </w:r>
            <w:r>
              <w:rPr>
                <w:rFonts w:hint="default" w:ascii="Arial" w:hAnsi="Arial" w:eastAsia="宋体" w:cs="Arial"/>
                <w:kern w:val="0"/>
                <w:szCs w:val="21"/>
                <w:lang w:bidi="ar"/>
              </w:rPr>
              <w:t>16、固定移动：配备4个万向脚轮、2个止动底脚，便于移动且固定方便；</w:t>
            </w:r>
            <w:r>
              <w:rPr>
                <w:rFonts w:hint="default" w:ascii="Arial" w:hAnsi="Arial" w:eastAsia="宋体" w:cs="Arial"/>
                <w:kern w:val="0"/>
                <w:szCs w:val="21"/>
                <w:lang w:bidi="ar"/>
              </w:rPr>
              <w:br w:type="textWrapping"/>
            </w:r>
            <w:r>
              <w:rPr>
                <w:rFonts w:hint="default" w:ascii="Arial" w:hAnsi="Arial" w:eastAsia="宋体" w:cs="Arial"/>
                <w:kern w:val="0"/>
                <w:szCs w:val="21"/>
                <w:lang w:bidi="ar"/>
              </w:rPr>
              <w:t>17、冷凝蒸发：冷凝水汇集后自动蒸发，免除人工处理冷凝水的烦恼；</w:t>
            </w:r>
            <w:r>
              <w:rPr>
                <w:rFonts w:hint="default" w:ascii="Arial" w:hAnsi="Arial" w:eastAsia="宋体" w:cs="Arial"/>
                <w:kern w:val="0"/>
                <w:szCs w:val="21"/>
                <w:lang w:bidi="ar"/>
              </w:rPr>
              <w:br w:type="textWrapping"/>
            </w:r>
            <w:r>
              <w:rPr>
                <w:rFonts w:hint="default" w:ascii="Arial" w:hAnsi="Arial" w:eastAsia="宋体" w:cs="Arial"/>
                <w:kern w:val="0"/>
                <w:szCs w:val="21"/>
                <w:lang w:bidi="ar"/>
              </w:rPr>
              <w:t>18、断电报警：满足产品断电后继续显示箱内的实时温度，持续时间至少24小时；</w:t>
            </w:r>
            <w:r>
              <w:rPr>
                <w:rFonts w:hint="default" w:ascii="Arial" w:hAnsi="Arial" w:eastAsia="宋体" w:cs="Arial"/>
                <w:kern w:val="0"/>
                <w:szCs w:val="21"/>
                <w:lang w:bidi="ar"/>
              </w:rPr>
              <w:br w:type="textWrapping"/>
            </w:r>
            <w:r>
              <w:rPr>
                <w:rFonts w:hint="default" w:ascii="Arial" w:hAnsi="Arial" w:eastAsia="宋体" w:cs="Arial"/>
                <w:kern w:val="0"/>
                <w:szCs w:val="21"/>
                <w:lang w:bidi="ar"/>
              </w:rPr>
              <w:t>19、安全保障：门体带暗锁，同时用户可配置挂锁，双重安全保障；</w:t>
            </w:r>
            <w:r>
              <w:rPr>
                <w:rFonts w:hint="default" w:ascii="Arial" w:hAnsi="Arial" w:eastAsia="宋体" w:cs="Arial"/>
                <w:kern w:val="0"/>
                <w:szCs w:val="21"/>
                <w:lang w:bidi="ar"/>
              </w:rPr>
              <w:br w:type="textWrapping"/>
            </w:r>
            <w:r>
              <w:rPr>
                <w:rFonts w:hint="default" w:ascii="Arial" w:hAnsi="Arial" w:eastAsia="宋体" w:cs="Arial"/>
                <w:kern w:val="0"/>
                <w:szCs w:val="21"/>
                <w:lang w:bidi="ar"/>
              </w:rPr>
              <w:t>20、宽电压带：产品配备宽电压带，适合198～242V电压下使用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9</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低温冰箱</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8</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1、冷藏室容积：</w:t>
            </w:r>
            <w:r>
              <w:rPr>
                <w:rFonts w:hint="default" w:ascii="Arial" w:hAnsi="Arial" w:eastAsia="宋体" w:cs="Arial"/>
                <w:szCs w:val="21"/>
              </w:rPr>
              <w:t>≥</w:t>
            </w:r>
            <w:r>
              <w:rPr>
                <w:rFonts w:hint="default" w:ascii="Arial" w:hAnsi="Arial" w:eastAsia="宋体" w:cs="Arial"/>
                <w:kern w:val="0"/>
                <w:szCs w:val="21"/>
                <w:lang w:bidi="ar"/>
              </w:rPr>
              <w:t>280L</w:t>
            </w:r>
            <w:r>
              <w:rPr>
                <w:rFonts w:hint="default" w:ascii="Arial" w:hAnsi="Arial" w:eastAsia="宋体" w:cs="Arial"/>
                <w:kern w:val="0"/>
                <w:szCs w:val="21"/>
                <w:lang w:bidi="ar"/>
              </w:rPr>
              <w:br w:type="textWrapping"/>
            </w:r>
            <w:r>
              <w:rPr>
                <w:rFonts w:hint="default" w:ascii="Arial" w:hAnsi="Arial" w:eastAsia="宋体" w:cs="Arial"/>
                <w:kern w:val="0"/>
                <w:szCs w:val="21"/>
                <w:lang w:bidi="ar"/>
              </w:rPr>
              <w:t>2、综合耗电量：</w:t>
            </w:r>
            <w:r>
              <w:rPr>
                <w:rFonts w:hint="default" w:ascii="Arial" w:hAnsi="Arial" w:eastAsia="宋体" w:cs="Arial"/>
                <w:szCs w:val="21"/>
              </w:rPr>
              <w:t>≤</w:t>
            </w:r>
            <w:r>
              <w:rPr>
                <w:rFonts w:hint="default" w:ascii="Arial" w:hAnsi="Arial" w:eastAsia="宋体" w:cs="Arial"/>
                <w:kern w:val="0"/>
                <w:szCs w:val="21"/>
                <w:lang w:bidi="ar"/>
              </w:rPr>
              <w:t>0.84kW·h/24h</w:t>
            </w:r>
            <w:r>
              <w:rPr>
                <w:rFonts w:hint="default" w:ascii="Arial" w:hAnsi="Arial" w:eastAsia="宋体" w:cs="Arial"/>
                <w:kern w:val="0"/>
                <w:szCs w:val="21"/>
                <w:lang w:bidi="ar"/>
              </w:rPr>
              <w:br w:type="textWrapping"/>
            </w:r>
            <w:r>
              <w:rPr>
                <w:rFonts w:hint="default" w:ascii="Arial" w:hAnsi="Arial" w:eastAsia="宋体" w:cs="Arial"/>
                <w:kern w:val="0"/>
                <w:szCs w:val="21"/>
                <w:lang w:bidi="ar"/>
              </w:rPr>
              <w:t>3、散热方式：两侧散热</w:t>
            </w:r>
            <w:r>
              <w:rPr>
                <w:rFonts w:hint="default" w:ascii="Arial" w:hAnsi="Arial" w:eastAsia="宋体" w:cs="Arial"/>
                <w:kern w:val="0"/>
                <w:szCs w:val="21"/>
                <w:lang w:bidi="ar"/>
              </w:rPr>
              <w:br w:type="textWrapping"/>
            </w:r>
            <w:r>
              <w:rPr>
                <w:rFonts w:hint="default" w:ascii="Arial" w:hAnsi="Arial" w:eastAsia="宋体" w:cs="Arial"/>
                <w:kern w:val="0"/>
                <w:szCs w:val="21"/>
                <w:lang w:bidi="ar"/>
              </w:rPr>
              <w:t>4、冷冻室容积：</w:t>
            </w:r>
            <w:r>
              <w:rPr>
                <w:rFonts w:hint="default" w:ascii="Arial" w:hAnsi="Arial" w:eastAsia="宋体" w:cs="Arial"/>
                <w:szCs w:val="21"/>
              </w:rPr>
              <w:t>≥</w:t>
            </w:r>
            <w:r>
              <w:rPr>
                <w:rFonts w:hint="default" w:ascii="Arial" w:hAnsi="Arial" w:eastAsia="宋体" w:cs="Arial"/>
                <w:kern w:val="0"/>
                <w:szCs w:val="21"/>
                <w:lang w:bidi="ar"/>
              </w:rPr>
              <w:t>158L</w:t>
            </w:r>
            <w:r>
              <w:rPr>
                <w:rFonts w:hint="default" w:ascii="Arial" w:hAnsi="Arial" w:eastAsia="宋体" w:cs="Arial"/>
                <w:kern w:val="0"/>
                <w:szCs w:val="21"/>
                <w:lang w:bidi="ar"/>
              </w:rPr>
              <w:br w:type="textWrapping"/>
            </w:r>
            <w:r>
              <w:rPr>
                <w:rFonts w:hint="default" w:ascii="Arial" w:hAnsi="Arial" w:eastAsia="宋体" w:cs="Arial"/>
                <w:kern w:val="0"/>
                <w:szCs w:val="21"/>
                <w:lang w:bidi="ar"/>
              </w:rPr>
              <w:t>5、总容积：</w:t>
            </w:r>
            <w:r>
              <w:rPr>
                <w:rFonts w:hint="default" w:ascii="Arial" w:hAnsi="Arial" w:eastAsia="宋体" w:cs="Arial"/>
                <w:szCs w:val="21"/>
              </w:rPr>
              <w:t>≥</w:t>
            </w:r>
            <w:r>
              <w:rPr>
                <w:rFonts w:hint="default" w:ascii="Arial" w:hAnsi="Arial" w:eastAsia="宋体" w:cs="Arial"/>
                <w:kern w:val="0"/>
                <w:szCs w:val="21"/>
                <w:lang w:bidi="ar"/>
              </w:rPr>
              <w:t>465L</w:t>
            </w:r>
            <w:r>
              <w:rPr>
                <w:rFonts w:hint="default" w:ascii="Arial" w:hAnsi="Arial" w:eastAsia="宋体" w:cs="Arial"/>
                <w:kern w:val="0"/>
                <w:szCs w:val="21"/>
                <w:lang w:bidi="ar"/>
              </w:rPr>
              <w:br w:type="textWrapping"/>
            </w:r>
            <w:r>
              <w:rPr>
                <w:rFonts w:hint="default" w:ascii="Arial" w:hAnsi="Arial" w:eastAsia="宋体" w:cs="Arial"/>
                <w:kern w:val="0"/>
                <w:szCs w:val="21"/>
                <w:lang w:bidi="ar"/>
              </w:rPr>
              <w:t>6、运转音：</w:t>
            </w:r>
            <w:r>
              <w:rPr>
                <w:rFonts w:hint="default" w:ascii="Arial" w:hAnsi="Arial" w:eastAsia="宋体" w:cs="Arial"/>
                <w:szCs w:val="21"/>
              </w:rPr>
              <w:t>≤</w:t>
            </w:r>
            <w:r>
              <w:rPr>
                <w:rFonts w:hint="default" w:ascii="Arial" w:hAnsi="Arial" w:eastAsia="宋体" w:cs="Arial"/>
                <w:kern w:val="0"/>
                <w:szCs w:val="21"/>
                <w:lang w:bidi="ar"/>
              </w:rPr>
              <w:t>38dB(A)</w:t>
            </w:r>
            <w:r>
              <w:rPr>
                <w:rFonts w:hint="default" w:ascii="Arial" w:hAnsi="Arial" w:eastAsia="宋体" w:cs="Arial"/>
                <w:kern w:val="0"/>
                <w:szCs w:val="21"/>
                <w:lang w:bidi="ar"/>
              </w:rPr>
              <w:br w:type="textWrapping"/>
            </w:r>
            <w:r>
              <w:rPr>
                <w:rFonts w:hint="default" w:ascii="Arial" w:hAnsi="Arial" w:eastAsia="宋体" w:cs="Arial"/>
                <w:kern w:val="0"/>
                <w:szCs w:val="21"/>
                <w:lang w:bidi="ar"/>
              </w:rPr>
              <w:t>7、制冷剂：优于R600a</w:t>
            </w:r>
            <w:r>
              <w:rPr>
                <w:rFonts w:hint="default" w:ascii="Arial" w:hAnsi="Arial" w:eastAsia="宋体" w:cs="Arial"/>
                <w:kern w:val="0"/>
                <w:szCs w:val="21"/>
                <w:lang w:bidi="ar"/>
              </w:rPr>
              <w:br w:type="textWrapping"/>
            </w:r>
            <w:r>
              <w:rPr>
                <w:rFonts w:hint="default" w:ascii="Arial" w:hAnsi="Arial" w:eastAsia="宋体" w:cs="Arial"/>
                <w:kern w:val="0"/>
                <w:szCs w:val="21"/>
                <w:lang w:bidi="ar"/>
              </w:rPr>
              <w:t>8、能效等级：一级能效及以上</w:t>
            </w:r>
            <w:r>
              <w:rPr>
                <w:rFonts w:hint="default" w:ascii="Arial" w:hAnsi="Arial" w:eastAsia="宋体" w:cs="Arial"/>
                <w:kern w:val="0"/>
                <w:szCs w:val="21"/>
                <w:lang w:bidi="ar"/>
              </w:rPr>
              <w:br w:type="textWrapping"/>
            </w:r>
            <w:r>
              <w:rPr>
                <w:rFonts w:hint="default" w:ascii="Arial" w:hAnsi="Arial" w:eastAsia="宋体" w:cs="Arial"/>
                <w:szCs w:val="21"/>
              </w:rPr>
              <w:t>9、</w:t>
            </w:r>
            <w:r>
              <w:rPr>
                <w:rFonts w:hint="default" w:ascii="Arial" w:hAnsi="Arial" w:eastAsia="宋体" w:cs="Arial"/>
                <w:kern w:val="0"/>
                <w:szCs w:val="21"/>
                <w:lang w:bidi="ar"/>
              </w:rPr>
              <w:t>变频/定频：变频</w:t>
            </w:r>
            <w:r>
              <w:rPr>
                <w:rFonts w:hint="default" w:ascii="Arial" w:hAnsi="Arial" w:eastAsia="宋体" w:cs="Arial"/>
                <w:kern w:val="0"/>
                <w:szCs w:val="21"/>
                <w:lang w:bidi="ar"/>
              </w:rPr>
              <w:br w:type="textWrapping"/>
            </w:r>
            <w:r>
              <w:rPr>
                <w:rFonts w:hint="default" w:ascii="Arial" w:hAnsi="Arial" w:eastAsia="宋体" w:cs="Arial"/>
                <w:kern w:val="0"/>
                <w:szCs w:val="21"/>
                <w:lang w:bidi="ar"/>
              </w:rPr>
              <w:t>10、门款式：十字门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10</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标准电泳仪电源</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2</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一、配置：</w:t>
            </w:r>
            <w:r>
              <w:rPr>
                <w:rFonts w:hint="default" w:ascii="Arial" w:hAnsi="Arial" w:eastAsia="宋体" w:cs="Arial"/>
                <w:kern w:val="0"/>
                <w:szCs w:val="21"/>
                <w:lang w:bidi="ar"/>
              </w:rPr>
              <w:br w:type="textWrapping"/>
            </w:r>
            <w:r>
              <w:rPr>
                <w:rFonts w:hint="default" w:ascii="Arial" w:hAnsi="Arial" w:eastAsia="宋体" w:cs="Arial"/>
                <w:kern w:val="0"/>
                <w:szCs w:val="21"/>
                <w:lang w:bidi="ar"/>
              </w:rPr>
              <w:t>1、基础电源1台</w:t>
            </w:r>
            <w:r>
              <w:rPr>
                <w:rFonts w:hint="default" w:ascii="Arial" w:hAnsi="Arial" w:eastAsia="宋体" w:cs="Arial"/>
                <w:kern w:val="0"/>
                <w:szCs w:val="21"/>
                <w:lang w:bidi="ar"/>
              </w:rPr>
              <w:br w:type="textWrapping"/>
            </w:r>
            <w:r>
              <w:rPr>
                <w:rFonts w:hint="default" w:ascii="Arial" w:hAnsi="Arial" w:eastAsia="宋体" w:cs="Arial"/>
                <w:kern w:val="0"/>
                <w:szCs w:val="21"/>
                <w:lang w:bidi="ar"/>
              </w:rPr>
              <w:t>2、电源线</w:t>
            </w:r>
            <w:r>
              <w:rPr>
                <w:rFonts w:hint="default" w:ascii="Arial" w:hAnsi="Arial" w:eastAsia="宋体" w:cs="Arial"/>
                <w:szCs w:val="21"/>
              </w:rPr>
              <w:t>1条</w:t>
            </w:r>
            <w:r>
              <w:rPr>
                <w:rFonts w:hint="default" w:ascii="Arial" w:hAnsi="Arial" w:eastAsia="宋体" w:cs="Arial"/>
                <w:kern w:val="0"/>
                <w:szCs w:val="21"/>
                <w:lang w:bidi="ar"/>
              </w:rPr>
              <w:br w:type="textWrapping"/>
            </w:r>
            <w:r>
              <w:rPr>
                <w:rFonts w:hint="default" w:ascii="Arial" w:hAnsi="Arial" w:eastAsia="宋体" w:cs="Arial"/>
                <w:kern w:val="0"/>
                <w:szCs w:val="21"/>
                <w:lang w:bidi="ar"/>
              </w:rPr>
              <w:t>二、性能指标</w:t>
            </w:r>
            <w:r>
              <w:rPr>
                <w:rFonts w:hint="default" w:ascii="Arial" w:hAnsi="Arial" w:eastAsia="宋体" w:cs="Arial"/>
                <w:kern w:val="0"/>
                <w:szCs w:val="21"/>
                <w:lang w:bidi="ar"/>
              </w:rPr>
              <w:br w:type="textWrapping"/>
            </w:r>
            <w:r>
              <w:rPr>
                <w:rFonts w:hint="default" w:ascii="Arial" w:hAnsi="Arial" w:eastAsia="宋体" w:cs="Arial"/>
                <w:kern w:val="0"/>
                <w:szCs w:val="21"/>
                <w:lang w:bidi="ar"/>
              </w:rPr>
              <w:t>1、为电泳提供一个稳定的电压、电流或功率</w:t>
            </w:r>
            <w:r>
              <w:rPr>
                <w:rFonts w:hint="default" w:ascii="Arial" w:hAnsi="Arial" w:eastAsia="宋体" w:cs="Arial"/>
                <w:kern w:val="0"/>
                <w:szCs w:val="21"/>
                <w:lang w:bidi="ar"/>
              </w:rPr>
              <w:br w:type="textWrapping"/>
            </w:r>
            <w:r>
              <w:rPr>
                <w:rFonts w:hint="default" w:ascii="Arial" w:hAnsi="Arial" w:eastAsia="宋体" w:cs="Arial"/>
                <w:kern w:val="0"/>
                <w:szCs w:val="21"/>
                <w:lang w:bidi="ar"/>
              </w:rPr>
              <w:t>2、能设定电泳的时间</w:t>
            </w:r>
            <w:r>
              <w:rPr>
                <w:rFonts w:hint="default" w:ascii="Arial" w:hAnsi="Arial" w:eastAsia="宋体" w:cs="Arial"/>
                <w:kern w:val="0"/>
                <w:szCs w:val="21"/>
                <w:lang w:bidi="ar"/>
              </w:rPr>
              <w:br w:type="textWrapping"/>
            </w:r>
            <w:r>
              <w:rPr>
                <w:rFonts w:hint="default" w:ascii="Arial" w:hAnsi="Arial" w:eastAsia="宋体" w:cs="Arial"/>
                <w:kern w:val="0"/>
                <w:szCs w:val="21"/>
                <w:lang w:bidi="ar"/>
              </w:rPr>
              <w:t>3、功率：1-75W，</w:t>
            </w:r>
            <w:r>
              <w:rPr>
                <w:rFonts w:hint="default" w:ascii="Arial" w:hAnsi="Arial" w:eastAsia="宋体" w:cs="Arial"/>
                <w:kern w:val="0"/>
                <w:szCs w:val="21"/>
                <w:lang w:bidi="ar"/>
              </w:rPr>
              <w:br w:type="textWrapping"/>
            </w:r>
            <w:r>
              <w:rPr>
                <w:rFonts w:hint="default" w:ascii="Arial" w:hAnsi="Arial" w:eastAsia="宋体" w:cs="Arial"/>
                <w:kern w:val="0"/>
                <w:szCs w:val="21"/>
                <w:lang w:bidi="ar"/>
              </w:rPr>
              <w:t>4、电压：10-300伏，</w:t>
            </w:r>
            <w:r>
              <w:rPr>
                <w:rFonts w:hint="default" w:ascii="Arial" w:hAnsi="Arial" w:eastAsia="宋体" w:cs="Arial"/>
                <w:kern w:val="0"/>
                <w:szCs w:val="21"/>
                <w:lang w:bidi="ar"/>
              </w:rPr>
              <w:br w:type="textWrapping"/>
            </w:r>
            <w:r>
              <w:rPr>
                <w:rFonts w:hint="default" w:ascii="Arial" w:hAnsi="Arial" w:eastAsia="宋体" w:cs="Arial"/>
                <w:kern w:val="0"/>
                <w:szCs w:val="21"/>
                <w:lang w:bidi="ar"/>
              </w:rPr>
              <w:t>5、电流：4-400mA，使用于水平电泳，小型的SDS-PAGE，印迹电泳等。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11</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蛋白电泳系统</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2</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一、配置：</w:t>
            </w:r>
            <w:r>
              <w:rPr>
                <w:rFonts w:hint="default" w:ascii="Arial" w:hAnsi="Arial" w:eastAsia="宋体" w:cs="Arial"/>
                <w:kern w:val="0"/>
                <w:szCs w:val="21"/>
                <w:lang w:bidi="ar"/>
              </w:rPr>
              <w:br w:type="textWrapping"/>
            </w:r>
            <w:r>
              <w:rPr>
                <w:rFonts w:hint="default" w:ascii="Arial" w:hAnsi="Arial" w:eastAsia="宋体" w:cs="Arial"/>
                <w:kern w:val="0"/>
                <w:szCs w:val="21"/>
                <w:lang w:bidi="ar"/>
              </w:rPr>
              <w:t>1、电泳槽和盖1个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2、长玻板和短玻板1块</w:t>
            </w:r>
            <w:r>
              <w:rPr>
                <w:rFonts w:hint="default" w:ascii="Arial" w:hAnsi="Arial" w:eastAsia="宋体" w:cs="Arial"/>
                <w:kern w:val="0"/>
                <w:szCs w:val="21"/>
                <w:lang w:bidi="ar"/>
              </w:rPr>
              <w:br w:type="textWrapping"/>
            </w:r>
            <w:r>
              <w:rPr>
                <w:rFonts w:hint="default" w:ascii="Arial" w:hAnsi="Arial" w:eastAsia="宋体" w:cs="Arial"/>
                <w:kern w:val="0"/>
                <w:szCs w:val="21"/>
                <w:lang w:bidi="ar"/>
              </w:rPr>
              <w:t>3、梳子1个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4、制胶架2个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5、制胶框4个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6、上样引导装置1个</w:t>
            </w:r>
            <w:r>
              <w:rPr>
                <w:rFonts w:hint="default" w:ascii="Arial" w:hAnsi="Arial" w:eastAsia="宋体" w:cs="Arial"/>
                <w:kern w:val="0"/>
                <w:szCs w:val="21"/>
                <w:lang w:bidi="ar"/>
              </w:rPr>
              <w:br w:type="textWrapping"/>
            </w:r>
            <w:r>
              <w:rPr>
                <w:rFonts w:hint="default" w:ascii="Arial" w:hAnsi="Arial" w:eastAsia="宋体" w:cs="Arial"/>
                <w:kern w:val="0"/>
                <w:szCs w:val="21"/>
                <w:lang w:bidi="ar"/>
              </w:rPr>
              <w:t>二、性能指标：</w:t>
            </w:r>
            <w:r>
              <w:rPr>
                <w:rFonts w:hint="default" w:ascii="Arial" w:hAnsi="Arial" w:eastAsia="宋体" w:cs="Arial"/>
                <w:kern w:val="0"/>
                <w:szCs w:val="21"/>
                <w:lang w:bidi="ar"/>
              </w:rPr>
              <w:br w:type="textWrapping"/>
            </w:r>
            <w:r>
              <w:rPr>
                <w:rFonts w:hint="default" w:ascii="Arial" w:hAnsi="Arial" w:eastAsia="宋体" w:cs="Arial"/>
                <w:kern w:val="0"/>
                <w:szCs w:val="21"/>
                <w:lang w:bidi="ar"/>
              </w:rPr>
              <w:t>1、凝胶数：1-4</w:t>
            </w:r>
            <w:r>
              <w:rPr>
                <w:rFonts w:hint="default" w:ascii="Arial" w:hAnsi="Arial" w:eastAsia="宋体" w:cs="Arial"/>
                <w:kern w:val="0"/>
                <w:szCs w:val="21"/>
                <w:lang w:bidi="ar"/>
              </w:rPr>
              <w:br w:type="textWrapping"/>
            </w:r>
            <w:r>
              <w:rPr>
                <w:rFonts w:hint="default" w:ascii="Arial" w:hAnsi="Arial" w:eastAsia="宋体" w:cs="Arial"/>
                <w:kern w:val="0"/>
                <w:szCs w:val="21"/>
                <w:lang w:bidi="ar"/>
              </w:rPr>
              <w:t>2、玻璃尺寸：短玻板</w:t>
            </w:r>
            <w:r>
              <w:rPr>
                <w:rFonts w:hint="default" w:ascii="Arial" w:hAnsi="Arial" w:eastAsia="宋体" w:cs="Arial"/>
                <w:szCs w:val="21"/>
              </w:rPr>
              <w:t>≥</w:t>
            </w:r>
            <w:r>
              <w:rPr>
                <w:rFonts w:hint="default" w:ascii="Arial" w:hAnsi="Arial" w:eastAsia="宋体" w:cs="Arial"/>
                <w:kern w:val="0"/>
                <w:szCs w:val="21"/>
                <w:lang w:bidi="ar"/>
              </w:rPr>
              <w:t>（10.1x7.3cm）;长玻板</w:t>
            </w:r>
            <w:r>
              <w:rPr>
                <w:rFonts w:hint="default" w:ascii="Arial" w:hAnsi="Arial" w:eastAsia="宋体" w:cs="Arial"/>
                <w:szCs w:val="21"/>
              </w:rPr>
              <w:t>≥</w:t>
            </w:r>
            <w:r>
              <w:rPr>
                <w:rFonts w:hint="default" w:ascii="Arial" w:hAnsi="Arial" w:eastAsia="宋体" w:cs="Arial"/>
                <w:kern w:val="0"/>
                <w:szCs w:val="21"/>
                <w:lang w:bidi="ar"/>
              </w:rPr>
              <w:t>（10.1x8.2cm）</w:t>
            </w:r>
            <w:r>
              <w:rPr>
                <w:rFonts w:hint="default" w:ascii="Arial" w:hAnsi="Arial" w:eastAsia="宋体" w:cs="Arial"/>
                <w:kern w:val="0"/>
                <w:szCs w:val="21"/>
                <w:lang w:bidi="ar"/>
              </w:rPr>
              <w:br w:type="textWrapping"/>
            </w:r>
            <w:r>
              <w:rPr>
                <w:rFonts w:hint="default" w:ascii="Arial" w:hAnsi="Arial" w:eastAsia="宋体" w:cs="Arial"/>
                <w:kern w:val="0"/>
                <w:szCs w:val="21"/>
                <w:lang w:bidi="ar"/>
              </w:rPr>
              <w:t>3、凝胶大小：手灌胶</w:t>
            </w:r>
            <w:r>
              <w:rPr>
                <w:rFonts w:hint="default" w:ascii="Arial" w:hAnsi="Arial" w:eastAsia="宋体" w:cs="Arial"/>
                <w:szCs w:val="21"/>
              </w:rPr>
              <w:t>≥</w:t>
            </w:r>
            <w:r>
              <w:rPr>
                <w:rFonts w:hint="default" w:ascii="Arial" w:hAnsi="Arial" w:eastAsia="宋体" w:cs="Arial"/>
                <w:kern w:val="0"/>
                <w:szCs w:val="21"/>
                <w:lang w:bidi="ar"/>
              </w:rPr>
              <w:t>（8.3x7.3cm）;预制胶</w:t>
            </w:r>
            <w:r>
              <w:rPr>
                <w:rFonts w:hint="default" w:ascii="Arial" w:hAnsi="Arial" w:eastAsia="宋体" w:cs="Arial"/>
                <w:szCs w:val="21"/>
              </w:rPr>
              <w:t>≥</w:t>
            </w:r>
            <w:r>
              <w:rPr>
                <w:rFonts w:hint="default" w:ascii="Arial" w:hAnsi="Arial" w:eastAsia="宋体" w:cs="Arial"/>
                <w:kern w:val="0"/>
                <w:szCs w:val="21"/>
                <w:lang w:bidi="ar"/>
              </w:rPr>
              <w:t>（8.6x6.8cm）</w:t>
            </w:r>
            <w:r>
              <w:rPr>
                <w:rFonts w:hint="default" w:ascii="Arial" w:hAnsi="Arial" w:eastAsia="宋体" w:cs="Arial"/>
                <w:kern w:val="0"/>
                <w:szCs w:val="21"/>
                <w:lang w:bidi="ar"/>
              </w:rPr>
              <w:br w:type="textWrapping"/>
            </w:r>
            <w:r>
              <w:rPr>
                <w:rFonts w:hint="default" w:ascii="Arial" w:hAnsi="Arial" w:eastAsia="宋体" w:cs="Arial"/>
                <w:kern w:val="0"/>
                <w:szCs w:val="21"/>
                <w:lang w:bidi="ar"/>
              </w:rPr>
              <w:t>4、典型上层缓冲液体积：</w:t>
            </w:r>
            <w:r>
              <w:rPr>
                <w:rFonts w:hint="default" w:ascii="Arial" w:hAnsi="Arial" w:eastAsia="宋体" w:cs="Arial"/>
                <w:szCs w:val="21"/>
              </w:rPr>
              <w:t>≤</w:t>
            </w:r>
            <w:r>
              <w:rPr>
                <w:rFonts w:hint="default" w:ascii="Arial" w:hAnsi="Arial" w:eastAsia="宋体" w:cs="Arial"/>
                <w:kern w:val="0"/>
                <w:szCs w:val="21"/>
                <w:lang w:bidi="ar"/>
              </w:rPr>
              <w:t>120ml</w:t>
            </w:r>
            <w:r>
              <w:rPr>
                <w:rFonts w:hint="default" w:ascii="Arial" w:hAnsi="Arial" w:eastAsia="宋体" w:cs="Arial"/>
                <w:kern w:val="0"/>
                <w:szCs w:val="21"/>
                <w:lang w:bidi="ar"/>
              </w:rPr>
              <w:br w:type="textWrapping"/>
            </w:r>
            <w:r>
              <w:rPr>
                <w:rFonts w:hint="default" w:ascii="Arial" w:hAnsi="Arial" w:eastAsia="宋体" w:cs="Arial"/>
                <w:kern w:val="0"/>
                <w:szCs w:val="21"/>
                <w:lang w:bidi="ar"/>
              </w:rPr>
              <w:t>5、典型下层缓冲液体积：</w:t>
            </w:r>
            <w:r>
              <w:rPr>
                <w:rFonts w:hint="default" w:ascii="Arial" w:hAnsi="Arial" w:eastAsia="宋体" w:cs="Arial"/>
                <w:szCs w:val="21"/>
              </w:rPr>
              <w:t>≤</w:t>
            </w:r>
            <w:r>
              <w:rPr>
                <w:rFonts w:hint="default" w:ascii="Arial" w:hAnsi="Arial" w:eastAsia="宋体" w:cs="Arial"/>
                <w:kern w:val="0"/>
                <w:szCs w:val="21"/>
                <w:lang w:bidi="ar"/>
              </w:rPr>
              <w:t>180ml</w:t>
            </w:r>
            <w:r>
              <w:rPr>
                <w:rFonts w:hint="default" w:ascii="Arial" w:hAnsi="Arial" w:eastAsia="宋体" w:cs="Arial"/>
                <w:kern w:val="0"/>
                <w:szCs w:val="21"/>
                <w:lang w:bidi="ar"/>
              </w:rPr>
              <w:br w:type="textWrapping"/>
            </w:r>
            <w:r>
              <w:rPr>
                <w:rFonts w:hint="default" w:ascii="Arial" w:hAnsi="Arial" w:eastAsia="宋体" w:cs="Arial"/>
                <w:kern w:val="0"/>
                <w:szCs w:val="21"/>
                <w:lang w:bidi="ar"/>
              </w:rPr>
              <w:t>6、典型SDS-PAGE电泳时间：</w:t>
            </w:r>
            <w:r>
              <w:rPr>
                <w:rFonts w:hint="default" w:ascii="Arial" w:hAnsi="Arial" w:eastAsia="宋体" w:cs="Arial"/>
                <w:szCs w:val="21"/>
              </w:rPr>
              <w:t>≤</w:t>
            </w:r>
            <w:r>
              <w:rPr>
                <w:rFonts w:hint="default" w:ascii="Arial" w:hAnsi="Arial" w:eastAsia="宋体" w:cs="Arial"/>
                <w:kern w:val="0"/>
                <w:szCs w:val="21"/>
                <w:lang w:bidi="ar"/>
              </w:rPr>
              <w:t>45分钟（200V恒压）</w:t>
            </w:r>
            <w:r>
              <w:rPr>
                <w:rFonts w:hint="default" w:ascii="Arial" w:hAnsi="Arial" w:eastAsia="宋体" w:cs="Arial"/>
                <w:kern w:val="0"/>
                <w:szCs w:val="21"/>
                <w:lang w:bidi="ar"/>
              </w:rPr>
              <w:br w:type="textWrapping"/>
            </w:r>
            <w:r>
              <w:rPr>
                <w:rFonts w:hint="default" w:ascii="Arial" w:hAnsi="Arial" w:eastAsia="宋体" w:cs="Arial"/>
                <w:kern w:val="0"/>
                <w:szCs w:val="21"/>
                <w:lang w:bidi="ar"/>
              </w:rPr>
              <w:t>7、体积(W x L x H)：</w:t>
            </w:r>
            <w:r>
              <w:rPr>
                <w:rFonts w:hint="default" w:ascii="Arial" w:hAnsi="Arial" w:eastAsia="宋体" w:cs="Arial"/>
                <w:szCs w:val="21"/>
              </w:rPr>
              <w:t>≤</w:t>
            </w:r>
            <w:r>
              <w:rPr>
                <w:rFonts w:hint="default" w:ascii="Arial" w:hAnsi="Arial" w:eastAsia="宋体" w:cs="Arial"/>
                <w:kern w:val="0"/>
                <w:szCs w:val="21"/>
                <w:lang w:bidi="ar"/>
              </w:rPr>
              <w:t>12 x 16 x 18cm</w:t>
            </w:r>
            <w:r>
              <w:rPr>
                <w:rFonts w:hint="default" w:ascii="Arial" w:hAnsi="Arial" w:eastAsia="宋体" w:cs="Arial"/>
                <w:kern w:val="0"/>
                <w:szCs w:val="21"/>
                <w:lang w:bidi="ar"/>
              </w:rPr>
              <w:br w:type="textWrapping"/>
            </w:r>
            <w:r>
              <w:rPr>
                <w:rFonts w:hint="default" w:ascii="Arial" w:hAnsi="Arial" w:eastAsia="宋体" w:cs="Arial"/>
                <w:kern w:val="0"/>
                <w:szCs w:val="21"/>
                <w:lang w:bidi="ar"/>
              </w:rPr>
              <w:t>8、重量：</w:t>
            </w:r>
            <w:r>
              <w:rPr>
                <w:rFonts w:hint="default" w:ascii="Arial" w:hAnsi="Arial" w:eastAsia="宋体" w:cs="Arial"/>
                <w:szCs w:val="21"/>
              </w:rPr>
              <w:t>≤</w:t>
            </w:r>
            <w:r>
              <w:rPr>
                <w:rFonts w:hint="default" w:ascii="Arial" w:hAnsi="Arial" w:eastAsia="宋体" w:cs="Arial"/>
                <w:kern w:val="0"/>
                <w:szCs w:val="21"/>
                <w:lang w:bidi="ar"/>
              </w:rPr>
              <w:t>2.0Kg</w:t>
            </w:r>
            <w:r>
              <w:rPr>
                <w:rFonts w:hint="default" w:ascii="Arial" w:hAnsi="Arial" w:eastAsia="宋体" w:cs="Arial"/>
                <w:kern w:val="0"/>
                <w:szCs w:val="21"/>
                <w:lang w:bidi="ar"/>
              </w:rPr>
              <w:br w:type="textWrapping"/>
            </w:r>
            <w:r>
              <w:rPr>
                <w:rFonts w:hint="default" w:ascii="Arial" w:hAnsi="Arial" w:eastAsia="宋体" w:cs="Arial"/>
                <w:kern w:val="0"/>
                <w:szCs w:val="21"/>
                <w:lang w:bidi="ar"/>
              </w:rPr>
              <w:t>9、封边垫条永久地固定在长玻板上，保证玻板精确对齐，防止漏胶；</w:t>
            </w:r>
            <w:r>
              <w:rPr>
                <w:rFonts w:hint="default" w:ascii="Arial" w:hAnsi="Arial" w:eastAsia="宋体" w:cs="Arial"/>
                <w:kern w:val="0"/>
                <w:szCs w:val="21"/>
                <w:lang w:bidi="ar"/>
              </w:rPr>
              <w:br w:type="textWrapping"/>
            </w:r>
            <w:r>
              <w:rPr>
                <w:rFonts w:hint="default" w:ascii="Arial" w:hAnsi="Arial" w:eastAsia="宋体" w:cs="Arial"/>
                <w:kern w:val="0"/>
                <w:szCs w:val="21"/>
                <w:lang w:bidi="ar"/>
              </w:rPr>
              <w:t>10、凸轮卡锁的制胶框操作简单，在任何平面上都能精确对齐玻板；</w:t>
            </w:r>
            <w:r>
              <w:rPr>
                <w:rFonts w:hint="default" w:ascii="Arial" w:hAnsi="Arial" w:eastAsia="宋体" w:cs="Arial"/>
                <w:kern w:val="0"/>
                <w:szCs w:val="21"/>
                <w:lang w:bidi="ar"/>
              </w:rPr>
              <w:br w:type="textWrapping"/>
            </w:r>
            <w:r>
              <w:rPr>
                <w:rFonts w:hint="default" w:ascii="Arial" w:hAnsi="Arial" w:eastAsia="宋体" w:cs="Arial"/>
                <w:kern w:val="0"/>
                <w:szCs w:val="21"/>
                <w:lang w:bidi="ar"/>
              </w:rPr>
              <w:t>11、特殊的塑料电泳梳不会抑制凝胶聚合反应，制胶过程中，内置的脊可避免空气接触，保证均一的凝胶聚合；</w:t>
            </w:r>
            <w:r>
              <w:rPr>
                <w:rFonts w:hint="default" w:ascii="Arial" w:hAnsi="Arial" w:eastAsia="宋体" w:cs="Arial"/>
                <w:kern w:val="0"/>
                <w:szCs w:val="21"/>
                <w:lang w:bidi="ar"/>
              </w:rPr>
              <w:br w:type="textWrapping"/>
            </w:r>
            <w:r>
              <w:rPr>
                <w:rFonts w:hint="default" w:ascii="Arial" w:hAnsi="Arial" w:eastAsia="宋体" w:cs="Arial"/>
                <w:kern w:val="0"/>
                <w:szCs w:val="21"/>
                <w:lang w:bidi="ar"/>
              </w:rPr>
              <w:t>12、含封边垫条的长玻璃板加厚，使得玻璃板不宜破碎。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12</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蛋白转印系统</w:t>
            </w:r>
          </w:p>
        </w:tc>
        <w:tc>
          <w:tcPr>
            <w:tcW w:w="583" w:type="dxa"/>
            <w:noWrap w:val="0"/>
            <w:vAlign w:val="top"/>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bdr w:val="single" w:color="000000" w:sz="4" w:space="0"/>
                <w:shd w:val="clear" w:color="auto" w:fill="FFFFFF"/>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28575"/>
                  <wp:effectExtent l="0" t="0" r="0" b="0"/>
                  <wp:wrapNone/>
                  <wp:docPr id="489" name="Picture_22"/>
                  <wp:cNvGraphicFramePr/>
                  <a:graphic xmlns:a="http://schemas.openxmlformats.org/drawingml/2006/main">
                    <a:graphicData uri="http://schemas.openxmlformats.org/drawingml/2006/picture">
                      <pic:pic xmlns:pic="http://schemas.openxmlformats.org/drawingml/2006/picture">
                        <pic:nvPicPr>
                          <pic:cNvPr id="489" name="Picture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28575"/>
                  <wp:effectExtent l="0" t="0" r="0" b="0"/>
                  <wp:wrapNone/>
                  <wp:docPr id="490" name="Picture_44"/>
                  <wp:cNvGraphicFramePr/>
                  <a:graphic xmlns:a="http://schemas.openxmlformats.org/drawingml/2006/main">
                    <a:graphicData uri="http://schemas.openxmlformats.org/drawingml/2006/picture">
                      <pic:pic xmlns:pic="http://schemas.openxmlformats.org/drawingml/2006/picture">
                        <pic:nvPicPr>
                          <pic:cNvPr id="490" name="Picture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28575"/>
                  <wp:effectExtent l="0" t="0" r="0" b="0"/>
                  <wp:wrapNone/>
                  <wp:docPr id="491" name="Picture_44_SpCnt_1"/>
                  <wp:cNvGraphicFramePr/>
                  <a:graphic xmlns:a="http://schemas.openxmlformats.org/drawingml/2006/main">
                    <a:graphicData uri="http://schemas.openxmlformats.org/drawingml/2006/picture">
                      <pic:pic xmlns:pic="http://schemas.openxmlformats.org/drawingml/2006/picture">
                        <pic:nvPicPr>
                          <pic:cNvPr id="491" name="Picture_44_SpCnt_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28575"/>
                  <wp:effectExtent l="0" t="0" r="0" b="0"/>
                  <wp:wrapNone/>
                  <wp:docPr id="492" name="Picture_44_SpCnt_2"/>
                  <wp:cNvGraphicFramePr/>
                  <a:graphic xmlns:a="http://schemas.openxmlformats.org/drawingml/2006/main">
                    <a:graphicData uri="http://schemas.openxmlformats.org/drawingml/2006/picture">
                      <pic:pic xmlns:pic="http://schemas.openxmlformats.org/drawingml/2006/picture">
                        <pic:nvPicPr>
                          <pic:cNvPr id="492" name="Picture_44_SpCnt_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28575"/>
                  <wp:effectExtent l="0" t="0" r="0" b="0"/>
                  <wp:wrapNone/>
                  <wp:docPr id="493" name="Picture_44_SpCnt_3"/>
                  <wp:cNvGraphicFramePr/>
                  <a:graphic xmlns:a="http://schemas.openxmlformats.org/drawingml/2006/main">
                    <a:graphicData uri="http://schemas.openxmlformats.org/drawingml/2006/picture">
                      <pic:pic xmlns:pic="http://schemas.openxmlformats.org/drawingml/2006/picture">
                        <pic:nvPicPr>
                          <pic:cNvPr id="493" name="Picture_44_SpCnt_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28575"/>
                  <wp:effectExtent l="0" t="0" r="0" b="0"/>
                  <wp:wrapNone/>
                  <wp:docPr id="494" name="Picture_44_SpCnt_4"/>
                  <wp:cNvGraphicFramePr/>
                  <a:graphic xmlns:a="http://schemas.openxmlformats.org/drawingml/2006/main">
                    <a:graphicData uri="http://schemas.openxmlformats.org/drawingml/2006/picture">
                      <pic:pic xmlns:pic="http://schemas.openxmlformats.org/drawingml/2006/picture">
                        <pic:nvPicPr>
                          <pic:cNvPr id="494" name="Picture_44_SpCnt_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28575"/>
                  <wp:effectExtent l="0" t="0" r="0" b="0"/>
                  <wp:wrapNone/>
                  <wp:docPr id="495" name="Picture_44_SpCnt_5"/>
                  <wp:cNvGraphicFramePr/>
                  <a:graphic xmlns:a="http://schemas.openxmlformats.org/drawingml/2006/main">
                    <a:graphicData uri="http://schemas.openxmlformats.org/drawingml/2006/picture">
                      <pic:pic xmlns:pic="http://schemas.openxmlformats.org/drawingml/2006/picture">
                        <pic:nvPicPr>
                          <pic:cNvPr id="495" name="Picture_44_SpCnt_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28575"/>
                  <wp:effectExtent l="0" t="0" r="0" b="0"/>
                  <wp:wrapNone/>
                  <wp:docPr id="496" name="Picture_44_SpCnt_6"/>
                  <wp:cNvGraphicFramePr/>
                  <a:graphic xmlns:a="http://schemas.openxmlformats.org/drawingml/2006/main">
                    <a:graphicData uri="http://schemas.openxmlformats.org/drawingml/2006/picture">
                      <pic:pic xmlns:pic="http://schemas.openxmlformats.org/drawingml/2006/picture">
                        <pic:nvPicPr>
                          <pic:cNvPr id="496" name="Picture_44_SpCnt_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28575"/>
                  <wp:effectExtent l="0" t="0" r="0" b="0"/>
                  <wp:wrapNone/>
                  <wp:docPr id="497" name="Picture_45"/>
                  <wp:cNvGraphicFramePr/>
                  <a:graphic xmlns:a="http://schemas.openxmlformats.org/drawingml/2006/main">
                    <a:graphicData uri="http://schemas.openxmlformats.org/drawingml/2006/picture">
                      <pic:pic xmlns:pic="http://schemas.openxmlformats.org/drawingml/2006/picture">
                        <pic:nvPicPr>
                          <pic:cNvPr id="497" name="Picture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28575"/>
                  <wp:effectExtent l="0" t="0" r="0" b="0"/>
                  <wp:wrapNone/>
                  <wp:docPr id="498" name="Picture_44_SpCnt_7"/>
                  <wp:cNvGraphicFramePr/>
                  <a:graphic xmlns:a="http://schemas.openxmlformats.org/drawingml/2006/main">
                    <a:graphicData uri="http://schemas.openxmlformats.org/drawingml/2006/picture">
                      <pic:pic xmlns:pic="http://schemas.openxmlformats.org/drawingml/2006/picture">
                        <pic:nvPicPr>
                          <pic:cNvPr id="498" name="Picture_44_SpCnt_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28575"/>
                  <wp:effectExtent l="0" t="0" r="0" b="0"/>
                  <wp:wrapNone/>
                  <wp:docPr id="499" name="Picture_23"/>
                  <wp:cNvGraphicFramePr/>
                  <a:graphic xmlns:a="http://schemas.openxmlformats.org/drawingml/2006/main">
                    <a:graphicData uri="http://schemas.openxmlformats.org/drawingml/2006/picture">
                      <pic:pic xmlns:pic="http://schemas.openxmlformats.org/drawingml/2006/picture">
                        <pic:nvPicPr>
                          <pic:cNvPr id="499" name="Picture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28575"/>
                  <wp:effectExtent l="0" t="0" r="0" b="0"/>
                  <wp:wrapNone/>
                  <wp:docPr id="500" name="Picture_22_SpCnt_1"/>
                  <wp:cNvGraphicFramePr/>
                  <a:graphic xmlns:a="http://schemas.openxmlformats.org/drawingml/2006/main">
                    <a:graphicData uri="http://schemas.openxmlformats.org/drawingml/2006/picture">
                      <pic:pic xmlns:pic="http://schemas.openxmlformats.org/drawingml/2006/picture">
                        <pic:nvPicPr>
                          <pic:cNvPr id="500" name="Picture_22_SpCnt_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28575"/>
                  <wp:effectExtent l="0" t="0" r="0" b="0"/>
                  <wp:wrapNone/>
                  <wp:docPr id="501" name="Picture_45_SpCnt_1"/>
                  <wp:cNvGraphicFramePr/>
                  <a:graphic xmlns:a="http://schemas.openxmlformats.org/drawingml/2006/main">
                    <a:graphicData uri="http://schemas.openxmlformats.org/drawingml/2006/picture">
                      <pic:pic xmlns:pic="http://schemas.openxmlformats.org/drawingml/2006/picture">
                        <pic:nvPicPr>
                          <pic:cNvPr id="501" name="Picture_45_SpCnt_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28575"/>
                  <wp:effectExtent l="0" t="0" r="0" b="0"/>
                  <wp:wrapNone/>
                  <wp:docPr id="502" name="Picture_44_SpCnt_8"/>
                  <wp:cNvGraphicFramePr/>
                  <a:graphic xmlns:a="http://schemas.openxmlformats.org/drawingml/2006/main">
                    <a:graphicData uri="http://schemas.openxmlformats.org/drawingml/2006/picture">
                      <pic:pic xmlns:pic="http://schemas.openxmlformats.org/drawingml/2006/picture">
                        <pic:nvPicPr>
                          <pic:cNvPr id="502" name="Picture_44_SpCnt_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28575"/>
                  <wp:effectExtent l="0" t="0" r="0" b="0"/>
                  <wp:wrapNone/>
                  <wp:docPr id="503" name="Picture_23_SpCnt_1"/>
                  <wp:cNvGraphicFramePr/>
                  <a:graphic xmlns:a="http://schemas.openxmlformats.org/drawingml/2006/main">
                    <a:graphicData uri="http://schemas.openxmlformats.org/drawingml/2006/picture">
                      <pic:pic xmlns:pic="http://schemas.openxmlformats.org/drawingml/2006/picture">
                        <pic:nvPicPr>
                          <pic:cNvPr id="503" name="Picture_23_SpCnt_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28575"/>
                  <wp:effectExtent l="0" t="0" r="0" b="0"/>
                  <wp:wrapNone/>
                  <wp:docPr id="504" name="Picture_22_SpCnt_2"/>
                  <wp:cNvGraphicFramePr/>
                  <a:graphic xmlns:a="http://schemas.openxmlformats.org/drawingml/2006/main">
                    <a:graphicData uri="http://schemas.openxmlformats.org/drawingml/2006/picture">
                      <pic:pic xmlns:pic="http://schemas.openxmlformats.org/drawingml/2006/picture">
                        <pic:nvPicPr>
                          <pic:cNvPr id="504" name="Picture_22_SpCnt_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28575"/>
                  <wp:effectExtent l="0" t="0" r="0" b="0"/>
                  <wp:wrapNone/>
                  <wp:docPr id="505" name="Picture_45_SpCnt_2"/>
                  <wp:cNvGraphicFramePr/>
                  <a:graphic xmlns:a="http://schemas.openxmlformats.org/drawingml/2006/main">
                    <a:graphicData uri="http://schemas.openxmlformats.org/drawingml/2006/picture">
                      <pic:pic xmlns:pic="http://schemas.openxmlformats.org/drawingml/2006/picture">
                        <pic:nvPicPr>
                          <pic:cNvPr id="505" name="Picture_45_SpCnt_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28575"/>
                  <wp:effectExtent l="0" t="0" r="0" b="0"/>
                  <wp:wrapNone/>
                  <wp:docPr id="506" name="Picture_44_SpCnt_9"/>
                  <wp:cNvGraphicFramePr/>
                  <a:graphic xmlns:a="http://schemas.openxmlformats.org/drawingml/2006/main">
                    <a:graphicData uri="http://schemas.openxmlformats.org/drawingml/2006/picture">
                      <pic:pic xmlns:pic="http://schemas.openxmlformats.org/drawingml/2006/picture">
                        <pic:nvPicPr>
                          <pic:cNvPr id="506" name="Picture_44_SpCnt_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28575"/>
                  <wp:effectExtent l="0" t="0" r="0" b="0"/>
                  <wp:wrapNone/>
                  <wp:docPr id="507" name="Picture_23_SpCnt_2"/>
                  <wp:cNvGraphicFramePr/>
                  <a:graphic xmlns:a="http://schemas.openxmlformats.org/drawingml/2006/main">
                    <a:graphicData uri="http://schemas.openxmlformats.org/drawingml/2006/picture">
                      <pic:pic xmlns:pic="http://schemas.openxmlformats.org/drawingml/2006/picture">
                        <pic:nvPicPr>
                          <pic:cNvPr id="507" name="Picture_23_SpCnt_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28575"/>
                  <wp:effectExtent l="0" t="0" r="0" b="0"/>
                  <wp:wrapNone/>
                  <wp:docPr id="508" name="Picture_22_SpCnt_3"/>
                  <wp:cNvGraphicFramePr/>
                  <a:graphic xmlns:a="http://schemas.openxmlformats.org/drawingml/2006/main">
                    <a:graphicData uri="http://schemas.openxmlformats.org/drawingml/2006/picture">
                      <pic:pic xmlns:pic="http://schemas.openxmlformats.org/drawingml/2006/picture">
                        <pic:nvPicPr>
                          <pic:cNvPr id="508" name="Picture_22_SpCnt_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28575"/>
                  <wp:effectExtent l="0" t="0" r="0" b="0"/>
                  <wp:wrapNone/>
                  <wp:docPr id="509" name="Picture_45_SpCnt_3"/>
                  <wp:cNvGraphicFramePr/>
                  <a:graphic xmlns:a="http://schemas.openxmlformats.org/drawingml/2006/main">
                    <a:graphicData uri="http://schemas.openxmlformats.org/drawingml/2006/picture">
                      <pic:pic xmlns:pic="http://schemas.openxmlformats.org/drawingml/2006/picture">
                        <pic:nvPicPr>
                          <pic:cNvPr id="509" name="Picture_45_SpCnt_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28575"/>
                  <wp:effectExtent l="0" t="0" r="0" b="0"/>
                  <wp:wrapNone/>
                  <wp:docPr id="510" name="Picture_44_SpCnt_10"/>
                  <wp:cNvGraphicFramePr/>
                  <a:graphic xmlns:a="http://schemas.openxmlformats.org/drawingml/2006/main">
                    <a:graphicData uri="http://schemas.openxmlformats.org/drawingml/2006/picture">
                      <pic:pic xmlns:pic="http://schemas.openxmlformats.org/drawingml/2006/picture">
                        <pic:nvPicPr>
                          <pic:cNvPr id="510" name="Picture_44_SpCnt_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28575"/>
                  <wp:effectExtent l="0" t="0" r="0" b="0"/>
                  <wp:wrapNone/>
                  <wp:docPr id="511" name="Picture_23_SpCnt_3"/>
                  <wp:cNvGraphicFramePr/>
                  <a:graphic xmlns:a="http://schemas.openxmlformats.org/drawingml/2006/main">
                    <a:graphicData uri="http://schemas.openxmlformats.org/drawingml/2006/picture">
                      <pic:pic xmlns:pic="http://schemas.openxmlformats.org/drawingml/2006/picture">
                        <pic:nvPicPr>
                          <pic:cNvPr id="511" name="Picture_23_SpCnt_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28575"/>
                  <wp:effectExtent l="0" t="0" r="0" b="0"/>
                  <wp:wrapNone/>
                  <wp:docPr id="512" name="Picture_22_SpCnt_4"/>
                  <wp:cNvGraphicFramePr/>
                  <a:graphic xmlns:a="http://schemas.openxmlformats.org/drawingml/2006/main">
                    <a:graphicData uri="http://schemas.openxmlformats.org/drawingml/2006/picture">
                      <pic:pic xmlns:pic="http://schemas.openxmlformats.org/drawingml/2006/picture">
                        <pic:nvPicPr>
                          <pic:cNvPr id="512" name="Picture_22_SpCnt_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28575"/>
                  <wp:effectExtent l="0" t="0" r="0" b="0"/>
                  <wp:wrapNone/>
                  <wp:docPr id="513" name="Picture_45_SpCnt_4"/>
                  <wp:cNvGraphicFramePr/>
                  <a:graphic xmlns:a="http://schemas.openxmlformats.org/drawingml/2006/main">
                    <a:graphicData uri="http://schemas.openxmlformats.org/drawingml/2006/picture">
                      <pic:pic xmlns:pic="http://schemas.openxmlformats.org/drawingml/2006/picture">
                        <pic:nvPicPr>
                          <pic:cNvPr id="513" name="Picture_45_SpCnt_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28575"/>
                  <wp:effectExtent l="0" t="0" r="0" b="0"/>
                  <wp:wrapNone/>
                  <wp:docPr id="514" name="Picture_44_SpCnt_11"/>
                  <wp:cNvGraphicFramePr/>
                  <a:graphic xmlns:a="http://schemas.openxmlformats.org/drawingml/2006/main">
                    <a:graphicData uri="http://schemas.openxmlformats.org/drawingml/2006/picture">
                      <pic:pic xmlns:pic="http://schemas.openxmlformats.org/drawingml/2006/picture">
                        <pic:nvPicPr>
                          <pic:cNvPr id="514" name="Picture_44_SpCnt_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28575"/>
                  <wp:effectExtent l="0" t="0" r="0" b="0"/>
                  <wp:wrapNone/>
                  <wp:docPr id="515" name="Picture_23_SpCnt_4"/>
                  <wp:cNvGraphicFramePr/>
                  <a:graphic xmlns:a="http://schemas.openxmlformats.org/drawingml/2006/main">
                    <a:graphicData uri="http://schemas.openxmlformats.org/drawingml/2006/picture">
                      <pic:pic xmlns:pic="http://schemas.openxmlformats.org/drawingml/2006/picture">
                        <pic:nvPicPr>
                          <pic:cNvPr id="515" name="Picture_23_SpCnt_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28575"/>
                  <wp:effectExtent l="0" t="0" r="0" b="0"/>
                  <wp:wrapNone/>
                  <wp:docPr id="516" name="Picture_22_SpCnt_5"/>
                  <wp:cNvGraphicFramePr/>
                  <a:graphic xmlns:a="http://schemas.openxmlformats.org/drawingml/2006/main">
                    <a:graphicData uri="http://schemas.openxmlformats.org/drawingml/2006/picture">
                      <pic:pic xmlns:pic="http://schemas.openxmlformats.org/drawingml/2006/picture">
                        <pic:nvPicPr>
                          <pic:cNvPr id="516" name="Picture_22_SpCnt_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28575"/>
                  <wp:effectExtent l="0" t="0" r="0" b="0"/>
                  <wp:wrapNone/>
                  <wp:docPr id="517" name="Picture_45_SpCnt_5"/>
                  <wp:cNvGraphicFramePr/>
                  <a:graphic xmlns:a="http://schemas.openxmlformats.org/drawingml/2006/main">
                    <a:graphicData uri="http://schemas.openxmlformats.org/drawingml/2006/picture">
                      <pic:pic xmlns:pic="http://schemas.openxmlformats.org/drawingml/2006/picture">
                        <pic:nvPicPr>
                          <pic:cNvPr id="517" name="Picture_45_SpCnt_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28575"/>
                  <wp:effectExtent l="0" t="0" r="0" b="0"/>
                  <wp:wrapNone/>
                  <wp:docPr id="518" name="Picture_44_SpCnt_12"/>
                  <wp:cNvGraphicFramePr/>
                  <a:graphic xmlns:a="http://schemas.openxmlformats.org/drawingml/2006/main">
                    <a:graphicData uri="http://schemas.openxmlformats.org/drawingml/2006/picture">
                      <pic:pic xmlns:pic="http://schemas.openxmlformats.org/drawingml/2006/picture">
                        <pic:nvPicPr>
                          <pic:cNvPr id="518" name="Picture_44_SpCnt_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28575"/>
                  <wp:effectExtent l="0" t="0" r="0" b="0"/>
                  <wp:wrapNone/>
                  <wp:docPr id="519" name="Picture_23_SpCnt_5"/>
                  <wp:cNvGraphicFramePr/>
                  <a:graphic xmlns:a="http://schemas.openxmlformats.org/drawingml/2006/main">
                    <a:graphicData uri="http://schemas.openxmlformats.org/drawingml/2006/picture">
                      <pic:pic xmlns:pic="http://schemas.openxmlformats.org/drawingml/2006/picture">
                        <pic:nvPicPr>
                          <pic:cNvPr id="519" name="Picture_23_SpCnt_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28575"/>
                  <wp:effectExtent l="0" t="0" r="0" b="0"/>
                  <wp:wrapNone/>
                  <wp:docPr id="520" name="Picture_22_SpCnt_6"/>
                  <wp:cNvGraphicFramePr/>
                  <a:graphic xmlns:a="http://schemas.openxmlformats.org/drawingml/2006/main">
                    <a:graphicData uri="http://schemas.openxmlformats.org/drawingml/2006/picture">
                      <pic:pic xmlns:pic="http://schemas.openxmlformats.org/drawingml/2006/picture">
                        <pic:nvPicPr>
                          <pic:cNvPr id="520" name="Picture_22_SpCnt_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28575"/>
                  <wp:effectExtent l="0" t="0" r="0" b="0"/>
                  <wp:wrapNone/>
                  <wp:docPr id="521" name="Picture_45_SpCnt_6"/>
                  <wp:cNvGraphicFramePr/>
                  <a:graphic xmlns:a="http://schemas.openxmlformats.org/drawingml/2006/main">
                    <a:graphicData uri="http://schemas.openxmlformats.org/drawingml/2006/picture">
                      <pic:pic xmlns:pic="http://schemas.openxmlformats.org/drawingml/2006/picture">
                        <pic:nvPicPr>
                          <pic:cNvPr id="521" name="Picture_45_SpCnt_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28575"/>
                  <wp:effectExtent l="0" t="0" r="0" b="0"/>
                  <wp:wrapNone/>
                  <wp:docPr id="522" name="Picture_44_SpCnt_13"/>
                  <wp:cNvGraphicFramePr/>
                  <a:graphic xmlns:a="http://schemas.openxmlformats.org/drawingml/2006/main">
                    <a:graphicData uri="http://schemas.openxmlformats.org/drawingml/2006/picture">
                      <pic:pic xmlns:pic="http://schemas.openxmlformats.org/drawingml/2006/picture">
                        <pic:nvPicPr>
                          <pic:cNvPr id="522" name="Picture_44_SpCnt_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28575"/>
                  <wp:effectExtent l="0" t="0" r="0" b="0"/>
                  <wp:wrapNone/>
                  <wp:docPr id="523" name="Picture_23_SpCnt_6"/>
                  <wp:cNvGraphicFramePr/>
                  <a:graphic xmlns:a="http://schemas.openxmlformats.org/drawingml/2006/main">
                    <a:graphicData uri="http://schemas.openxmlformats.org/drawingml/2006/picture">
                      <pic:pic xmlns:pic="http://schemas.openxmlformats.org/drawingml/2006/picture">
                        <pic:nvPicPr>
                          <pic:cNvPr id="523" name="Picture_23_SpCnt_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28575"/>
                  <wp:effectExtent l="0" t="0" r="0" b="0"/>
                  <wp:wrapNone/>
                  <wp:docPr id="524" name="Picture_22_SpCnt_7"/>
                  <wp:cNvGraphicFramePr/>
                  <a:graphic xmlns:a="http://schemas.openxmlformats.org/drawingml/2006/main">
                    <a:graphicData uri="http://schemas.openxmlformats.org/drawingml/2006/picture">
                      <pic:pic xmlns:pic="http://schemas.openxmlformats.org/drawingml/2006/picture">
                        <pic:nvPicPr>
                          <pic:cNvPr id="524" name="Picture_22_SpCnt_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28575"/>
                  <wp:effectExtent l="0" t="0" r="0" b="0"/>
                  <wp:wrapNone/>
                  <wp:docPr id="525" name="Picture_45_SpCnt_7"/>
                  <wp:cNvGraphicFramePr/>
                  <a:graphic xmlns:a="http://schemas.openxmlformats.org/drawingml/2006/main">
                    <a:graphicData uri="http://schemas.openxmlformats.org/drawingml/2006/picture">
                      <pic:pic xmlns:pic="http://schemas.openxmlformats.org/drawingml/2006/picture">
                        <pic:nvPicPr>
                          <pic:cNvPr id="525" name="Picture_45_SpCnt_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28575"/>
                  <wp:effectExtent l="0" t="0" r="0" b="0"/>
                  <wp:wrapNone/>
                  <wp:docPr id="526" name="Picture_44_SpCnt_14"/>
                  <wp:cNvGraphicFramePr/>
                  <a:graphic xmlns:a="http://schemas.openxmlformats.org/drawingml/2006/main">
                    <a:graphicData uri="http://schemas.openxmlformats.org/drawingml/2006/picture">
                      <pic:pic xmlns:pic="http://schemas.openxmlformats.org/drawingml/2006/picture">
                        <pic:nvPicPr>
                          <pic:cNvPr id="526" name="Picture_44_SpCnt_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28575"/>
                  <wp:effectExtent l="0" t="0" r="0" b="0"/>
                  <wp:wrapNone/>
                  <wp:docPr id="527" name="Picture_23_SpCnt_7"/>
                  <wp:cNvGraphicFramePr/>
                  <a:graphic xmlns:a="http://schemas.openxmlformats.org/drawingml/2006/main">
                    <a:graphicData uri="http://schemas.openxmlformats.org/drawingml/2006/picture">
                      <pic:pic xmlns:pic="http://schemas.openxmlformats.org/drawingml/2006/picture">
                        <pic:nvPicPr>
                          <pic:cNvPr id="527" name="Picture_23_SpCnt_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28575"/>
                  <wp:effectExtent l="0" t="0" r="0" b="0"/>
                  <wp:wrapNone/>
                  <wp:docPr id="528" name="Picture_22_SpCnt_8"/>
                  <wp:cNvGraphicFramePr/>
                  <a:graphic xmlns:a="http://schemas.openxmlformats.org/drawingml/2006/main">
                    <a:graphicData uri="http://schemas.openxmlformats.org/drawingml/2006/picture">
                      <pic:pic xmlns:pic="http://schemas.openxmlformats.org/drawingml/2006/picture">
                        <pic:nvPicPr>
                          <pic:cNvPr id="528" name="Picture_22_SpCnt_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9525" cy="28575"/>
                  <wp:effectExtent l="0" t="0" r="0" b="0"/>
                  <wp:wrapNone/>
                  <wp:docPr id="529" name="Picture_45_SpCnt_8"/>
                  <wp:cNvGraphicFramePr/>
                  <a:graphic xmlns:a="http://schemas.openxmlformats.org/drawingml/2006/main">
                    <a:graphicData uri="http://schemas.openxmlformats.org/drawingml/2006/picture">
                      <pic:pic xmlns:pic="http://schemas.openxmlformats.org/drawingml/2006/picture">
                        <pic:nvPicPr>
                          <pic:cNvPr id="529" name="Picture_45_SpCnt_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9525" cy="28575"/>
                  <wp:effectExtent l="0" t="0" r="0" b="0"/>
                  <wp:wrapNone/>
                  <wp:docPr id="530" name="Picture_44_SpCnt_15"/>
                  <wp:cNvGraphicFramePr/>
                  <a:graphic xmlns:a="http://schemas.openxmlformats.org/drawingml/2006/main">
                    <a:graphicData uri="http://schemas.openxmlformats.org/drawingml/2006/picture">
                      <pic:pic xmlns:pic="http://schemas.openxmlformats.org/drawingml/2006/picture">
                        <pic:nvPicPr>
                          <pic:cNvPr id="530" name="Picture_44_SpCnt_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9525" cy="28575"/>
                  <wp:effectExtent l="0" t="0" r="0" b="0"/>
                  <wp:wrapNone/>
                  <wp:docPr id="531" name="Picture_23_SpCnt_8"/>
                  <wp:cNvGraphicFramePr/>
                  <a:graphic xmlns:a="http://schemas.openxmlformats.org/drawingml/2006/main">
                    <a:graphicData uri="http://schemas.openxmlformats.org/drawingml/2006/picture">
                      <pic:pic xmlns:pic="http://schemas.openxmlformats.org/drawingml/2006/picture">
                        <pic:nvPicPr>
                          <pic:cNvPr id="531" name="Picture_23_SpCnt_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525" cy="28575"/>
                  <wp:effectExtent l="0" t="0" r="0" b="0"/>
                  <wp:wrapNone/>
                  <wp:docPr id="532" name="Picture_22_SpCnt_9"/>
                  <wp:cNvGraphicFramePr/>
                  <a:graphic xmlns:a="http://schemas.openxmlformats.org/drawingml/2006/main">
                    <a:graphicData uri="http://schemas.openxmlformats.org/drawingml/2006/picture">
                      <pic:pic xmlns:pic="http://schemas.openxmlformats.org/drawingml/2006/picture">
                        <pic:nvPicPr>
                          <pic:cNvPr id="532" name="Picture_22_SpCnt_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9525" cy="28575"/>
                  <wp:effectExtent l="0" t="0" r="0" b="0"/>
                  <wp:wrapNone/>
                  <wp:docPr id="533" name="Picture_45_SpCnt_9"/>
                  <wp:cNvGraphicFramePr/>
                  <a:graphic xmlns:a="http://schemas.openxmlformats.org/drawingml/2006/main">
                    <a:graphicData uri="http://schemas.openxmlformats.org/drawingml/2006/picture">
                      <pic:pic xmlns:pic="http://schemas.openxmlformats.org/drawingml/2006/picture">
                        <pic:nvPicPr>
                          <pic:cNvPr id="533" name="Picture_45_SpCnt_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9525" cy="28575"/>
                  <wp:effectExtent l="0" t="0" r="0" b="0"/>
                  <wp:wrapNone/>
                  <wp:docPr id="534" name="Picture_44_SpCnt_16"/>
                  <wp:cNvGraphicFramePr/>
                  <a:graphic xmlns:a="http://schemas.openxmlformats.org/drawingml/2006/main">
                    <a:graphicData uri="http://schemas.openxmlformats.org/drawingml/2006/picture">
                      <pic:pic xmlns:pic="http://schemas.openxmlformats.org/drawingml/2006/picture">
                        <pic:nvPicPr>
                          <pic:cNvPr id="534" name="Picture_44_SpCnt_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9525" cy="28575"/>
                  <wp:effectExtent l="0" t="0" r="0" b="0"/>
                  <wp:wrapNone/>
                  <wp:docPr id="535" name="Picture_23_SpCnt_9"/>
                  <wp:cNvGraphicFramePr/>
                  <a:graphic xmlns:a="http://schemas.openxmlformats.org/drawingml/2006/main">
                    <a:graphicData uri="http://schemas.openxmlformats.org/drawingml/2006/picture">
                      <pic:pic xmlns:pic="http://schemas.openxmlformats.org/drawingml/2006/picture">
                        <pic:nvPicPr>
                          <pic:cNvPr id="535" name="Picture_23_SpCnt_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9525" cy="28575"/>
                  <wp:effectExtent l="0" t="0" r="0" b="0"/>
                  <wp:wrapNone/>
                  <wp:docPr id="536" name="Picture_22_SpCnt_10"/>
                  <wp:cNvGraphicFramePr/>
                  <a:graphic xmlns:a="http://schemas.openxmlformats.org/drawingml/2006/main">
                    <a:graphicData uri="http://schemas.openxmlformats.org/drawingml/2006/picture">
                      <pic:pic xmlns:pic="http://schemas.openxmlformats.org/drawingml/2006/picture">
                        <pic:nvPicPr>
                          <pic:cNvPr id="536" name="Picture_22_SpCnt_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525" cy="28575"/>
                  <wp:effectExtent l="0" t="0" r="0" b="0"/>
                  <wp:wrapNone/>
                  <wp:docPr id="537" name="Picture_45_SpCnt_10"/>
                  <wp:cNvGraphicFramePr/>
                  <a:graphic xmlns:a="http://schemas.openxmlformats.org/drawingml/2006/main">
                    <a:graphicData uri="http://schemas.openxmlformats.org/drawingml/2006/picture">
                      <pic:pic xmlns:pic="http://schemas.openxmlformats.org/drawingml/2006/picture">
                        <pic:nvPicPr>
                          <pic:cNvPr id="537" name="Picture_45_SpCnt_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9525" cy="28575"/>
                  <wp:effectExtent l="0" t="0" r="0" b="0"/>
                  <wp:wrapNone/>
                  <wp:docPr id="538" name="Picture_44_SpCnt_17"/>
                  <wp:cNvGraphicFramePr/>
                  <a:graphic xmlns:a="http://schemas.openxmlformats.org/drawingml/2006/main">
                    <a:graphicData uri="http://schemas.openxmlformats.org/drawingml/2006/picture">
                      <pic:pic xmlns:pic="http://schemas.openxmlformats.org/drawingml/2006/picture">
                        <pic:nvPicPr>
                          <pic:cNvPr id="538" name="Picture_44_SpCnt_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28575"/>
                  <wp:effectExtent l="0" t="0" r="0" b="0"/>
                  <wp:wrapNone/>
                  <wp:docPr id="539" name="Picture_23_SpCnt_10"/>
                  <wp:cNvGraphicFramePr/>
                  <a:graphic xmlns:a="http://schemas.openxmlformats.org/drawingml/2006/main">
                    <a:graphicData uri="http://schemas.openxmlformats.org/drawingml/2006/picture">
                      <pic:pic xmlns:pic="http://schemas.openxmlformats.org/drawingml/2006/picture">
                        <pic:nvPicPr>
                          <pic:cNvPr id="539" name="Picture_23_SpCnt_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9525" cy="28575"/>
                  <wp:effectExtent l="0" t="0" r="0" b="0"/>
                  <wp:wrapNone/>
                  <wp:docPr id="540" name="Picture_22_SpCnt_11"/>
                  <wp:cNvGraphicFramePr/>
                  <a:graphic xmlns:a="http://schemas.openxmlformats.org/drawingml/2006/main">
                    <a:graphicData uri="http://schemas.openxmlformats.org/drawingml/2006/picture">
                      <pic:pic xmlns:pic="http://schemas.openxmlformats.org/drawingml/2006/picture">
                        <pic:nvPicPr>
                          <pic:cNvPr id="540" name="Picture_22_SpCnt_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9525" cy="28575"/>
                  <wp:effectExtent l="0" t="0" r="0" b="0"/>
                  <wp:wrapNone/>
                  <wp:docPr id="541" name="Picture_45_SpCnt_11"/>
                  <wp:cNvGraphicFramePr/>
                  <a:graphic xmlns:a="http://schemas.openxmlformats.org/drawingml/2006/main">
                    <a:graphicData uri="http://schemas.openxmlformats.org/drawingml/2006/picture">
                      <pic:pic xmlns:pic="http://schemas.openxmlformats.org/drawingml/2006/picture">
                        <pic:nvPicPr>
                          <pic:cNvPr id="541" name="Picture_45_SpCnt_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9525" cy="28575"/>
                  <wp:effectExtent l="0" t="0" r="0" b="0"/>
                  <wp:wrapNone/>
                  <wp:docPr id="542" name="Picture_44_SpCnt_18"/>
                  <wp:cNvGraphicFramePr/>
                  <a:graphic xmlns:a="http://schemas.openxmlformats.org/drawingml/2006/main">
                    <a:graphicData uri="http://schemas.openxmlformats.org/drawingml/2006/picture">
                      <pic:pic xmlns:pic="http://schemas.openxmlformats.org/drawingml/2006/picture">
                        <pic:nvPicPr>
                          <pic:cNvPr id="542" name="Picture_44_SpCnt_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9525" cy="28575"/>
                  <wp:effectExtent l="0" t="0" r="0" b="0"/>
                  <wp:wrapNone/>
                  <wp:docPr id="543" name="Picture_23_SpCnt_11"/>
                  <wp:cNvGraphicFramePr/>
                  <a:graphic xmlns:a="http://schemas.openxmlformats.org/drawingml/2006/main">
                    <a:graphicData uri="http://schemas.openxmlformats.org/drawingml/2006/picture">
                      <pic:pic xmlns:pic="http://schemas.openxmlformats.org/drawingml/2006/picture">
                        <pic:nvPicPr>
                          <pic:cNvPr id="543" name="Picture_23_SpCnt_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525" cy="28575"/>
                  <wp:effectExtent l="0" t="0" r="0" b="0"/>
                  <wp:wrapNone/>
                  <wp:docPr id="544" name="Picture_22_SpCnt_12"/>
                  <wp:cNvGraphicFramePr/>
                  <a:graphic xmlns:a="http://schemas.openxmlformats.org/drawingml/2006/main">
                    <a:graphicData uri="http://schemas.openxmlformats.org/drawingml/2006/picture">
                      <pic:pic xmlns:pic="http://schemas.openxmlformats.org/drawingml/2006/picture">
                        <pic:nvPicPr>
                          <pic:cNvPr id="544" name="Picture_22_SpCnt_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9525" cy="28575"/>
                  <wp:effectExtent l="0" t="0" r="0" b="0"/>
                  <wp:wrapNone/>
                  <wp:docPr id="545" name="Picture_45_SpCnt_12"/>
                  <wp:cNvGraphicFramePr/>
                  <a:graphic xmlns:a="http://schemas.openxmlformats.org/drawingml/2006/main">
                    <a:graphicData uri="http://schemas.openxmlformats.org/drawingml/2006/picture">
                      <pic:pic xmlns:pic="http://schemas.openxmlformats.org/drawingml/2006/picture">
                        <pic:nvPicPr>
                          <pic:cNvPr id="545" name="Picture_45_SpCnt_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9525" cy="28575"/>
                  <wp:effectExtent l="0" t="0" r="0" b="0"/>
                  <wp:wrapNone/>
                  <wp:docPr id="546" name="Picture_44_SpCnt_19"/>
                  <wp:cNvGraphicFramePr/>
                  <a:graphic xmlns:a="http://schemas.openxmlformats.org/drawingml/2006/main">
                    <a:graphicData uri="http://schemas.openxmlformats.org/drawingml/2006/picture">
                      <pic:pic xmlns:pic="http://schemas.openxmlformats.org/drawingml/2006/picture">
                        <pic:nvPicPr>
                          <pic:cNvPr id="546" name="Picture_44_SpCnt_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9525" cy="28575"/>
                  <wp:effectExtent l="0" t="0" r="0" b="0"/>
                  <wp:wrapNone/>
                  <wp:docPr id="547" name="Picture_23_SpCnt_12"/>
                  <wp:cNvGraphicFramePr/>
                  <a:graphic xmlns:a="http://schemas.openxmlformats.org/drawingml/2006/main">
                    <a:graphicData uri="http://schemas.openxmlformats.org/drawingml/2006/picture">
                      <pic:pic xmlns:pic="http://schemas.openxmlformats.org/drawingml/2006/picture">
                        <pic:nvPicPr>
                          <pic:cNvPr id="547" name="Picture_23_SpCnt_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9525" cy="28575"/>
                  <wp:effectExtent l="0" t="0" r="0" b="0"/>
                  <wp:wrapNone/>
                  <wp:docPr id="548" name="Picture_22_SpCnt_13"/>
                  <wp:cNvGraphicFramePr/>
                  <a:graphic xmlns:a="http://schemas.openxmlformats.org/drawingml/2006/main">
                    <a:graphicData uri="http://schemas.openxmlformats.org/drawingml/2006/picture">
                      <pic:pic xmlns:pic="http://schemas.openxmlformats.org/drawingml/2006/picture">
                        <pic:nvPicPr>
                          <pic:cNvPr id="548" name="Picture_22_SpCnt_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9525" cy="28575"/>
                  <wp:effectExtent l="0" t="0" r="0" b="0"/>
                  <wp:wrapNone/>
                  <wp:docPr id="549" name="Picture_45_SpCnt_13"/>
                  <wp:cNvGraphicFramePr/>
                  <a:graphic xmlns:a="http://schemas.openxmlformats.org/drawingml/2006/main">
                    <a:graphicData uri="http://schemas.openxmlformats.org/drawingml/2006/picture">
                      <pic:pic xmlns:pic="http://schemas.openxmlformats.org/drawingml/2006/picture">
                        <pic:nvPicPr>
                          <pic:cNvPr id="549" name="Picture_45_SpCnt_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9525" cy="28575"/>
                  <wp:effectExtent l="0" t="0" r="0" b="0"/>
                  <wp:wrapNone/>
                  <wp:docPr id="550" name="Picture_44_SpCnt_20"/>
                  <wp:cNvGraphicFramePr/>
                  <a:graphic xmlns:a="http://schemas.openxmlformats.org/drawingml/2006/main">
                    <a:graphicData uri="http://schemas.openxmlformats.org/drawingml/2006/picture">
                      <pic:pic xmlns:pic="http://schemas.openxmlformats.org/drawingml/2006/picture">
                        <pic:nvPicPr>
                          <pic:cNvPr id="550" name="Picture_44_SpCnt_2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9525" cy="28575"/>
                  <wp:effectExtent l="0" t="0" r="0" b="0"/>
                  <wp:wrapNone/>
                  <wp:docPr id="551" name="Picture_23_SpCnt_13"/>
                  <wp:cNvGraphicFramePr/>
                  <a:graphic xmlns:a="http://schemas.openxmlformats.org/drawingml/2006/main">
                    <a:graphicData uri="http://schemas.openxmlformats.org/drawingml/2006/picture">
                      <pic:pic xmlns:pic="http://schemas.openxmlformats.org/drawingml/2006/picture">
                        <pic:nvPicPr>
                          <pic:cNvPr id="551" name="Picture_23_SpCnt_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9525" cy="28575"/>
                  <wp:effectExtent l="0" t="0" r="0" b="0"/>
                  <wp:wrapNone/>
                  <wp:docPr id="552" name="Picture_22_SpCnt_14"/>
                  <wp:cNvGraphicFramePr/>
                  <a:graphic xmlns:a="http://schemas.openxmlformats.org/drawingml/2006/main">
                    <a:graphicData uri="http://schemas.openxmlformats.org/drawingml/2006/picture">
                      <pic:pic xmlns:pic="http://schemas.openxmlformats.org/drawingml/2006/picture">
                        <pic:nvPicPr>
                          <pic:cNvPr id="552" name="Picture_22_SpCnt_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9525" cy="28575"/>
                  <wp:effectExtent l="0" t="0" r="0" b="0"/>
                  <wp:wrapNone/>
                  <wp:docPr id="553" name="Picture_45_SpCnt_14"/>
                  <wp:cNvGraphicFramePr/>
                  <a:graphic xmlns:a="http://schemas.openxmlformats.org/drawingml/2006/main">
                    <a:graphicData uri="http://schemas.openxmlformats.org/drawingml/2006/picture">
                      <pic:pic xmlns:pic="http://schemas.openxmlformats.org/drawingml/2006/picture">
                        <pic:nvPicPr>
                          <pic:cNvPr id="553" name="Picture_45_SpCnt_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9525" cy="28575"/>
                  <wp:effectExtent l="0" t="0" r="0" b="0"/>
                  <wp:wrapNone/>
                  <wp:docPr id="554" name="Picture_44_SpCnt_21"/>
                  <wp:cNvGraphicFramePr/>
                  <a:graphic xmlns:a="http://schemas.openxmlformats.org/drawingml/2006/main">
                    <a:graphicData uri="http://schemas.openxmlformats.org/drawingml/2006/picture">
                      <pic:pic xmlns:pic="http://schemas.openxmlformats.org/drawingml/2006/picture">
                        <pic:nvPicPr>
                          <pic:cNvPr id="554" name="Picture_44_SpCnt_2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9525" cy="28575"/>
                  <wp:effectExtent l="0" t="0" r="0" b="0"/>
                  <wp:wrapNone/>
                  <wp:docPr id="555" name="Picture_23_SpCnt_14"/>
                  <wp:cNvGraphicFramePr/>
                  <a:graphic xmlns:a="http://schemas.openxmlformats.org/drawingml/2006/main">
                    <a:graphicData uri="http://schemas.openxmlformats.org/drawingml/2006/picture">
                      <pic:pic xmlns:pic="http://schemas.openxmlformats.org/drawingml/2006/picture">
                        <pic:nvPicPr>
                          <pic:cNvPr id="555" name="Picture_23_SpCnt_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9525" cy="28575"/>
                  <wp:effectExtent l="0" t="0" r="0" b="0"/>
                  <wp:wrapNone/>
                  <wp:docPr id="556" name="Picture_22_SpCnt_15"/>
                  <wp:cNvGraphicFramePr/>
                  <a:graphic xmlns:a="http://schemas.openxmlformats.org/drawingml/2006/main">
                    <a:graphicData uri="http://schemas.openxmlformats.org/drawingml/2006/picture">
                      <pic:pic xmlns:pic="http://schemas.openxmlformats.org/drawingml/2006/picture">
                        <pic:nvPicPr>
                          <pic:cNvPr id="556" name="Picture_22_SpCnt_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9525" cy="28575"/>
                  <wp:effectExtent l="0" t="0" r="0" b="0"/>
                  <wp:wrapNone/>
                  <wp:docPr id="557" name="Picture_45_SpCnt_15"/>
                  <wp:cNvGraphicFramePr/>
                  <a:graphic xmlns:a="http://schemas.openxmlformats.org/drawingml/2006/main">
                    <a:graphicData uri="http://schemas.openxmlformats.org/drawingml/2006/picture">
                      <pic:pic xmlns:pic="http://schemas.openxmlformats.org/drawingml/2006/picture">
                        <pic:nvPicPr>
                          <pic:cNvPr id="557" name="Picture_45_SpCnt_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9525" cy="28575"/>
                  <wp:effectExtent l="0" t="0" r="0" b="0"/>
                  <wp:wrapNone/>
                  <wp:docPr id="558" name="Picture_44_SpCnt_22"/>
                  <wp:cNvGraphicFramePr/>
                  <a:graphic xmlns:a="http://schemas.openxmlformats.org/drawingml/2006/main">
                    <a:graphicData uri="http://schemas.openxmlformats.org/drawingml/2006/picture">
                      <pic:pic xmlns:pic="http://schemas.openxmlformats.org/drawingml/2006/picture">
                        <pic:nvPicPr>
                          <pic:cNvPr id="558" name="Picture_44_SpCnt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9525" cy="28575"/>
                  <wp:effectExtent l="0" t="0" r="0" b="0"/>
                  <wp:wrapNone/>
                  <wp:docPr id="559" name="Picture_23_SpCnt_15"/>
                  <wp:cNvGraphicFramePr/>
                  <a:graphic xmlns:a="http://schemas.openxmlformats.org/drawingml/2006/main">
                    <a:graphicData uri="http://schemas.openxmlformats.org/drawingml/2006/picture">
                      <pic:pic xmlns:pic="http://schemas.openxmlformats.org/drawingml/2006/picture">
                        <pic:nvPicPr>
                          <pic:cNvPr id="559" name="Picture_23_SpCnt_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9525" cy="28575"/>
                  <wp:effectExtent l="0" t="0" r="0" b="0"/>
                  <wp:wrapNone/>
                  <wp:docPr id="560" name="Picture_22_SpCnt_16"/>
                  <wp:cNvGraphicFramePr/>
                  <a:graphic xmlns:a="http://schemas.openxmlformats.org/drawingml/2006/main">
                    <a:graphicData uri="http://schemas.openxmlformats.org/drawingml/2006/picture">
                      <pic:pic xmlns:pic="http://schemas.openxmlformats.org/drawingml/2006/picture">
                        <pic:nvPicPr>
                          <pic:cNvPr id="560" name="Picture_22_SpCnt_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9525" cy="28575"/>
                  <wp:effectExtent l="0" t="0" r="0" b="0"/>
                  <wp:wrapNone/>
                  <wp:docPr id="561" name="Picture_45_SpCnt_16"/>
                  <wp:cNvGraphicFramePr/>
                  <a:graphic xmlns:a="http://schemas.openxmlformats.org/drawingml/2006/main">
                    <a:graphicData uri="http://schemas.openxmlformats.org/drawingml/2006/picture">
                      <pic:pic xmlns:pic="http://schemas.openxmlformats.org/drawingml/2006/picture">
                        <pic:nvPicPr>
                          <pic:cNvPr id="561" name="Picture_45_SpCnt_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9525" cy="28575"/>
                  <wp:effectExtent l="0" t="0" r="0" b="0"/>
                  <wp:wrapNone/>
                  <wp:docPr id="562" name="Picture_44_SpCnt_23"/>
                  <wp:cNvGraphicFramePr/>
                  <a:graphic xmlns:a="http://schemas.openxmlformats.org/drawingml/2006/main">
                    <a:graphicData uri="http://schemas.openxmlformats.org/drawingml/2006/picture">
                      <pic:pic xmlns:pic="http://schemas.openxmlformats.org/drawingml/2006/picture">
                        <pic:nvPicPr>
                          <pic:cNvPr id="562" name="Picture_44_SpCnt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9525" cy="28575"/>
                  <wp:effectExtent l="0" t="0" r="0" b="0"/>
                  <wp:wrapNone/>
                  <wp:docPr id="563" name="Picture_23_SpCnt_16"/>
                  <wp:cNvGraphicFramePr/>
                  <a:graphic xmlns:a="http://schemas.openxmlformats.org/drawingml/2006/main">
                    <a:graphicData uri="http://schemas.openxmlformats.org/drawingml/2006/picture">
                      <pic:pic xmlns:pic="http://schemas.openxmlformats.org/drawingml/2006/picture">
                        <pic:nvPicPr>
                          <pic:cNvPr id="563" name="Picture_23_SpCnt_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9525" cy="28575"/>
                  <wp:effectExtent l="0" t="0" r="0" b="0"/>
                  <wp:wrapNone/>
                  <wp:docPr id="564" name="Picture_22_SpCnt_17"/>
                  <wp:cNvGraphicFramePr/>
                  <a:graphic xmlns:a="http://schemas.openxmlformats.org/drawingml/2006/main">
                    <a:graphicData uri="http://schemas.openxmlformats.org/drawingml/2006/picture">
                      <pic:pic xmlns:pic="http://schemas.openxmlformats.org/drawingml/2006/picture">
                        <pic:nvPicPr>
                          <pic:cNvPr id="564" name="Picture_22_SpCnt_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9525" cy="28575"/>
                  <wp:effectExtent l="0" t="0" r="0" b="0"/>
                  <wp:wrapNone/>
                  <wp:docPr id="565" name="Picture_45_SpCnt_17"/>
                  <wp:cNvGraphicFramePr/>
                  <a:graphic xmlns:a="http://schemas.openxmlformats.org/drawingml/2006/main">
                    <a:graphicData uri="http://schemas.openxmlformats.org/drawingml/2006/picture">
                      <pic:pic xmlns:pic="http://schemas.openxmlformats.org/drawingml/2006/picture">
                        <pic:nvPicPr>
                          <pic:cNvPr id="565" name="Picture_45_SpCnt_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9525" cy="28575"/>
                  <wp:effectExtent l="0" t="0" r="0" b="0"/>
                  <wp:wrapNone/>
                  <wp:docPr id="566" name="Picture_44_SpCnt_24"/>
                  <wp:cNvGraphicFramePr/>
                  <a:graphic xmlns:a="http://schemas.openxmlformats.org/drawingml/2006/main">
                    <a:graphicData uri="http://schemas.openxmlformats.org/drawingml/2006/picture">
                      <pic:pic xmlns:pic="http://schemas.openxmlformats.org/drawingml/2006/picture">
                        <pic:nvPicPr>
                          <pic:cNvPr id="566" name="Picture_44_SpCnt_2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9525" cy="28575"/>
                  <wp:effectExtent l="0" t="0" r="0" b="0"/>
                  <wp:wrapNone/>
                  <wp:docPr id="567" name="Picture_23_SpCnt_17"/>
                  <wp:cNvGraphicFramePr/>
                  <a:graphic xmlns:a="http://schemas.openxmlformats.org/drawingml/2006/main">
                    <a:graphicData uri="http://schemas.openxmlformats.org/drawingml/2006/picture">
                      <pic:pic xmlns:pic="http://schemas.openxmlformats.org/drawingml/2006/picture">
                        <pic:nvPicPr>
                          <pic:cNvPr id="567" name="Picture_23_SpCnt_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9525" cy="28575"/>
                  <wp:effectExtent l="0" t="0" r="0" b="0"/>
                  <wp:wrapNone/>
                  <wp:docPr id="568" name="Picture_22_SpCnt_18"/>
                  <wp:cNvGraphicFramePr/>
                  <a:graphic xmlns:a="http://schemas.openxmlformats.org/drawingml/2006/main">
                    <a:graphicData uri="http://schemas.openxmlformats.org/drawingml/2006/picture">
                      <pic:pic xmlns:pic="http://schemas.openxmlformats.org/drawingml/2006/picture">
                        <pic:nvPicPr>
                          <pic:cNvPr id="568" name="Picture_22_SpCnt_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9525" cy="28575"/>
                  <wp:effectExtent l="0" t="0" r="0" b="0"/>
                  <wp:wrapNone/>
                  <wp:docPr id="569" name="Picture_45_SpCnt_18"/>
                  <wp:cNvGraphicFramePr/>
                  <a:graphic xmlns:a="http://schemas.openxmlformats.org/drawingml/2006/main">
                    <a:graphicData uri="http://schemas.openxmlformats.org/drawingml/2006/picture">
                      <pic:pic xmlns:pic="http://schemas.openxmlformats.org/drawingml/2006/picture">
                        <pic:nvPicPr>
                          <pic:cNvPr id="569" name="Picture_45_SpCnt_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9525" cy="28575"/>
                  <wp:effectExtent l="0" t="0" r="0" b="0"/>
                  <wp:wrapNone/>
                  <wp:docPr id="570" name="Picture_44_SpCnt_25"/>
                  <wp:cNvGraphicFramePr/>
                  <a:graphic xmlns:a="http://schemas.openxmlformats.org/drawingml/2006/main">
                    <a:graphicData uri="http://schemas.openxmlformats.org/drawingml/2006/picture">
                      <pic:pic xmlns:pic="http://schemas.openxmlformats.org/drawingml/2006/picture">
                        <pic:nvPicPr>
                          <pic:cNvPr id="570" name="Picture_44_SpCnt_2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9525" cy="28575"/>
                  <wp:effectExtent l="0" t="0" r="0" b="0"/>
                  <wp:wrapNone/>
                  <wp:docPr id="571" name="Picture_23_SpCnt_18"/>
                  <wp:cNvGraphicFramePr/>
                  <a:graphic xmlns:a="http://schemas.openxmlformats.org/drawingml/2006/main">
                    <a:graphicData uri="http://schemas.openxmlformats.org/drawingml/2006/picture">
                      <pic:pic xmlns:pic="http://schemas.openxmlformats.org/drawingml/2006/picture">
                        <pic:nvPicPr>
                          <pic:cNvPr id="571" name="Picture_23_SpCnt_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9525" cy="28575"/>
                  <wp:effectExtent l="0" t="0" r="0" b="0"/>
                  <wp:wrapNone/>
                  <wp:docPr id="572" name="Picture_22_SpCnt_19"/>
                  <wp:cNvGraphicFramePr/>
                  <a:graphic xmlns:a="http://schemas.openxmlformats.org/drawingml/2006/main">
                    <a:graphicData uri="http://schemas.openxmlformats.org/drawingml/2006/picture">
                      <pic:pic xmlns:pic="http://schemas.openxmlformats.org/drawingml/2006/picture">
                        <pic:nvPicPr>
                          <pic:cNvPr id="572" name="Picture_22_SpCnt_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9525" cy="28575"/>
                  <wp:effectExtent l="0" t="0" r="0" b="0"/>
                  <wp:wrapNone/>
                  <wp:docPr id="573" name="Picture_45_SpCnt_19"/>
                  <wp:cNvGraphicFramePr/>
                  <a:graphic xmlns:a="http://schemas.openxmlformats.org/drawingml/2006/main">
                    <a:graphicData uri="http://schemas.openxmlformats.org/drawingml/2006/picture">
                      <pic:pic xmlns:pic="http://schemas.openxmlformats.org/drawingml/2006/picture">
                        <pic:nvPicPr>
                          <pic:cNvPr id="573" name="Picture_45_SpCnt_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9525" cy="28575"/>
                  <wp:effectExtent l="0" t="0" r="0" b="0"/>
                  <wp:wrapNone/>
                  <wp:docPr id="574" name="Picture_44_SpCnt_26"/>
                  <wp:cNvGraphicFramePr/>
                  <a:graphic xmlns:a="http://schemas.openxmlformats.org/drawingml/2006/main">
                    <a:graphicData uri="http://schemas.openxmlformats.org/drawingml/2006/picture">
                      <pic:pic xmlns:pic="http://schemas.openxmlformats.org/drawingml/2006/picture">
                        <pic:nvPicPr>
                          <pic:cNvPr id="574" name="Picture_44_SpCnt_2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9525" cy="28575"/>
                  <wp:effectExtent l="0" t="0" r="0" b="0"/>
                  <wp:wrapNone/>
                  <wp:docPr id="575" name="Picture_23_SpCnt_19"/>
                  <wp:cNvGraphicFramePr/>
                  <a:graphic xmlns:a="http://schemas.openxmlformats.org/drawingml/2006/main">
                    <a:graphicData uri="http://schemas.openxmlformats.org/drawingml/2006/picture">
                      <pic:pic xmlns:pic="http://schemas.openxmlformats.org/drawingml/2006/picture">
                        <pic:nvPicPr>
                          <pic:cNvPr id="575" name="Picture_23_SpCnt_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9525" cy="28575"/>
                  <wp:effectExtent l="0" t="0" r="0" b="0"/>
                  <wp:wrapNone/>
                  <wp:docPr id="576" name="Picture_22_SpCnt_20"/>
                  <wp:cNvGraphicFramePr/>
                  <a:graphic xmlns:a="http://schemas.openxmlformats.org/drawingml/2006/main">
                    <a:graphicData uri="http://schemas.openxmlformats.org/drawingml/2006/picture">
                      <pic:pic xmlns:pic="http://schemas.openxmlformats.org/drawingml/2006/picture">
                        <pic:nvPicPr>
                          <pic:cNvPr id="576" name="Picture_22_SpCnt_2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9525" cy="28575"/>
                  <wp:effectExtent l="0" t="0" r="0" b="0"/>
                  <wp:wrapNone/>
                  <wp:docPr id="577" name="Picture_45_SpCnt_20"/>
                  <wp:cNvGraphicFramePr/>
                  <a:graphic xmlns:a="http://schemas.openxmlformats.org/drawingml/2006/main">
                    <a:graphicData uri="http://schemas.openxmlformats.org/drawingml/2006/picture">
                      <pic:pic xmlns:pic="http://schemas.openxmlformats.org/drawingml/2006/picture">
                        <pic:nvPicPr>
                          <pic:cNvPr id="577" name="Picture_45_SpCnt_2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9525" cy="28575"/>
                  <wp:effectExtent l="0" t="0" r="0" b="0"/>
                  <wp:wrapNone/>
                  <wp:docPr id="578" name="Picture_44_SpCnt_27"/>
                  <wp:cNvGraphicFramePr/>
                  <a:graphic xmlns:a="http://schemas.openxmlformats.org/drawingml/2006/main">
                    <a:graphicData uri="http://schemas.openxmlformats.org/drawingml/2006/picture">
                      <pic:pic xmlns:pic="http://schemas.openxmlformats.org/drawingml/2006/picture">
                        <pic:nvPicPr>
                          <pic:cNvPr id="578" name="Picture_44_SpCnt_2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9525" cy="28575"/>
                  <wp:effectExtent l="0" t="0" r="0" b="0"/>
                  <wp:wrapNone/>
                  <wp:docPr id="579" name="Picture_23_SpCnt_20"/>
                  <wp:cNvGraphicFramePr/>
                  <a:graphic xmlns:a="http://schemas.openxmlformats.org/drawingml/2006/main">
                    <a:graphicData uri="http://schemas.openxmlformats.org/drawingml/2006/picture">
                      <pic:pic xmlns:pic="http://schemas.openxmlformats.org/drawingml/2006/picture">
                        <pic:nvPicPr>
                          <pic:cNvPr id="579" name="Picture_23_SpCnt_2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9525" cy="28575"/>
                  <wp:effectExtent l="0" t="0" r="0" b="0"/>
                  <wp:wrapNone/>
                  <wp:docPr id="580" name="Picture_22_SpCnt_21"/>
                  <wp:cNvGraphicFramePr/>
                  <a:graphic xmlns:a="http://schemas.openxmlformats.org/drawingml/2006/main">
                    <a:graphicData uri="http://schemas.openxmlformats.org/drawingml/2006/picture">
                      <pic:pic xmlns:pic="http://schemas.openxmlformats.org/drawingml/2006/picture">
                        <pic:nvPicPr>
                          <pic:cNvPr id="580" name="Picture_22_SpCnt_2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9525" cy="28575"/>
                  <wp:effectExtent l="0" t="0" r="0" b="0"/>
                  <wp:wrapNone/>
                  <wp:docPr id="581" name="Picture_45_SpCnt_21"/>
                  <wp:cNvGraphicFramePr/>
                  <a:graphic xmlns:a="http://schemas.openxmlformats.org/drawingml/2006/main">
                    <a:graphicData uri="http://schemas.openxmlformats.org/drawingml/2006/picture">
                      <pic:pic xmlns:pic="http://schemas.openxmlformats.org/drawingml/2006/picture">
                        <pic:nvPicPr>
                          <pic:cNvPr id="581" name="Picture_45_SpCnt_2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9525" cy="28575"/>
                  <wp:effectExtent l="0" t="0" r="0" b="0"/>
                  <wp:wrapNone/>
                  <wp:docPr id="582" name="Picture_44_SpCnt_28"/>
                  <wp:cNvGraphicFramePr/>
                  <a:graphic xmlns:a="http://schemas.openxmlformats.org/drawingml/2006/main">
                    <a:graphicData uri="http://schemas.openxmlformats.org/drawingml/2006/picture">
                      <pic:pic xmlns:pic="http://schemas.openxmlformats.org/drawingml/2006/picture">
                        <pic:nvPicPr>
                          <pic:cNvPr id="582" name="Picture_44_SpCnt_2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9525" cy="28575"/>
                  <wp:effectExtent l="0" t="0" r="0" b="0"/>
                  <wp:wrapNone/>
                  <wp:docPr id="583" name="Picture_23_SpCnt_21"/>
                  <wp:cNvGraphicFramePr/>
                  <a:graphic xmlns:a="http://schemas.openxmlformats.org/drawingml/2006/main">
                    <a:graphicData uri="http://schemas.openxmlformats.org/drawingml/2006/picture">
                      <pic:pic xmlns:pic="http://schemas.openxmlformats.org/drawingml/2006/picture">
                        <pic:nvPicPr>
                          <pic:cNvPr id="583" name="Picture_23_SpCnt_2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9525" cy="28575"/>
                  <wp:effectExtent l="0" t="0" r="0" b="0"/>
                  <wp:wrapNone/>
                  <wp:docPr id="584" name="Picture_22_SpCnt_22"/>
                  <wp:cNvGraphicFramePr/>
                  <a:graphic xmlns:a="http://schemas.openxmlformats.org/drawingml/2006/main">
                    <a:graphicData uri="http://schemas.openxmlformats.org/drawingml/2006/picture">
                      <pic:pic xmlns:pic="http://schemas.openxmlformats.org/drawingml/2006/picture">
                        <pic:nvPicPr>
                          <pic:cNvPr id="584" name="Picture_22_SpCnt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9525" cy="28575"/>
                  <wp:effectExtent l="0" t="0" r="0" b="0"/>
                  <wp:wrapNone/>
                  <wp:docPr id="585" name="Picture_45_SpCnt_22"/>
                  <wp:cNvGraphicFramePr/>
                  <a:graphic xmlns:a="http://schemas.openxmlformats.org/drawingml/2006/main">
                    <a:graphicData uri="http://schemas.openxmlformats.org/drawingml/2006/picture">
                      <pic:pic xmlns:pic="http://schemas.openxmlformats.org/drawingml/2006/picture">
                        <pic:nvPicPr>
                          <pic:cNvPr id="585" name="Picture_45_SpCnt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9525" cy="28575"/>
                  <wp:effectExtent l="0" t="0" r="0" b="0"/>
                  <wp:wrapNone/>
                  <wp:docPr id="586" name="Picture_44_SpCnt_29"/>
                  <wp:cNvGraphicFramePr/>
                  <a:graphic xmlns:a="http://schemas.openxmlformats.org/drawingml/2006/main">
                    <a:graphicData uri="http://schemas.openxmlformats.org/drawingml/2006/picture">
                      <pic:pic xmlns:pic="http://schemas.openxmlformats.org/drawingml/2006/picture">
                        <pic:nvPicPr>
                          <pic:cNvPr id="586" name="Picture_44_SpCnt_2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9525" cy="28575"/>
                  <wp:effectExtent l="0" t="0" r="0" b="0"/>
                  <wp:wrapNone/>
                  <wp:docPr id="587" name="Picture_23_SpCnt_22"/>
                  <wp:cNvGraphicFramePr/>
                  <a:graphic xmlns:a="http://schemas.openxmlformats.org/drawingml/2006/main">
                    <a:graphicData uri="http://schemas.openxmlformats.org/drawingml/2006/picture">
                      <pic:pic xmlns:pic="http://schemas.openxmlformats.org/drawingml/2006/picture">
                        <pic:nvPicPr>
                          <pic:cNvPr id="587" name="Picture_23_SpCnt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9525" cy="28575"/>
                  <wp:effectExtent l="0" t="0" r="0" b="0"/>
                  <wp:wrapNone/>
                  <wp:docPr id="588" name="Picture_22_SpCnt_23"/>
                  <wp:cNvGraphicFramePr/>
                  <a:graphic xmlns:a="http://schemas.openxmlformats.org/drawingml/2006/main">
                    <a:graphicData uri="http://schemas.openxmlformats.org/drawingml/2006/picture">
                      <pic:pic xmlns:pic="http://schemas.openxmlformats.org/drawingml/2006/picture">
                        <pic:nvPicPr>
                          <pic:cNvPr id="588" name="Picture_22_SpCnt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9525" cy="28575"/>
                  <wp:effectExtent l="0" t="0" r="0" b="0"/>
                  <wp:wrapNone/>
                  <wp:docPr id="589" name="Picture_45_SpCnt_23"/>
                  <wp:cNvGraphicFramePr/>
                  <a:graphic xmlns:a="http://schemas.openxmlformats.org/drawingml/2006/main">
                    <a:graphicData uri="http://schemas.openxmlformats.org/drawingml/2006/picture">
                      <pic:pic xmlns:pic="http://schemas.openxmlformats.org/drawingml/2006/picture">
                        <pic:nvPicPr>
                          <pic:cNvPr id="589" name="Picture_45_SpCnt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9525" cy="28575"/>
                  <wp:effectExtent l="0" t="0" r="0" b="0"/>
                  <wp:wrapNone/>
                  <wp:docPr id="590" name="Picture_44_SpCnt_30"/>
                  <wp:cNvGraphicFramePr/>
                  <a:graphic xmlns:a="http://schemas.openxmlformats.org/drawingml/2006/main">
                    <a:graphicData uri="http://schemas.openxmlformats.org/drawingml/2006/picture">
                      <pic:pic xmlns:pic="http://schemas.openxmlformats.org/drawingml/2006/picture">
                        <pic:nvPicPr>
                          <pic:cNvPr id="590" name="Picture_44_SpCnt_3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9525" cy="28575"/>
                  <wp:effectExtent l="0" t="0" r="0" b="0"/>
                  <wp:wrapNone/>
                  <wp:docPr id="591" name="Picture_23_SpCnt_23"/>
                  <wp:cNvGraphicFramePr/>
                  <a:graphic xmlns:a="http://schemas.openxmlformats.org/drawingml/2006/main">
                    <a:graphicData uri="http://schemas.openxmlformats.org/drawingml/2006/picture">
                      <pic:pic xmlns:pic="http://schemas.openxmlformats.org/drawingml/2006/picture">
                        <pic:nvPicPr>
                          <pic:cNvPr id="591" name="Picture_23_SpCnt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9525" cy="28575"/>
                  <wp:effectExtent l="0" t="0" r="0" b="0"/>
                  <wp:wrapNone/>
                  <wp:docPr id="592" name="Picture_22_SpCnt_24"/>
                  <wp:cNvGraphicFramePr/>
                  <a:graphic xmlns:a="http://schemas.openxmlformats.org/drawingml/2006/main">
                    <a:graphicData uri="http://schemas.openxmlformats.org/drawingml/2006/picture">
                      <pic:pic xmlns:pic="http://schemas.openxmlformats.org/drawingml/2006/picture">
                        <pic:nvPicPr>
                          <pic:cNvPr id="592" name="Picture_22_SpCnt_2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9525" cy="28575"/>
                  <wp:effectExtent l="0" t="0" r="0" b="0"/>
                  <wp:wrapNone/>
                  <wp:docPr id="593" name="Picture_45_SpCnt_24"/>
                  <wp:cNvGraphicFramePr/>
                  <a:graphic xmlns:a="http://schemas.openxmlformats.org/drawingml/2006/main">
                    <a:graphicData uri="http://schemas.openxmlformats.org/drawingml/2006/picture">
                      <pic:pic xmlns:pic="http://schemas.openxmlformats.org/drawingml/2006/picture">
                        <pic:nvPicPr>
                          <pic:cNvPr id="593" name="Picture_45_SpCnt_2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9525" cy="28575"/>
                  <wp:effectExtent l="0" t="0" r="0" b="0"/>
                  <wp:wrapNone/>
                  <wp:docPr id="594" name="Picture_44_SpCnt_31"/>
                  <wp:cNvGraphicFramePr/>
                  <a:graphic xmlns:a="http://schemas.openxmlformats.org/drawingml/2006/main">
                    <a:graphicData uri="http://schemas.openxmlformats.org/drawingml/2006/picture">
                      <pic:pic xmlns:pic="http://schemas.openxmlformats.org/drawingml/2006/picture">
                        <pic:nvPicPr>
                          <pic:cNvPr id="594" name="Picture_44_SpCnt_3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9525" cy="28575"/>
                  <wp:effectExtent l="0" t="0" r="0" b="0"/>
                  <wp:wrapNone/>
                  <wp:docPr id="595" name="Picture_23_SpCnt_24"/>
                  <wp:cNvGraphicFramePr/>
                  <a:graphic xmlns:a="http://schemas.openxmlformats.org/drawingml/2006/main">
                    <a:graphicData uri="http://schemas.openxmlformats.org/drawingml/2006/picture">
                      <pic:pic xmlns:pic="http://schemas.openxmlformats.org/drawingml/2006/picture">
                        <pic:nvPicPr>
                          <pic:cNvPr id="595" name="Picture_23_SpCnt_2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9525" cy="28575"/>
                  <wp:effectExtent l="0" t="0" r="0" b="0"/>
                  <wp:wrapNone/>
                  <wp:docPr id="596" name="Picture_22_SpCnt_25"/>
                  <wp:cNvGraphicFramePr/>
                  <a:graphic xmlns:a="http://schemas.openxmlformats.org/drawingml/2006/main">
                    <a:graphicData uri="http://schemas.openxmlformats.org/drawingml/2006/picture">
                      <pic:pic xmlns:pic="http://schemas.openxmlformats.org/drawingml/2006/picture">
                        <pic:nvPicPr>
                          <pic:cNvPr id="596" name="Picture_22_SpCnt_2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9525" cy="28575"/>
                  <wp:effectExtent l="0" t="0" r="0" b="0"/>
                  <wp:wrapNone/>
                  <wp:docPr id="597" name="Picture_45_SpCnt_25"/>
                  <wp:cNvGraphicFramePr/>
                  <a:graphic xmlns:a="http://schemas.openxmlformats.org/drawingml/2006/main">
                    <a:graphicData uri="http://schemas.openxmlformats.org/drawingml/2006/picture">
                      <pic:pic xmlns:pic="http://schemas.openxmlformats.org/drawingml/2006/picture">
                        <pic:nvPicPr>
                          <pic:cNvPr id="597" name="Picture_45_SpCnt_2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9525" cy="28575"/>
                  <wp:effectExtent l="0" t="0" r="0" b="0"/>
                  <wp:wrapNone/>
                  <wp:docPr id="598" name="Picture_44_SpCnt_32"/>
                  <wp:cNvGraphicFramePr/>
                  <a:graphic xmlns:a="http://schemas.openxmlformats.org/drawingml/2006/main">
                    <a:graphicData uri="http://schemas.openxmlformats.org/drawingml/2006/picture">
                      <pic:pic xmlns:pic="http://schemas.openxmlformats.org/drawingml/2006/picture">
                        <pic:nvPicPr>
                          <pic:cNvPr id="598" name="Picture_44_SpCnt_3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9525" cy="28575"/>
                  <wp:effectExtent l="0" t="0" r="0" b="0"/>
                  <wp:wrapNone/>
                  <wp:docPr id="599" name="Picture_23_SpCnt_25"/>
                  <wp:cNvGraphicFramePr/>
                  <a:graphic xmlns:a="http://schemas.openxmlformats.org/drawingml/2006/main">
                    <a:graphicData uri="http://schemas.openxmlformats.org/drawingml/2006/picture">
                      <pic:pic xmlns:pic="http://schemas.openxmlformats.org/drawingml/2006/picture">
                        <pic:nvPicPr>
                          <pic:cNvPr id="599" name="Picture_23_SpCnt_2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9525" cy="28575"/>
                  <wp:effectExtent l="0" t="0" r="0" b="0"/>
                  <wp:wrapNone/>
                  <wp:docPr id="600" name="Picture_22_SpCnt_26"/>
                  <wp:cNvGraphicFramePr/>
                  <a:graphic xmlns:a="http://schemas.openxmlformats.org/drawingml/2006/main">
                    <a:graphicData uri="http://schemas.openxmlformats.org/drawingml/2006/picture">
                      <pic:pic xmlns:pic="http://schemas.openxmlformats.org/drawingml/2006/picture">
                        <pic:nvPicPr>
                          <pic:cNvPr id="600" name="Picture_22_SpCnt_2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9525" cy="28575"/>
                  <wp:effectExtent l="0" t="0" r="0" b="0"/>
                  <wp:wrapNone/>
                  <wp:docPr id="601" name="Picture_45_SpCnt_26"/>
                  <wp:cNvGraphicFramePr/>
                  <a:graphic xmlns:a="http://schemas.openxmlformats.org/drawingml/2006/main">
                    <a:graphicData uri="http://schemas.openxmlformats.org/drawingml/2006/picture">
                      <pic:pic xmlns:pic="http://schemas.openxmlformats.org/drawingml/2006/picture">
                        <pic:nvPicPr>
                          <pic:cNvPr id="601" name="Picture_45_SpCnt_2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9525" cy="28575"/>
                  <wp:effectExtent l="0" t="0" r="0" b="0"/>
                  <wp:wrapNone/>
                  <wp:docPr id="602" name="Picture_44_SpCnt_33"/>
                  <wp:cNvGraphicFramePr/>
                  <a:graphic xmlns:a="http://schemas.openxmlformats.org/drawingml/2006/main">
                    <a:graphicData uri="http://schemas.openxmlformats.org/drawingml/2006/picture">
                      <pic:pic xmlns:pic="http://schemas.openxmlformats.org/drawingml/2006/picture">
                        <pic:nvPicPr>
                          <pic:cNvPr id="602" name="Picture_44_SpCnt_3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9525" cy="28575"/>
                  <wp:effectExtent l="0" t="0" r="0" b="0"/>
                  <wp:wrapNone/>
                  <wp:docPr id="603" name="Picture_23_SpCnt_26"/>
                  <wp:cNvGraphicFramePr/>
                  <a:graphic xmlns:a="http://schemas.openxmlformats.org/drawingml/2006/main">
                    <a:graphicData uri="http://schemas.openxmlformats.org/drawingml/2006/picture">
                      <pic:pic xmlns:pic="http://schemas.openxmlformats.org/drawingml/2006/picture">
                        <pic:nvPicPr>
                          <pic:cNvPr id="603" name="Picture_23_SpCnt_2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9525" cy="28575"/>
                  <wp:effectExtent l="0" t="0" r="0" b="0"/>
                  <wp:wrapNone/>
                  <wp:docPr id="604" name="Picture_22_SpCnt_27"/>
                  <wp:cNvGraphicFramePr/>
                  <a:graphic xmlns:a="http://schemas.openxmlformats.org/drawingml/2006/main">
                    <a:graphicData uri="http://schemas.openxmlformats.org/drawingml/2006/picture">
                      <pic:pic xmlns:pic="http://schemas.openxmlformats.org/drawingml/2006/picture">
                        <pic:nvPicPr>
                          <pic:cNvPr id="604" name="Picture_22_SpCnt_2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9525" cy="28575"/>
                  <wp:effectExtent l="0" t="0" r="0" b="0"/>
                  <wp:wrapNone/>
                  <wp:docPr id="605" name="Picture_45_SpCnt_27"/>
                  <wp:cNvGraphicFramePr/>
                  <a:graphic xmlns:a="http://schemas.openxmlformats.org/drawingml/2006/main">
                    <a:graphicData uri="http://schemas.openxmlformats.org/drawingml/2006/picture">
                      <pic:pic xmlns:pic="http://schemas.openxmlformats.org/drawingml/2006/picture">
                        <pic:nvPicPr>
                          <pic:cNvPr id="605" name="Picture_45_SpCnt_2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9525" cy="28575"/>
                  <wp:effectExtent l="0" t="0" r="0" b="0"/>
                  <wp:wrapNone/>
                  <wp:docPr id="606" name="Picture_44_SpCnt_34"/>
                  <wp:cNvGraphicFramePr/>
                  <a:graphic xmlns:a="http://schemas.openxmlformats.org/drawingml/2006/main">
                    <a:graphicData uri="http://schemas.openxmlformats.org/drawingml/2006/picture">
                      <pic:pic xmlns:pic="http://schemas.openxmlformats.org/drawingml/2006/picture">
                        <pic:nvPicPr>
                          <pic:cNvPr id="606" name="Picture_44_SpCnt_3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9525" cy="28575"/>
                  <wp:effectExtent l="0" t="0" r="0" b="0"/>
                  <wp:wrapNone/>
                  <wp:docPr id="607" name="Picture_23_SpCnt_27"/>
                  <wp:cNvGraphicFramePr/>
                  <a:graphic xmlns:a="http://schemas.openxmlformats.org/drawingml/2006/main">
                    <a:graphicData uri="http://schemas.openxmlformats.org/drawingml/2006/picture">
                      <pic:pic xmlns:pic="http://schemas.openxmlformats.org/drawingml/2006/picture">
                        <pic:nvPicPr>
                          <pic:cNvPr id="607" name="Picture_23_SpCnt_2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9525" cy="28575"/>
                  <wp:effectExtent l="0" t="0" r="0" b="0"/>
                  <wp:wrapNone/>
                  <wp:docPr id="608" name="Picture_22_SpCnt_28"/>
                  <wp:cNvGraphicFramePr/>
                  <a:graphic xmlns:a="http://schemas.openxmlformats.org/drawingml/2006/main">
                    <a:graphicData uri="http://schemas.openxmlformats.org/drawingml/2006/picture">
                      <pic:pic xmlns:pic="http://schemas.openxmlformats.org/drawingml/2006/picture">
                        <pic:nvPicPr>
                          <pic:cNvPr id="608" name="Picture_22_SpCnt_2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9525" cy="28575"/>
                  <wp:effectExtent l="0" t="0" r="0" b="0"/>
                  <wp:wrapNone/>
                  <wp:docPr id="609" name="Picture_45_SpCnt_28"/>
                  <wp:cNvGraphicFramePr/>
                  <a:graphic xmlns:a="http://schemas.openxmlformats.org/drawingml/2006/main">
                    <a:graphicData uri="http://schemas.openxmlformats.org/drawingml/2006/picture">
                      <pic:pic xmlns:pic="http://schemas.openxmlformats.org/drawingml/2006/picture">
                        <pic:nvPicPr>
                          <pic:cNvPr id="609" name="Picture_45_SpCnt_2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9525" cy="28575"/>
                  <wp:effectExtent l="0" t="0" r="0" b="0"/>
                  <wp:wrapNone/>
                  <wp:docPr id="610" name="Picture_44_SpCnt_35"/>
                  <wp:cNvGraphicFramePr/>
                  <a:graphic xmlns:a="http://schemas.openxmlformats.org/drawingml/2006/main">
                    <a:graphicData uri="http://schemas.openxmlformats.org/drawingml/2006/picture">
                      <pic:pic xmlns:pic="http://schemas.openxmlformats.org/drawingml/2006/picture">
                        <pic:nvPicPr>
                          <pic:cNvPr id="610" name="Picture_44_SpCnt_3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9525" cy="28575"/>
                  <wp:effectExtent l="0" t="0" r="0" b="0"/>
                  <wp:wrapNone/>
                  <wp:docPr id="611" name="Picture_23_SpCnt_28"/>
                  <wp:cNvGraphicFramePr/>
                  <a:graphic xmlns:a="http://schemas.openxmlformats.org/drawingml/2006/main">
                    <a:graphicData uri="http://schemas.openxmlformats.org/drawingml/2006/picture">
                      <pic:pic xmlns:pic="http://schemas.openxmlformats.org/drawingml/2006/picture">
                        <pic:nvPicPr>
                          <pic:cNvPr id="611" name="Picture_23_SpCnt_2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9525" cy="28575"/>
                  <wp:effectExtent l="0" t="0" r="0" b="0"/>
                  <wp:wrapNone/>
                  <wp:docPr id="612" name="Picture_22_SpCnt_29"/>
                  <wp:cNvGraphicFramePr/>
                  <a:graphic xmlns:a="http://schemas.openxmlformats.org/drawingml/2006/main">
                    <a:graphicData uri="http://schemas.openxmlformats.org/drawingml/2006/picture">
                      <pic:pic xmlns:pic="http://schemas.openxmlformats.org/drawingml/2006/picture">
                        <pic:nvPicPr>
                          <pic:cNvPr id="612" name="Picture_22_SpCnt_2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9525" cy="28575"/>
                  <wp:effectExtent l="0" t="0" r="0" b="0"/>
                  <wp:wrapNone/>
                  <wp:docPr id="613" name="Picture_45_SpCnt_29"/>
                  <wp:cNvGraphicFramePr/>
                  <a:graphic xmlns:a="http://schemas.openxmlformats.org/drawingml/2006/main">
                    <a:graphicData uri="http://schemas.openxmlformats.org/drawingml/2006/picture">
                      <pic:pic xmlns:pic="http://schemas.openxmlformats.org/drawingml/2006/picture">
                        <pic:nvPicPr>
                          <pic:cNvPr id="613" name="Picture_45_SpCnt_2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9525" cy="28575"/>
                  <wp:effectExtent l="0" t="0" r="0" b="0"/>
                  <wp:wrapNone/>
                  <wp:docPr id="614" name="Picture_44_SpCnt_36"/>
                  <wp:cNvGraphicFramePr/>
                  <a:graphic xmlns:a="http://schemas.openxmlformats.org/drawingml/2006/main">
                    <a:graphicData uri="http://schemas.openxmlformats.org/drawingml/2006/picture">
                      <pic:pic xmlns:pic="http://schemas.openxmlformats.org/drawingml/2006/picture">
                        <pic:nvPicPr>
                          <pic:cNvPr id="614" name="Picture_44_SpCnt_3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9525" cy="28575"/>
                  <wp:effectExtent l="0" t="0" r="0" b="0"/>
                  <wp:wrapNone/>
                  <wp:docPr id="615" name="Picture_23_SpCnt_29"/>
                  <wp:cNvGraphicFramePr/>
                  <a:graphic xmlns:a="http://schemas.openxmlformats.org/drawingml/2006/main">
                    <a:graphicData uri="http://schemas.openxmlformats.org/drawingml/2006/picture">
                      <pic:pic xmlns:pic="http://schemas.openxmlformats.org/drawingml/2006/picture">
                        <pic:nvPicPr>
                          <pic:cNvPr id="615" name="Picture_23_SpCnt_2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9525" cy="28575"/>
                  <wp:effectExtent l="0" t="0" r="0" b="0"/>
                  <wp:wrapNone/>
                  <wp:docPr id="616" name="Picture_22_SpCnt_30"/>
                  <wp:cNvGraphicFramePr/>
                  <a:graphic xmlns:a="http://schemas.openxmlformats.org/drawingml/2006/main">
                    <a:graphicData uri="http://schemas.openxmlformats.org/drawingml/2006/picture">
                      <pic:pic xmlns:pic="http://schemas.openxmlformats.org/drawingml/2006/picture">
                        <pic:nvPicPr>
                          <pic:cNvPr id="616" name="Picture_22_SpCnt_3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9525" cy="28575"/>
                  <wp:effectExtent l="0" t="0" r="0" b="0"/>
                  <wp:wrapNone/>
                  <wp:docPr id="617" name="Picture_45_SpCnt_30"/>
                  <wp:cNvGraphicFramePr/>
                  <a:graphic xmlns:a="http://schemas.openxmlformats.org/drawingml/2006/main">
                    <a:graphicData uri="http://schemas.openxmlformats.org/drawingml/2006/picture">
                      <pic:pic xmlns:pic="http://schemas.openxmlformats.org/drawingml/2006/picture">
                        <pic:nvPicPr>
                          <pic:cNvPr id="617" name="Picture_45_SpCnt_3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9525" cy="28575"/>
                  <wp:effectExtent l="0" t="0" r="0" b="0"/>
                  <wp:wrapNone/>
                  <wp:docPr id="618" name="Picture_44_SpCnt_37"/>
                  <wp:cNvGraphicFramePr/>
                  <a:graphic xmlns:a="http://schemas.openxmlformats.org/drawingml/2006/main">
                    <a:graphicData uri="http://schemas.openxmlformats.org/drawingml/2006/picture">
                      <pic:pic xmlns:pic="http://schemas.openxmlformats.org/drawingml/2006/picture">
                        <pic:nvPicPr>
                          <pic:cNvPr id="618" name="Picture_44_SpCnt_3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9525" cy="28575"/>
                  <wp:effectExtent l="0" t="0" r="0" b="0"/>
                  <wp:wrapNone/>
                  <wp:docPr id="619" name="Picture_23_SpCnt_30"/>
                  <wp:cNvGraphicFramePr/>
                  <a:graphic xmlns:a="http://schemas.openxmlformats.org/drawingml/2006/main">
                    <a:graphicData uri="http://schemas.openxmlformats.org/drawingml/2006/picture">
                      <pic:pic xmlns:pic="http://schemas.openxmlformats.org/drawingml/2006/picture">
                        <pic:nvPicPr>
                          <pic:cNvPr id="619" name="Picture_23_SpCnt_3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9525" cy="28575"/>
                  <wp:effectExtent l="0" t="0" r="0" b="0"/>
                  <wp:wrapNone/>
                  <wp:docPr id="620" name="Picture_22_SpCnt_31"/>
                  <wp:cNvGraphicFramePr/>
                  <a:graphic xmlns:a="http://schemas.openxmlformats.org/drawingml/2006/main">
                    <a:graphicData uri="http://schemas.openxmlformats.org/drawingml/2006/picture">
                      <pic:pic xmlns:pic="http://schemas.openxmlformats.org/drawingml/2006/picture">
                        <pic:nvPicPr>
                          <pic:cNvPr id="620" name="Picture_22_SpCnt_3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9525" cy="28575"/>
                  <wp:effectExtent l="0" t="0" r="0" b="0"/>
                  <wp:wrapNone/>
                  <wp:docPr id="621" name="Picture_45_SpCnt_31"/>
                  <wp:cNvGraphicFramePr/>
                  <a:graphic xmlns:a="http://schemas.openxmlformats.org/drawingml/2006/main">
                    <a:graphicData uri="http://schemas.openxmlformats.org/drawingml/2006/picture">
                      <pic:pic xmlns:pic="http://schemas.openxmlformats.org/drawingml/2006/picture">
                        <pic:nvPicPr>
                          <pic:cNvPr id="621" name="Picture_45_SpCnt_3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9525" cy="28575"/>
                  <wp:effectExtent l="0" t="0" r="0" b="0"/>
                  <wp:wrapNone/>
                  <wp:docPr id="622" name="Picture_44_SpCnt_38"/>
                  <wp:cNvGraphicFramePr/>
                  <a:graphic xmlns:a="http://schemas.openxmlformats.org/drawingml/2006/main">
                    <a:graphicData uri="http://schemas.openxmlformats.org/drawingml/2006/picture">
                      <pic:pic xmlns:pic="http://schemas.openxmlformats.org/drawingml/2006/picture">
                        <pic:nvPicPr>
                          <pic:cNvPr id="622" name="Picture_44_SpCnt_3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9525" cy="28575"/>
                  <wp:effectExtent l="0" t="0" r="0" b="0"/>
                  <wp:wrapNone/>
                  <wp:docPr id="623" name="Picture_23_SpCnt_31"/>
                  <wp:cNvGraphicFramePr/>
                  <a:graphic xmlns:a="http://schemas.openxmlformats.org/drawingml/2006/main">
                    <a:graphicData uri="http://schemas.openxmlformats.org/drawingml/2006/picture">
                      <pic:pic xmlns:pic="http://schemas.openxmlformats.org/drawingml/2006/picture">
                        <pic:nvPicPr>
                          <pic:cNvPr id="623" name="Picture_23_SpCnt_3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9525" cy="28575"/>
                  <wp:effectExtent l="0" t="0" r="0" b="0"/>
                  <wp:wrapNone/>
                  <wp:docPr id="624" name="Picture_22_SpCnt_32"/>
                  <wp:cNvGraphicFramePr/>
                  <a:graphic xmlns:a="http://schemas.openxmlformats.org/drawingml/2006/main">
                    <a:graphicData uri="http://schemas.openxmlformats.org/drawingml/2006/picture">
                      <pic:pic xmlns:pic="http://schemas.openxmlformats.org/drawingml/2006/picture">
                        <pic:nvPicPr>
                          <pic:cNvPr id="624" name="Picture_22_SpCnt_3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9525" cy="28575"/>
                  <wp:effectExtent l="0" t="0" r="0" b="0"/>
                  <wp:wrapNone/>
                  <wp:docPr id="625" name="Picture_45_SpCnt_32"/>
                  <wp:cNvGraphicFramePr/>
                  <a:graphic xmlns:a="http://schemas.openxmlformats.org/drawingml/2006/main">
                    <a:graphicData uri="http://schemas.openxmlformats.org/drawingml/2006/picture">
                      <pic:pic xmlns:pic="http://schemas.openxmlformats.org/drawingml/2006/picture">
                        <pic:nvPicPr>
                          <pic:cNvPr id="625" name="Picture_45_SpCnt_3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9525" cy="28575"/>
                  <wp:effectExtent l="0" t="0" r="0" b="0"/>
                  <wp:wrapNone/>
                  <wp:docPr id="626" name="Picture_44_SpCnt_39"/>
                  <wp:cNvGraphicFramePr/>
                  <a:graphic xmlns:a="http://schemas.openxmlformats.org/drawingml/2006/main">
                    <a:graphicData uri="http://schemas.openxmlformats.org/drawingml/2006/picture">
                      <pic:pic xmlns:pic="http://schemas.openxmlformats.org/drawingml/2006/picture">
                        <pic:nvPicPr>
                          <pic:cNvPr id="626" name="Picture_44_SpCnt_3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9525" cy="28575"/>
                  <wp:effectExtent l="0" t="0" r="0" b="0"/>
                  <wp:wrapNone/>
                  <wp:docPr id="627" name="Picture_23_SpCnt_32"/>
                  <wp:cNvGraphicFramePr/>
                  <a:graphic xmlns:a="http://schemas.openxmlformats.org/drawingml/2006/main">
                    <a:graphicData uri="http://schemas.openxmlformats.org/drawingml/2006/picture">
                      <pic:pic xmlns:pic="http://schemas.openxmlformats.org/drawingml/2006/picture">
                        <pic:nvPicPr>
                          <pic:cNvPr id="627" name="Picture_23_SpCnt_3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9525" cy="28575"/>
                  <wp:effectExtent l="0" t="0" r="0" b="0"/>
                  <wp:wrapNone/>
                  <wp:docPr id="628" name="Picture_22_SpCnt_33"/>
                  <wp:cNvGraphicFramePr/>
                  <a:graphic xmlns:a="http://schemas.openxmlformats.org/drawingml/2006/main">
                    <a:graphicData uri="http://schemas.openxmlformats.org/drawingml/2006/picture">
                      <pic:pic xmlns:pic="http://schemas.openxmlformats.org/drawingml/2006/picture">
                        <pic:nvPicPr>
                          <pic:cNvPr id="628" name="Picture_22_SpCnt_3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9525" cy="28575"/>
                  <wp:effectExtent l="0" t="0" r="0" b="0"/>
                  <wp:wrapNone/>
                  <wp:docPr id="629" name="Picture_45_SpCnt_33"/>
                  <wp:cNvGraphicFramePr/>
                  <a:graphic xmlns:a="http://schemas.openxmlformats.org/drawingml/2006/main">
                    <a:graphicData uri="http://schemas.openxmlformats.org/drawingml/2006/picture">
                      <pic:pic xmlns:pic="http://schemas.openxmlformats.org/drawingml/2006/picture">
                        <pic:nvPicPr>
                          <pic:cNvPr id="629" name="Picture_45_SpCnt_3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9525" cy="28575"/>
                  <wp:effectExtent l="0" t="0" r="0" b="0"/>
                  <wp:wrapNone/>
                  <wp:docPr id="630" name="Picture_44_SpCnt_40"/>
                  <wp:cNvGraphicFramePr/>
                  <a:graphic xmlns:a="http://schemas.openxmlformats.org/drawingml/2006/main">
                    <a:graphicData uri="http://schemas.openxmlformats.org/drawingml/2006/picture">
                      <pic:pic xmlns:pic="http://schemas.openxmlformats.org/drawingml/2006/picture">
                        <pic:nvPicPr>
                          <pic:cNvPr id="630" name="Picture_44_SpCnt_4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9525" cy="28575"/>
                  <wp:effectExtent l="0" t="0" r="0" b="0"/>
                  <wp:wrapNone/>
                  <wp:docPr id="631" name="Picture_23_SpCnt_33"/>
                  <wp:cNvGraphicFramePr/>
                  <a:graphic xmlns:a="http://schemas.openxmlformats.org/drawingml/2006/main">
                    <a:graphicData uri="http://schemas.openxmlformats.org/drawingml/2006/picture">
                      <pic:pic xmlns:pic="http://schemas.openxmlformats.org/drawingml/2006/picture">
                        <pic:nvPicPr>
                          <pic:cNvPr id="631" name="Picture_23_SpCnt_3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9525" cy="28575"/>
                  <wp:effectExtent l="0" t="0" r="0" b="0"/>
                  <wp:wrapNone/>
                  <wp:docPr id="632" name="Picture_22_SpCnt_34"/>
                  <wp:cNvGraphicFramePr/>
                  <a:graphic xmlns:a="http://schemas.openxmlformats.org/drawingml/2006/main">
                    <a:graphicData uri="http://schemas.openxmlformats.org/drawingml/2006/picture">
                      <pic:pic xmlns:pic="http://schemas.openxmlformats.org/drawingml/2006/picture">
                        <pic:nvPicPr>
                          <pic:cNvPr id="632" name="Picture_22_SpCnt_3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9525" cy="28575"/>
                  <wp:effectExtent l="0" t="0" r="0" b="0"/>
                  <wp:wrapNone/>
                  <wp:docPr id="633" name="Picture_45_SpCnt_34"/>
                  <wp:cNvGraphicFramePr/>
                  <a:graphic xmlns:a="http://schemas.openxmlformats.org/drawingml/2006/main">
                    <a:graphicData uri="http://schemas.openxmlformats.org/drawingml/2006/picture">
                      <pic:pic xmlns:pic="http://schemas.openxmlformats.org/drawingml/2006/picture">
                        <pic:nvPicPr>
                          <pic:cNvPr id="633" name="Picture_45_SpCnt_3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9525" cy="28575"/>
                  <wp:effectExtent l="0" t="0" r="0" b="0"/>
                  <wp:wrapNone/>
                  <wp:docPr id="634" name="Picture_44_SpCnt_41"/>
                  <wp:cNvGraphicFramePr/>
                  <a:graphic xmlns:a="http://schemas.openxmlformats.org/drawingml/2006/main">
                    <a:graphicData uri="http://schemas.openxmlformats.org/drawingml/2006/picture">
                      <pic:pic xmlns:pic="http://schemas.openxmlformats.org/drawingml/2006/picture">
                        <pic:nvPicPr>
                          <pic:cNvPr id="634" name="Picture_44_SpCnt_4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9525" cy="28575"/>
                  <wp:effectExtent l="0" t="0" r="0" b="0"/>
                  <wp:wrapNone/>
                  <wp:docPr id="635" name="Picture_23_SpCnt_34"/>
                  <wp:cNvGraphicFramePr/>
                  <a:graphic xmlns:a="http://schemas.openxmlformats.org/drawingml/2006/main">
                    <a:graphicData uri="http://schemas.openxmlformats.org/drawingml/2006/picture">
                      <pic:pic xmlns:pic="http://schemas.openxmlformats.org/drawingml/2006/picture">
                        <pic:nvPicPr>
                          <pic:cNvPr id="635" name="Picture_23_SpCnt_3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9525" cy="28575"/>
                  <wp:effectExtent l="0" t="0" r="0" b="0"/>
                  <wp:wrapNone/>
                  <wp:docPr id="636" name="Picture_22_SpCnt_35"/>
                  <wp:cNvGraphicFramePr/>
                  <a:graphic xmlns:a="http://schemas.openxmlformats.org/drawingml/2006/main">
                    <a:graphicData uri="http://schemas.openxmlformats.org/drawingml/2006/picture">
                      <pic:pic xmlns:pic="http://schemas.openxmlformats.org/drawingml/2006/picture">
                        <pic:nvPicPr>
                          <pic:cNvPr id="636" name="Picture_22_SpCnt_3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9525" cy="28575"/>
                  <wp:effectExtent l="0" t="0" r="0" b="0"/>
                  <wp:wrapNone/>
                  <wp:docPr id="637" name="Picture_45_SpCnt_35"/>
                  <wp:cNvGraphicFramePr/>
                  <a:graphic xmlns:a="http://schemas.openxmlformats.org/drawingml/2006/main">
                    <a:graphicData uri="http://schemas.openxmlformats.org/drawingml/2006/picture">
                      <pic:pic xmlns:pic="http://schemas.openxmlformats.org/drawingml/2006/picture">
                        <pic:nvPicPr>
                          <pic:cNvPr id="637" name="Picture_45_SpCnt_3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9525" cy="28575"/>
                  <wp:effectExtent l="0" t="0" r="0" b="0"/>
                  <wp:wrapNone/>
                  <wp:docPr id="638" name="Picture_44_SpCnt_42"/>
                  <wp:cNvGraphicFramePr/>
                  <a:graphic xmlns:a="http://schemas.openxmlformats.org/drawingml/2006/main">
                    <a:graphicData uri="http://schemas.openxmlformats.org/drawingml/2006/picture">
                      <pic:pic xmlns:pic="http://schemas.openxmlformats.org/drawingml/2006/picture">
                        <pic:nvPicPr>
                          <pic:cNvPr id="638" name="Picture_44_SpCnt_4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9525" cy="28575"/>
                  <wp:effectExtent l="0" t="0" r="0" b="0"/>
                  <wp:wrapNone/>
                  <wp:docPr id="639" name="Picture_23_SpCnt_35"/>
                  <wp:cNvGraphicFramePr/>
                  <a:graphic xmlns:a="http://schemas.openxmlformats.org/drawingml/2006/main">
                    <a:graphicData uri="http://schemas.openxmlformats.org/drawingml/2006/picture">
                      <pic:pic xmlns:pic="http://schemas.openxmlformats.org/drawingml/2006/picture">
                        <pic:nvPicPr>
                          <pic:cNvPr id="639" name="Picture_23_SpCnt_3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9525" cy="28575"/>
                  <wp:effectExtent l="0" t="0" r="0" b="0"/>
                  <wp:wrapNone/>
                  <wp:docPr id="640" name="Picture_22_SpCnt_36"/>
                  <wp:cNvGraphicFramePr/>
                  <a:graphic xmlns:a="http://schemas.openxmlformats.org/drawingml/2006/main">
                    <a:graphicData uri="http://schemas.openxmlformats.org/drawingml/2006/picture">
                      <pic:pic xmlns:pic="http://schemas.openxmlformats.org/drawingml/2006/picture">
                        <pic:nvPicPr>
                          <pic:cNvPr id="640" name="Picture_22_SpCnt_3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9525" cy="28575"/>
                  <wp:effectExtent l="0" t="0" r="0" b="0"/>
                  <wp:wrapNone/>
                  <wp:docPr id="641" name="Picture_45_SpCnt_36"/>
                  <wp:cNvGraphicFramePr/>
                  <a:graphic xmlns:a="http://schemas.openxmlformats.org/drawingml/2006/main">
                    <a:graphicData uri="http://schemas.openxmlformats.org/drawingml/2006/picture">
                      <pic:pic xmlns:pic="http://schemas.openxmlformats.org/drawingml/2006/picture">
                        <pic:nvPicPr>
                          <pic:cNvPr id="641" name="Picture_45_SpCnt_3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9525" cy="28575"/>
                  <wp:effectExtent l="0" t="0" r="0" b="0"/>
                  <wp:wrapNone/>
                  <wp:docPr id="642" name="Picture_44_SpCnt_43"/>
                  <wp:cNvGraphicFramePr/>
                  <a:graphic xmlns:a="http://schemas.openxmlformats.org/drawingml/2006/main">
                    <a:graphicData uri="http://schemas.openxmlformats.org/drawingml/2006/picture">
                      <pic:pic xmlns:pic="http://schemas.openxmlformats.org/drawingml/2006/picture">
                        <pic:nvPicPr>
                          <pic:cNvPr id="642" name="Picture_44_SpCnt_4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9525" cy="28575"/>
                  <wp:effectExtent l="0" t="0" r="0" b="0"/>
                  <wp:wrapNone/>
                  <wp:docPr id="643" name="Picture_23_SpCnt_36"/>
                  <wp:cNvGraphicFramePr/>
                  <a:graphic xmlns:a="http://schemas.openxmlformats.org/drawingml/2006/main">
                    <a:graphicData uri="http://schemas.openxmlformats.org/drawingml/2006/picture">
                      <pic:pic xmlns:pic="http://schemas.openxmlformats.org/drawingml/2006/picture">
                        <pic:nvPicPr>
                          <pic:cNvPr id="643" name="Picture_23_SpCnt_3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9525" cy="28575"/>
                  <wp:effectExtent l="0" t="0" r="0" b="0"/>
                  <wp:wrapNone/>
                  <wp:docPr id="644" name="Picture_22_SpCnt_37"/>
                  <wp:cNvGraphicFramePr/>
                  <a:graphic xmlns:a="http://schemas.openxmlformats.org/drawingml/2006/main">
                    <a:graphicData uri="http://schemas.openxmlformats.org/drawingml/2006/picture">
                      <pic:pic xmlns:pic="http://schemas.openxmlformats.org/drawingml/2006/picture">
                        <pic:nvPicPr>
                          <pic:cNvPr id="644" name="Picture_22_SpCnt_3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9525" cy="28575"/>
                  <wp:effectExtent l="0" t="0" r="0" b="0"/>
                  <wp:wrapNone/>
                  <wp:docPr id="645" name="Picture_45_SpCnt_37"/>
                  <wp:cNvGraphicFramePr/>
                  <a:graphic xmlns:a="http://schemas.openxmlformats.org/drawingml/2006/main">
                    <a:graphicData uri="http://schemas.openxmlformats.org/drawingml/2006/picture">
                      <pic:pic xmlns:pic="http://schemas.openxmlformats.org/drawingml/2006/picture">
                        <pic:nvPicPr>
                          <pic:cNvPr id="645" name="Picture_45_SpCnt_3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9525" cy="28575"/>
                  <wp:effectExtent l="0" t="0" r="0" b="0"/>
                  <wp:wrapNone/>
                  <wp:docPr id="646" name="Picture_44_SpCnt_44"/>
                  <wp:cNvGraphicFramePr/>
                  <a:graphic xmlns:a="http://schemas.openxmlformats.org/drawingml/2006/main">
                    <a:graphicData uri="http://schemas.openxmlformats.org/drawingml/2006/picture">
                      <pic:pic xmlns:pic="http://schemas.openxmlformats.org/drawingml/2006/picture">
                        <pic:nvPicPr>
                          <pic:cNvPr id="646" name="Picture_44_SpCnt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9525" cy="28575"/>
                  <wp:effectExtent l="0" t="0" r="0" b="0"/>
                  <wp:wrapNone/>
                  <wp:docPr id="647" name="Picture_23_SpCnt_37"/>
                  <wp:cNvGraphicFramePr/>
                  <a:graphic xmlns:a="http://schemas.openxmlformats.org/drawingml/2006/main">
                    <a:graphicData uri="http://schemas.openxmlformats.org/drawingml/2006/picture">
                      <pic:pic xmlns:pic="http://schemas.openxmlformats.org/drawingml/2006/picture">
                        <pic:nvPicPr>
                          <pic:cNvPr id="647" name="Picture_23_SpCnt_3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9525" cy="28575"/>
                  <wp:effectExtent l="0" t="0" r="0" b="0"/>
                  <wp:wrapNone/>
                  <wp:docPr id="648" name="Picture_22_SpCnt_38"/>
                  <wp:cNvGraphicFramePr/>
                  <a:graphic xmlns:a="http://schemas.openxmlformats.org/drawingml/2006/main">
                    <a:graphicData uri="http://schemas.openxmlformats.org/drawingml/2006/picture">
                      <pic:pic xmlns:pic="http://schemas.openxmlformats.org/drawingml/2006/picture">
                        <pic:nvPicPr>
                          <pic:cNvPr id="648" name="Picture_22_SpCnt_3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9525" cy="28575"/>
                  <wp:effectExtent l="0" t="0" r="0" b="0"/>
                  <wp:wrapNone/>
                  <wp:docPr id="649" name="Picture_45_SpCnt_38"/>
                  <wp:cNvGraphicFramePr/>
                  <a:graphic xmlns:a="http://schemas.openxmlformats.org/drawingml/2006/main">
                    <a:graphicData uri="http://schemas.openxmlformats.org/drawingml/2006/picture">
                      <pic:pic xmlns:pic="http://schemas.openxmlformats.org/drawingml/2006/picture">
                        <pic:nvPicPr>
                          <pic:cNvPr id="649" name="Picture_45_SpCnt_3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9525" cy="28575"/>
                  <wp:effectExtent l="0" t="0" r="0" b="0"/>
                  <wp:wrapNone/>
                  <wp:docPr id="650" name="Picture_44_SpCnt_45"/>
                  <wp:cNvGraphicFramePr/>
                  <a:graphic xmlns:a="http://schemas.openxmlformats.org/drawingml/2006/main">
                    <a:graphicData uri="http://schemas.openxmlformats.org/drawingml/2006/picture">
                      <pic:pic xmlns:pic="http://schemas.openxmlformats.org/drawingml/2006/picture">
                        <pic:nvPicPr>
                          <pic:cNvPr id="650" name="Picture_44_SpCnt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9525" cy="28575"/>
                  <wp:effectExtent l="0" t="0" r="0" b="0"/>
                  <wp:wrapNone/>
                  <wp:docPr id="651" name="Picture_23_SpCnt_38"/>
                  <wp:cNvGraphicFramePr/>
                  <a:graphic xmlns:a="http://schemas.openxmlformats.org/drawingml/2006/main">
                    <a:graphicData uri="http://schemas.openxmlformats.org/drawingml/2006/picture">
                      <pic:pic xmlns:pic="http://schemas.openxmlformats.org/drawingml/2006/picture">
                        <pic:nvPicPr>
                          <pic:cNvPr id="651" name="Picture_23_SpCnt_3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9525" cy="28575"/>
                  <wp:effectExtent l="0" t="0" r="0" b="0"/>
                  <wp:wrapNone/>
                  <wp:docPr id="652" name="Picture_22_SpCnt_39"/>
                  <wp:cNvGraphicFramePr/>
                  <a:graphic xmlns:a="http://schemas.openxmlformats.org/drawingml/2006/main">
                    <a:graphicData uri="http://schemas.openxmlformats.org/drawingml/2006/picture">
                      <pic:pic xmlns:pic="http://schemas.openxmlformats.org/drawingml/2006/picture">
                        <pic:nvPicPr>
                          <pic:cNvPr id="652" name="Picture_22_SpCnt_3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9525" cy="28575"/>
                  <wp:effectExtent l="0" t="0" r="0" b="0"/>
                  <wp:wrapNone/>
                  <wp:docPr id="653" name="Picture_45_SpCnt_39"/>
                  <wp:cNvGraphicFramePr/>
                  <a:graphic xmlns:a="http://schemas.openxmlformats.org/drawingml/2006/main">
                    <a:graphicData uri="http://schemas.openxmlformats.org/drawingml/2006/picture">
                      <pic:pic xmlns:pic="http://schemas.openxmlformats.org/drawingml/2006/picture">
                        <pic:nvPicPr>
                          <pic:cNvPr id="653" name="Picture_45_SpCnt_3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9525" cy="28575"/>
                  <wp:effectExtent l="0" t="0" r="0" b="0"/>
                  <wp:wrapNone/>
                  <wp:docPr id="654" name="Picture_44_SpCnt_46"/>
                  <wp:cNvGraphicFramePr/>
                  <a:graphic xmlns:a="http://schemas.openxmlformats.org/drawingml/2006/main">
                    <a:graphicData uri="http://schemas.openxmlformats.org/drawingml/2006/picture">
                      <pic:pic xmlns:pic="http://schemas.openxmlformats.org/drawingml/2006/picture">
                        <pic:nvPicPr>
                          <pic:cNvPr id="654" name="Picture_44_SpCnt_4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9525" cy="28575"/>
                  <wp:effectExtent l="0" t="0" r="0" b="0"/>
                  <wp:wrapNone/>
                  <wp:docPr id="655" name="Picture_23_SpCnt_39"/>
                  <wp:cNvGraphicFramePr/>
                  <a:graphic xmlns:a="http://schemas.openxmlformats.org/drawingml/2006/main">
                    <a:graphicData uri="http://schemas.openxmlformats.org/drawingml/2006/picture">
                      <pic:pic xmlns:pic="http://schemas.openxmlformats.org/drawingml/2006/picture">
                        <pic:nvPicPr>
                          <pic:cNvPr id="655" name="Picture_23_SpCnt_3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9525" cy="28575"/>
                  <wp:effectExtent l="0" t="0" r="0" b="0"/>
                  <wp:wrapNone/>
                  <wp:docPr id="656" name="Picture_22_SpCnt_40"/>
                  <wp:cNvGraphicFramePr/>
                  <a:graphic xmlns:a="http://schemas.openxmlformats.org/drawingml/2006/main">
                    <a:graphicData uri="http://schemas.openxmlformats.org/drawingml/2006/picture">
                      <pic:pic xmlns:pic="http://schemas.openxmlformats.org/drawingml/2006/picture">
                        <pic:nvPicPr>
                          <pic:cNvPr id="656" name="Picture_22_SpCnt_4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9525" cy="28575"/>
                  <wp:effectExtent l="0" t="0" r="0" b="0"/>
                  <wp:wrapNone/>
                  <wp:docPr id="657" name="Picture_45_SpCnt_40"/>
                  <wp:cNvGraphicFramePr/>
                  <a:graphic xmlns:a="http://schemas.openxmlformats.org/drawingml/2006/main">
                    <a:graphicData uri="http://schemas.openxmlformats.org/drawingml/2006/picture">
                      <pic:pic xmlns:pic="http://schemas.openxmlformats.org/drawingml/2006/picture">
                        <pic:nvPicPr>
                          <pic:cNvPr id="657" name="Picture_45_SpCnt_4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9525" cy="28575"/>
                  <wp:effectExtent l="0" t="0" r="0" b="0"/>
                  <wp:wrapNone/>
                  <wp:docPr id="658" name="Picture_44_SpCnt_47"/>
                  <wp:cNvGraphicFramePr/>
                  <a:graphic xmlns:a="http://schemas.openxmlformats.org/drawingml/2006/main">
                    <a:graphicData uri="http://schemas.openxmlformats.org/drawingml/2006/picture">
                      <pic:pic xmlns:pic="http://schemas.openxmlformats.org/drawingml/2006/picture">
                        <pic:nvPicPr>
                          <pic:cNvPr id="658" name="Picture_44_SpCnt_4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9525" cy="28575"/>
                  <wp:effectExtent l="0" t="0" r="0" b="0"/>
                  <wp:wrapNone/>
                  <wp:docPr id="659" name="Picture_23_SpCnt_40"/>
                  <wp:cNvGraphicFramePr/>
                  <a:graphic xmlns:a="http://schemas.openxmlformats.org/drawingml/2006/main">
                    <a:graphicData uri="http://schemas.openxmlformats.org/drawingml/2006/picture">
                      <pic:pic xmlns:pic="http://schemas.openxmlformats.org/drawingml/2006/picture">
                        <pic:nvPicPr>
                          <pic:cNvPr id="659" name="Picture_23_SpCnt_4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9525" cy="28575"/>
                  <wp:effectExtent l="0" t="0" r="0" b="0"/>
                  <wp:wrapNone/>
                  <wp:docPr id="660" name="Picture_22_SpCnt_41"/>
                  <wp:cNvGraphicFramePr/>
                  <a:graphic xmlns:a="http://schemas.openxmlformats.org/drawingml/2006/main">
                    <a:graphicData uri="http://schemas.openxmlformats.org/drawingml/2006/picture">
                      <pic:pic xmlns:pic="http://schemas.openxmlformats.org/drawingml/2006/picture">
                        <pic:nvPicPr>
                          <pic:cNvPr id="660" name="Picture_22_SpCnt_4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9525" cy="28575"/>
                  <wp:effectExtent l="0" t="0" r="0" b="0"/>
                  <wp:wrapNone/>
                  <wp:docPr id="661" name="Picture_45_SpCnt_41"/>
                  <wp:cNvGraphicFramePr/>
                  <a:graphic xmlns:a="http://schemas.openxmlformats.org/drawingml/2006/main">
                    <a:graphicData uri="http://schemas.openxmlformats.org/drawingml/2006/picture">
                      <pic:pic xmlns:pic="http://schemas.openxmlformats.org/drawingml/2006/picture">
                        <pic:nvPicPr>
                          <pic:cNvPr id="661" name="Picture_45_SpCnt_4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9525" cy="28575"/>
                  <wp:effectExtent l="0" t="0" r="0" b="0"/>
                  <wp:wrapNone/>
                  <wp:docPr id="662" name="Picture_44_SpCnt_48"/>
                  <wp:cNvGraphicFramePr/>
                  <a:graphic xmlns:a="http://schemas.openxmlformats.org/drawingml/2006/main">
                    <a:graphicData uri="http://schemas.openxmlformats.org/drawingml/2006/picture">
                      <pic:pic xmlns:pic="http://schemas.openxmlformats.org/drawingml/2006/picture">
                        <pic:nvPicPr>
                          <pic:cNvPr id="662" name="Picture_44_SpCnt_4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9525" cy="28575"/>
                  <wp:effectExtent l="0" t="0" r="0" b="0"/>
                  <wp:wrapNone/>
                  <wp:docPr id="663" name="Picture_23_SpCnt_41"/>
                  <wp:cNvGraphicFramePr/>
                  <a:graphic xmlns:a="http://schemas.openxmlformats.org/drawingml/2006/main">
                    <a:graphicData uri="http://schemas.openxmlformats.org/drawingml/2006/picture">
                      <pic:pic xmlns:pic="http://schemas.openxmlformats.org/drawingml/2006/picture">
                        <pic:nvPicPr>
                          <pic:cNvPr id="663" name="Picture_23_SpCnt_4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9525" cy="28575"/>
                  <wp:effectExtent l="0" t="0" r="0" b="0"/>
                  <wp:wrapNone/>
                  <wp:docPr id="664" name="Picture_22_SpCnt_42"/>
                  <wp:cNvGraphicFramePr/>
                  <a:graphic xmlns:a="http://schemas.openxmlformats.org/drawingml/2006/main">
                    <a:graphicData uri="http://schemas.openxmlformats.org/drawingml/2006/picture">
                      <pic:pic xmlns:pic="http://schemas.openxmlformats.org/drawingml/2006/picture">
                        <pic:nvPicPr>
                          <pic:cNvPr id="664" name="Picture_22_SpCnt_4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9525" cy="28575"/>
                  <wp:effectExtent l="0" t="0" r="0" b="0"/>
                  <wp:wrapNone/>
                  <wp:docPr id="665" name="Picture_45_SpCnt_42"/>
                  <wp:cNvGraphicFramePr/>
                  <a:graphic xmlns:a="http://schemas.openxmlformats.org/drawingml/2006/main">
                    <a:graphicData uri="http://schemas.openxmlformats.org/drawingml/2006/picture">
                      <pic:pic xmlns:pic="http://schemas.openxmlformats.org/drawingml/2006/picture">
                        <pic:nvPicPr>
                          <pic:cNvPr id="665" name="Picture_45_SpCnt_4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9525" cy="28575"/>
                  <wp:effectExtent l="0" t="0" r="0" b="0"/>
                  <wp:wrapNone/>
                  <wp:docPr id="666" name="Picture_44_SpCnt_49"/>
                  <wp:cNvGraphicFramePr/>
                  <a:graphic xmlns:a="http://schemas.openxmlformats.org/drawingml/2006/main">
                    <a:graphicData uri="http://schemas.openxmlformats.org/drawingml/2006/picture">
                      <pic:pic xmlns:pic="http://schemas.openxmlformats.org/drawingml/2006/picture">
                        <pic:nvPicPr>
                          <pic:cNvPr id="666" name="Picture_44_SpCnt_4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9525" cy="28575"/>
                  <wp:effectExtent l="0" t="0" r="0" b="0"/>
                  <wp:wrapNone/>
                  <wp:docPr id="667" name="Picture_23_SpCnt_42"/>
                  <wp:cNvGraphicFramePr/>
                  <a:graphic xmlns:a="http://schemas.openxmlformats.org/drawingml/2006/main">
                    <a:graphicData uri="http://schemas.openxmlformats.org/drawingml/2006/picture">
                      <pic:pic xmlns:pic="http://schemas.openxmlformats.org/drawingml/2006/picture">
                        <pic:nvPicPr>
                          <pic:cNvPr id="667" name="Picture_23_SpCnt_4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9525" cy="28575"/>
                  <wp:effectExtent l="0" t="0" r="0" b="0"/>
                  <wp:wrapNone/>
                  <wp:docPr id="668" name="Picture_22_SpCnt_43"/>
                  <wp:cNvGraphicFramePr/>
                  <a:graphic xmlns:a="http://schemas.openxmlformats.org/drawingml/2006/main">
                    <a:graphicData uri="http://schemas.openxmlformats.org/drawingml/2006/picture">
                      <pic:pic xmlns:pic="http://schemas.openxmlformats.org/drawingml/2006/picture">
                        <pic:nvPicPr>
                          <pic:cNvPr id="668" name="Picture_22_SpCnt_4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9525" cy="28575"/>
                  <wp:effectExtent l="0" t="0" r="0" b="0"/>
                  <wp:wrapNone/>
                  <wp:docPr id="669" name="Picture_45_SpCnt_43"/>
                  <wp:cNvGraphicFramePr/>
                  <a:graphic xmlns:a="http://schemas.openxmlformats.org/drawingml/2006/main">
                    <a:graphicData uri="http://schemas.openxmlformats.org/drawingml/2006/picture">
                      <pic:pic xmlns:pic="http://schemas.openxmlformats.org/drawingml/2006/picture">
                        <pic:nvPicPr>
                          <pic:cNvPr id="669" name="Picture_45_SpCnt_4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9525" cy="28575"/>
                  <wp:effectExtent l="0" t="0" r="0" b="0"/>
                  <wp:wrapNone/>
                  <wp:docPr id="670" name="Picture_44_SpCnt_50"/>
                  <wp:cNvGraphicFramePr/>
                  <a:graphic xmlns:a="http://schemas.openxmlformats.org/drawingml/2006/main">
                    <a:graphicData uri="http://schemas.openxmlformats.org/drawingml/2006/picture">
                      <pic:pic xmlns:pic="http://schemas.openxmlformats.org/drawingml/2006/picture">
                        <pic:nvPicPr>
                          <pic:cNvPr id="670" name="Picture_44_SpCnt_5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9525" cy="28575"/>
                  <wp:effectExtent l="0" t="0" r="0" b="0"/>
                  <wp:wrapNone/>
                  <wp:docPr id="671" name="Picture_23_SpCnt_43"/>
                  <wp:cNvGraphicFramePr/>
                  <a:graphic xmlns:a="http://schemas.openxmlformats.org/drawingml/2006/main">
                    <a:graphicData uri="http://schemas.openxmlformats.org/drawingml/2006/picture">
                      <pic:pic xmlns:pic="http://schemas.openxmlformats.org/drawingml/2006/picture">
                        <pic:nvPicPr>
                          <pic:cNvPr id="671" name="Picture_23_SpCnt_4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9525" cy="28575"/>
                  <wp:effectExtent l="0" t="0" r="0" b="0"/>
                  <wp:wrapNone/>
                  <wp:docPr id="672" name="Picture_22_SpCnt_44"/>
                  <wp:cNvGraphicFramePr/>
                  <a:graphic xmlns:a="http://schemas.openxmlformats.org/drawingml/2006/main">
                    <a:graphicData uri="http://schemas.openxmlformats.org/drawingml/2006/picture">
                      <pic:pic xmlns:pic="http://schemas.openxmlformats.org/drawingml/2006/picture">
                        <pic:nvPicPr>
                          <pic:cNvPr id="672" name="Picture_22_SpCnt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9525" cy="28575"/>
                  <wp:effectExtent l="0" t="0" r="0" b="0"/>
                  <wp:wrapNone/>
                  <wp:docPr id="673" name="Picture_45_SpCnt_44"/>
                  <wp:cNvGraphicFramePr/>
                  <a:graphic xmlns:a="http://schemas.openxmlformats.org/drawingml/2006/main">
                    <a:graphicData uri="http://schemas.openxmlformats.org/drawingml/2006/picture">
                      <pic:pic xmlns:pic="http://schemas.openxmlformats.org/drawingml/2006/picture">
                        <pic:nvPicPr>
                          <pic:cNvPr id="673" name="Picture_45_SpCnt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9525" cy="28575"/>
                  <wp:effectExtent l="0" t="0" r="0" b="0"/>
                  <wp:wrapNone/>
                  <wp:docPr id="674" name="Picture_44_SpCnt_51"/>
                  <wp:cNvGraphicFramePr/>
                  <a:graphic xmlns:a="http://schemas.openxmlformats.org/drawingml/2006/main">
                    <a:graphicData uri="http://schemas.openxmlformats.org/drawingml/2006/picture">
                      <pic:pic xmlns:pic="http://schemas.openxmlformats.org/drawingml/2006/picture">
                        <pic:nvPicPr>
                          <pic:cNvPr id="674" name="Picture_44_SpCnt_5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9525" cy="28575"/>
                  <wp:effectExtent l="0" t="0" r="0" b="0"/>
                  <wp:wrapNone/>
                  <wp:docPr id="675" name="Picture_23_SpCnt_44"/>
                  <wp:cNvGraphicFramePr/>
                  <a:graphic xmlns:a="http://schemas.openxmlformats.org/drawingml/2006/main">
                    <a:graphicData uri="http://schemas.openxmlformats.org/drawingml/2006/picture">
                      <pic:pic xmlns:pic="http://schemas.openxmlformats.org/drawingml/2006/picture">
                        <pic:nvPicPr>
                          <pic:cNvPr id="675" name="Picture_23_SpCnt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9525" cy="28575"/>
                  <wp:effectExtent l="0" t="0" r="0" b="0"/>
                  <wp:wrapNone/>
                  <wp:docPr id="676" name="Picture_22_SpCnt_45"/>
                  <wp:cNvGraphicFramePr/>
                  <a:graphic xmlns:a="http://schemas.openxmlformats.org/drawingml/2006/main">
                    <a:graphicData uri="http://schemas.openxmlformats.org/drawingml/2006/picture">
                      <pic:pic xmlns:pic="http://schemas.openxmlformats.org/drawingml/2006/picture">
                        <pic:nvPicPr>
                          <pic:cNvPr id="676" name="Picture_22_SpCnt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9525" cy="28575"/>
                  <wp:effectExtent l="0" t="0" r="0" b="0"/>
                  <wp:wrapNone/>
                  <wp:docPr id="677" name="Picture_45_SpCnt_45"/>
                  <wp:cNvGraphicFramePr/>
                  <a:graphic xmlns:a="http://schemas.openxmlformats.org/drawingml/2006/main">
                    <a:graphicData uri="http://schemas.openxmlformats.org/drawingml/2006/picture">
                      <pic:pic xmlns:pic="http://schemas.openxmlformats.org/drawingml/2006/picture">
                        <pic:nvPicPr>
                          <pic:cNvPr id="677" name="Picture_45_SpCnt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9525" cy="28575"/>
                  <wp:effectExtent l="0" t="0" r="0" b="0"/>
                  <wp:wrapNone/>
                  <wp:docPr id="678" name="Picture_44_SpCnt_52"/>
                  <wp:cNvGraphicFramePr/>
                  <a:graphic xmlns:a="http://schemas.openxmlformats.org/drawingml/2006/main">
                    <a:graphicData uri="http://schemas.openxmlformats.org/drawingml/2006/picture">
                      <pic:pic xmlns:pic="http://schemas.openxmlformats.org/drawingml/2006/picture">
                        <pic:nvPicPr>
                          <pic:cNvPr id="678" name="Picture_44_SpCnt_5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9525" cy="28575"/>
                  <wp:effectExtent l="0" t="0" r="0" b="0"/>
                  <wp:wrapNone/>
                  <wp:docPr id="679" name="Picture_23_SpCnt_45"/>
                  <wp:cNvGraphicFramePr/>
                  <a:graphic xmlns:a="http://schemas.openxmlformats.org/drawingml/2006/main">
                    <a:graphicData uri="http://schemas.openxmlformats.org/drawingml/2006/picture">
                      <pic:pic xmlns:pic="http://schemas.openxmlformats.org/drawingml/2006/picture">
                        <pic:nvPicPr>
                          <pic:cNvPr id="679" name="Picture_23_SpCnt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9525" cy="28575"/>
                  <wp:effectExtent l="0" t="0" r="0" b="0"/>
                  <wp:wrapNone/>
                  <wp:docPr id="680" name="Picture_22_SpCnt_46"/>
                  <wp:cNvGraphicFramePr/>
                  <a:graphic xmlns:a="http://schemas.openxmlformats.org/drawingml/2006/main">
                    <a:graphicData uri="http://schemas.openxmlformats.org/drawingml/2006/picture">
                      <pic:pic xmlns:pic="http://schemas.openxmlformats.org/drawingml/2006/picture">
                        <pic:nvPicPr>
                          <pic:cNvPr id="680" name="Picture_22_SpCnt_4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9525" cy="28575"/>
                  <wp:effectExtent l="0" t="0" r="0" b="0"/>
                  <wp:wrapNone/>
                  <wp:docPr id="681" name="Picture_45_SpCnt_46"/>
                  <wp:cNvGraphicFramePr/>
                  <a:graphic xmlns:a="http://schemas.openxmlformats.org/drawingml/2006/main">
                    <a:graphicData uri="http://schemas.openxmlformats.org/drawingml/2006/picture">
                      <pic:pic xmlns:pic="http://schemas.openxmlformats.org/drawingml/2006/picture">
                        <pic:nvPicPr>
                          <pic:cNvPr id="681" name="Picture_45_SpCnt_4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9525" cy="28575"/>
                  <wp:effectExtent l="0" t="0" r="0" b="0"/>
                  <wp:wrapNone/>
                  <wp:docPr id="682" name="Picture_44_SpCnt_53"/>
                  <wp:cNvGraphicFramePr/>
                  <a:graphic xmlns:a="http://schemas.openxmlformats.org/drawingml/2006/main">
                    <a:graphicData uri="http://schemas.openxmlformats.org/drawingml/2006/picture">
                      <pic:pic xmlns:pic="http://schemas.openxmlformats.org/drawingml/2006/picture">
                        <pic:nvPicPr>
                          <pic:cNvPr id="682" name="Picture_44_SpCnt_5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9525" cy="28575"/>
                  <wp:effectExtent l="0" t="0" r="0" b="0"/>
                  <wp:wrapNone/>
                  <wp:docPr id="683" name="Picture_23_SpCnt_46"/>
                  <wp:cNvGraphicFramePr/>
                  <a:graphic xmlns:a="http://schemas.openxmlformats.org/drawingml/2006/main">
                    <a:graphicData uri="http://schemas.openxmlformats.org/drawingml/2006/picture">
                      <pic:pic xmlns:pic="http://schemas.openxmlformats.org/drawingml/2006/picture">
                        <pic:nvPicPr>
                          <pic:cNvPr id="683" name="Picture_23_SpCnt_4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9525" cy="28575"/>
                  <wp:effectExtent l="0" t="0" r="0" b="0"/>
                  <wp:wrapNone/>
                  <wp:docPr id="684" name="Picture_22_SpCnt_47"/>
                  <wp:cNvGraphicFramePr/>
                  <a:graphic xmlns:a="http://schemas.openxmlformats.org/drawingml/2006/main">
                    <a:graphicData uri="http://schemas.openxmlformats.org/drawingml/2006/picture">
                      <pic:pic xmlns:pic="http://schemas.openxmlformats.org/drawingml/2006/picture">
                        <pic:nvPicPr>
                          <pic:cNvPr id="684" name="Picture_22_SpCnt_4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9525" cy="28575"/>
                  <wp:effectExtent l="0" t="0" r="0" b="0"/>
                  <wp:wrapNone/>
                  <wp:docPr id="685" name="Picture_45_SpCnt_47"/>
                  <wp:cNvGraphicFramePr/>
                  <a:graphic xmlns:a="http://schemas.openxmlformats.org/drawingml/2006/main">
                    <a:graphicData uri="http://schemas.openxmlformats.org/drawingml/2006/picture">
                      <pic:pic xmlns:pic="http://schemas.openxmlformats.org/drawingml/2006/picture">
                        <pic:nvPicPr>
                          <pic:cNvPr id="685" name="Picture_45_SpCnt_4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9525" cy="28575"/>
                  <wp:effectExtent l="0" t="0" r="0" b="0"/>
                  <wp:wrapNone/>
                  <wp:docPr id="686" name="Picture_44_SpCnt_54"/>
                  <wp:cNvGraphicFramePr/>
                  <a:graphic xmlns:a="http://schemas.openxmlformats.org/drawingml/2006/main">
                    <a:graphicData uri="http://schemas.openxmlformats.org/drawingml/2006/picture">
                      <pic:pic xmlns:pic="http://schemas.openxmlformats.org/drawingml/2006/picture">
                        <pic:nvPicPr>
                          <pic:cNvPr id="686" name="Picture_44_SpCnt_5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9525" cy="28575"/>
                  <wp:effectExtent l="0" t="0" r="0" b="0"/>
                  <wp:wrapNone/>
                  <wp:docPr id="687" name="Picture_23_SpCnt_47"/>
                  <wp:cNvGraphicFramePr/>
                  <a:graphic xmlns:a="http://schemas.openxmlformats.org/drawingml/2006/main">
                    <a:graphicData uri="http://schemas.openxmlformats.org/drawingml/2006/picture">
                      <pic:pic xmlns:pic="http://schemas.openxmlformats.org/drawingml/2006/picture">
                        <pic:nvPicPr>
                          <pic:cNvPr id="687" name="Picture_23_SpCnt_4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9525" cy="28575"/>
                  <wp:effectExtent l="0" t="0" r="0" b="0"/>
                  <wp:wrapNone/>
                  <wp:docPr id="688" name="Picture_22_SpCnt_48"/>
                  <wp:cNvGraphicFramePr/>
                  <a:graphic xmlns:a="http://schemas.openxmlformats.org/drawingml/2006/main">
                    <a:graphicData uri="http://schemas.openxmlformats.org/drawingml/2006/picture">
                      <pic:pic xmlns:pic="http://schemas.openxmlformats.org/drawingml/2006/picture">
                        <pic:nvPicPr>
                          <pic:cNvPr id="688" name="Picture_22_SpCnt_4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9525" cy="28575"/>
                  <wp:effectExtent l="0" t="0" r="0" b="0"/>
                  <wp:wrapNone/>
                  <wp:docPr id="689" name="Picture_45_SpCnt_48"/>
                  <wp:cNvGraphicFramePr/>
                  <a:graphic xmlns:a="http://schemas.openxmlformats.org/drawingml/2006/main">
                    <a:graphicData uri="http://schemas.openxmlformats.org/drawingml/2006/picture">
                      <pic:pic xmlns:pic="http://schemas.openxmlformats.org/drawingml/2006/picture">
                        <pic:nvPicPr>
                          <pic:cNvPr id="689" name="Picture_45_SpCnt_4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9525" cy="28575"/>
                  <wp:effectExtent l="0" t="0" r="0" b="0"/>
                  <wp:wrapNone/>
                  <wp:docPr id="690" name="Picture_44_SpCnt_55"/>
                  <wp:cNvGraphicFramePr/>
                  <a:graphic xmlns:a="http://schemas.openxmlformats.org/drawingml/2006/main">
                    <a:graphicData uri="http://schemas.openxmlformats.org/drawingml/2006/picture">
                      <pic:pic xmlns:pic="http://schemas.openxmlformats.org/drawingml/2006/picture">
                        <pic:nvPicPr>
                          <pic:cNvPr id="690" name="Picture_44_SpCnt_5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9525" cy="28575"/>
                  <wp:effectExtent l="0" t="0" r="0" b="0"/>
                  <wp:wrapNone/>
                  <wp:docPr id="691" name="Picture_23_SpCnt_48"/>
                  <wp:cNvGraphicFramePr/>
                  <a:graphic xmlns:a="http://schemas.openxmlformats.org/drawingml/2006/main">
                    <a:graphicData uri="http://schemas.openxmlformats.org/drawingml/2006/picture">
                      <pic:pic xmlns:pic="http://schemas.openxmlformats.org/drawingml/2006/picture">
                        <pic:nvPicPr>
                          <pic:cNvPr id="691" name="Picture_23_SpCnt_4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9525" cy="28575"/>
                  <wp:effectExtent l="0" t="0" r="0" b="0"/>
                  <wp:wrapNone/>
                  <wp:docPr id="692" name="Picture_22_SpCnt_49"/>
                  <wp:cNvGraphicFramePr/>
                  <a:graphic xmlns:a="http://schemas.openxmlformats.org/drawingml/2006/main">
                    <a:graphicData uri="http://schemas.openxmlformats.org/drawingml/2006/picture">
                      <pic:pic xmlns:pic="http://schemas.openxmlformats.org/drawingml/2006/picture">
                        <pic:nvPicPr>
                          <pic:cNvPr id="692" name="Picture_22_SpCnt_4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9525" cy="28575"/>
                  <wp:effectExtent l="0" t="0" r="0" b="0"/>
                  <wp:wrapNone/>
                  <wp:docPr id="693" name="Picture_45_SpCnt_49"/>
                  <wp:cNvGraphicFramePr/>
                  <a:graphic xmlns:a="http://schemas.openxmlformats.org/drawingml/2006/main">
                    <a:graphicData uri="http://schemas.openxmlformats.org/drawingml/2006/picture">
                      <pic:pic xmlns:pic="http://schemas.openxmlformats.org/drawingml/2006/picture">
                        <pic:nvPicPr>
                          <pic:cNvPr id="693" name="Picture_45_SpCnt_4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9525" cy="28575"/>
                  <wp:effectExtent l="0" t="0" r="0" b="0"/>
                  <wp:wrapNone/>
                  <wp:docPr id="694" name="Picture_44_SpCnt_56"/>
                  <wp:cNvGraphicFramePr/>
                  <a:graphic xmlns:a="http://schemas.openxmlformats.org/drawingml/2006/main">
                    <a:graphicData uri="http://schemas.openxmlformats.org/drawingml/2006/picture">
                      <pic:pic xmlns:pic="http://schemas.openxmlformats.org/drawingml/2006/picture">
                        <pic:nvPicPr>
                          <pic:cNvPr id="694" name="Picture_44_SpCnt_5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9525" cy="28575"/>
                  <wp:effectExtent l="0" t="0" r="0" b="0"/>
                  <wp:wrapNone/>
                  <wp:docPr id="695" name="Picture_23_SpCnt_49"/>
                  <wp:cNvGraphicFramePr/>
                  <a:graphic xmlns:a="http://schemas.openxmlformats.org/drawingml/2006/main">
                    <a:graphicData uri="http://schemas.openxmlformats.org/drawingml/2006/picture">
                      <pic:pic xmlns:pic="http://schemas.openxmlformats.org/drawingml/2006/picture">
                        <pic:nvPicPr>
                          <pic:cNvPr id="695" name="Picture_23_SpCnt_4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9525" cy="28575"/>
                  <wp:effectExtent l="0" t="0" r="0" b="0"/>
                  <wp:wrapNone/>
                  <wp:docPr id="696" name="Picture_22_SpCnt_50"/>
                  <wp:cNvGraphicFramePr/>
                  <a:graphic xmlns:a="http://schemas.openxmlformats.org/drawingml/2006/main">
                    <a:graphicData uri="http://schemas.openxmlformats.org/drawingml/2006/picture">
                      <pic:pic xmlns:pic="http://schemas.openxmlformats.org/drawingml/2006/picture">
                        <pic:nvPicPr>
                          <pic:cNvPr id="696" name="Picture_22_SpCnt_5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9525" cy="28575"/>
                  <wp:effectExtent l="0" t="0" r="0" b="0"/>
                  <wp:wrapNone/>
                  <wp:docPr id="697" name="Picture_45_SpCnt_50"/>
                  <wp:cNvGraphicFramePr/>
                  <a:graphic xmlns:a="http://schemas.openxmlformats.org/drawingml/2006/main">
                    <a:graphicData uri="http://schemas.openxmlformats.org/drawingml/2006/picture">
                      <pic:pic xmlns:pic="http://schemas.openxmlformats.org/drawingml/2006/picture">
                        <pic:nvPicPr>
                          <pic:cNvPr id="697" name="Picture_45_SpCnt_5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9525" cy="28575"/>
                  <wp:effectExtent l="0" t="0" r="0" b="0"/>
                  <wp:wrapNone/>
                  <wp:docPr id="698" name="Picture_44_SpCnt_57"/>
                  <wp:cNvGraphicFramePr/>
                  <a:graphic xmlns:a="http://schemas.openxmlformats.org/drawingml/2006/main">
                    <a:graphicData uri="http://schemas.openxmlformats.org/drawingml/2006/picture">
                      <pic:pic xmlns:pic="http://schemas.openxmlformats.org/drawingml/2006/picture">
                        <pic:nvPicPr>
                          <pic:cNvPr id="698" name="Picture_44_SpCnt_5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9525" cy="28575"/>
                  <wp:effectExtent l="0" t="0" r="0" b="0"/>
                  <wp:wrapNone/>
                  <wp:docPr id="699" name="Picture_23_SpCnt_50"/>
                  <wp:cNvGraphicFramePr/>
                  <a:graphic xmlns:a="http://schemas.openxmlformats.org/drawingml/2006/main">
                    <a:graphicData uri="http://schemas.openxmlformats.org/drawingml/2006/picture">
                      <pic:pic xmlns:pic="http://schemas.openxmlformats.org/drawingml/2006/picture">
                        <pic:nvPicPr>
                          <pic:cNvPr id="699" name="Picture_23_SpCnt_5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9525" cy="28575"/>
                  <wp:effectExtent l="0" t="0" r="0" b="0"/>
                  <wp:wrapNone/>
                  <wp:docPr id="700" name="Picture_22_SpCnt_51"/>
                  <wp:cNvGraphicFramePr/>
                  <a:graphic xmlns:a="http://schemas.openxmlformats.org/drawingml/2006/main">
                    <a:graphicData uri="http://schemas.openxmlformats.org/drawingml/2006/picture">
                      <pic:pic xmlns:pic="http://schemas.openxmlformats.org/drawingml/2006/picture">
                        <pic:nvPicPr>
                          <pic:cNvPr id="700" name="Picture_22_SpCnt_5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9525" cy="28575"/>
                  <wp:effectExtent l="0" t="0" r="0" b="0"/>
                  <wp:wrapNone/>
                  <wp:docPr id="701" name="Picture_45_SpCnt_51"/>
                  <wp:cNvGraphicFramePr/>
                  <a:graphic xmlns:a="http://schemas.openxmlformats.org/drawingml/2006/main">
                    <a:graphicData uri="http://schemas.openxmlformats.org/drawingml/2006/picture">
                      <pic:pic xmlns:pic="http://schemas.openxmlformats.org/drawingml/2006/picture">
                        <pic:nvPicPr>
                          <pic:cNvPr id="701" name="Picture_45_SpCnt_5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9525" cy="28575"/>
                  <wp:effectExtent l="0" t="0" r="0" b="0"/>
                  <wp:wrapNone/>
                  <wp:docPr id="702" name="Picture_44_SpCnt_58"/>
                  <wp:cNvGraphicFramePr/>
                  <a:graphic xmlns:a="http://schemas.openxmlformats.org/drawingml/2006/main">
                    <a:graphicData uri="http://schemas.openxmlformats.org/drawingml/2006/picture">
                      <pic:pic xmlns:pic="http://schemas.openxmlformats.org/drawingml/2006/picture">
                        <pic:nvPicPr>
                          <pic:cNvPr id="702" name="Picture_44_SpCnt_5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9525" cy="28575"/>
                  <wp:effectExtent l="0" t="0" r="0" b="0"/>
                  <wp:wrapNone/>
                  <wp:docPr id="703" name="Picture_23_SpCnt_51"/>
                  <wp:cNvGraphicFramePr/>
                  <a:graphic xmlns:a="http://schemas.openxmlformats.org/drawingml/2006/main">
                    <a:graphicData uri="http://schemas.openxmlformats.org/drawingml/2006/picture">
                      <pic:pic xmlns:pic="http://schemas.openxmlformats.org/drawingml/2006/picture">
                        <pic:nvPicPr>
                          <pic:cNvPr id="703" name="Picture_23_SpCnt_5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9525" cy="28575"/>
                  <wp:effectExtent l="0" t="0" r="0" b="0"/>
                  <wp:wrapNone/>
                  <wp:docPr id="704" name="Picture_22_SpCnt_52"/>
                  <wp:cNvGraphicFramePr/>
                  <a:graphic xmlns:a="http://schemas.openxmlformats.org/drawingml/2006/main">
                    <a:graphicData uri="http://schemas.openxmlformats.org/drawingml/2006/picture">
                      <pic:pic xmlns:pic="http://schemas.openxmlformats.org/drawingml/2006/picture">
                        <pic:nvPicPr>
                          <pic:cNvPr id="704" name="Picture_22_SpCnt_5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9525" cy="28575"/>
                  <wp:effectExtent l="0" t="0" r="0" b="0"/>
                  <wp:wrapNone/>
                  <wp:docPr id="705" name="Picture_45_SpCnt_52"/>
                  <wp:cNvGraphicFramePr/>
                  <a:graphic xmlns:a="http://schemas.openxmlformats.org/drawingml/2006/main">
                    <a:graphicData uri="http://schemas.openxmlformats.org/drawingml/2006/picture">
                      <pic:pic xmlns:pic="http://schemas.openxmlformats.org/drawingml/2006/picture">
                        <pic:nvPicPr>
                          <pic:cNvPr id="705" name="Picture_45_SpCnt_5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9525" cy="28575"/>
                  <wp:effectExtent l="0" t="0" r="0" b="0"/>
                  <wp:wrapNone/>
                  <wp:docPr id="706" name="Picture_44_SpCnt_59"/>
                  <wp:cNvGraphicFramePr/>
                  <a:graphic xmlns:a="http://schemas.openxmlformats.org/drawingml/2006/main">
                    <a:graphicData uri="http://schemas.openxmlformats.org/drawingml/2006/picture">
                      <pic:pic xmlns:pic="http://schemas.openxmlformats.org/drawingml/2006/picture">
                        <pic:nvPicPr>
                          <pic:cNvPr id="706" name="Picture_44_SpCnt_5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9525" cy="28575"/>
                  <wp:effectExtent l="0" t="0" r="0" b="0"/>
                  <wp:wrapNone/>
                  <wp:docPr id="707" name="Picture_23_SpCnt_52"/>
                  <wp:cNvGraphicFramePr/>
                  <a:graphic xmlns:a="http://schemas.openxmlformats.org/drawingml/2006/main">
                    <a:graphicData uri="http://schemas.openxmlformats.org/drawingml/2006/picture">
                      <pic:pic xmlns:pic="http://schemas.openxmlformats.org/drawingml/2006/picture">
                        <pic:nvPicPr>
                          <pic:cNvPr id="707" name="Picture_23_SpCnt_5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9525" cy="28575"/>
                  <wp:effectExtent l="0" t="0" r="0" b="0"/>
                  <wp:wrapNone/>
                  <wp:docPr id="708" name="Picture_22_SpCnt_53"/>
                  <wp:cNvGraphicFramePr/>
                  <a:graphic xmlns:a="http://schemas.openxmlformats.org/drawingml/2006/main">
                    <a:graphicData uri="http://schemas.openxmlformats.org/drawingml/2006/picture">
                      <pic:pic xmlns:pic="http://schemas.openxmlformats.org/drawingml/2006/picture">
                        <pic:nvPicPr>
                          <pic:cNvPr id="708" name="Picture_22_SpCnt_5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9525" cy="28575"/>
                  <wp:effectExtent l="0" t="0" r="0" b="0"/>
                  <wp:wrapNone/>
                  <wp:docPr id="709" name="Picture_45_SpCnt_53"/>
                  <wp:cNvGraphicFramePr/>
                  <a:graphic xmlns:a="http://schemas.openxmlformats.org/drawingml/2006/main">
                    <a:graphicData uri="http://schemas.openxmlformats.org/drawingml/2006/picture">
                      <pic:pic xmlns:pic="http://schemas.openxmlformats.org/drawingml/2006/picture">
                        <pic:nvPicPr>
                          <pic:cNvPr id="709" name="Picture_45_SpCnt_5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9525" cy="28575"/>
                  <wp:effectExtent l="0" t="0" r="0" b="0"/>
                  <wp:wrapNone/>
                  <wp:docPr id="710" name="Picture_44_SpCnt_60"/>
                  <wp:cNvGraphicFramePr/>
                  <a:graphic xmlns:a="http://schemas.openxmlformats.org/drawingml/2006/main">
                    <a:graphicData uri="http://schemas.openxmlformats.org/drawingml/2006/picture">
                      <pic:pic xmlns:pic="http://schemas.openxmlformats.org/drawingml/2006/picture">
                        <pic:nvPicPr>
                          <pic:cNvPr id="710" name="Picture_44_SpCnt_6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9525" cy="28575"/>
                  <wp:effectExtent l="0" t="0" r="0" b="0"/>
                  <wp:wrapNone/>
                  <wp:docPr id="711" name="Picture_23_SpCnt_53"/>
                  <wp:cNvGraphicFramePr/>
                  <a:graphic xmlns:a="http://schemas.openxmlformats.org/drawingml/2006/main">
                    <a:graphicData uri="http://schemas.openxmlformats.org/drawingml/2006/picture">
                      <pic:pic xmlns:pic="http://schemas.openxmlformats.org/drawingml/2006/picture">
                        <pic:nvPicPr>
                          <pic:cNvPr id="711" name="Picture_23_SpCnt_5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9525" cy="28575"/>
                  <wp:effectExtent l="0" t="0" r="0" b="0"/>
                  <wp:wrapNone/>
                  <wp:docPr id="712" name="Picture_22_SpCnt_54"/>
                  <wp:cNvGraphicFramePr/>
                  <a:graphic xmlns:a="http://schemas.openxmlformats.org/drawingml/2006/main">
                    <a:graphicData uri="http://schemas.openxmlformats.org/drawingml/2006/picture">
                      <pic:pic xmlns:pic="http://schemas.openxmlformats.org/drawingml/2006/picture">
                        <pic:nvPicPr>
                          <pic:cNvPr id="712" name="Picture_22_SpCnt_5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9525" cy="28575"/>
                  <wp:effectExtent l="0" t="0" r="0" b="0"/>
                  <wp:wrapNone/>
                  <wp:docPr id="713" name="Picture_45_SpCnt_54"/>
                  <wp:cNvGraphicFramePr/>
                  <a:graphic xmlns:a="http://schemas.openxmlformats.org/drawingml/2006/main">
                    <a:graphicData uri="http://schemas.openxmlformats.org/drawingml/2006/picture">
                      <pic:pic xmlns:pic="http://schemas.openxmlformats.org/drawingml/2006/picture">
                        <pic:nvPicPr>
                          <pic:cNvPr id="713" name="Picture_45_SpCnt_5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9525" cy="28575"/>
                  <wp:effectExtent l="0" t="0" r="0" b="0"/>
                  <wp:wrapNone/>
                  <wp:docPr id="714" name="Picture_44_SpCnt_61"/>
                  <wp:cNvGraphicFramePr/>
                  <a:graphic xmlns:a="http://schemas.openxmlformats.org/drawingml/2006/main">
                    <a:graphicData uri="http://schemas.openxmlformats.org/drawingml/2006/picture">
                      <pic:pic xmlns:pic="http://schemas.openxmlformats.org/drawingml/2006/picture">
                        <pic:nvPicPr>
                          <pic:cNvPr id="714" name="Picture_44_SpCnt_6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9525" cy="28575"/>
                  <wp:effectExtent l="0" t="0" r="0" b="0"/>
                  <wp:wrapNone/>
                  <wp:docPr id="715" name="Picture_23_SpCnt_54"/>
                  <wp:cNvGraphicFramePr/>
                  <a:graphic xmlns:a="http://schemas.openxmlformats.org/drawingml/2006/main">
                    <a:graphicData uri="http://schemas.openxmlformats.org/drawingml/2006/picture">
                      <pic:pic xmlns:pic="http://schemas.openxmlformats.org/drawingml/2006/picture">
                        <pic:nvPicPr>
                          <pic:cNvPr id="715" name="Picture_23_SpCnt_5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9525" cy="28575"/>
                  <wp:effectExtent l="0" t="0" r="0" b="0"/>
                  <wp:wrapNone/>
                  <wp:docPr id="716" name="Picture_22_SpCnt_55"/>
                  <wp:cNvGraphicFramePr/>
                  <a:graphic xmlns:a="http://schemas.openxmlformats.org/drawingml/2006/main">
                    <a:graphicData uri="http://schemas.openxmlformats.org/drawingml/2006/picture">
                      <pic:pic xmlns:pic="http://schemas.openxmlformats.org/drawingml/2006/picture">
                        <pic:nvPicPr>
                          <pic:cNvPr id="716" name="Picture_22_SpCnt_5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9525" cy="28575"/>
                  <wp:effectExtent l="0" t="0" r="0" b="0"/>
                  <wp:wrapNone/>
                  <wp:docPr id="717" name="Picture_45_SpCnt_55"/>
                  <wp:cNvGraphicFramePr/>
                  <a:graphic xmlns:a="http://schemas.openxmlformats.org/drawingml/2006/main">
                    <a:graphicData uri="http://schemas.openxmlformats.org/drawingml/2006/picture">
                      <pic:pic xmlns:pic="http://schemas.openxmlformats.org/drawingml/2006/picture">
                        <pic:nvPicPr>
                          <pic:cNvPr id="717" name="Picture_45_SpCnt_5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9525" cy="28575"/>
                  <wp:effectExtent l="0" t="0" r="0" b="0"/>
                  <wp:wrapNone/>
                  <wp:docPr id="718" name="Picture_44_SpCnt_62"/>
                  <wp:cNvGraphicFramePr/>
                  <a:graphic xmlns:a="http://schemas.openxmlformats.org/drawingml/2006/main">
                    <a:graphicData uri="http://schemas.openxmlformats.org/drawingml/2006/picture">
                      <pic:pic xmlns:pic="http://schemas.openxmlformats.org/drawingml/2006/picture">
                        <pic:nvPicPr>
                          <pic:cNvPr id="718" name="Picture_44_SpCnt_6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9525" cy="28575"/>
                  <wp:effectExtent l="0" t="0" r="0" b="0"/>
                  <wp:wrapNone/>
                  <wp:docPr id="719" name="Picture_23_SpCnt_55"/>
                  <wp:cNvGraphicFramePr/>
                  <a:graphic xmlns:a="http://schemas.openxmlformats.org/drawingml/2006/main">
                    <a:graphicData uri="http://schemas.openxmlformats.org/drawingml/2006/picture">
                      <pic:pic xmlns:pic="http://schemas.openxmlformats.org/drawingml/2006/picture">
                        <pic:nvPicPr>
                          <pic:cNvPr id="719" name="Picture_23_SpCnt_5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9525" cy="28575"/>
                  <wp:effectExtent l="0" t="0" r="0" b="0"/>
                  <wp:wrapNone/>
                  <wp:docPr id="720" name="Picture_22_SpCnt_56"/>
                  <wp:cNvGraphicFramePr/>
                  <a:graphic xmlns:a="http://schemas.openxmlformats.org/drawingml/2006/main">
                    <a:graphicData uri="http://schemas.openxmlformats.org/drawingml/2006/picture">
                      <pic:pic xmlns:pic="http://schemas.openxmlformats.org/drawingml/2006/picture">
                        <pic:nvPicPr>
                          <pic:cNvPr id="720" name="Picture_22_SpCnt_5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9525" cy="28575"/>
                  <wp:effectExtent l="0" t="0" r="0" b="0"/>
                  <wp:wrapNone/>
                  <wp:docPr id="721" name="Picture_23_SpCnt_56"/>
                  <wp:cNvGraphicFramePr/>
                  <a:graphic xmlns:a="http://schemas.openxmlformats.org/drawingml/2006/main">
                    <a:graphicData uri="http://schemas.openxmlformats.org/drawingml/2006/picture">
                      <pic:pic xmlns:pic="http://schemas.openxmlformats.org/drawingml/2006/picture">
                        <pic:nvPicPr>
                          <pic:cNvPr id="721" name="Picture_23_SpCnt_5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9525" cy="28575"/>
                  <wp:effectExtent l="0" t="0" r="0" b="0"/>
                  <wp:wrapNone/>
                  <wp:docPr id="722" name="Picture_45_SpCnt_56"/>
                  <wp:cNvGraphicFramePr/>
                  <a:graphic xmlns:a="http://schemas.openxmlformats.org/drawingml/2006/main">
                    <a:graphicData uri="http://schemas.openxmlformats.org/drawingml/2006/picture">
                      <pic:pic xmlns:pic="http://schemas.openxmlformats.org/drawingml/2006/picture">
                        <pic:nvPicPr>
                          <pic:cNvPr id="722" name="Picture_45_SpCnt_5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9525" cy="28575"/>
                  <wp:effectExtent l="0" t="0" r="0" b="0"/>
                  <wp:wrapNone/>
                  <wp:docPr id="723" name="Picture_22_SpCnt_57"/>
                  <wp:cNvGraphicFramePr/>
                  <a:graphic xmlns:a="http://schemas.openxmlformats.org/drawingml/2006/main">
                    <a:graphicData uri="http://schemas.openxmlformats.org/drawingml/2006/picture">
                      <pic:pic xmlns:pic="http://schemas.openxmlformats.org/drawingml/2006/picture">
                        <pic:nvPicPr>
                          <pic:cNvPr id="723" name="Picture_22_SpCnt_5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9525" cy="28575"/>
                  <wp:effectExtent l="0" t="0" r="0" b="0"/>
                  <wp:wrapNone/>
                  <wp:docPr id="724" name="Picture_45_SpCnt_57"/>
                  <wp:cNvGraphicFramePr/>
                  <a:graphic xmlns:a="http://schemas.openxmlformats.org/drawingml/2006/main">
                    <a:graphicData uri="http://schemas.openxmlformats.org/drawingml/2006/picture">
                      <pic:pic xmlns:pic="http://schemas.openxmlformats.org/drawingml/2006/picture">
                        <pic:nvPicPr>
                          <pic:cNvPr id="724" name="Picture_45_SpCnt_5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9525" cy="28575"/>
                  <wp:effectExtent l="0" t="0" r="0" b="0"/>
                  <wp:wrapNone/>
                  <wp:docPr id="725" name="Picture_44_SpCnt_63"/>
                  <wp:cNvGraphicFramePr/>
                  <a:graphic xmlns:a="http://schemas.openxmlformats.org/drawingml/2006/main">
                    <a:graphicData uri="http://schemas.openxmlformats.org/drawingml/2006/picture">
                      <pic:pic xmlns:pic="http://schemas.openxmlformats.org/drawingml/2006/picture">
                        <pic:nvPicPr>
                          <pic:cNvPr id="725" name="Picture_44_SpCnt_6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9525" cy="28575"/>
                  <wp:effectExtent l="0" t="0" r="0" b="0"/>
                  <wp:wrapNone/>
                  <wp:docPr id="726" name="Picture_23_SpCnt_57"/>
                  <wp:cNvGraphicFramePr/>
                  <a:graphic xmlns:a="http://schemas.openxmlformats.org/drawingml/2006/main">
                    <a:graphicData uri="http://schemas.openxmlformats.org/drawingml/2006/picture">
                      <pic:pic xmlns:pic="http://schemas.openxmlformats.org/drawingml/2006/picture">
                        <pic:nvPicPr>
                          <pic:cNvPr id="726" name="Picture_23_SpCnt_5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9525" cy="28575"/>
                  <wp:effectExtent l="0" t="0" r="0" b="0"/>
                  <wp:wrapNone/>
                  <wp:docPr id="727" name="Picture_22_SpCnt_58"/>
                  <wp:cNvGraphicFramePr/>
                  <a:graphic xmlns:a="http://schemas.openxmlformats.org/drawingml/2006/main">
                    <a:graphicData uri="http://schemas.openxmlformats.org/drawingml/2006/picture">
                      <pic:pic xmlns:pic="http://schemas.openxmlformats.org/drawingml/2006/picture">
                        <pic:nvPicPr>
                          <pic:cNvPr id="727" name="Picture_22_SpCnt_5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9525" cy="28575"/>
                  <wp:effectExtent l="0" t="0" r="0" b="0"/>
                  <wp:wrapNone/>
                  <wp:docPr id="728" name="Picture_45_SpCnt_58"/>
                  <wp:cNvGraphicFramePr/>
                  <a:graphic xmlns:a="http://schemas.openxmlformats.org/drawingml/2006/main">
                    <a:graphicData uri="http://schemas.openxmlformats.org/drawingml/2006/picture">
                      <pic:pic xmlns:pic="http://schemas.openxmlformats.org/drawingml/2006/picture">
                        <pic:nvPicPr>
                          <pic:cNvPr id="728" name="Picture_45_SpCnt_5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9525" cy="28575"/>
                  <wp:effectExtent l="0" t="0" r="0" b="0"/>
                  <wp:wrapNone/>
                  <wp:docPr id="729" name="Picture_44_SpCnt_64"/>
                  <wp:cNvGraphicFramePr/>
                  <a:graphic xmlns:a="http://schemas.openxmlformats.org/drawingml/2006/main">
                    <a:graphicData uri="http://schemas.openxmlformats.org/drawingml/2006/picture">
                      <pic:pic xmlns:pic="http://schemas.openxmlformats.org/drawingml/2006/picture">
                        <pic:nvPicPr>
                          <pic:cNvPr id="729" name="Picture_44_SpCnt_6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9525" cy="28575"/>
                  <wp:effectExtent l="0" t="0" r="0" b="0"/>
                  <wp:wrapNone/>
                  <wp:docPr id="730" name="Picture_23_SpCnt_58"/>
                  <wp:cNvGraphicFramePr/>
                  <a:graphic xmlns:a="http://schemas.openxmlformats.org/drawingml/2006/main">
                    <a:graphicData uri="http://schemas.openxmlformats.org/drawingml/2006/picture">
                      <pic:pic xmlns:pic="http://schemas.openxmlformats.org/drawingml/2006/picture">
                        <pic:nvPicPr>
                          <pic:cNvPr id="730" name="Picture_23_SpCnt_5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9525" cy="28575"/>
                  <wp:effectExtent l="0" t="0" r="0" b="0"/>
                  <wp:wrapNone/>
                  <wp:docPr id="731" name="Picture_22_SpCnt_59"/>
                  <wp:cNvGraphicFramePr/>
                  <a:graphic xmlns:a="http://schemas.openxmlformats.org/drawingml/2006/main">
                    <a:graphicData uri="http://schemas.openxmlformats.org/drawingml/2006/picture">
                      <pic:pic xmlns:pic="http://schemas.openxmlformats.org/drawingml/2006/picture">
                        <pic:nvPicPr>
                          <pic:cNvPr id="731" name="Picture_22_SpCnt_5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9525" cy="28575"/>
                  <wp:effectExtent l="0" t="0" r="0" b="0"/>
                  <wp:wrapNone/>
                  <wp:docPr id="732" name="Picture_45_SpCnt_59"/>
                  <wp:cNvGraphicFramePr/>
                  <a:graphic xmlns:a="http://schemas.openxmlformats.org/drawingml/2006/main">
                    <a:graphicData uri="http://schemas.openxmlformats.org/drawingml/2006/picture">
                      <pic:pic xmlns:pic="http://schemas.openxmlformats.org/drawingml/2006/picture">
                        <pic:nvPicPr>
                          <pic:cNvPr id="732" name="Picture_45_SpCnt_5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9525" cy="28575"/>
                  <wp:effectExtent l="0" t="0" r="0" b="0"/>
                  <wp:wrapNone/>
                  <wp:docPr id="733" name="Picture_44_SpCnt_65"/>
                  <wp:cNvGraphicFramePr/>
                  <a:graphic xmlns:a="http://schemas.openxmlformats.org/drawingml/2006/main">
                    <a:graphicData uri="http://schemas.openxmlformats.org/drawingml/2006/picture">
                      <pic:pic xmlns:pic="http://schemas.openxmlformats.org/drawingml/2006/picture">
                        <pic:nvPicPr>
                          <pic:cNvPr id="733" name="Picture_44_SpCnt_6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9525" cy="28575"/>
                  <wp:effectExtent l="0" t="0" r="0" b="0"/>
                  <wp:wrapNone/>
                  <wp:docPr id="734" name="Picture_23_SpCnt_59"/>
                  <wp:cNvGraphicFramePr/>
                  <a:graphic xmlns:a="http://schemas.openxmlformats.org/drawingml/2006/main">
                    <a:graphicData uri="http://schemas.openxmlformats.org/drawingml/2006/picture">
                      <pic:pic xmlns:pic="http://schemas.openxmlformats.org/drawingml/2006/picture">
                        <pic:nvPicPr>
                          <pic:cNvPr id="734" name="Picture_23_SpCnt_5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9525" cy="28575"/>
                  <wp:effectExtent l="0" t="0" r="0" b="0"/>
                  <wp:wrapNone/>
                  <wp:docPr id="735" name="Picture_22_SpCnt_60"/>
                  <wp:cNvGraphicFramePr/>
                  <a:graphic xmlns:a="http://schemas.openxmlformats.org/drawingml/2006/main">
                    <a:graphicData uri="http://schemas.openxmlformats.org/drawingml/2006/picture">
                      <pic:pic xmlns:pic="http://schemas.openxmlformats.org/drawingml/2006/picture">
                        <pic:nvPicPr>
                          <pic:cNvPr id="735" name="Picture_22_SpCnt_6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9525" cy="28575"/>
                  <wp:effectExtent l="0" t="0" r="0" b="0"/>
                  <wp:wrapNone/>
                  <wp:docPr id="736" name="Picture_45_SpCnt_60"/>
                  <wp:cNvGraphicFramePr/>
                  <a:graphic xmlns:a="http://schemas.openxmlformats.org/drawingml/2006/main">
                    <a:graphicData uri="http://schemas.openxmlformats.org/drawingml/2006/picture">
                      <pic:pic xmlns:pic="http://schemas.openxmlformats.org/drawingml/2006/picture">
                        <pic:nvPicPr>
                          <pic:cNvPr id="736" name="Picture_45_SpCnt_6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9525" cy="28575"/>
                  <wp:effectExtent l="0" t="0" r="0" b="0"/>
                  <wp:wrapNone/>
                  <wp:docPr id="737" name="Picture_44_SpCnt_66"/>
                  <wp:cNvGraphicFramePr/>
                  <a:graphic xmlns:a="http://schemas.openxmlformats.org/drawingml/2006/main">
                    <a:graphicData uri="http://schemas.openxmlformats.org/drawingml/2006/picture">
                      <pic:pic xmlns:pic="http://schemas.openxmlformats.org/drawingml/2006/picture">
                        <pic:nvPicPr>
                          <pic:cNvPr id="737" name="Picture_44_SpCnt_6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9525" cy="28575"/>
                  <wp:effectExtent l="0" t="0" r="0" b="0"/>
                  <wp:wrapNone/>
                  <wp:docPr id="738" name="Picture_23_SpCnt_60"/>
                  <wp:cNvGraphicFramePr/>
                  <a:graphic xmlns:a="http://schemas.openxmlformats.org/drawingml/2006/main">
                    <a:graphicData uri="http://schemas.openxmlformats.org/drawingml/2006/picture">
                      <pic:pic xmlns:pic="http://schemas.openxmlformats.org/drawingml/2006/picture">
                        <pic:nvPicPr>
                          <pic:cNvPr id="738" name="Picture_23_SpCnt_6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9525" cy="28575"/>
                  <wp:effectExtent l="0" t="0" r="0" b="0"/>
                  <wp:wrapNone/>
                  <wp:docPr id="739" name="Picture_22_SpCnt_61"/>
                  <wp:cNvGraphicFramePr/>
                  <a:graphic xmlns:a="http://schemas.openxmlformats.org/drawingml/2006/main">
                    <a:graphicData uri="http://schemas.openxmlformats.org/drawingml/2006/picture">
                      <pic:pic xmlns:pic="http://schemas.openxmlformats.org/drawingml/2006/picture">
                        <pic:nvPicPr>
                          <pic:cNvPr id="739" name="Picture_22_SpCnt_6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9525" cy="28575"/>
                  <wp:effectExtent l="0" t="0" r="0" b="0"/>
                  <wp:wrapNone/>
                  <wp:docPr id="740" name="Picture_45_SpCnt_61"/>
                  <wp:cNvGraphicFramePr/>
                  <a:graphic xmlns:a="http://schemas.openxmlformats.org/drawingml/2006/main">
                    <a:graphicData uri="http://schemas.openxmlformats.org/drawingml/2006/picture">
                      <pic:pic xmlns:pic="http://schemas.openxmlformats.org/drawingml/2006/picture">
                        <pic:nvPicPr>
                          <pic:cNvPr id="740" name="Picture_45_SpCnt_6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9525" cy="28575"/>
                  <wp:effectExtent l="0" t="0" r="0" b="0"/>
                  <wp:wrapNone/>
                  <wp:docPr id="741" name="Picture_44_SpCnt_67"/>
                  <wp:cNvGraphicFramePr/>
                  <a:graphic xmlns:a="http://schemas.openxmlformats.org/drawingml/2006/main">
                    <a:graphicData uri="http://schemas.openxmlformats.org/drawingml/2006/picture">
                      <pic:pic xmlns:pic="http://schemas.openxmlformats.org/drawingml/2006/picture">
                        <pic:nvPicPr>
                          <pic:cNvPr id="741" name="Picture_44_SpCnt_6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9525" cy="28575"/>
                  <wp:effectExtent l="0" t="0" r="0" b="0"/>
                  <wp:wrapNone/>
                  <wp:docPr id="742" name="Picture_23_SpCnt_61"/>
                  <wp:cNvGraphicFramePr/>
                  <a:graphic xmlns:a="http://schemas.openxmlformats.org/drawingml/2006/main">
                    <a:graphicData uri="http://schemas.openxmlformats.org/drawingml/2006/picture">
                      <pic:pic xmlns:pic="http://schemas.openxmlformats.org/drawingml/2006/picture">
                        <pic:nvPicPr>
                          <pic:cNvPr id="742" name="Picture_23_SpCnt_6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9525" cy="28575"/>
                  <wp:effectExtent l="0" t="0" r="0" b="0"/>
                  <wp:wrapNone/>
                  <wp:docPr id="743" name="Picture_22_SpCnt_62"/>
                  <wp:cNvGraphicFramePr/>
                  <a:graphic xmlns:a="http://schemas.openxmlformats.org/drawingml/2006/main">
                    <a:graphicData uri="http://schemas.openxmlformats.org/drawingml/2006/picture">
                      <pic:pic xmlns:pic="http://schemas.openxmlformats.org/drawingml/2006/picture">
                        <pic:nvPicPr>
                          <pic:cNvPr id="743" name="Picture_22_SpCnt_6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9525" cy="28575"/>
                  <wp:effectExtent l="0" t="0" r="0" b="0"/>
                  <wp:wrapNone/>
                  <wp:docPr id="744" name="Picture_45_SpCnt_62"/>
                  <wp:cNvGraphicFramePr/>
                  <a:graphic xmlns:a="http://schemas.openxmlformats.org/drawingml/2006/main">
                    <a:graphicData uri="http://schemas.openxmlformats.org/drawingml/2006/picture">
                      <pic:pic xmlns:pic="http://schemas.openxmlformats.org/drawingml/2006/picture">
                        <pic:nvPicPr>
                          <pic:cNvPr id="744" name="Picture_45_SpCnt_6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9525" cy="28575"/>
                  <wp:effectExtent l="0" t="0" r="0" b="0"/>
                  <wp:wrapNone/>
                  <wp:docPr id="745" name="Picture_44_SpCnt_68"/>
                  <wp:cNvGraphicFramePr/>
                  <a:graphic xmlns:a="http://schemas.openxmlformats.org/drawingml/2006/main">
                    <a:graphicData uri="http://schemas.openxmlformats.org/drawingml/2006/picture">
                      <pic:pic xmlns:pic="http://schemas.openxmlformats.org/drawingml/2006/picture">
                        <pic:nvPicPr>
                          <pic:cNvPr id="745" name="Picture_44_SpCnt_6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9525" cy="28575"/>
                  <wp:effectExtent l="0" t="0" r="0" b="0"/>
                  <wp:wrapNone/>
                  <wp:docPr id="746" name="Picture_23_SpCnt_62"/>
                  <wp:cNvGraphicFramePr/>
                  <a:graphic xmlns:a="http://schemas.openxmlformats.org/drawingml/2006/main">
                    <a:graphicData uri="http://schemas.openxmlformats.org/drawingml/2006/picture">
                      <pic:pic xmlns:pic="http://schemas.openxmlformats.org/drawingml/2006/picture">
                        <pic:nvPicPr>
                          <pic:cNvPr id="746" name="Picture_23_SpCnt_6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9525" cy="28575"/>
                  <wp:effectExtent l="0" t="0" r="0" b="0"/>
                  <wp:wrapNone/>
                  <wp:docPr id="747" name="Picture_22_SpCnt_63"/>
                  <wp:cNvGraphicFramePr/>
                  <a:graphic xmlns:a="http://schemas.openxmlformats.org/drawingml/2006/main">
                    <a:graphicData uri="http://schemas.openxmlformats.org/drawingml/2006/picture">
                      <pic:pic xmlns:pic="http://schemas.openxmlformats.org/drawingml/2006/picture">
                        <pic:nvPicPr>
                          <pic:cNvPr id="747" name="Picture_22_SpCnt_6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9525" cy="28575"/>
                  <wp:effectExtent l="0" t="0" r="0" b="0"/>
                  <wp:wrapNone/>
                  <wp:docPr id="748" name="Picture_45_SpCnt_63"/>
                  <wp:cNvGraphicFramePr/>
                  <a:graphic xmlns:a="http://schemas.openxmlformats.org/drawingml/2006/main">
                    <a:graphicData uri="http://schemas.openxmlformats.org/drawingml/2006/picture">
                      <pic:pic xmlns:pic="http://schemas.openxmlformats.org/drawingml/2006/picture">
                        <pic:nvPicPr>
                          <pic:cNvPr id="748" name="Picture_45_SpCnt_6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9525" cy="28575"/>
                  <wp:effectExtent l="0" t="0" r="0" b="0"/>
                  <wp:wrapNone/>
                  <wp:docPr id="749" name="Picture_44_SpCnt_69"/>
                  <wp:cNvGraphicFramePr/>
                  <a:graphic xmlns:a="http://schemas.openxmlformats.org/drawingml/2006/main">
                    <a:graphicData uri="http://schemas.openxmlformats.org/drawingml/2006/picture">
                      <pic:pic xmlns:pic="http://schemas.openxmlformats.org/drawingml/2006/picture">
                        <pic:nvPicPr>
                          <pic:cNvPr id="749" name="Picture_44_SpCnt_6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9525" cy="28575"/>
                  <wp:effectExtent l="0" t="0" r="0" b="0"/>
                  <wp:wrapNone/>
                  <wp:docPr id="750" name="Picture_23_SpCnt_63"/>
                  <wp:cNvGraphicFramePr/>
                  <a:graphic xmlns:a="http://schemas.openxmlformats.org/drawingml/2006/main">
                    <a:graphicData uri="http://schemas.openxmlformats.org/drawingml/2006/picture">
                      <pic:pic xmlns:pic="http://schemas.openxmlformats.org/drawingml/2006/picture">
                        <pic:nvPicPr>
                          <pic:cNvPr id="750" name="Picture_23_SpCnt_6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9525" cy="28575"/>
                  <wp:effectExtent l="0" t="0" r="0" b="0"/>
                  <wp:wrapNone/>
                  <wp:docPr id="751" name="Picture_22_SpCnt_64"/>
                  <wp:cNvGraphicFramePr/>
                  <a:graphic xmlns:a="http://schemas.openxmlformats.org/drawingml/2006/main">
                    <a:graphicData uri="http://schemas.openxmlformats.org/drawingml/2006/picture">
                      <pic:pic xmlns:pic="http://schemas.openxmlformats.org/drawingml/2006/picture">
                        <pic:nvPicPr>
                          <pic:cNvPr id="751" name="Picture_22_SpCnt_6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9525" cy="28575"/>
                  <wp:effectExtent l="0" t="0" r="0" b="0"/>
                  <wp:wrapNone/>
                  <wp:docPr id="752" name="Picture_45_SpCnt_64"/>
                  <wp:cNvGraphicFramePr/>
                  <a:graphic xmlns:a="http://schemas.openxmlformats.org/drawingml/2006/main">
                    <a:graphicData uri="http://schemas.openxmlformats.org/drawingml/2006/picture">
                      <pic:pic xmlns:pic="http://schemas.openxmlformats.org/drawingml/2006/picture">
                        <pic:nvPicPr>
                          <pic:cNvPr id="752" name="Picture_45_SpCnt_6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9525" cy="28575"/>
                  <wp:effectExtent l="0" t="0" r="0" b="0"/>
                  <wp:wrapNone/>
                  <wp:docPr id="753" name="Picture_44_SpCnt_70"/>
                  <wp:cNvGraphicFramePr/>
                  <a:graphic xmlns:a="http://schemas.openxmlformats.org/drawingml/2006/main">
                    <a:graphicData uri="http://schemas.openxmlformats.org/drawingml/2006/picture">
                      <pic:pic xmlns:pic="http://schemas.openxmlformats.org/drawingml/2006/picture">
                        <pic:nvPicPr>
                          <pic:cNvPr id="753" name="Picture_44_SpCnt_7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9525" cy="28575"/>
                  <wp:effectExtent l="0" t="0" r="0" b="0"/>
                  <wp:wrapNone/>
                  <wp:docPr id="754" name="Picture_23_SpCnt_64"/>
                  <wp:cNvGraphicFramePr/>
                  <a:graphic xmlns:a="http://schemas.openxmlformats.org/drawingml/2006/main">
                    <a:graphicData uri="http://schemas.openxmlformats.org/drawingml/2006/picture">
                      <pic:pic xmlns:pic="http://schemas.openxmlformats.org/drawingml/2006/picture">
                        <pic:nvPicPr>
                          <pic:cNvPr id="754" name="Picture_23_SpCnt_6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9525" cy="28575"/>
                  <wp:effectExtent l="0" t="0" r="0" b="0"/>
                  <wp:wrapNone/>
                  <wp:docPr id="755" name="Picture_22_SpCnt_65"/>
                  <wp:cNvGraphicFramePr/>
                  <a:graphic xmlns:a="http://schemas.openxmlformats.org/drawingml/2006/main">
                    <a:graphicData uri="http://schemas.openxmlformats.org/drawingml/2006/picture">
                      <pic:pic xmlns:pic="http://schemas.openxmlformats.org/drawingml/2006/picture">
                        <pic:nvPicPr>
                          <pic:cNvPr id="755" name="Picture_22_SpCnt_6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9525" cy="28575"/>
                  <wp:effectExtent l="0" t="0" r="0" b="0"/>
                  <wp:wrapNone/>
                  <wp:docPr id="756" name="Picture_45_SpCnt_65"/>
                  <wp:cNvGraphicFramePr/>
                  <a:graphic xmlns:a="http://schemas.openxmlformats.org/drawingml/2006/main">
                    <a:graphicData uri="http://schemas.openxmlformats.org/drawingml/2006/picture">
                      <pic:pic xmlns:pic="http://schemas.openxmlformats.org/drawingml/2006/picture">
                        <pic:nvPicPr>
                          <pic:cNvPr id="756" name="Picture_45_SpCnt_6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9525" cy="28575"/>
                  <wp:effectExtent l="0" t="0" r="0" b="0"/>
                  <wp:wrapNone/>
                  <wp:docPr id="757" name="Picture_44_SpCnt_71"/>
                  <wp:cNvGraphicFramePr/>
                  <a:graphic xmlns:a="http://schemas.openxmlformats.org/drawingml/2006/main">
                    <a:graphicData uri="http://schemas.openxmlformats.org/drawingml/2006/picture">
                      <pic:pic xmlns:pic="http://schemas.openxmlformats.org/drawingml/2006/picture">
                        <pic:nvPicPr>
                          <pic:cNvPr id="757" name="Picture_44_SpCnt_7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9525" cy="28575"/>
                  <wp:effectExtent l="0" t="0" r="0" b="0"/>
                  <wp:wrapNone/>
                  <wp:docPr id="758" name="Picture_23_SpCnt_65"/>
                  <wp:cNvGraphicFramePr/>
                  <a:graphic xmlns:a="http://schemas.openxmlformats.org/drawingml/2006/main">
                    <a:graphicData uri="http://schemas.openxmlformats.org/drawingml/2006/picture">
                      <pic:pic xmlns:pic="http://schemas.openxmlformats.org/drawingml/2006/picture">
                        <pic:nvPicPr>
                          <pic:cNvPr id="758" name="Picture_23_SpCnt_6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9525" cy="28575"/>
                  <wp:effectExtent l="0" t="0" r="0" b="0"/>
                  <wp:wrapNone/>
                  <wp:docPr id="759" name="Picture_22_SpCnt_66"/>
                  <wp:cNvGraphicFramePr/>
                  <a:graphic xmlns:a="http://schemas.openxmlformats.org/drawingml/2006/main">
                    <a:graphicData uri="http://schemas.openxmlformats.org/drawingml/2006/picture">
                      <pic:pic xmlns:pic="http://schemas.openxmlformats.org/drawingml/2006/picture">
                        <pic:nvPicPr>
                          <pic:cNvPr id="759" name="Picture_22_SpCnt_6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9525" cy="28575"/>
                  <wp:effectExtent l="0" t="0" r="0" b="0"/>
                  <wp:wrapNone/>
                  <wp:docPr id="760" name="Picture_45_SpCnt_66"/>
                  <wp:cNvGraphicFramePr/>
                  <a:graphic xmlns:a="http://schemas.openxmlformats.org/drawingml/2006/main">
                    <a:graphicData uri="http://schemas.openxmlformats.org/drawingml/2006/picture">
                      <pic:pic xmlns:pic="http://schemas.openxmlformats.org/drawingml/2006/picture">
                        <pic:nvPicPr>
                          <pic:cNvPr id="760" name="Picture_45_SpCnt_6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9525" cy="28575"/>
                  <wp:effectExtent l="0" t="0" r="0" b="0"/>
                  <wp:wrapNone/>
                  <wp:docPr id="761" name="Picture_44_SpCnt_72"/>
                  <wp:cNvGraphicFramePr/>
                  <a:graphic xmlns:a="http://schemas.openxmlformats.org/drawingml/2006/main">
                    <a:graphicData uri="http://schemas.openxmlformats.org/drawingml/2006/picture">
                      <pic:pic xmlns:pic="http://schemas.openxmlformats.org/drawingml/2006/picture">
                        <pic:nvPicPr>
                          <pic:cNvPr id="761" name="Picture_44_SpCnt_7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9525" cy="28575"/>
                  <wp:effectExtent l="0" t="0" r="0" b="0"/>
                  <wp:wrapNone/>
                  <wp:docPr id="762" name="Picture_23_SpCnt_66"/>
                  <wp:cNvGraphicFramePr/>
                  <a:graphic xmlns:a="http://schemas.openxmlformats.org/drawingml/2006/main">
                    <a:graphicData uri="http://schemas.openxmlformats.org/drawingml/2006/picture">
                      <pic:pic xmlns:pic="http://schemas.openxmlformats.org/drawingml/2006/picture">
                        <pic:nvPicPr>
                          <pic:cNvPr id="762" name="Picture_23_SpCnt_6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9525" cy="28575"/>
                  <wp:effectExtent l="0" t="0" r="0" b="0"/>
                  <wp:wrapNone/>
                  <wp:docPr id="763" name="Picture_22_SpCnt_67"/>
                  <wp:cNvGraphicFramePr/>
                  <a:graphic xmlns:a="http://schemas.openxmlformats.org/drawingml/2006/main">
                    <a:graphicData uri="http://schemas.openxmlformats.org/drawingml/2006/picture">
                      <pic:pic xmlns:pic="http://schemas.openxmlformats.org/drawingml/2006/picture">
                        <pic:nvPicPr>
                          <pic:cNvPr id="763" name="Picture_22_SpCnt_6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9525" cy="28575"/>
                  <wp:effectExtent l="0" t="0" r="0" b="0"/>
                  <wp:wrapNone/>
                  <wp:docPr id="764" name="Picture_45_SpCnt_67"/>
                  <wp:cNvGraphicFramePr/>
                  <a:graphic xmlns:a="http://schemas.openxmlformats.org/drawingml/2006/main">
                    <a:graphicData uri="http://schemas.openxmlformats.org/drawingml/2006/picture">
                      <pic:pic xmlns:pic="http://schemas.openxmlformats.org/drawingml/2006/picture">
                        <pic:nvPicPr>
                          <pic:cNvPr id="764" name="Picture_45_SpCnt_6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9525" cy="28575"/>
                  <wp:effectExtent l="0" t="0" r="0" b="0"/>
                  <wp:wrapNone/>
                  <wp:docPr id="765" name="Picture_44_SpCnt_73"/>
                  <wp:cNvGraphicFramePr/>
                  <a:graphic xmlns:a="http://schemas.openxmlformats.org/drawingml/2006/main">
                    <a:graphicData uri="http://schemas.openxmlformats.org/drawingml/2006/picture">
                      <pic:pic xmlns:pic="http://schemas.openxmlformats.org/drawingml/2006/picture">
                        <pic:nvPicPr>
                          <pic:cNvPr id="765" name="Picture_44_SpCnt_7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9525" cy="28575"/>
                  <wp:effectExtent l="0" t="0" r="0" b="0"/>
                  <wp:wrapNone/>
                  <wp:docPr id="766" name="Picture_23_SpCnt_67"/>
                  <wp:cNvGraphicFramePr/>
                  <a:graphic xmlns:a="http://schemas.openxmlformats.org/drawingml/2006/main">
                    <a:graphicData uri="http://schemas.openxmlformats.org/drawingml/2006/picture">
                      <pic:pic xmlns:pic="http://schemas.openxmlformats.org/drawingml/2006/picture">
                        <pic:nvPicPr>
                          <pic:cNvPr id="766" name="Picture_23_SpCnt_6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9525" cy="28575"/>
                  <wp:effectExtent l="0" t="0" r="0" b="0"/>
                  <wp:wrapNone/>
                  <wp:docPr id="767" name="Picture_22_SpCnt_68"/>
                  <wp:cNvGraphicFramePr/>
                  <a:graphic xmlns:a="http://schemas.openxmlformats.org/drawingml/2006/main">
                    <a:graphicData uri="http://schemas.openxmlformats.org/drawingml/2006/picture">
                      <pic:pic xmlns:pic="http://schemas.openxmlformats.org/drawingml/2006/picture">
                        <pic:nvPicPr>
                          <pic:cNvPr id="767" name="Picture_22_SpCnt_6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9525" cy="28575"/>
                  <wp:effectExtent l="0" t="0" r="0" b="0"/>
                  <wp:wrapNone/>
                  <wp:docPr id="768" name="Picture_45_SpCnt_68"/>
                  <wp:cNvGraphicFramePr/>
                  <a:graphic xmlns:a="http://schemas.openxmlformats.org/drawingml/2006/main">
                    <a:graphicData uri="http://schemas.openxmlformats.org/drawingml/2006/picture">
                      <pic:pic xmlns:pic="http://schemas.openxmlformats.org/drawingml/2006/picture">
                        <pic:nvPicPr>
                          <pic:cNvPr id="768" name="Picture_45_SpCnt_6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9525" cy="28575"/>
                  <wp:effectExtent l="0" t="0" r="0" b="0"/>
                  <wp:wrapNone/>
                  <wp:docPr id="769" name="Picture_44_SpCnt_74"/>
                  <wp:cNvGraphicFramePr/>
                  <a:graphic xmlns:a="http://schemas.openxmlformats.org/drawingml/2006/main">
                    <a:graphicData uri="http://schemas.openxmlformats.org/drawingml/2006/picture">
                      <pic:pic xmlns:pic="http://schemas.openxmlformats.org/drawingml/2006/picture">
                        <pic:nvPicPr>
                          <pic:cNvPr id="769" name="Picture_44_SpCnt_7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9525" cy="28575"/>
                  <wp:effectExtent l="0" t="0" r="0" b="0"/>
                  <wp:wrapNone/>
                  <wp:docPr id="770" name="Picture_23_SpCnt_68"/>
                  <wp:cNvGraphicFramePr/>
                  <a:graphic xmlns:a="http://schemas.openxmlformats.org/drawingml/2006/main">
                    <a:graphicData uri="http://schemas.openxmlformats.org/drawingml/2006/picture">
                      <pic:pic xmlns:pic="http://schemas.openxmlformats.org/drawingml/2006/picture">
                        <pic:nvPicPr>
                          <pic:cNvPr id="770" name="Picture_23_SpCnt_6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9525" cy="28575"/>
                  <wp:effectExtent l="0" t="0" r="0" b="0"/>
                  <wp:wrapNone/>
                  <wp:docPr id="771" name="Picture_22_SpCnt_69"/>
                  <wp:cNvGraphicFramePr/>
                  <a:graphic xmlns:a="http://schemas.openxmlformats.org/drawingml/2006/main">
                    <a:graphicData uri="http://schemas.openxmlformats.org/drawingml/2006/picture">
                      <pic:pic xmlns:pic="http://schemas.openxmlformats.org/drawingml/2006/picture">
                        <pic:nvPicPr>
                          <pic:cNvPr id="771" name="Picture_22_SpCnt_6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9525" cy="28575"/>
                  <wp:effectExtent l="0" t="0" r="0" b="0"/>
                  <wp:wrapNone/>
                  <wp:docPr id="772" name="Picture_45_SpCnt_69"/>
                  <wp:cNvGraphicFramePr/>
                  <a:graphic xmlns:a="http://schemas.openxmlformats.org/drawingml/2006/main">
                    <a:graphicData uri="http://schemas.openxmlformats.org/drawingml/2006/picture">
                      <pic:pic xmlns:pic="http://schemas.openxmlformats.org/drawingml/2006/picture">
                        <pic:nvPicPr>
                          <pic:cNvPr id="772" name="Picture_45_SpCnt_6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9525" cy="28575"/>
                  <wp:effectExtent l="0" t="0" r="0" b="0"/>
                  <wp:wrapNone/>
                  <wp:docPr id="773" name="Picture_44_SpCnt_75"/>
                  <wp:cNvGraphicFramePr/>
                  <a:graphic xmlns:a="http://schemas.openxmlformats.org/drawingml/2006/main">
                    <a:graphicData uri="http://schemas.openxmlformats.org/drawingml/2006/picture">
                      <pic:pic xmlns:pic="http://schemas.openxmlformats.org/drawingml/2006/picture">
                        <pic:nvPicPr>
                          <pic:cNvPr id="773" name="Picture_44_SpCnt_7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9525" cy="28575"/>
                  <wp:effectExtent l="0" t="0" r="0" b="0"/>
                  <wp:wrapNone/>
                  <wp:docPr id="774" name="Picture_23_SpCnt_69"/>
                  <wp:cNvGraphicFramePr/>
                  <a:graphic xmlns:a="http://schemas.openxmlformats.org/drawingml/2006/main">
                    <a:graphicData uri="http://schemas.openxmlformats.org/drawingml/2006/picture">
                      <pic:pic xmlns:pic="http://schemas.openxmlformats.org/drawingml/2006/picture">
                        <pic:nvPicPr>
                          <pic:cNvPr id="774" name="Picture_23_SpCnt_6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9525" cy="28575"/>
                  <wp:effectExtent l="0" t="0" r="0" b="0"/>
                  <wp:wrapNone/>
                  <wp:docPr id="775" name="Picture_22_SpCnt_70"/>
                  <wp:cNvGraphicFramePr/>
                  <a:graphic xmlns:a="http://schemas.openxmlformats.org/drawingml/2006/main">
                    <a:graphicData uri="http://schemas.openxmlformats.org/drawingml/2006/picture">
                      <pic:pic xmlns:pic="http://schemas.openxmlformats.org/drawingml/2006/picture">
                        <pic:nvPicPr>
                          <pic:cNvPr id="775" name="Picture_22_SpCnt_7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9525" cy="28575"/>
                  <wp:effectExtent l="0" t="0" r="0" b="0"/>
                  <wp:wrapNone/>
                  <wp:docPr id="776" name="Picture_45_SpCnt_70"/>
                  <wp:cNvGraphicFramePr/>
                  <a:graphic xmlns:a="http://schemas.openxmlformats.org/drawingml/2006/main">
                    <a:graphicData uri="http://schemas.openxmlformats.org/drawingml/2006/picture">
                      <pic:pic xmlns:pic="http://schemas.openxmlformats.org/drawingml/2006/picture">
                        <pic:nvPicPr>
                          <pic:cNvPr id="776" name="Picture_45_SpCnt_7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9525" cy="28575"/>
                  <wp:effectExtent l="0" t="0" r="0" b="0"/>
                  <wp:wrapNone/>
                  <wp:docPr id="777" name="Picture_44_SpCnt_76"/>
                  <wp:cNvGraphicFramePr/>
                  <a:graphic xmlns:a="http://schemas.openxmlformats.org/drawingml/2006/main">
                    <a:graphicData uri="http://schemas.openxmlformats.org/drawingml/2006/picture">
                      <pic:pic xmlns:pic="http://schemas.openxmlformats.org/drawingml/2006/picture">
                        <pic:nvPicPr>
                          <pic:cNvPr id="777" name="Picture_44_SpCnt_7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9525" cy="28575"/>
                  <wp:effectExtent l="0" t="0" r="0" b="0"/>
                  <wp:wrapNone/>
                  <wp:docPr id="778" name="Picture_23_SpCnt_70"/>
                  <wp:cNvGraphicFramePr/>
                  <a:graphic xmlns:a="http://schemas.openxmlformats.org/drawingml/2006/main">
                    <a:graphicData uri="http://schemas.openxmlformats.org/drawingml/2006/picture">
                      <pic:pic xmlns:pic="http://schemas.openxmlformats.org/drawingml/2006/picture">
                        <pic:nvPicPr>
                          <pic:cNvPr id="778" name="Picture_23_SpCnt_7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9525" cy="28575"/>
                  <wp:effectExtent l="0" t="0" r="0" b="0"/>
                  <wp:wrapNone/>
                  <wp:docPr id="779" name="Picture_22_SpCnt_71"/>
                  <wp:cNvGraphicFramePr/>
                  <a:graphic xmlns:a="http://schemas.openxmlformats.org/drawingml/2006/main">
                    <a:graphicData uri="http://schemas.openxmlformats.org/drawingml/2006/picture">
                      <pic:pic xmlns:pic="http://schemas.openxmlformats.org/drawingml/2006/picture">
                        <pic:nvPicPr>
                          <pic:cNvPr id="779" name="Picture_22_SpCnt_7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9525" cy="28575"/>
                  <wp:effectExtent l="0" t="0" r="0" b="0"/>
                  <wp:wrapNone/>
                  <wp:docPr id="780" name="Picture_45_SpCnt_71"/>
                  <wp:cNvGraphicFramePr/>
                  <a:graphic xmlns:a="http://schemas.openxmlformats.org/drawingml/2006/main">
                    <a:graphicData uri="http://schemas.openxmlformats.org/drawingml/2006/picture">
                      <pic:pic xmlns:pic="http://schemas.openxmlformats.org/drawingml/2006/picture">
                        <pic:nvPicPr>
                          <pic:cNvPr id="780" name="Picture_45_SpCnt_7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9525" cy="28575"/>
                  <wp:effectExtent l="0" t="0" r="0" b="0"/>
                  <wp:wrapNone/>
                  <wp:docPr id="781" name="Picture_44_SpCnt_77"/>
                  <wp:cNvGraphicFramePr/>
                  <a:graphic xmlns:a="http://schemas.openxmlformats.org/drawingml/2006/main">
                    <a:graphicData uri="http://schemas.openxmlformats.org/drawingml/2006/picture">
                      <pic:pic xmlns:pic="http://schemas.openxmlformats.org/drawingml/2006/picture">
                        <pic:nvPicPr>
                          <pic:cNvPr id="781" name="Picture_44_SpCnt_7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9525" cy="28575"/>
                  <wp:effectExtent l="0" t="0" r="0" b="0"/>
                  <wp:wrapNone/>
                  <wp:docPr id="782" name="Picture_23_SpCnt_71"/>
                  <wp:cNvGraphicFramePr/>
                  <a:graphic xmlns:a="http://schemas.openxmlformats.org/drawingml/2006/main">
                    <a:graphicData uri="http://schemas.openxmlformats.org/drawingml/2006/picture">
                      <pic:pic xmlns:pic="http://schemas.openxmlformats.org/drawingml/2006/picture">
                        <pic:nvPicPr>
                          <pic:cNvPr id="782" name="Picture_23_SpCnt_7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9525" cy="28575"/>
                  <wp:effectExtent l="0" t="0" r="0" b="0"/>
                  <wp:wrapNone/>
                  <wp:docPr id="783" name="Picture_22_SpCnt_72"/>
                  <wp:cNvGraphicFramePr/>
                  <a:graphic xmlns:a="http://schemas.openxmlformats.org/drawingml/2006/main">
                    <a:graphicData uri="http://schemas.openxmlformats.org/drawingml/2006/picture">
                      <pic:pic xmlns:pic="http://schemas.openxmlformats.org/drawingml/2006/picture">
                        <pic:nvPicPr>
                          <pic:cNvPr id="783" name="Picture_22_SpCnt_7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9525" cy="28575"/>
                  <wp:effectExtent l="0" t="0" r="0" b="0"/>
                  <wp:wrapNone/>
                  <wp:docPr id="784" name="Picture_45_SpCnt_72"/>
                  <wp:cNvGraphicFramePr/>
                  <a:graphic xmlns:a="http://schemas.openxmlformats.org/drawingml/2006/main">
                    <a:graphicData uri="http://schemas.openxmlformats.org/drawingml/2006/picture">
                      <pic:pic xmlns:pic="http://schemas.openxmlformats.org/drawingml/2006/picture">
                        <pic:nvPicPr>
                          <pic:cNvPr id="784" name="Picture_45_SpCnt_7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9525" cy="28575"/>
                  <wp:effectExtent l="0" t="0" r="0" b="0"/>
                  <wp:wrapNone/>
                  <wp:docPr id="785" name="Picture_44_SpCnt_78"/>
                  <wp:cNvGraphicFramePr/>
                  <a:graphic xmlns:a="http://schemas.openxmlformats.org/drawingml/2006/main">
                    <a:graphicData uri="http://schemas.openxmlformats.org/drawingml/2006/picture">
                      <pic:pic xmlns:pic="http://schemas.openxmlformats.org/drawingml/2006/picture">
                        <pic:nvPicPr>
                          <pic:cNvPr id="785" name="Picture_44_SpCnt_7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9525" cy="28575"/>
                  <wp:effectExtent l="0" t="0" r="0" b="0"/>
                  <wp:wrapNone/>
                  <wp:docPr id="786" name="Picture_23_SpCnt_72"/>
                  <wp:cNvGraphicFramePr/>
                  <a:graphic xmlns:a="http://schemas.openxmlformats.org/drawingml/2006/main">
                    <a:graphicData uri="http://schemas.openxmlformats.org/drawingml/2006/picture">
                      <pic:pic xmlns:pic="http://schemas.openxmlformats.org/drawingml/2006/picture">
                        <pic:nvPicPr>
                          <pic:cNvPr id="786" name="Picture_23_SpCnt_7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9525" cy="28575"/>
                  <wp:effectExtent l="0" t="0" r="0" b="0"/>
                  <wp:wrapNone/>
                  <wp:docPr id="787" name="Picture_22_SpCnt_73"/>
                  <wp:cNvGraphicFramePr/>
                  <a:graphic xmlns:a="http://schemas.openxmlformats.org/drawingml/2006/main">
                    <a:graphicData uri="http://schemas.openxmlformats.org/drawingml/2006/picture">
                      <pic:pic xmlns:pic="http://schemas.openxmlformats.org/drawingml/2006/picture">
                        <pic:nvPicPr>
                          <pic:cNvPr id="787" name="Picture_22_SpCnt_7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9525" cy="28575"/>
                  <wp:effectExtent l="0" t="0" r="0" b="0"/>
                  <wp:wrapNone/>
                  <wp:docPr id="788" name="Picture_45_SpCnt_73"/>
                  <wp:cNvGraphicFramePr/>
                  <a:graphic xmlns:a="http://schemas.openxmlformats.org/drawingml/2006/main">
                    <a:graphicData uri="http://schemas.openxmlformats.org/drawingml/2006/picture">
                      <pic:pic xmlns:pic="http://schemas.openxmlformats.org/drawingml/2006/picture">
                        <pic:nvPicPr>
                          <pic:cNvPr id="788" name="Picture_45_SpCnt_7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9525" cy="28575"/>
                  <wp:effectExtent l="0" t="0" r="0" b="0"/>
                  <wp:wrapNone/>
                  <wp:docPr id="789" name="Picture_44_SpCnt_79"/>
                  <wp:cNvGraphicFramePr/>
                  <a:graphic xmlns:a="http://schemas.openxmlformats.org/drawingml/2006/main">
                    <a:graphicData uri="http://schemas.openxmlformats.org/drawingml/2006/picture">
                      <pic:pic xmlns:pic="http://schemas.openxmlformats.org/drawingml/2006/picture">
                        <pic:nvPicPr>
                          <pic:cNvPr id="789" name="Picture_44_SpCnt_7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9525" cy="28575"/>
                  <wp:effectExtent l="0" t="0" r="0" b="0"/>
                  <wp:wrapNone/>
                  <wp:docPr id="790" name="Picture_23_SpCnt_73"/>
                  <wp:cNvGraphicFramePr/>
                  <a:graphic xmlns:a="http://schemas.openxmlformats.org/drawingml/2006/main">
                    <a:graphicData uri="http://schemas.openxmlformats.org/drawingml/2006/picture">
                      <pic:pic xmlns:pic="http://schemas.openxmlformats.org/drawingml/2006/picture">
                        <pic:nvPicPr>
                          <pic:cNvPr id="790" name="Picture_23_SpCnt_7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9525" cy="28575"/>
                  <wp:effectExtent l="0" t="0" r="0" b="0"/>
                  <wp:wrapNone/>
                  <wp:docPr id="791" name="Picture_22_SpCnt_74"/>
                  <wp:cNvGraphicFramePr/>
                  <a:graphic xmlns:a="http://schemas.openxmlformats.org/drawingml/2006/main">
                    <a:graphicData uri="http://schemas.openxmlformats.org/drawingml/2006/picture">
                      <pic:pic xmlns:pic="http://schemas.openxmlformats.org/drawingml/2006/picture">
                        <pic:nvPicPr>
                          <pic:cNvPr id="791" name="Picture_22_SpCnt_7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9525" cy="28575"/>
                  <wp:effectExtent l="0" t="0" r="0" b="0"/>
                  <wp:wrapNone/>
                  <wp:docPr id="792" name="Picture_45_SpCnt_74"/>
                  <wp:cNvGraphicFramePr/>
                  <a:graphic xmlns:a="http://schemas.openxmlformats.org/drawingml/2006/main">
                    <a:graphicData uri="http://schemas.openxmlformats.org/drawingml/2006/picture">
                      <pic:pic xmlns:pic="http://schemas.openxmlformats.org/drawingml/2006/picture">
                        <pic:nvPicPr>
                          <pic:cNvPr id="792" name="Picture_45_SpCnt_7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9525" cy="28575"/>
                  <wp:effectExtent l="0" t="0" r="0" b="0"/>
                  <wp:wrapNone/>
                  <wp:docPr id="793" name="Picture_44_SpCnt_80"/>
                  <wp:cNvGraphicFramePr/>
                  <a:graphic xmlns:a="http://schemas.openxmlformats.org/drawingml/2006/main">
                    <a:graphicData uri="http://schemas.openxmlformats.org/drawingml/2006/picture">
                      <pic:pic xmlns:pic="http://schemas.openxmlformats.org/drawingml/2006/picture">
                        <pic:nvPicPr>
                          <pic:cNvPr id="793" name="Picture_44_SpCnt_8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9525" cy="28575"/>
                  <wp:effectExtent l="0" t="0" r="0" b="0"/>
                  <wp:wrapNone/>
                  <wp:docPr id="794" name="Picture_23_SpCnt_74"/>
                  <wp:cNvGraphicFramePr/>
                  <a:graphic xmlns:a="http://schemas.openxmlformats.org/drawingml/2006/main">
                    <a:graphicData uri="http://schemas.openxmlformats.org/drawingml/2006/picture">
                      <pic:pic xmlns:pic="http://schemas.openxmlformats.org/drawingml/2006/picture">
                        <pic:nvPicPr>
                          <pic:cNvPr id="794" name="Picture_23_SpCnt_7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9525" cy="28575"/>
                  <wp:effectExtent l="0" t="0" r="0" b="0"/>
                  <wp:wrapNone/>
                  <wp:docPr id="795" name="Picture_22_SpCnt_75"/>
                  <wp:cNvGraphicFramePr/>
                  <a:graphic xmlns:a="http://schemas.openxmlformats.org/drawingml/2006/main">
                    <a:graphicData uri="http://schemas.openxmlformats.org/drawingml/2006/picture">
                      <pic:pic xmlns:pic="http://schemas.openxmlformats.org/drawingml/2006/picture">
                        <pic:nvPicPr>
                          <pic:cNvPr id="795" name="Picture_22_SpCnt_7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9525" cy="28575"/>
                  <wp:effectExtent l="0" t="0" r="0" b="0"/>
                  <wp:wrapNone/>
                  <wp:docPr id="796" name="Picture_45_SpCnt_75"/>
                  <wp:cNvGraphicFramePr/>
                  <a:graphic xmlns:a="http://schemas.openxmlformats.org/drawingml/2006/main">
                    <a:graphicData uri="http://schemas.openxmlformats.org/drawingml/2006/picture">
                      <pic:pic xmlns:pic="http://schemas.openxmlformats.org/drawingml/2006/picture">
                        <pic:nvPicPr>
                          <pic:cNvPr id="796" name="Picture_45_SpCnt_7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9525" cy="28575"/>
                  <wp:effectExtent l="0" t="0" r="0" b="0"/>
                  <wp:wrapNone/>
                  <wp:docPr id="797" name="Picture_44_SpCnt_81"/>
                  <wp:cNvGraphicFramePr/>
                  <a:graphic xmlns:a="http://schemas.openxmlformats.org/drawingml/2006/main">
                    <a:graphicData uri="http://schemas.openxmlformats.org/drawingml/2006/picture">
                      <pic:pic xmlns:pic="http://schemas.openxmlformats.org/drawingml/2006/picture">
                        <pic:nvPicPr>
                          <pic:cNvPr id="797" name="Picture_44_SpCnt_8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9525" cy="28575"/>
                  <wp:effectExtent l="0" t="0" r="0" b="0"/>
                  <wp:wrapNone/>
                  <wp:docPr id="798" name="Picture_23_SpCnt_75"/>
                  <wp:cNvGraphicFramePr/>
                  <a:graphic xmlns:a="http://schemas.openxmlformats.org/drawingml/2006/main">
                    <a:graphicData uri="http://schemas.openxmlformats.org/drawingml/2006/picture">
                      <pic:pic xmlns:pic="http://schemas.openxmlformats.org/drawingml/2006/picture">
                        <pic:nvPicPr>
                          <pic:cNvPr id="798" name="Picture_23_SpCnt_7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9525" cy="28575"/>
                  <wp:effectExtent l="0" t="0" r="0" b="0"/>
                  <wp:wrapNone/>
                  <wp:docPr id="799" name="Picture_22_SpCnt_76"/>
                  <wp:cNvGraphicFramePr/>
                  <a:graphic xmlns:a="http://schemas.openxmlformats.org/drawingml/2006/main">
                    <a:graphicData uri="http://schemas.openxmlformats.org/drawingml/2006/picture">
                      <pic:pic xmlns:pic="http://schemas.openxmlformats.org/drawingml/2006/picture">
                        <pic:nvPicPr>
                          <pic:cNvPr id="799" name="Picture_22_SpCnt_7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9525" cy="28575"/>
                  <wp:effectExtent l="0" t="0" r="0" b="0"/>
                  <wp:wrapNone/>
                  <wp:docPr id="800" name="Picture_45_SpCnt_76"/>
                  <wp:cNvGraphicFramePr/>
                  <a:graphic xmlns:a="http://schemas.openxmlformats.org/drawingml/2006/main">
                    <a:graphicData uri="http://schemas.openxmlformats.org/drawingml/2006/picture">
                      <pic:pic xmlns:pic="http://schemas.openxmlformats.org/drawingml/2006/picture">
                        <pic:nvPicPr>
                          <pic:cNvPr id="800" name="Picture_45_SpCnt_7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9525" cy="28575"/>
                  <wp:effectExtent l="0" t="0" r="0" b="0"/>
                  <wp:wrapNone/>
                  <wp:docPr id="801" name="Picture_44_SpCnt_82"/>
                  <wp:cNvGraphicFramePr/>
                  <a:graphic xmlns:a="http://schemas.openxmlformats.org/drawingml/2006/main">
                    <a:graphicData uri="http://schemas.openxmlformats.org/drawingml/2006/picture">
                      <pic:pic xmlns:pic="http://schemas.openxmlformats.org/drawingml/2006/picture">
                        <pic:nvPicPr>
                          <pic:cNvPr id="801" name="Picture_44_SpCnt_8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9525" cy="28575"/>
                  <wp:effectExtent l="0" t="0" r="0" b="0"/>
                  <wp:wrapNone/>
                  <wp:docPr id="802" name="Picture_23_SpCnt_76"/>
                  <wp:cNvGraphicFramePr/>
                  <a:graphic xmlns:a="http://schemas.openxmlformats.org/drawingml/2006/main">
                    <a:graphicData uri="http://schemas.openxmlformats.org/drawingml/2006/picture">
                      <pic:pic xmlns:pic="http://schemas.openxmlformats.org/drawingml/2006/picture">
                        <pic:nvPicPr>
                          <pic:cNvPr id="802" name="Picture_23_SpCnt_7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9525" cy="28575"/>
                  <wp:effectExtent l="0" t="0" r="0" b="0"/>
                  <wp:wrapNone/>
                  <wp:docPr id="803" name="Picture_22_SpCnt_77"/>
                  <wp:cNvGraphicFramePr/>
                  <a:graphic xmlns:a="http://schemas.openxmlformats.org/drawingml/2006/main">
                    <a:graphicData uri="http://schemas.openxmlformats.org/drawingml/2006/picture">
                      <pic:pic xmlns:pic="http://schemas.openxmlformats.org/drawingml/2006/picture">
                        <pic:nvPicPr>
                          <pic:cNvPr id="803" name="Picture_22_SpCnt_7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9525" cy="28575"/>
                  <wp:effectExtent l="0" t="0" r="0" b="0"/>
                  <wp:wrapNone/>
                  <wp:docPr id="804" name="Picture_45_SpCnt_77"/>
                  <wp:cNvGraphicFramePr/>
                  <a:graphic xmlns:a="http://schemas.openxmlformats.org/drawingml/2006/main">
                    <a:graphicData uri="http://schemas.openxmlformats.org/drawingml/2006/picture">
                      <pic:pic xmlns:pic="http://schemas.openxmlformats.org/drawingml/2006/picture">
                        <pic:nvPicPr>
                          <pic:cNvPr id="804" name="Picture_45_SpCnt_7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9525" cy="28575"/>
                  <wp:effectExtent l="0" t="0" r="0" b="0"/>
                  <wp:wrapNone/>
                  <wp:docPr id="805" name="Picture_44_SpCnt_83"/>
                  <wp:cNvGraphicFramePr/>
                  <a:graphic xmlns:a="http://schemas.openxmlformats.org/drawingml/2006/main">
                    <a:graphicData uri="http://schemas.openxmlformats.org/drawingml/2006/picture">
                      <pic:pic xmlns:pic="http://schemas.openxmlformats.org/drawingml/2006/picture">
                        <pic:nvPicPr>
                          <pic:cNvPr id="805" name="Picture_44_SpCnt_8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9525" cy="28575"/>
                  <wp:effectExtent l="0" t="0" r="0" b="0"/>
                  <wp:wrapNone/>
                  <wp:docPr id="806" name="Picture_23_SpCnt_77"/>
                  <wp:cNvGraphicFramePr/>
                  <a:graphic xmlns:a="http://schemas.openxmlformats.org/drawingml/2006/main">
                    <a:graphicData uri="http://schemas.openxmlformats.org/drawingml/2006/picture">
                      <pic:pic xmlns:pic="http://schemas.openxmlformats.org/drawingml/2006/picture">
                        <pic:nvPicPr>
                          <pic:cNvPr id="806" name="Picture_23_SpCnt_7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9525" cy="28575"/>
                  <wp:effectExtent l="0" t="0" r="0" b="0"/>
                  <wp:wrapNone/>
                  <wp:docPr id="807" name="Picture_22_SpCnt_78"/>
                  <wp:cNvGraphicFramePr/>
                  <a:graphic xmlns:a="http://schemas.openxmlformats.org/drawingml/2006/main">
                    <a:graphicData uri="http://schemas.openxmlformats.org/drawingml/2006/picture">
                      <pic:pic xmlns:pic="http://schemas.openxmlformats.org/drawingml/2006/picture">
                        <pic:nvPicPr>
                          <pic:cNvPr id="807" name="Picture_22_SpCnt_7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9525" cy="28575"/>
                  <wp:effectExtent l="0" t="0" r="0" b="0"/>
                  <wp:wrapNone/>
                  <wp:docPr id="808" name="Picture_45_SpCnt_78"/>
                  <wp:cNvGraphicFramePr/>
                  <a:graphic xmlns:a="http://schemas.openxmlformats.org/drawingml/2006/main">
                    <a:graphicData uri="http://schemas.openxmlformats.org/drawingml/2006/picture">
                      <pic:pic xmlns:pic="http://schemas.openxmlformats.org/drawingml/2006/picture">
                        <pic:nvPicPr>
                          <pic:cNvPr id="808" name="Picture_45_SpCnt_7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9525" cy="28575"/>
                  <wp:effectExtent l="0" t="0" r="0" b="0"/>
                  <wp:wrapNone/>
                  <wp:docPr id="809" name="Picture_44_SpCnt_84"/>
                  <wp:cNvGraphicFramePr/>
                  <a:graphic xmlns:a="http://schemas.openxmlformats.org/drawingml/2006/main">
                    <a:graphicData uri="http://schemas.openxmlformats.org/drawingml/2006/picture">
                      <pic:pic xmlns:pic="http://schemas.openxmlformats.org/drawingml/2006/picture">
                        <pic:nvPicPr>
                          <pic:cNvPr id="809" name="Picture_44_SpCnt_8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9525" cy="28575"/>
                  <wp:effectExtent l="0" t="0" r="0" b="0"/>
                  <wp:wrapNone/>
                  <wp:docPr id="810" name="Picture_23_SpCnt_78"/>
                  <wp:cNvGraphicFramePr/>
                  <a:graphic xmlns:a="http://schemas.openxmlformats.org/drawingml/2006/main">
                    <a:graphicData uri="http://schemas.openxmlformats.org/drawingml/2006/picture">
                      <pic:pic xmlns:pic="http://schemas.openxmlformats.org/drawingml/2006/picture">
                        <pic:nvPicPr>
                          <pic:cNvPr id="810" name="Picture_23_SpCnt_7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9525" cy="28575"/>
                  <wp:effectExtent l="0" t="0" r="0" b="0"/>
                  <wp:wrapNone/>
                  <wp:docPr id="811" name="Picture_22_SpCnt_79"/>
                  <wp:cNvGraphicFramePr/>
                  <a:graphic xmlns:a="http://schemas.openxmlformats.org/drawingml/2006/main">
                    <a:graphicData uri="http://schemas.openxmlformats.org/drawingml/2006/picture">
                      <pic:pic xmlns:pic="http://schemas.openxmlformats.org/drawingml/2006/picture">
                        <pic:nvPicPr>
                          <pic:cNvPr id="811" name="Picture_22_SpCnt_7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9525" cy="28575"/>
                  <wp:effectExtent l="0" t="0" r="0" b="0"/>
                  <wp:wrapNone/>
                  <wp:docPr id="812" name="Picture_45_SpCnt_79"/>
                  <wp:cNvGraphicFramePr/>
                  <a:graphic xmlns:a="http://schemas.openxmlformats.org/drawingml/2006/main">
                    <a:graphicData uri="http://schemas.openxmlformats.org/drawingml/2006/picture">
                      <pic:pic xmlns:pic="http://schemas.openxmlformats.org/drawingml/2006/picture">
                        <pic:nvPicPr>
                          <pic:cNvPr id="812" name="Picture_45_SpCnt_7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9525" cy="28575"/>
                  <wp:effectExtent l="0" t="0" r="0" b="0"/>
                  <wp:wrapNone/>
                  <wp:docPr id="813" name="Picture_44_SpCnt_85"/>
                  <wp:cNvGraphicFramePr/>
                  <a:graphic xmlns:a="http://schemas.openxmlformats.org/drawingml/2006/main">
                    <a:graphicData uri="http://schemas.openxmlformats.org/drawingml/2006/picture">
                      <pic:pic xmlns:pic="http://schemas.openxmlformats.org/drawingml/2006/picture">
                        <pic:nvPicPr>
                          <pic:cNvPr id="813" name="Picture_44_SpCnt_8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9525" cy="28575"/>
                  <wp:effectExtent l="0" t="0" r="0" b="0"/>
                  <wp:wrapNone/>
                  <wp:docPr id="814" name="Picture_23_SpCnt_79"/>
                  <wp:cNvGraphicFramePr/>
                  <a:graphic xmlns:a="http://schemas.openxmlformats.org/drawingml/2006/main">
                    <a:graphicData uri="http://schemas.openxmlformats.org/drawingml/2006/picture">
                      <pic:pic xmlns:pic="http://schemas.openxmlformats.org/drawingml/2006/picture">
                        <pic:nvPicPr>
                          <pic:cNvPr id="814" name="Picture_23_SpCnt_7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9525" cy="28575"/>
                  <wp:effectExtent l="0" t="0" r="0" b="0"/>
                  <wp:wrapNone/>
                  <wp:docPr id="815" name="Picture_22_SpCnt_80"/>
                  <wp:cNvGraphicFramePr/>
                  <a:graphic xmlns:a="http://schemas.openxmlformats.org/drawingml/2006/main">
                    <a:graphicData uri="http://schemas.openxmlformats.org/drawingml/2006/picture">
                      <pic:pic xmlns:pic="http://schemas.openxmlformats.org/drawingml/2006/picture">
                        <pic:nvPicPr>
                          <pic:cNvPr id="815" name="Picture_22_SpCnt_8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9525" cy="28575"/>
                  <wp:effectExtent l="0" t="0" r="0" b="0"/>
                  <wp:wrapNone/>
                  <wp:docPr id="816" name="Picture_45_SpCnt_80"/>
                  <wp:cNvGraphicFramePr/>
                  <a:graphic xmlns:a="http://schemas.openxmlformats.org/drawingml/2006/main">
                    <a:graphicData uri="http://schemas.openxmlformats.org/drawingml/2006/picture">
                      <pic:pic xmlns:pic="http://schemas.openxmlformats.org/drawingml/2006/picture">
                        <pic:nvPicPr>
                          <pic:cNvPr id="816" name="Picture_45_SpCnt_8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9525" cy="28575"/>
                  <wp:effectExtent l="0" t="0" r="0" b="0"/>
                  <wp:wrapNone/>
                  <wp:docPr id="817" name="Picture_44_SpCnt_86"/>
                  <wp:cNvGraphicFramePr/>
                  <a:graphic xmlns:a="http://schemas.openxmlformats.org/drawingml/2006/main">
                    <a:graphicData uri="http://schemas.openxmlformats.org/drawingml/2006/picture">
                      <pic:pic xmlns:pic="http://schemas.openxmlformats.org/drawingml/2006/picture">
                        <pic:nvPicPr>
                          <pic:cNvPr id="817" name="Picture_44_SpCnt_8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9525" cy="28575"/>
                  <wp:effectExtent l="0" t="0" r="0" b="0"/>
                  <wp:wrapNone/>
                  <wp:docPr id="818" name="Picture_23_SpCnt_80"/>
                  <wp:cNvGraphicFramePr/>
                  <a:graphic xmlns:a="http://schemas.openxmlformats.org/drawingml/2006/main">
                    <a:graphicData uri="http://schemas.openxmlformats.org/drawingml/2006/picture">
                      <pic:pic xmlns:pic="http://schemas.openxmlformats.org/drawingml/2006/picture">
                        <pic:nvPicPr>
                          <pic:cNvPr id="818" name="Picture_23_SpCnt_8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9525" cy="28575"/>
                  <wp:effectExtent l="0" t="0" r="0" b="0"/>
                  <wp:wrapNone/>
                  <wp:docPr id="819" name="Picture_22_SpCnt_81"/>
                  <wp:cNvGraphicFramePr/>
                  <a:graphic xmlns:a="http://schemas.openxmlformats.org/drawingml/2006/main">
                    <a:graphicData uri="http://schemas.openxmlformats.org/drawingml/2006/picture">
                      <pic:pic xmlns:pic="http://schemas.openxmlformats.org/drawingml/2006/picture">
                        <pic:nvPicPr>
                          <pic:cNvPr id="819" name="Picture_22_SpCnt_8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9525" cy="28575"/>
                  <wp:effectExtent l="0" t="0" r="0" b="0"/>
                  <wp:wrapNone/>
                  <wp:docPr id="820" name="Picture_45_SpCnt_81"/>
                  <wp:cNvGraphicFramePr/>
                  <a:graphic xmlns:a="http://schemas.openxmlformats.org/drawingml/2006/main">
                    <a:graphicData uri="http://schemas.openxmlformats.org/drawingml/2006/picture">
                      <pic:pic xmlns:pic="http://schemas.openxmlformats.org/drawingml/2006/picture">
                        <pic:nvPicPr>
                          <pic:cNvPr id="820" name="Picture_45_SpCnt_8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9525" cy="28575"/>
                  <wp:effectExtent l="0" t="0" r="0" b="0"/>
                  <wp:wrapNone/>
                  <wp:docPr id="821" name="Picture_44_SpCnt_87"/>
                  <wp:cNvGraphicFramePr/>
                  <a:graphic xmlns:a="http://schemas.openxmlformats.org/drawingml/2006/main">
                    <a:graphicData uri="http://schemas.openxmlformats.org/drawingml/2006/picture">
                      <pic:pic xmlns:pic="http://schemas.openxmlformats.org/drawingml/2006/picture">
                        <pic:nvPicPr>
                          <pic:cNvPr id="821" name="Picture_44_SpCnt_8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9525" cy="28575"/>
                  <wp:effectExtent l="0" t="0" r="0" b="0"/>
                  <wp:wrapNone/>
                  <wp:docPr id="822" name="Picture_23_SpCnt_81"/>
                  <wp:cNvGraphicFramePr/>
                  <a:graphic xmlns:a="http://schemas.openxmlformats.org/drawingml/2006/main">
                    <a:graphicData uri="http://schemas.openxmlformats.org/drawingml/2006/picture">
                      <pic:pic xmlns:pic="http://schemas.openxmlformats.org/drawingml/2006/picture">
                        <pic:nvPicPr>
                          <pic:cNvPr id="822" name="Picture_23_SpCnt_8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9525" cy="28575"/>
                  <wp:effectExtent l="0" t="0" r="0" b="0"/>
                  <wp:wrapNone/>
                  <wp:docPr id="823" name="Picture_22_SpCnt_82"/>
                  <wp:cNvGraphicFramePr/>
                  <a:graphic xmlns:a="http://schemas.openxmlformats.org/drawingml/2006/main">
                    <a:graphicData uri="http://schemas.openxmlformats.org/drawingml/2006/picture">
                      <pic:pic xmlns:pic="http://schemas.openxmlformats.org/drawingml/2006/picture">
                        <pic:nvPicPr>
                          <pic:cNvPr id="823" name="Picture_22_SpCnt_8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9525" cy="28575"/>
                  <wp:effectExtent l="0" t="0" r="0" b="0"/>
                  <wp:wrapNone/>
                  <wp:docPr id="824" name="Picture_45_SpCnt_82"/>
                  <wp:cNvGraphicFramePr/>
                  <a:graphic xmlns:a="http://schemas.openxmlformats.org/drawingml/2006/main">
                    <a:graphicData uri="http://schemas.openxmlformats.org/drawingml/2006/picture">
                      <pic:pic xmlns:pic="http://schemas.openxmlformats.org/drawingml/2006/picture">
                        <pic:nvPicPr>
                          <pic:cNvPr id="824" name="Picture_45_SpCnt_8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9525" cy="28575"/>
                  <wp:effectExtent l="0" t="0" r="0" b="0"/>
                  <wp:wrapNone/>
                  <wp:docPr id="825" name="Picture_44_SpCnt_88"/>
                  <wp:cNvGraphicFramePr/>
                  <a:graphic xmlns:a="http://schemas.openxmlformats.org/drawingml/2006/main">
                    <a:graphicData uri="http://schemas.openxmlformats.org/drawingml/2006/picture">
                      <pic:pic xmlns:pic="http://schemas.openxmlformats.org/drawingml/2006/picture">
                        <pic:nvPicPr>
                          <pic:cNvPr id="825" name="Picture_44_SpCnt_8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9525" cy="28575"/>
                  <wp:effectExtent l="0" t="0" r="0" b="0"/>
                  <wp:wrapNone/>
                  <wp:docPr id="826" name="Picture_23_SpCnt_82"/>
                  <wp:cNvGraphicFramePr/>
                  <a:graphic xmlns:a="http://schemas.openxmlformats.org/drawingml/2006/main">
                    <a:graphicData uri="http://schemas.openxmlformats.org/drawingml/2006/picture">
                      <pic:pic xmlns:pic="http://schemas.openxmlformats.org/drawingml/2006/picture">
                        <pic:nvPicPr>
                          <pic:cNvPr id="826" name="Picture_23_SpCnt_8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9525" cy="28575"/>
                  <wp:effectExtent l="0" t="0" r="0" b="0"/>
                  <wp:wrapNone/>
                  <wp:docPr id="827" name="Picture_22_SpCnt_83"/>
                  <wp:cNvGraphicFramePr/>
                  <a:graphic xmlns:a="http://schemas.openxmlformats.org/drawingml/2006/main">
                    <a:graphicData uri="http://schemas.openxmlformats.org/drawingml/2006/picture">
                      <pic:pic xmlns:pic="http://schemas.openxmlformats.org/drawingml/2006/picture">
                        <pic:nvPicPr>
                          <pic:cNvPr id="827" name="Picture_22_SpCnt_8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9525" cy="28575"/>
                  <wp:effectExtent l="0" t="0" r="0" b="0"/>
                  <wp:wrapNone/>
                  <wp:docPr id="828" name="Picture_45_SpCnt_83"/>
                  <wp:cNvGraphicFramePr/>
                  <a:graphic xmlns:a="http://schemas.openxmlformats.org/drawingml/2006/main">
                    <a:graphicData uri="http://schemas.openxmlformats.org/drawingml/2006/picture">
                      <pic:pic xmlns:pic="http://schemas.openxmlformats.org/drawingml/2006/picture">
                        <pic:nvPicPr>
                          <pic:cNvPr id="828" name="Picture_45_SpCnt_8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9525" cy="28575"/>
                  <wp:effectExtent l="0" t="0" r="0" b="0"/>
                  <wp:wrapNone/>
                  <wp:docPr id="829" name="Picture_44_SpCnt_89"/>
                  <wp:cNvGraphicFramePr/>
                  <a:graphic xmlns:a="http://schemas.openxmlformats.org/drawingml/2006/main">
                    <a:graphicData uri="http://schemas.openxmlformats.org/drawingml/2006/picture">
                      <pic:pic xmlns:pic="http://schemas.openxmlformats.org/drawingml/2006/picture">
                        <pic:nvPicPr>
                          <pic:cNvPr id="829" name="Picture_44_SpCnt_8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9525" cy="28575"/>
                  <wp:effectExtent l="0" t="0" r="0" b="0"/>
                  <wp:wrapNone/>
                  <wp:docPr id="830" name="Picture_23_SpCnt_83"/>
                  <wp:cNvGraphicFramePr/>
                  <a:graphic xmlns:a="http://schemas.openxmlformats.org/drawingml/2006/main">
                    <a:graphicData uri="http://schemas.openxmlformats.org/drawingml/2006/picture">
                      <pic:pic xmlns:pic="http://schemas.openxmlformats.org/drawingml/2006/picture">
                        <pic:nvPicPr>
                          <pic:cNvPr id="830" name="Picture_23_SpCnt_8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9525" cy="28575"/>
                  <wp:effectExtent l="0" t="0" r="0" b="0"/>
                  <wp:wrapNone/>
                  <wp:docPr id="831" name="Picture_22_SpCnt_84"/>
                  <wp:cNvGraphicFramePr/>
                  <a:graphic xmlns:a="http://schemas.openxmlformats.org/drawingml/2006/main">
                    <a:graphicData uri="http://schemas.openxmlformats.org/drawingml/2006/picture">
                      <pic:pic xmlns:pic="http://schemas.openxmlformats.org/drawingml/2006/picture">
                        <pic:nvPicPr>
                          <pic:cNvPr id="831" name="Picture_22_SpCnt_8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9525" cy="28575"/>
                  <wp:effectExtent l="0" t="0" r="0" b="0"/>
                  <wp:wrapNone/>
                  <wp:docPr id="832" name="Picture_45_SpCnt_84"/>
                  <wp:cNvGraphicFramePr/>
                  <a:graphic xmlns:a="http://schemas.openxmlformats.org/drawingml/2006/main">
                    <a:graphicData uri="http://schemas.openxmlformats.org/drawingml/2006/picture">
                      <pic:pic xmlns:pic="http://schemas.openxmlformats.org/drawingml/2006/picture">
                        <pic:nvPicPr>
                          <pic:cNvPr id="832" name="Picture_45_SpCnt_8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9525" cy="28575"/>
                  <wp:effectExtent l="0" t="0" r="0" b="0"/>
                  <wp:wrapNone/>
                  <wp:docPr id="833" name="Picture_44_SpCnt_90"/>
                  <wp:cNvGraphicFramePr/>
                  <a:graphic xmlns:a="http://schemas.openxmlformats.org/drawingml/2006/main">
                    <a:graphicData uri="http://schemas.openxmlformats.org/drawingml/2006/picture">
                      <pic:pic xmlns:pic="http://schemas.openxmlformats.org/drawingml/2006/picture">
                        <pic:nvPicPr>
                          <pic:cNvPr id="833" name="Picture_44_SpCnt_9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9525" cy="28575"/>
                  <wp:effectExtent l="0" t="0" r="0" b="0"/>
                  <wp:wrapNone/>
                  <wp:docPr id="834" name="Picture_23_SpCnt_84"/>
                  <wp:cNvGraphicFramePr/>
                  <a:graphic xmlns:a="http://schemas.openxmlformats.org/drawingml/2006/main">
                    <a:graphicData uri="http://schemas.openxmlformats.org/drawingml/2006/picture">
                      <pic:pic xmlns:pic="http://schemas.openxmlformats.org/drawingml/2006/picture">
                        <pic:nvPicPr>
                          <pic:cNvPr id="834" name="Picture_23_SpCnt_8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9525" cy="28575"/>
                  <wp:effectExtent l="0" t="0" r="0" b="0"/>
                  <wp:wrapNone/>
                  <wp:docPr id="835" name="Picture_22_SpCnt_85"/>
                  <wp:cNvGraphicFramePr/>
                  <a:graphic xmlns:a="http://schemas.openxmlformats.org/drawingml/2006/main">
                    <a:graphicData uri="http://schemas.openxmlformats.org/drawingml/2006/picture">
                      <pic:pic xmlns:pic="http://schemas.openxmlformats.org/drawingml/2006/picture">
                        <pic:nvPicPr>
                          <pic:cNvPr id="835" name="Picture_22_SpCnt_8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9525" cy="28575"/>
                  <wp:effectExtent l="0" t="0" r="0" b="0"/>
                  <wp:wrapNone/>
                  <wp:docPr id="836" name="Picture_45_SpCnt_85"/>
                  <wp:cNvGraphicFramePr/>
                  <a:graphic xmlns:a="http://schemas.openxmlformats.org/drawingml/2006/main">
                    <a:graphicData uri="http://schemas.openxmlformats.org/drawingml/2006/picture">
                      <pic:pic xmlns:pic="http://schemas.openxmlformats.org/drawingml/2006/picture">
                        <pic:nvPicPr>
                          <pic:cNvPr id="836" name="Picture_45_SpCnt_8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9525" cy="28575"/>
                  <wp:effectExtent l="0" t="0" r="0" b="0"/>
                  <wp:wrapNone/>
                  <wp:docPr id="837" name="Picture_44_SpCnt_91"/>
                  <wp:cNvGraphicFramePr/>
                  <a:graphic xmlns:a="http://schemas.openxmlformats.org/drawingml/2006/main">
                    <a:graphicData uri="http://schemas.openxmlformats.org/drawingml/2006/picture">
                      <pic:pic xmlns:pic="http://schemas.openxmlformats.org/drawingml/2006/picture">
                        <pic:nvPicPr>
                          <pic:cNvPr id="837" name="Picture_44_SpCnt_9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9525" cy="28575"/>
                  <wp:effectExtent l="0" t="0" r="0" b="0"/>
                  <wp:wrapNone/>
                  <wp:docPr id="838" name="Picture_23_SpCnt_85"/>
                  <wp:cNvGraphicFramePr/>
                  <a:graphic xmlns:a="http://schemas.openxmlformats.org/drawingml/2006/main">
                    <a:graphicData uri="http://schemas.openxmlformats.org/drawingml/2006/picture">
                      <pic:pic xmlns:pic="http://schemas.openxmlformats.org/drawingml/2006/picture">
                        <pic:nvPicPr>
                          <pic:cNvPr id="838" name="Picture_23_SpCnt_8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9525" cy="28575"/>
                  <wp:effectExtent l="0" t="0" r="0" b="0"/>
                  <wp:wrapNone/>
                  <wp:docPr id="839" name="Picture_22_SpCnt_86"/>
                  <wp:cNvGraphicFramePr/>
                  <a:graphic xmlns:a="http://schemas.openxmlformats.org/drawingml/2006/main">
                    <a:graphicData uri="http://schemas.openxmlformats.org/drawingml/2006/picture">
                      <pic:pic xmlns:pic="http://schemas.openxmlformats.org/drawingml/2006/picture">
                        <pic:nvPicPr>
                          <pic:cNvPr id="839" name="Picture_22_SpCnt_8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9525" cy="28575"/>
                  <wp:effectExtent l="0" t="0" r="0" b="0"/>
                  <wp:wrapNone/>
                  <wp:docPr id="840" name="Picture_45_SpCnt_86"/>
                  <wp:cNvGraphicFramePr/>
                  <a:graphic xmlns:a="http://schemas.openxmlformats.org/drawingml/2006/main">
                    <a:graphicData uri="http://schemas.openxmlformats.org/drawingml/2006/picture">
                      <pic:pic xmlns:pic="http://schemas.openxmlformats.org/drawingml/2006/picture">
                        <pic:nvPicPr>
                          <pic:cNvPr id="840" name="Picture_45_SpCnt_8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9525" cy="28575"/>
                  <wp:effectExtent l="0" t="0" r="0" b="0"/>
                  <wp:wrapNone/>
                  <wp:docPr id="841" name="Picture_44_SpCnt_92"/>
                  <wp:cNvGraphicFramePr/>
                  <a:graphic xmlns:a="http://schemas.openxmlformats.org/drawingml/2006/main">
                    <a:graphicData uri="http://schemas.openxmlformats.org/drawingml/2006/picture">
                      <pic:pic xmlns:pic="http://schemas.openxmlformats.org/drawingml/2006/picture">
                        <pic:nvPicPr>
                          <pic:cNvPr id="841" name="Picture_44_SpCnt_9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9525" cy="28575"/>
                  <wp:effectExtent l="0" t="0" r="0" b="0"/>
                  <wp:wrapNone/>
                  <wp:docPr id="842" name="Picture_23_SpCnt_86"/>
                  <wp:cNvGraphicFramePr/>
                  <a:graphic xmlns:a="http://schemas.openxmlformats.org/drawingml/2006/main">
                    <a:graphicData uri="http://schemas.openxmlformats.org/drawingml/2006/picture">
                      <pic:pic xmlns:pic="http://schemas.openxmlformats.org/drawingml/2006/picture">
                        <pic:nvPicPr>
                          <pic:cNvPr id="842" name="Picture_23_SpCnt_8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9525" cy="28575"/>
                  <wp:effectExtent l="0" t="0" r="0" b="0"/>
                  <wp:wrapNone/>
                  <wp:docPr id="843" name="Picture_22_SpCnt_87"/>
                  <wp:cNvGraphicFramePr/>
                  <a:graphic xmlns:a="http://schemas.openxmlformats.org/drawingml/2006/main">
                    <a:graphicData uri="http://schemas.openxmlformats.org/drawingml/2006/picture">
                      <pic:pic xmlns:pic="http://schemas.openxmlformats.org/drawingml/2006/picture">
                        <pic:nvPicPr>
                          <pic:cNvPr id="843" name="Picture_22_SpCnt_8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9525" cy="28575"/>
                  <wp:effectExtent l="0" t="0" r="0" b="0"/>
                  <wp:wrapNone/>
                  <wp:docPr id="844" name="Picture_45_SpCnt_87"/>
                  <wp:cNvGraphicFramePr/>
                  <a:graphic xmlns:a="http://schemas.openxmlformats.org/drawingml/2006/main">
                    <a:graphicData uri="http://schemas.openxmlformats.org/drawingml/2006/picture">
                      <pic:pic xmlns:pic="http://schemas.openxmlformats.org/drawingml/2006/picture">
                        <pic:nvPicPr>
                          <pic:cNvPr id="844" name="Picture_45_SpCnt_8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9525" cy="28575"/>
                  <wp:effectExtent l="0" t="0" r="0" b="0"/>
                  <wp:wrapNone/>
                  <wp:docPr id="845" name="Picture_44_SpCnt_93"/>
                  <wp:cNvGraphicFramePr/>
                  <a:graphic xmlns:a="http://schemas.openxmlformats.org/drawingml/2006/main">
                    <a:graphicData uri="http://schemas.openxmlformats.org/drawingml/2006/picture">
                      <pic:pic xmlns:pic="http://schemas.openxmlformats.org/drawingml/2006/picture">
                        <pic:nvPicPr>
                          <pic:cNvPr id="845" name="Picture_44_SpCnt_9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9525" cy="28575"/>
                  <wp:effectExtent l="0" t="0" r="0" b="0"/>
                  <wp:wrapNone/>
                  <wp:docPr id="846" name="Picture_23_SpCnt_87"/>
                  <wp:cNvGraphicFramePr/>
                  <a:graphic xmlns:a="http://schemas.openxmlformats.org/drawingml/2006/main">
                    <a:graphicData uri="http://schemas.openxmlformats.org/drawingml/2006/picture">
                      <pic:pic xmlns:pic="http://schemas.openxmlformats.org/drawingml/2006/picture">
                        <pic:nvPicPr>
                          <pic:cNvPr id="846" name="Picture_23_SpCnt_8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9525" cy="28575"/>
                  <wp:effectExtent l="0" t="0" r="0" b="0"/>
                  <wp:wrapNone/>
                  <wp:docPr id="847" name="Picture_22_SpCnt_88"/>
                  <wp:cNvGraphicFramePr/>
                  <a:graphic xmlns:a="http://schemas.openxmlformats.org/drawingml/2006/main">
                    <a:graphicData uri="http://schemas.openxmlformats.org/drawingml/2006/picture">
                      <pic:pic xmlns:pic="http://schemas.openxmlformats.org/drawingml/2006/picture">
                        <pic:nvPicPr>
                          <pic:cNvPr id="847" name="Picture_22_SpCnt_8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9525" cy="28575"/>
                  <wp:effectExtent l="0" t="0" r="0" b="0"/>
                  <wp:wrapNone/>
                  <wp:docPr id="848" name="Picture_23_SpCnt_88"/>
                  <wp:cNvGraphicFramePr/>
                  <a:graphic xmlns:a="http://schemas.openxmlformats.org/drawingml/2006/main">
                    <a:graphicData uri="http://schemas.openxmlformats.org/drawingml/2006/picture">
                      <pic:pic xmlns:pic="http://schemas.openxmlformats.org/drawingml/2006/picture">
                        <pic:nvPicPr>
                          <pic:cNvPr id="848" name="Picture_23_SpCnt_8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9525" cy="28575"/>
                  <wp:effectExtent l="0" t="0" r="0" b="0"/>
                  <wp:wrapNone/>
                  <wp:docPr id="849" name="Picture_45_SpCnt_88"/>
                  <wp:cNvGraphicFramePr/>
                  <a:graphic xmlns:a="http://schemas.openxmlformats.org/drawingml/2006/main">
                    <a:graphicData uri="http://schemas.openxmlformats.org/drawingml/2006/picture">
                      <pic:pic xmlns:pic="http://schemas.openxmlformats.org/drawingml/2006/picture">
                        <pic:nvPicPr>
                          <pic:cNvPr id="849" name="Picture_45_SpCnt_8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9525" cy="28575"/>
                  <wp:effectExtent l="0" t="0" r="0" b="0"/>
                  <wp:wrapNone/>
                  <wp:docPr id="850" name="Picture_22_SpCnt_89"/>
                  <wp:cNvGraphicFramePr/>
                  <a:graphic xmlns:a="http://schemas.openxmlformats.org/drawingml/2006/main">
                    <a:graphicData uri="http://schemas.openxmlformats.org/drawingml/2006/picture">
                      <pic:pic xmlns:pic="http://schemas.openxmlformats.org/drawingml/2006/picture">
                        <pic:nvPicPr>
                          <pic:cNvPr id="850" name="Picture_22_SpCnt_8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9525" cy="28575"/>
                  <wp:effectExtent l="0" t="0" r="0" b="0"/>
                  <wp:wrapNone/>
                  <wp:docPr id="851" name="Picture_45_SpCnt_89"/>
                  <wp:cNvGraphicFramePr/>
                  <a:graphic xmlns:a="http://schemas.openxmlformats.org/drawingml/2006/main">
                    <a:graphicData uri="http://schemas.openxmlformats.org/drawingml/2006/picture">
                      <pic:pic xmlns:pic="http://schemas.openxmlformats.org/drawingml/2006/picture">
                        <pic:nvPicPr>
                          <pic:cNvPr id="851" name="Picture_45_SpCnt_8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9525" cy="28575"/>
                  <wp:effectExtent l="0" t="0" r="0" b="0"/>
                  <wp:wrapNone/>
                  <wp:docPr id="852" name="Picture_44_SpCnt_94"/>
                  <wp:cNvGraphicFramePr/>
                  <a:graphic xmlns:a="http://schemas.openxmlformats.org/drawingml/2006/main">
                    <a:graphicData uri="http://schemas.openxmlformats.org/drawingml/2006/picture">
                      <pic:pic xmlns:pic="http://schemas.openxmlformats.org/drawingml/2006/picture">
                        <pic:nvPicPr>
                          <pic:cNvPr id="852" name="Picture_44_SpCnt_9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9525" cy="28575"/>
                  <wp:effectExtent l="0" t="0" r="0" b="0"/>
                  <wp:wrapNone/>
                  <wp:docPr id="853" name="Picture_23_SpCnt_89"/>
                  <wp:cNvGraphicFramePr/>
                  <a:graphic xmlns:a="http://schemas.openxmlformats.org/drawingml/2006/main">
                    <a:graphicData uri="http://schemas.openxmlformats.org/drawingml/2006/picture">
                      <pic:pic xmlns:pic="http://schemas.openxmlformats.org/drawingml/2006/picture">
                        <pic:nvPicPr>
                          <pic:cNvPr id="853" name="Picture_23_SpCnt_8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9525" cy="28575"/>
                  <wp:effectExtent l="0" t="0" r="0" b="0"/>
                  <wp:wrapNone/>
                  <wp:docPr id="854" name="Picture_22_SpCnt_90"/>
                  <wp:cNvGraphicFramePr/>
                  <a:graphic xmlns:a="http://schemas.openxmlformats.org/drawingml/2006/main">
                    <a:graphicData uri="http://schemas.openxmlformats.org/drawingml/2006/picture">
                      <pic:pic xmlns:pic="http://schemas.openxmlformats.org/drawingml/2006/picture">
                        <pic:nvPicPr>
                          <pic:cNvPr id="854" name="Picture_22_SpCnt_9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9525" cy="28575"/>
                  <wp:effectExtent l="0" t="0" r="0" b="0"/>
                  <wp:wrapNone/>
                  <wp:docPr id="855" name="Picture_45_SpCnt_90"/>
                  <wp:cNvGraphicFramePr/>
                  <a:graphic xmlns:a="http://schemas.openxmlformats.org/drawingml/2006/main">
                    <a:graphicData uri="http://schemas.openxmlformats.org/drawingml/2006/picture">
                      <pic:pic xmlns:pic="http://schemas.openxmlformats.org/drawingml/2006/picture">
                        <pic:nvPicPr>
                          <pic:cNvPr id="855" name="Picture_45_SpCnt_9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9525" cy="28575"/>
                  <wp:effectExtent l="0" t="0" r="0" b="0"/>
                  <wp:wrapNone/>
                  <wp:docPr id="856" name="Picture_44_SpCnt_95"/>
                  <wp:cNvGraphicFramePr/>
                  <a:graphic xmlns:a="http://schemas.openxmlformats.org/drawingml/2006/main">
                    <a:graphicData uri="http://schemas.openxmlformats.org/drawingml/2006/picture">
                      <pic:pic xmlns:pic="http://schemas.openxmlformats.org/drawingml/2006/picture">
                        <pic:nvPicPr>
                          <pic:cNvPr id="856" name="Picture_44_SpCnt_9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9525" cy="28575"/>
                  <wp:effectExtent l="0" t="0" r="0" b="0"/>
                  <wp:wrapNone/>
                  <wp:docPr id="857" name="Picture_23_SpCnt_90"/>
                  <wp:cNvGraphicFramePr/>
                  <a:graphic xmlns:a="http://schemas.openxmlformats.org/drawingml/2006/main">
                    <a:graphicData uri="http://schemas.openxmlformats.org/drawingml/2006/picture">
                      <pic:pic xmlns:pic="http://schemas.openxmlformats.org/drawingml/2006/picture">
                        <pic:nvPicPr>
                          <pic:cNvPr id="857" name="Picture_23_SpCnt_9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9525" cy="28575"/>
                  <wp:effectExtent l="0" t="0" r="0" b="0"/>
                  <wp:wrapNone/>
                  <wp:docPr id="858" name="Picture_22_SpCnt_91"/>
                  <wp:cNvGraphicFramePr/>
                  <a:graphic xmlns:a="http://schemas.openxmlformats.org/drawingml/2006/main">
                    <a:graphicData uri="http://schemas.openxmlformats.org/drawingml/2006/picture">
                      <pic:pic xmlns:pic="http://schemas.openxmlformats.org/drawingml/2006/picture">
                        <pic:nvPicPr>
                          <pic:cNvPr id="858" name="Picture_22_SpCnt_9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9525" cy="28575"/>
                  <wp:effectExtent l="0" t="0" r="0" b="0"/>
                  <wp:wrapNone/>
                  <wp:docPr id="859" name="Picture_45_SpCnt_91"/>
                  <wp:cNvGraphicFramePr/>
                  <a:graphic xmlns:a="http://schemas.openxmlformats.org/drawingml/2006/main">
                    <a:graphicData uri="http://schemas.openxmlformats.org/drawingml/2006/picture">
                      <pic:pic xmlns:pic="http://schemas.openxmlformats.org/drawingml/2006/picture">
                        <pic:nvPicPr>
                          <pic:cNvPr id="859" name="Picture_45_SpCnt_9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9525" cy="28575"/>
                  <wp:effectExtent l="0" t="0" r="0" b="0"/>
                  <wp:wrapNone/>
                  <wp:docPr id="860" name="Picture_44_SpCnt_96"/>
                  <wp:cNvGraphicFramePr/>
                  <a:graphic xmlns:a="http://schemas.openxmlformats.org/drawingml/2006/main">
                    <a:graphicData uri="http://schemas.openxmlformats.org/drawingml/2006/picture">
                      <pic:pic xmlns:pic="http://schemas.openxmlformats.org/drawingml/2006/picture">
                        <pic:nvPicPr>
                          <pic:cNvPr id="860" name="Picture_44_SpCnt_9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9525" cy="28575"/>
                  <wp:effectExtent l="0" t="0" r="0" b="0"/>
                  <wp:wrapNone/>
                  <wp:docPr id="861" name="Picture_23_SpCnt_91"/>
                  <wp:cNvGraphicFramePr/>
                  <a:graphic xmlns:a="http://schemas.openxmlformats.org/drawingml/2006/main">
                    <a:graphicData uri="http://schemas.openxmlformats.org/drawingml/2006/picture">
                      <pic:pic xmlns:pic="http://schemas.openxmlformats.org/drawingml/2006/picture">
                        <pic:nvPicPr>
                          <pic:cNvPr id="861" name="Picture_23_SpCnt_9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9525" cy="28575"/>
                  <wp:effectExtent l="0" t="0" r="0" b="0"/>
                  <wp:wrapNone/>
                  <wp:docPr id="862" name="Picture_22_SpCnt_92"/>
                  <wp:cNvGraphicFramePr/>
                  <a:graphic xmlns:a="http://schemas.openxmlformats.org/drawingml/2006/main">
                    <a:graphicData uri="http://schemas.openxmlformats.org/drawingml/2006/picture">
                      <pic:pic xmlns:pic="http://schemas.openxmlformats.org/drawingml/2006/picture">
                        <pic:nvPicPr>
                          <pic:cNvPr id="862" name="Picture_22_SpCnt_9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9525" cy="28575"/>
                  <wp:effectExtent l="0" t="0" r="0" b="0"/>
                  <wp:wrapNone/>
                  <wp:docPr id="863" name="Picture_45_SpCnt_92"/>
                  <wp:cNvGraphicFramePr/>
                  <a:graphic xmlns:a="http://schemas.openxmlformats.org/drawingml/2006/main">
                    <a:graphicData uri="http://schemas.openxmlformats.org/drawingml/2006/picture">
                      <pic:pic xmlns:pic="http://schemas.openxmlformats.org/drawingml/2006/picture">
                        <pic:nvPicPr>
                          <pic:cNvPr id="863" name="Picture_45_SpCnt_9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9525" cy="28575"/>
                  <wp:effectExtent l="0" t="0" r="0" b="0"/>
                  <wp:wrapNone/>
                  <wp:docPr id="864" name="Picture_44_SpCnt_97"/>
                  <wp:cNvGraphicFramePr/>
                  <a:graphic xmlns:a="http://schemas.openxmlformats.org/drawingml/2006/main">
                    <a:graphicData uri="http://schemas.openxmlformats.org/drawingml/2006/picture">
                      <pic:pic xmlns:pic="http://schemas.openxmlformats.org/drawingml/2006/picture">
                        <pic:nvPicPr>
                          <pic:cNvPr id="864" name="Picture_44_SpCnt_9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9525" cy="28575"/>
                  <wp:effectExtent l="0" t="0" r="0" b="0"/>
                  <wp:wrapNone/>
                  <wp:docPr id="865" name="Picture_23_SpCnt_92"/>
                  <wp:cNvGraphicFramePr/>
                  <a:graphic xmlns:a="http://schemas.openxmlformats.org/drawingml/2006/main">
                    <a:graphicData uri="http://schemas.openxmlformats.org/drawingml/2006/picture">
                      <pic:pic xmlns:pic="http://schemas.openxmlformats.org/drawingml/2006/picture">
                        <pic:nvPicPr>
                          <pic:cNvPr id="865" name="Picture_23_SpCnt_9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9525" cy="28575"/>
                  <wp:effectExtent l="0" t="0" r="0" b="0"/>
                  <wp:wrapNone/>
                  <wp:docPr id="866" name="Picture_22_SpCnt_93"/>
                  <wp:cNvGraphicFramePr/>
                  <a:graphic xmlns:a="http://schemas.openxmlformats.org/drawingml/2006/main">
                    <a:graphicData uri="http://schemas.openxmlformats.org/drawingml/2006/picture">
                      <pic:pic xmlns:pic="http://schemas.openxmlformats.org/drawingml/2006/picture">
                        <pic:nvPicPr>
                          <pic:cNvPr id="866" name="Picture_22_SpCnt_9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9525" cy="28575"/>
                  <wp:effectExtent l="0" t="0" r="0" b="0"/>
                  <wp:wrapNone/>
                  <wp:docPr id="867" name="Picture_45_SpCnt_93"/>
                  <wp:cNvGraphicFramePr/>
                  <a:graphic xmlns:a="http://schemas.openxmlformats.org/drawingml/2006/main">
                    <a:graphicData uri="http://schemas.openxmlformats.org/drawingml/2006/picture">
                      <pic:pic xmlns:pic="http://schemas.openxmlformats.org/drawingml/2006/picture">
                        <pic:nvPicPr>
                          <pic:cNvPr id="867" name="Picture_45_SpCnt_9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9525" cy="28575"/>
                  <wp:effectExtent l="0" t="0" r="0" b="0"/>
                  <wp:wrapNone/>
                  <wp:docPr id="868" name="Picture_44_SpCnt_98"/>
                  <wp:cNvGraphicFramePr/>
                  <a:graphic xmlns:a="http://schemas.openxmlformats.org/drawingml/2006/main">
                    <a:graphicData uri="http://schemas.openxmlformats.org/drawingml/2006/picture">
                      <pic:pic xmlns:pic="http://schemas.openxmlformats.org/drawingml/2006/picture">
                        <pic:nvPicPr>
                          <pic:cNvPr id="868" name="Picture_44_SpCnt_9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9525" cy="28575"/>
                  <wp:effectExtent l="0" t="0" r="0" b="0"/>
                  <wp:wrapNone/>
                  <wp:docPr id="869" name="Picture_23_SpCnt_93"/>
                  <wp:cNvGraphicFramePr/>
                  <a:graphic xmlns:a="http://schemas.openxmlformats.org/drawingml/2006/main">
                    <a:graphicData uri="http://schemas.openxmlformats.org/drawingml/2006/picture">
                      <pic:pic xmlns:pic="http://schemas.openxmlformats.org/drawingml/2006/picture">
                        <pic:nvPicPr>
                          <pic:cNvPr id="869" name="Picture_23_SpCnt_9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9525" cy="28575"/>
                  <wp:effectExtent l="0" t="0" r="0" b="0"/>
                  <wp:wrapNone/>
                  <wp:docPr id="870" name="Picture_22_SpCnt_94"/>
                  <wp:cNvGraphicFramePr/>
                  <a:graphic xmlns:a="http://schemas.openxmlformats.org/drawingml/2006/main">
                    <a:graphicData uri="http://schemas.openxmlformats.org/drawingml/2006/picture">
                      <pic:pic xmlns:pic="http://schemas.openxmlformats.org/drawingml/2006/picture">
                        <pic:nvPicPr>
                          <pic:cNvPr id="870" name="Picture_22_SpCnt_9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9525" cy="28575"/>
                  <wp:effectExtent l="0" t="0" r="0" b="0"/>
                  <wp:wrapNone/>
                  <wp:docPr id="871" name="Picture_45_SpCnt_94"/>
                  <wp:cNvGraphicFramePr/>
                  <a:graphic xmlns:a="http://schemas.openxmlformats.org/drawingml/2006/main">
                    <a:graphicData uri="http://schemas.openxmlformats.org/drawingml/2006/picture">
                      <pic:pic xmlns:pic="http://schemas.openxmlformats.org/drawingml/2006/picture">
                        <pic:nvPicPr>
                          <pic:cNvPr id="871" name="Picture_45_SpCnt_9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9525" cy="28575"/>
                  <wp:effectExtent l="0" t="0" r="0" b="0"/>
                  <wp:wrapNone/>
                  <wp:docPr id="872" name="Picture_44_SpCnt_99"/>
                  <wp:cNvGraphicFramePr/>
                  <a:graphic xmlns:a="http://schemas.openxmlformats.org/drawingml/2006/main">
                    <a:graphicData uri="http://schemas.openxmlformats.org/drawingml/2006/picture">
                      <pic:pic xmlns:pic="http://schemas.openxmlformats.org/drawingml/2006/picture">
                        <pic:nvPicPr>
                          <pic:cNvPr id="872" name="Picture_44_SpCnt_9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9525" cy="28575"/>
                  <wp:effectExtent l="0" t="0" r="0" b="0"/>
                  <wp:wrapNone/>
                  <wp:docPr id="873" name="Picture_23_SpCnt_94"/>
                  <wp:cNvGraphicFramePr/>
                  <a:graphic xmlns:a="http://schemas.openxmlformats.org/drawingml/2006/main">
                    <a:graphicData uri="http://schemas.openxmlformats.org/drawingml/2006/picture">
                      <pic:pic xmlns:pic="http://schemas.openxmlformats.org/drawingml/2006/picture">
                        <pic:nvPicPr>
                          <pic:cNvPr id="873" name="Picture_23_SpCnt_9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9525" cy="28575"/>
                  <wp:effectExtent l="0" t="0" r="0" b="0"/>
                  <wp:wrapNone/>
                  <wp:docPr id="874" name="Picture_22_SpCnt_95"/>
                  <wp:cNvGraphicFramePr/>
                  <a:graphic xmlns:a="http://schemas.openxmlformats.org/drawingml/2006/main">
                    <a:graphicData uri="http://schemas.openxmlformats.org/drawingml/2006/picture">
                      <pic:pic xmlns:pic="http://schemas.openxmlformats.org/drawingml/2006/picture">
                        <pic:nvPicPr>
                          <pic:cNvPr id="874" name="Picture_22_SpCnt_9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9525" cy="28575"/>
                  <wp:effectExtent l="0" t="0" r="0" b="0"/>
                  <wp:wrapNone/>
                  <wp:docPr id="875" name="Picture_45_SpCnt_95"/>
                  <wp:cNvGraphicFramePr/>
                  <a:graphic xmlns:a="http://schemas.openxmlformats.org/drawingml/2006/main">
                    <a:graphicData uri="http://schemas.openxmlformats.org/drawingml/2006/picture">
                      <pic:pic xmlns:pic="http://schemas.openxmlformats.org/drawingml/2006/picture">
                        <pic:nvPicPr>
                          <pic:cNvPr id="875" name="Picture_45_SpCnt_9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9525" cy="28575"/>
                  <wp:effectExtent l="0" t="0" r="0" b="0"/>
                  <wp:wrapNone/>
                  <wp:docPr id="876" name="Picture_44_SpCnt_100"/>
                  <wp:cNvGraphicFramePr/>
                  <a:graphic xmlns:a="http://schemas.openxmlformats.org/drawingml/2006/main">
                    <a:graphicData uri="http://schemas.openxmlformats.org/drawingml/2006/picture">
                      <pic:pic xmlns:pic="http://schemas.openxmlformats.org/drawingml/2006/picture">
                        <pic:nvPicPr>
                          <pic:cNvPr id="876" name="Picture_44_SpCnt_10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9525" cy="28575"/>
                  <wp:effectExtent l="0" t="0" r="0" b="0"/>
                  <wp:wrapNone/>
                  <wp:docPr id="877" name="Picture_23_SpCnt_95"/>
                  <wp:cNvGraphicFramePr/>
                  <a:graphic xmlns:a="http://schemas.openxmlformats.org/drawingml/2006/main">
                    <a:graphicData uri="http://schemas.openxmlformats.org/drawingml/2006/picture">
                      <pic:pic xmlns:pic="http://schemas.openxmlformats.org/drawingml/2006/picture">
                        <pic:nvPicPr>
                          <pic:cNvPr id="877" name="Picture_23_SpCnt_9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9525" cy="28575"/>
                  <wp:effectExtent l="0" t="0" r="0" b="0"/>
                  <wp:wrapNone/>
                  <wp:docPr id="878" name="Picture_22_SpCnt_96"/>
                  <wp:cNvGraphicFramePr/>
                  <a:graphic xmlns:a="http://schemas.openxmlformats.org/drawingml/2006/main">
                    <a:graphicData uri="http://schemas.openxmlformats.org/drawingml/2006/picture">
                      <pic:pic xmlns:pic="http://schemas.openxmlformats.org/drawingml/2006/picture">
                        <pic:nvPicPr>
                          <pic:cNvPr id="878" name="Picture_22_SpCnt_9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9525" cy="28575"/>
                  <wp:effectExtent l="0" t="0" r="0" b="0"/>
                  <wp:wrapNone/>
                  <wp:docPr id="879" name="Picture_45_SpCnt_96"/>
                  <wp:cNvGraphicFramePr/>
                  <a:graphic xmlns:a="http://schemas.openxmlformats.org/drawingml/2006/main">
                    <a:graphicData uri="http://schemas.openxmlformats.org/drawingml/2006/picture">
                      <pic:pic xmlns:pic="http://schemas.openxmlformats.org/drawingml/2006/picture">
                        <pic:nvPicPr>
                          <pic:cNvPr id="879" name="Picture_45_SpCnt_9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9525" cy="28575"/>
                  <wp:effectExtent l="0" t="0" r="0" b="0"/>
                  <wp:wrapNone/>
                  <wp:docPr id="880" name="Picture_44_SpCnt_101"/>
                  <wp:cNvGraphicFramePr/>
                  <a:graphic xmlns:a="http://schemas.openxmlformats.org/drawingml/2006/main">
                    <a:graphicData uri="http://schemas.openxmlformats.org/drawingml/2006/picture">
                      <pic:pic xmlns:pic="http://schemas.openxmlformats.org/drawingml/2006/picture">
                        <pic:nvPicPr>
                          <pic:cNvPr id="880" name="Picture_44_SpCnt_10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9525" cy="28575"/>
                  <wp:effectExtent l="0" t="0" r="0" b="0"/>
                  <wp:wrapNone/>
                  <wp:docPr id="881" name="Picture_23_SpCnt_96"/>
                  <wp:cNvGraphicFramePr/>
                  <a:graphic xmlns:a="http://schemas.openxmlformats.org/drawingml/2006/main">
                    <a:graphicData uri="http://schemas.openxmlformats.org/drawingml/2006/picture">
                      <pic:pic xmlns:pic="http://schemas.openxmlformats.org/drawingml/2006/picture">
                        <pic:nvPicPr>
                          <pic:cNvPr id="881" name="Picture_23_SpCnt_9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9525" cy="28575"/>
                  <wp:effectExtent l="0" t="0" r="0" b="0"/>
                  <wp:wrapNone/>
                  <wp:docPr id="882" name="Picture_22_SpCnt_97"/>
                  <wp:cNvGraphicFramePr/>
                  <a:graphic xmlns:a="http://schemas.openxmlformats.org/drawingml/2006/main">
                    <a:graphicData uri="http://schemas.openxmlformats.org/drawingml/2006/picture">
                      <pic:pic xmlns:pic="http://schemas.openxmlformats.org/drawingml/2006/picture">
                        <pic:nvPicPr>
                          <pic:cNvPr id="882" name="Picture_22_SpCnt_9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9525" cy="28575"/>
                  <wp:effectExtent l="0" t="0" r="0" b="0"/>
                  <wp:wrapNone/>
                  <wp:docPr id="883" name="Picture_45_SpCnt_97"/>
                  <wp:cNvGraphicFramePr/>
                  <a:graphic xmlns:a="http://schemas.openxmlformats.org/drawingml/2006/main">
                    <a:graphicData uri="http://schemas.openxmlformats.org/drawingml/2006/picture">
                      <pic:pic xmlns:pic="http://schemas.openxmlformats.org/drawingml/2006/picture">
                        <pic:nvPicPr>
                          <pic:cNvPr id="883" name="Picture_45_SpCnt_9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9525" cy="28575"/>
                  <wp:effectExtent l="0" t="0" r="0" b="0"/>
                  <wp:wrapNone/>
                  <wp:docPr id="884" name="Picture_44_SpCnt_102"/>
                  <wp:cNvGraphicFramePr/>
                  <a:graphic xmlns:a="http://schemas.openxmlformats.org/drawingml/2006/main">
                    <a:graphicData uri="http://schemas.openxmlformats.org/drawingml/2006/picture">
                      <pic:pic xmlns:pic="http://schemas.openxmlformats.org/drawingml/2006/picture">
                        <pic:nvPicPr>
                          <pic:cNvPr id="884" name="Picture_44_SpCnt_10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9525" cy="28575"/>
                  <wp:effectExtent l="0" t="0" r="0" b="0"/>
                  <wp:wrapNone/>
                  <wp:docPr id="885" name="Picture_23_SpCnt_97"/>
                  <wp:cNvGraphicFramePr/>
                  <a:graphic xmlns:a="http://schemas.openxmlformats.org/drawingml/2006/main">
                    <a:graphicData uri="http://schemas.openxmlformats.org/drawingml/2006/picture">
                      <pic:pic xmlns:pic="http://schemas.openxmlformats.org/drawingml/2006/picture">
                        <pic:nvPicPr>
                          <pic:cNvPr id="885" name="Picture_23_SpCnt_9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9525" cy="28575"/>
                  <wp:effectExtent l="0" t="0" r="0" b="0"/>
                  <wp:wrapNone/>
                  <wp:docPr id="886" name="Picture_22_SpCnt_98"/>
                  <wp:cNvGraphicFramePr/>
                  <a:graphic xmlns:a="http://schemas.openxmlformats.org/drawingml/2006/main">
                    <a:graphicData uri="http://schemas.openxmlformats.org/drawingml/2006/picture">
                      <pic:pic xmlns:pic="http://schemas.openxmlformats.org/drawingml/2006/picture">
                        <pic:nvPicPr>
                          <pic:cNvPr id="886" name="Picture_22_SpCnt_9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9525" cy="28575"/>
                  <wp:effectExtent l="0" t="0" r="0" b="0"/>
                  <wp:wrapNone/>
                  <wp:docPr id="887" name="Picture_45_SpCnt_98"/>
                  <wp:cNvGraphicFramePr/>
                  <a:graphic xmlns:a="http://schemas.openxmlformats.org/drawingml/2006/main">
                    <a:graphicData uri="http://schemas.openxmlformats.org/drawingml/2006/picture">
                      <pic:pic xmlns:pic="http://schemas.openxmlformats.org/drawingml/2006/picture">
                        <pic:nvPicPr>
                          <pic:cNvPr id="887" name="Picture_45_SpCnt_9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9525" cy="28575"/>
                  <wp:effectExtent l="0" t="0" r="0" b="0"/>
                  <wp:wrapNone/>
                  <wp:docPr id="888" name="Picture_44_SpCnt_103"/>
                  <wp:cNvGraphicFramePr/>
                  <a:graphic xmlns:a="http://schemas.openxmlformats.org/drawingml/2006/main">
                    <a:graphicData uri="http://schemas.openxmlformats.org/drawingml/2006/picture">
                      <pic:pic xmlns:pic="http://schemas.openxmlformats.org/drawingml/2006/picture">
                        <pic:nvPicPr>
                          <pic:cNvPr id="888" name="Picture_44_SpCnt_10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9525" cy="28575"/>
                  <wp:effectExtent l="0" t="0" r="0" b="0"/>
                  <wp:wrapNone/>
                  <wp:docPr id="889" name="Picture_23_SpCnt_98"/>
                  <wp:cNvGraphicFramePr/>
                  <a:graphic xmlns:a="http://schemas.openxmlformats.org/drawingml/2006/main">
                    <a:graphicData uri="http://schemas.openxmlformats.org/drawingml/2006/picture">
                      <pic:pic xmlns:pic="http://schemas.openxmlformats.org/drawingml/2006/picture">
                        <pic:nvPicPr>
                          <pic:cNvPr id="889" name="Picture_23_SpCnt_9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9525" cy="28575"/>
                  <wp:effectExtent l="0" t="0" r="0" b="0"/>
                  <wp:wrapNone/>
                  <wp:docPr id="890" name="Picture_22_SpCnt_99"/>
                  <wp:cNvGraphicFramePr/>
                  <a:graphic xmlns:a="http://schemas.openxmlformats.org/drawingml/2006/main">
                    <a:graphicData uri="http://schemas.openxmlformats.org/drawingml/2006/picture">
                      <pic:pic xmlns:pic="http://schemas.openxmlformats.org/drawingml/2006/picture">
                        <pic:nvPicPr>
                          <pic:cNvPr id="890" name="Picture_22_SpCnt_9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9525" cy="28575"/>
                  <wp:effectExtent l="0" t="0" r="0" b="0"/>
                  <wp:wrapNone/>
                  <wp:docPr id="891" name="Picture_45_SpCnt_99"/>
                  <wp:cNvGraphicFramePr/>
                  <a:graphic xmlns:a="http://schemas.openxmlformats.org/drawingml/2006/main">
                    <a:graphicData uri="http://schemas.openxmlformats.org/drawingml/2006/picture">
                      <pic:pic xmlns:pic="http://schemas.openxmlformats.org/drawingml/2006/picture">
                        <pic:nvPicPr>
                          <pic:cNvPr id="891" name="Picture_45_SpCnt_9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9525" cy="28575"/>
                  <wp:effectExtent l="0" t="0" r="0" b="0"/>
                  <wp:wrapNone/>
                  <wp:docPr id="892" name="Picture_44_SpCnt_104"/>
                  <wp:cNvGraphicFramePr/>
                  <a:graphic xmlns:a="http://schemas.openxmlformats.org/drawingml/2006/main">
                    <a:graphicData uri="http://schemas.openxmlformats.org/drawingml/2006/picture">
                      <pic:pic xmlns:pic="http://schemas.openxmlformats.org/drawingml/2006/picture">
                        <pic:nvPicPr>
                          <pic:cNvPr id="892" name="Picture_44_SpCnt_10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9525" cy="28575"/>
                  <wp:effectExtent l="0" t="0" r="0" b="0"/>
                  <wp:wrapNone/>
                  <wp:docPr id="893" name="Picture_23_SpCnt_99"/>
                  <wp:cNvGraphicFramePr/>
                  <a:graphic xmlns:a="http://schemas.openxmlformats.org/drawingml/2006/main">
                    <a:graphicData uri="http://schemas.openxmlformats.org/drawingml/2006/picture">
                      <pic:pic xmlns:pic="http://schemas.openxmlformats.org/drawingml/2006/picture">
                        <pic:nvPicPr>
                          <pic:cNvPr id="893" name="Picture_23_SpCnt_9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9525" cy="28575"/>
                  <wp:effectExtent l="0" t="0" r="0" b="0"/>
                  <wp:wrapNone/>
                  <wp:docPr id="894" name="Picture_22_SpCnt_100"/>
                  <wp:cNvGraphicFramePr/>
                  <a:graphic xmlns:a="http://schemas.openxmlformats.org/drawingml/2006/main">
                    <a:graphicData uri="http://schemas.openxmlformats.org/drawingml/2006/picture">
                      <pic:pic xmlns:pic="http://schemas.openxmlformats.org/drawingml/2006/picture">
                        <pic:nvPicPr>
                          <pic:cNvPr id="894" name="Picture_22_SpCnt_10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9525" cy="28575"/>
                  <wp:effectExtent l="0" t="0" r="0" b="0"/>
                  <wp:wrapNone/>
                  <wp:docPr id="895" name="Picture_45_SpCnt_100"/>
                  <wp:cNvGraphicFramePr/>
                  <a:graphic xmlns:a="http://schemas.openxmlformats.org/drawingml/2006/main">
                    <a:graphicData uri="http://schemas.openxmlformats.org/drawingml/2006/picture">
                      <pic:pic xmlns:pic="http://schemas.openxmlformats.org/drawingml/2006/picture">
                        <pic:nvPicPr>
                          <pic:cNvPr id="895" name="Picture_45_SpCnt_10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9525" cy="28575"/>
                  <wp:effectExtent l="0" t="0" r="0" b="0"/>
                  <wp:wrapNone/>
                  <wp:docPr id="896" name="Picture_44_SpCnt_105"/>
                  <wp:cNvGraphicFramePr/>
                  <a:graphic xmlns:a="http://schemas.openxmlformats.org/drawingml/2006/main">
                    <a:graphicData uri="http://schemas.openxmlformats.org/drawingml/2006/picture">
                      <pic:pic xmlns:pic="http://schemas.openxmlformats.org/drawingml/2006/picture">
                        <pic:nvPicPr>
                          <pic:cNvPr id="896" name="Picture_44_SpCnt_10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9525" cy="28575"/>
                  <wp:effectExtent l="0" t="0" r="0" b="0"/>
                  <wp:wrapNone/>
                  <wp:docPr id="897" name="Picture_23_SpCnt_100"/>
                  <wp:cNvGraphicFramePr/>
                  <a:graphic xmlns:a="http://schemas.openxmlformats.org/drawingml/2006/main">
                    <a:graphicData uri="http://schemas.openxmlformats.org/drawingml/2006/picture">
                      <pic:pic xmlns:pic="http://schemas.openxmlformats.org/drawingml/2006/picture">
                        <pic:nvPicPr>
                          <pic:cNvPr id="897" name="Picture_23_SpCnt_10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9525" cy="28575"/>
                  <wp:effectExtent l="0" t="0" r="0" b="0"/>
                  <wp:wrapNone/>
                  <wp:docPr id="898" name="Picture_22_SpCnt_101"/>
                  <wp:cNvGraphicFramePr/>
                  <a:graphic xmlns:a="http://schemas.openxmlformats.org/drawingml/2006/main">
                    <a:graphicData uri="http://schemas.openxmlformats.org/drawingml/2006/picture">
                      <pic:pic xmlns:pic="http://schemas.openxmlformats.org/drawingml/2006/picture">
                        <pic:nvPicPr>
                          <pic:cNvPr id="898" name="Picture_22_SpCnt_10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9525" cy="28575"/>
                  <wp:effectExtent l="0" t="0" r="0" b="0"/>
                  <wp:wrapNone/>
                  <wp:docPr id="899" name="Picture_45_SpCnt_101"/>
                  <wp:cNvGraphicFramePr/>
                  <a:graphic xmlns:a="http://schemas.openxmlformats.org/drawingml/2006/main">
                    <a:graphicData uri="http://schemas.openxmlformats.org/drawingml/2006/picture">
                      <pic:pic xmlns:pic="http://schemas.openxmlformats.org/drawingml/2006/picture">
                        <pic:nvPicPr>
                          <pic:cNvPr id="899" name="Picture_45_SpCnt_10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9525" cy="28575"/>
                  <wp:effectExtent l="0" t="0" r="0" b="0"/>
                  <wp:wrapNone/>
                  <wp:docPr id="900" name="Picture_44_SpCnt_106"/>
                  <wp:cNvGraphicFramePr/>
                  <a:graphic xmlns:a="http://schemas.openxmlformats.org/drawingml/2006/main">
                    <a:graphicData uri="http://schemas.openxmlformats.org/drawingml/2006/picture">
                      <pic:pic xmlns:pic="http://schemas.openxmlformats.org/drawingml/2006/picture">
                        <pic:nvPicPr>
                          <pic:cNvPr id="900" name="Picture_44_SpCnt_10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9525" cy="28575"/>
                  <wp:effectExtent l="0" t="0" r="0" b="0"/>
                  <wp:wrapNone/>
                  <wp:docPr id="901" name="Picture_23_SpCnt_101"/>
                  <wp:cNvGraphicFramePr/>
                  <a:graphic xmlns:a="http://schemas.openxmlformats.org/drawingml/2006/main">
                    <a:graphicData uri="http://schemas.openxmlformats.org/drawingml/2006/picture">
                      <pic:pic xmlns:pic="http://schemas.openxmlformats.org/drawingml/2006/picture">
                        <pic:nvPicPr>
                          <pic:cNvPr id="901" name="Picture_23_SpCnt_10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9525" cy="28575"/>
                  <wp:effectExtent l="0" t="0" r="0" b="0"/>
                  <wp:wrapNone/>
                  <wp:docPr id="902" name="Picture_22_SpCnt_102"/>
                  <wp:cNvGraphicFramePr/>
                  <a:graphic xmlns:a="http://schemas.openxmlformats.org/drawingml/2006/main">
                    <a:graphicData uri="http://schemas.openxmlformats.org/drawingml/2006/picture">
                      <pic:pic xmlns:pic="http://schemas.openxmlformats.org/drawingml/2006/picture">
                        <pic:nvPicPr>
                          <pic:cNvPr id="902" name="Picture_22_SpCnt_10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9525" cy="28575"/>
                  <wp:effectExtent l="0" t="0" r="0" b="0"/>
                  <wp:wrapNone/>
                  <wp:docPr id="903" name="Picture_45_SpCnt_102"/>
                  <wp:cNvGraphicFramePr/>
                  <a:graphic xmlns:a="http://schemas.openxmlformats.org/drawingml/2006/main">
                    <a:graphicData uri="http://schemas.openxmlformats.org/drawingml/2006/picture">
                      <pic:pic xmlns:pic="http://schemas.openxmlformats.org/drawingml/2006/picture">
                        <pic:nvPicPr>
                          <pic:cNvPr id="903" name="Picture_45_SpCnt_10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9525" cy="28575"/>
                  <wp:effectExtent l="0" t="0" r="0" b="0"/>
                  <wp:wrapNone/>
                  <wp:docPr id="904" name="Picture_44_SpCnt_107"/>
                  <wp:cNvGraphicFramePr/>
                  <a:graphic xmlns:a="http://schemas.openxmlformats.org/drawingml/2006/main">
                    <a:graphicData uri="http://schemas.openxmlformats.org/drawingml/2006/picture">
                      <pic:pic xmlns:pic="http://schemas.openxmlformats.org/drawingml/2006/picture">
                        <pic:nvPicPr>
                          <pic:cNvPr id="904" name="Picture_44_SpCnt_10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9525" cy="28575"/>
                  <wp:effectExtent l="0" t="0" r="0" b="0"/>
                  <wp:wrapNone/>
                  <wp:docPr id="905" name="Picture_23_SpCnt_102"/>
                  <wp:cNvGraphicFramePr/>
                  <a:graphic xmlns:a="http://schemas.openxmlformats.org/drawingml/2006/main">
                    <a:graphicData uri="http://schemas.openxmlformats.org/drawingml/2006/picture">
                      <pic:pic xmlns:pic="http://schemas.openxmlformats.org/drawingml/2006/picture">
                        <pic:nvPicPr>
                          <pic:cNvPr id="905" name="Picture_23_SpCnt_10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9525" cy="28575"/>
                  <wp:effectExtent l="0" t="0" r="0" b="0"/>
                  <wp:wrapNone/>
                  <wp:docPr id="906" name="Picture_22_SpCnt_103"/>
                  <wp:cNvGraphicFramePr/>
                  <a:graphic xmlns:a="http://schemas.openxmlformats.org/drawingml/2006/main">
                    <a:graphicData uri="http://schemas.openxmlformats.org/drawingml/2006/picture">
                      <pic:pic xmlns:pic="http://schemas.openxmlformats.org/drawingml/2006/picture">
                        <pic:nvPicPr>
                          <pic:cNvPr id="906" name="Picture_22_SpCnt_10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9525" cy="28575"/>
                  <wp:effectExtent l="0" t="0" r="0" b="0"/>
                  <wp:wrapNone/>
                  <wp:docPr id="907" name="Picture_45_SpCnt_103"/>
                  <wp:cNvGraphicFramePr/>
                  <a:graphic xmlns:a="http://schemas.openxmlformats.org/drawingml/2006/main">
                    <a:graphicData uri="http://schemas.openxmlformats.org/drawingml/2006/picture">
                      <pic:pic xmlns:pic="http://schemas.openxmlformats.org/drawingml/2006/picture">
                        <pic:nvPicPr>
                          <pic:cNvPr id="907" name="Picture_45_SpCnt_10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9525" cy="28575"/>
                  <wp:effectExtent l="0" t="0" r="0" b="0"/>
                  <wp:wrapNone/>
                  <wp:docPr id="908" name="Picture_44_SpCnt_108"/>
                  <wp:cNvGraphicFramePr/>
                  <a:graphic xmlns:a="http://schemas.openxmlformats.org/drawingml/2006/main">
                    <a:graphicData uri="http://schemas.openxmlformats.org/drawingml/2006/picture">
                      <pic:pic xmlns:pic="http://schemas.openxmlformats.org/drawingml/2006/picture">
                        <pic:nvPicPr>
                          <pic:cNvPr id="908" name="Picture_44_SpCnt_10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9525" cy="28575"/>
                  <wp:effectExtent l="0" t="0" r="0" b="0"/>
                  <wp:wrapNone/>
                  <wp:docPr id="909" name="Picture_23_SpCnt_103"/>
                  <wp:cNvGraphicFramePr/>
                  <a:graphic xmlns:a="http://schemas.openxmlformats.org/drawingml/2006/main">
                    <a:graphicData uri="http://schemas.openxmlformats.org/drawingml/2006/picture">
                      <pic:pic xmlns:pic="http://schemas.openxmlformats.org/drawingml/2006/picture">
                        <pic:nvPicPr>
                          <pic:cNvPr id="909" name="Picture_23_SpCnt_10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9525" cy="28575"/>
                  <wp:effectExtent l="0" t="0" r="0" b="0"/>
                  <wp:wrapNone/>
                  <wp:docPr id="910" name="Picture_22_SpCnt_104"/>
                  <wp:cNvGraphicFramePr/>
                  <a:graphic xmlns:a="http://schemas.openxmlformats.org/drawingml/2006/main">
                    <a:graphicData uri="http://schemas.openxmlformats.org/drawingml/2006/picture">
                      <pic:pic xmlns:pic="http://schemas.openxmlformats.org/drawingml/2006/picture">
                        <pic:nvPicPr>
                          <pic:cNvPr id="910" name="Picture_22_SpCnt_10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9525" cy="28575"/>
                  <wp:effectExtent l="0" t="0" r="0" b="0"/>
                  <wp:wrapNone/>
                  <wp:docPr id="911" name="Picture_23_SpCnt_104"/>
                  <wp:cNvGraphicFramePr/>
                  <a:graphic xmlns:a="http://schemas.openxmlformats.org/drawingml/2006/main">
                    <a:graphicData uri="http://schemas.openxmlformats.org/drawingml/2006/picture">
                      <pic:pic xmlns:pic="http://schemas.openxmlformats.org/drawingml/2006/picture">
                        <pic:nvPicPr>
                          <pic:cNvPr id="911" name="Picture_23_SpCnt_10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9525" cy="28575"/>
                  <wp:effectExtent l="0" t="0" r="0" b="0"/>
                  <wp:wrapNone/>
                  <wp:docPr id="912" name="Picture_45_SpCnt_104"/>
                  <wp:cNvGraphicFramePr/>
                  <a:graphic xmlns:a="http://schemas.openxmlformats.org/drawingml/2006/main">
                    <a:graphicData uri="http://schemas.openxmlformats.org/drawingml/2006/picture">
                      <pic:pic xmlns:pic="http://schemas.openxmlformats.org/drawingml/2006/picture">
                        <pic:nvPicPr>
                          <pic:cNvPr id="912" name="Picture_45_SpCnt_10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9525" cy="28575"/>
                  <wp:effectExtent l="0" t="0" r="0" b="0"/>
                  <wp:wrapNone/>
                  <wp:docPr id="913" name="Picture_22_SpCnt_105"/>
                  <wp:cNvGraphicFramePr/>
                  <a:graphic xmlns:a="http://schemas.openxmlformats.org/drawingml/2006/main">
                    <a:graphicData uri="http://schemas.openxmlformats.org/drawingml/2006/picture">
                      <pic:pic xmlns:pic="http://schemas.openxmlformats.org/drawingml/2006/picture">
                        <pic:nvPicPr>
                          <pic:cNvPr id="913" name="Picture_22_SpCnt_10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9525" cy="28575"/>
                  <wp:effectExtent l="0" t="0" r="0" b="0"/>
                  <wp:wrapNone/>
                  <wp:docPr id="914" name="Picture_45_SpCnt_105"/>
                  <wp:cNvGraphicFramePr/>
                  <a:graphic xmlns:a="http://schemas.openxmlformats.org/drawingml/2006/main">
                    <a:graphicData uri="http://schemas.openxmlformats.org/drawingml/2006/picture">
                      <pic:pic xmlns:pic="http://schemas.openxmlformats.org/drawingml/2006/picture">
                        <pic:nvPicPr>
                          <pic:cNvPr id="914" name="Picture_45_SpCnt_10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9525" cy="28575"/>
                  <wp:effectExtent l="0" t="0" r="0" b="0"/>
                  <wp:wrapNone/>
                  <wp:docPr id="915" name="Picture_44_SpCnt_109"/>
                  <wp:cNvGraphicFramePr/>
                  <a:graphic xmlns:a="http://schemas.openxmlformats.org/drawingml/2006/main">
                    <a:graphicData uri="http://schemas.openxmlformats.org/drawingml/2006/picture">
                      <pic:pic xmlns:pic="http://schemas.openxmlformats.org/drawingml/2006/picture">
                        <pic:nvPicPr>
                          <pic:cNvPr id="915" name="Picture_44_SpCnt_10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9525" cy="28575"/>
                  <wp:effectExtent l="0" t="0" r="0" b="0"/>
                  <wp:wrapNone/>
                  <wp:docPr id="916" name="Picture_23_SpCnt_105"/>
                  <wp:cNvGraphicFramePr/>
                  <a:graphic xmlns:a="http://schemas.openxmlformats.org/drawingml/2006/main">
                    <a:graphicData uri="http://schemas.openxmlformats.org/drawingml/2006/picture">
                      <pic:pic xmlns:pic="http://schemas.openxmlformats.org/drawingml/2006/picture">
                        <pic:nvPicPr>
                          <pic:cNvPr id="916" name="Picture_23_SpCnt_10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9525" cy="28575"/>
                  <wp:effectExtent l="0" t="0" r="0" b="0"/>
                  <wp:wrapNone/>
                  <wp:docPr id="917" name="Picture_22_SpCnt_106"/>
                  <wp:cNvGraphicFramePr/>
                  <a:graphic xmlns:a="http://schemas.openxmlformats.org/drawingml/2006/main">
                    <a:graphicData uri="http://schemas.openxmlformats.org/drawingml/2006/picture">
                      <pic:pic xmlns:pic="http://schemas.openxmlformats.org/drawingml/2006/picture">
                        <pic:nvPicPr>
                          <pic:cNvPr id="917" name="Picture_22_SpCnt_10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9525" cy="28575"/>
                  <wp:effectExtent l="0" t="0" r="0" b="0"/>
                  <wp:wrapNone/>
                  <wp:docPr id="918" name="Picture_45_SpCnt_106"/>
                  <wp:cNvGraphicFramePr/>
                  <a:graphic xmlns:a="http://schemas.openxmlformats.org/drawingml/2006/main">
                    <a:graphicData uri="http://schemas.openxmlformats.org/drawingml/2006/picture">
                      <pic:pic xmlns:pic="http://schemas.openxmlformats.org/drawingml/2006/picture">
                        <pic:nvPicPr>
                          <pic:cNvPr id="918" name="Picture_45_SpCnt_10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9525" cy="28575"/>
                  <wp:effectExtent l="0" t="0" r="0" b="0"/>
                  <wp:wrapNone/>
                  <wp:docPr id="919" name="Picture_44_SpCnt_110"/>
                  <wp:cNvGraphicFramePr/>
                  <a:graphic xmlns:a="http://schemas.openxmlformats.org/drawingml/2006/main">
                    <a:graphicData uri="http://schemas.openxmlformats.org/drawingml/2006/picture">
                      <pic:pic xmlns:pic="http://schemas.openxmlformats.org/drawingml/2006/picture">
                        <pic:nvPicPr>
                          <pic:cNvPr id="919" name="Picture_44_SpCnt_1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9525" cy="28575"/>
                  <wp:effectExtent l="0" t="0" r="0" b="0"/>
                  <wp:wrapNone/>
                  <wp:docPr id="920" name="Picture_23_SpCnt_106"/>
                  <wp:cNvGraphicFramePr/>
                  <a:graphic xmlns:a="http://schemas.openxmlformats.org/drawingml/2006/main">
                    <a:graphicData uri="http://schemas.openxmlformats.org/drawingml/2006/picture">
                      <pic:pic xmlns:pic="http://schemas.openxmlformats.org/drawingml/2006/picture">
                        <pic:nvPicPr>
                          <pic:cNvPr id="920" name="Picture_23_SpCnt_10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9525" cy="28575"/>
                  <wp:effectExtent l="0" t="0" r="0" b="0"/>
                  <wp:wrapNone/>
                  <wp:docPr id="921" name="Picture_22_SpCnt_107"/>
                  <wp:cNvGraphicFramePr/>
                  <a:graphic xmlns:a="http://schemas.openxmlformats.org/drawingml/2006/main">
                    <a:graphicData uri="http://schemas.openxmlformats.org/drawingml/2006/picture">
                      <pic:pic xmlns:pic="http://schemas.openxmlformats.org/drawingml/2006/picture">
                        <pic:nvPicPr>
                          <pic:cNvPr id="921" name="Picture_22_SpCnt_10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9525" cy="28575"/>
                  <wp:effectExtent l="0" t="0" r="0" b="0"/>
                  <wp:wrapNone/>
                  <wp:docPr id="922" name="Picture_45_SpCnt_107"/>
                  <wp:cNvGraphicFramePr/>
                  <a:graphic xmlns:a="http://schemas.openxmlformats.org/drawingml/2006/main">
                    <a:graphicData uri="http://schemas.openxmlformats.org/drawingml/2006/picture">
                      <pic:pic xmlns:pic="http://schemas.openxmlformats.org/drawingml/2006/picture">
                        <pic:nvPicPr>
                          <pic:cNvPr id="922" name="Picture_45_SpCnt_10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9525" cy="28575"/>
                  <wp:effectExtent l="0" t="0" r="0" b="0"/>
                  <wp:wrapNone/>
                  <wp:docPr id="923" name="Picture_44_SpCnt_111"/>
                  <wp:cNvGraphicFramePr/>
                  <a:graphic xmlns:a="http://schemas.openxmlformats.org/drawingml/2006/main">
                    <a:graphicData uri="http://schemas.openxmlformats.org/drawingml/2006/picture">
                      <pic:pic xmlns:pic="http://schemas.openxmlformats.org/drawingml/2006/picture">
                        <pic:nvPicPr>
                          <pic:cNvPr id="923" name="Picture_44_SpCnt_1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9525" cy="28575"/>
                  <wp:effectExtent l="0" t="0" r="0" b="0"/>
                  <wp:wrapNone/>
                  <wp:docPr id="924" name="Picture_23_SpCnt_107"/>
                  <wp:cNvGraphicFramePr/>
                  <a:graphic xmlns:a="http://schemas.openxmlformats.org/drawingml/2006/main">
                    <a:graphicData uri="http://schemas.openxmlformats.org/drawingml/2006/picture">
                      <pic:pic xmlns:pic="http://schemas.openxmlformats.org/drawingml/2006/picture">
                        <pic:nvPicPr>
                          <pic:cNvPr id="924" name="Picture_23_SpCnt_10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9525" cy="28575"/>
                  <wp:effectExtent l="0" t="0" r="0" b="0"/>
                  <wp:wrapNone/>
                  <wp:docPr id="925" name="Picture_22_SpCnt_108"/>
                  <wp:cNvGraphicFramePr/>
                  <a:graphic xmlns:a="http://schemas.openxmlformats.org/drawingml/2006/main">
                    <a:graphicData uri="http://schemas.openxmlformats.org/drawingml/2006/picture">
                      <pic:pic xmlns:pic="http://schemas.openxmlformats.org/drawingml/2006/picture">
                        <pic:nvPicPr>
                          <pic:cNvPr id="925" name="Picture_22_SpCnt_10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9525" cy="28575"/>
                  <wp:effectExtent l="0" t="0" r="0" b="0"/>
                  <wp:wrapNone/>
                  <wp:docPr id="926" name="Picture_45_SpCnt_108"/>
                  <wp:cNvGraphicFramePr/>
                  <a:graphic xmlns:a="http://schemas.openxmlformats.org/drawingml/2006/main">
                    <a:graphicData uri="http://schemas.openxmlformats.org/drawingml/2006/picture">
                      <pic:pic xmlns:pic="http://schemas.openxmlformats.org/drawingml/2006/picture">
                        <pic:nvPicPr>
                          <pic:cNvPr id="926" name="Picture_45_SpCnt_10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9525" cy="28575"/>
                  <wp:effectExtent l="0" t="0" r="0" b="0"/>
                  <wp:wrapNone/>
                  <wp:docPr id="927" name="Picture_44_SpCnt_112"/>
                  <wp:cNvGraphicFramePr/>
                  <a:graphic xmlns:a="http://schemas.openxmlformats.org/drawingml/2006/main">
                    <a:graphicData uri="http://schemas.openxmlformats.org/drawingml/2006/picture">
                      <pic:pic xmlns:pic="http://schemas.openxmlformats.org/drawingml/2006/picture">
                        <pic:nvPicPr>
                          <pic:cNvPr id="927" name="Picture_44_SpCnt_1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9525" cy="28575"/>
                  <wp:effectExtent l="0" t="0" r="0" b="0"/>
                  <wp:wrapNone/>
                  <wp:docPr id="928" name="Picture_23_SpCnt_108"/>
                  <wp:cNvGraphicFramePr/>
                  <a:graphic xmlns:a="http://schemas.openxmlformats.org/drawingml/2006/main">
                    <a:graphicData uri="http://schemas.openxmlformats.org/drawingml/2006/picture">
                      <pic:pic xmlns:pic="http://schemas.openxmlformats.org/drawingml/2006/picture">
                        <pic:nvPicPr>
                          <pic:cNvPr id="928" name="Picture_23_SpCnt_10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9525" cy="28575"/>
                  <wp:effectExtent l="0" t="0" r="0" b="0"/>
                  <wp:wrapNone/>
                  <wp:docPr id="929" name="Picture_22_SpCnt_109"/>
                  <wp:cNvGraphicFramePr/>
                  <a:graphic xmlns:a="http://schemas.openxmlformats.org/drawingml/2006/main">
                    <a:graphicData uri="http://schemas.openxmlformats.org/drawingml/2006/picture">
                      <pic:pic xmlns:pic="http://schemas.openxmlformats.org/drawingml/2006/picture">
                        <pic:nvPicPr>
                          <pic:cNvPr id="929" name="Picture_22_SpCnt_10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9525" cy="28575"/>
                  <wp:effectExtent l="0" t="0" r="0" b="0"/>
                  <wp:wrapNone/>
                  <wp:docPr id="930" name="Picture_45_SpCnt_109"/>
                  <wp:cNvGraphicFramePr/>
                  <a:graphic xmlns:a="http://schemas.openxmlformats.org/drawingml/2006/main">
                    <a:graphicData uri="http://schemas.openxmlformats.org/drawingml/2006/picture">
                      <pic:pic xmlns:pic="http://schemas.openxmlformats.org/drawingml/2006/picture">
                        <pic:nvPicPr>
                          <pic:cNvPr id="930" name="Picture_45_SpCnt_10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9525" cy="28575"/>
                  <wp:effectExtent l="0" t="0" r="0" b="0"/>
                  <wp:wrapNone/>
                  <wp:docPr id="931" name="Picture_44_SpCnt_113"/>
                  <wp:cNvGraphicFramePr/>
                  <a:graphic xmlns:a="http://schemas.openxmlformats.org/drawingml/2006/main">
                    <a:graphicData uri="http://schemas.openxmlformats.org/drawingml/2006/picture">
                      <pic:pic xmlns:pic="http://schemas.openxmlformats.org/drawingml/2006/picture">
                        <pic:nvPicPr>
                          <pic:cNvPr id="931" name="Picture_44_SpCnt_1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9525" cy="28575"/>
                  <wp:effectExtent l="0" t="0" r="0" b="0"/>
                  <wp:wrapNone/>
                  <wp:docPr id="932" name="Picture_23_SpCnt_109"/>
                  <wp:cNvGraphicFramePr/>
                  <a:graphic xmlns:a="http://schemas.openxmlformats.org/drawingml/2006/main">
                    <a:graphicData uri="http://schemas.openxmlformats.org/drawingml/2006/picture">
                      <pic:pic xmlns:pic="http://schemas.openxmlformats.org/drawingml/2006/picture">
                        <pic:nvPicPr>
                          <pic:cNvPr id="932" name="Picture_23_SpCnt_10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9525" cy="28575"/>
                  <wp:effectExtent l="0" t="0" r="0" b="0"/>
                  <wp:wrapNone/>
                  <wp:docPr id="933" name="Picture_22_SpCnt_110"/>
                  <wp:cNvGraphicFramePr/>
                  <a:graphic xmlns:a="http://schemas.openxmlformats.org/drawingml/2006/main">
                    <a:graphicData uri="http://schemas.openxmlformats.org/drawingml/2006/picture">
                      <pic:pic xmlns:pic="http://schemas.openxmlformats.org/drawingml/2006/picture">
                        <pic:nvPicPr>
                          <pic:cNvPr id="933" name="Picture_22_SpCnt_1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9525" cy="28575"/>
                  <wp:effectExtent l="0" t="0" r="0" b="0"/>
                  <wp:wrapNone/>
                  <wp:docPr id="934" name="Picture_45_SpCnt_110"/>
                  <wp:cNvGraphicFramePr/>
                  <a:graphic xmlns:a="http://schemas.openxmlformats.org/drawingml/2006/main">
                    <a:graphicData uri="http://schemas.openxmlformats.org/drawingml/2006/picture">
                      <pic:pic xmlns:pic="http://schemas.openxmlformats.org/drawingml/2006/picture">
                        <pic:nvPicPr>
                          <pic:cNvPr id="934" name="Picture_45_SpCnt_1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9525" cy="28575"/>
                  <wp:effectExtent l="0" t="0" r="0" b="0"/>
                  <wp:wrapNone/>
                  <wp:docPr id="935" name="Picture_44_SpCnt_114"/>
                  <wp:cNvGraphicFramePr/>
                  <a:graphic xmlns:a="http://schemas.openxmlformats.org/drawingml/2006/main">
                    <a:graphicData uri="http://schemas.openxmlformats.org/drawingml/2006/picture">
                      <pic:pic xmlns:pic="http://schemas.openxmlformats.org/drawingml/2006/picture">
                        <pic:nvPicPr>
                          <pic:cNvPr id="935" name="Picture_44_SpCnt_1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9525" cy="28575"/>
                  <wp:effectExtent l="0" t="0" r="0" b="0"/>
                  <wp:wrapNone/>
                  <wp:docPr id="936" name="Picture_23_SpCnt_110"/>
                  <wp:cNvGraphicFramePr/>
                  <a:graphic xmlns:a="http://schemas.openxmlformats.org/drawingml/2006/main">
                    <a:graphicData uri="http://schemas.openxmlformats.org/drawingml/2006/picture">
                      <pic:pic xmlns:pic="http://schemas.openxmlformats.org/drawingml/2006/picture">
                        <pic:nvPicPr>
                          <pic:cNvPr id="936" name="Picture_23_SpCnt_1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9525" cy="28575"/>
                  <wp:effectExtent l="0" t="0" r="0" b="0"/>
                  <wp:wrapNone/>
                  <wp:docPr id="937" name="Picture_22_SpCnt_111"/>
                  <wp:cNvGraphicFramePr/>
                  <a:graphic xmlns:a="http://schemas.openxmlformats.org/drawingml/2006/main">
                    <a:graphicData uri="http://schemas.openxmlformats.org/drawingml/2006/picture">
                      <pic:pic xmlns:pic="http://schemas.openxmlformats.org/drawingml/2006/picture">
                        <pic:nvPicPr>
                          <pic:cNvPr id="937" name="Picture_22_SpCnt_1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9525" cy="28575"/>
                  <wp:effectExtent l="0" t="0" r="0" b="0"/>
                  <wp:wrapNone/>
                  <wp:docPr id="938" name="Picture_45_SpCnt_111"/>
                  <wp:cNvGraphicFramePr/>
                  <a:graphic xmlns:a="http://schemas.openxmlformats.org/drawingml/2006/main">
                    <a:graphicData uri="http://schemas.openxmlformats.org/drawingml/2006/picture">
                      <pic:pic xmlns:pic="http://schemas.openxmlformats.org/drawingml/2006/picture">
                        <pic:nvPicPr>
                          <pic:cNvPr id="938" name="Picture_45_SpCnt_1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9525" cy="28575"/>
                  <wp:effectExtent l="0" t="0" r="0" b="0"/>
                  <wp:wrapNone/>
                  <wp:docPr id="939" name="Picture_44_SpCnt_115"/>
                  <wp:cNvGraphicFramePr/>
                  <a:graphic xmlns:a="http://schemas.openxmlformats.org/drawingml/2006/main">
                    <a:graphicData uri="http://schemas.openxmlformats.org/drawingml/2006/picture">
                      <pic:pic xmlns:pic="http://schemas.openxmlformats.org/drawingml/2006/picture">
                        <pic:nvPicPr>
                          <pic:cNvPr id="939" name="Picture_44_SpCnt_1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9525" cy="28575"/>
                  <wp:effectExtent l="0" t="0" r="0" b="0"/>
                  <wp:wrapNone/>
                  <wp:docPr id="940" name="Picture_23_SpCnt_111"/>
                  <wp:cNvGraphicFramePr/>
                  <a:graphic xmlns:a="http://schemas.openxmlformats.org/drawingml/2006/main">
                    <a:graphicData uri="http://schemas.openxmlformats.org/drawingml/2006/picture">
                      <pic:pic xmlns:pic="http://schemas.openxmlformats.org/drawingml/2006/picture">
                        <pic:nvPicPr>
                          <pic:cNvPr id="940" name="Picture_23_SpCnt_1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9525" cy="28575"/>
                  <wp:effectExtent l="0" t="0" r="0" b="0"/>
                  <wp:wrapNone/>
                  <wp:docPr id="941" name="Picture_22_SpCnt_112"/>
                  <wp:cNvGraphicFramePr/>
                  <a:graphic xmlns:a="http://schemas.openxmlformats.org/drawingml/2006/main">
                    <a:graphicData uri="http://schemas.openxmlformats.org/drawingml/2006/picture">
                      <pic:pic xmlns:pic="http://schemas.openxmlformats.org/drawingml/2006/picture">
                        <pic:nvPicPr>
                          <pic:cNvPr id="941" name="Picture_22_SpCnt_1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9525" cy="28575"/>
                  <wp:effectExtent l="0" t="0" r="0" b="0"/>
                  <wp:wrapNone/>
                  <wp:docPr id="942" name="Picture_23_SpCnt_112"/>
                  <wp:cNvGraphicFramePr/>
                  <a:graphic xmlns:a="http://schemas.openxmlformats.org/drawingml/2006/main">
                    <a:graphicData uri="http://schemas.openxmlformats.org/drawingml/2006/picture">
                      <pic:pic xmlns:pic="http://schemas.openxmlformats.org/drawingml/2006/picture">
                        <pic:nvPicPr>
                          <pic:cNvPr id="942" name="Picture_23_SpCnt_1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9525" cy="28575"/>
                  <wp:effectExtent l="0" t="0" r="0" b="0"/>
                  <wp:wrapNone/>
                  <wp:docPr id="943" name="Picture_45_SpCnt_112"/>
                  <wp:cNvGraphicFramePr/>
                  <a:graphic xmlns:a="http://schemas.openxmlformats.org/drawingml/2006/main">
                    <a:graphicData uri="http://schemas.openxmlformats.org/drawingml/2006/picture">
                      <pic:pic xmlns:pic="http://schemas.openxmlformats.org/drawingml/2006/picture">
                        <pic:nvPicPr>
                          <pic:cNvPr id="943" name="Picture_45_SpCnt_1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9525" cy="28575"/>
                  <wp:effectExtent l="0" t="0" r="0" b="0"/>
                  <wp:wrapNone/>
                  <wp:docPr id="944" name="Picture_22_SpCnt_113"/>
                  <wp:cNvGraphicFramePr/>
                  <a:graphic xmlns:a="http://schemas.openxmlformats.org/drawingml/2006/main">
                    <a:graphicData uri="http://schemas.openxmlformats.org/drawingml/2006/picture">
                      <pic:pic xmlns:pic="http://schemas.openxmlformats.org/drawingml/2006/picture">
                        <pic:nvPicPr>
                          <pic:cNvPr id="944" name="Picture_22_SpCnt_1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9525" cy="28575"/>
                  <wp:effectExtent l="0" t="0" r="0" b="0"/>
                  <wp:wrapNone/>
                  <wp:docPr id="945" name="Picture_45_SpCnt_113"/>
                  <wp:cNvGraphicFramePr/>
                  <a:graphic xmlns:a="http://schemas.openxmlformats.org/drawingml/2006/main">
                    <a:graphicData uri="http://schemas.openxmlformats.org/drawingml/2006/picture">
                      <pic:pic xmlns:pic="http://schemas.openxmlformats.org/drawingml/2006/picture">
                        <pic:nvPicPr>
                          <pic:cNvPr id="945" name="Picture_45_SpCnt_1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9525" cy="28575"/>
                  <wp:effectExtent l="0" t="0" r="0" b="0"/>
                  <wp:wrapNone/>
                  <wp:docPr id="946" name="Picture_44_SpCnt_116"/>
                  <wp:cNvGraphicFramePr/>
                  <a:graphic xmlns:a="http://schemas.openxmlformats.org/drawingml/2006/main">
                    <a:graphicData uri="http://schemas.openxmlformats.org/drawingml/2006/picture">
                      <pic:pic xmlns:pic="http://schemas.openxmlformats.org/drawingml/2006/picture">
                        <pic:nvPicPr>
                          <pic:cNvPr id="946" name="Picture_44_SpCnt_1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9525" cy="28575"/>
                  <wp:effectExtent l="0" t="0" r="0" b="0"/>
                  <wp:wrapNone/>
                  <wp:docPr id="947" name="Picture_23_SpCnt_113"/>
                  <wp:cNvGraphicFramePr/>
                  <a:graphic xmlns:a="http://schemas.openxmlformats.org/drawingml/2006/main">
                    <a:graphicData uri="http://schemas.openxmlformats.org/drawingml/2006/picture">
                      <pic:pic xmlns:pic="http://schemas.openxmlformats.org/drawingml/2006/picture">
                        <pic:nvPicPr>
                          <pic:cNvPr id="947" name="Picture_23_SpCnt_1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9525" cy="28575"/>
                  <wp:effectExtent l="0" t="0" r="0" b="0"/>
                  <wp:wrapNone/>
                  <wp:docPr id="948" name="Picture_22_SpCnt_114"/>
                  <wp:cNvGraphicFramePr/>
                  <a:graphic xmlns:a="http://schemas.openxmlformats.org/drawingml/2006/main">
                    <a:graphicData uri="http://schemas.openxmlformats.org/drawingml/2006/picture">
                      <pic:pic xmlns:pic="http://schemas.openxmlformats.org/drawingml/2006/picture">
                        <pic:nvPicPr>
                          <pic:cNvPr id="948" name="Picture_22_SpCnt_1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9525" cy="28575"/>
                  <wp:effectExtent l="0" t="0" r="0" b="0"/>
                  <wp:wrapNone/>
                  <wp:docPr id="949" name="Picture_45_SpCnt_114"/>
                  <wp:cNvGraphicFramePr/>
                  <a:graphic xmlns:a="http://schemas.openxmlformats.org/drawingml/2006/main">
                    <a:graphicData uri="http://schemas.openxmlformats.org/drawingml/2006/picture">
                      <pic:pic xmlns:pic="http://schemas.openxmlformats.org/drawingml/2006/picture">
                        <pic:nvPicPr>
                          <pic:cNvPr id="949" name="Picture_45_SpCnt_1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9525" cy="28575"/>
                  <wp:effectExtent l="0" t="0" r="0" b="0"/>
                  <wp:wrapNone/>
                  <wp:docPr id="950" name="Picture_44_SpCnt_117"/>
                  <wp:cNvGraphicFramePr/>
                  <a:graphic xmlns:a="http://schemas.openxmlformats.org/drawingml/2006/main">
                    <a:graphicData uri="http://schemas.openxmlformats.org/drawingml/2006/picture">
                      <pic:pic xmlns:pic="http://schemas.openxmlformats.org/drawingml/2006/picture">
                        <pic:nvPicPr>
                          <pic:cNvPr id="950" name="Picture_44_SpCnt_1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9525" cy="28575"/>
                  <wp:effectExtent l="0" t="0" r="0" b="0"/>
                  <wp:wrapNone/>
                  <wp:docPr id="951" name="Picture_23_SpCnt_114"/>
                  <wp:cNvGraphicFramePr/>
                  <a:graphic xmlns:a="http://schemas.openxmlformats.org/drawingml/2006/main">
                    <a:graphicData uri="http://schemas.openxmlformats.org/drawingml/2006/picture">
                      <pic:pic xmlns:pic="http://schemas.openxmlformats.org/drawingml/2006/picture">
                        <pic:nvPicPr>
                          <pic:cNvPr id="951" name="Picture_23_SpCnt_1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9525" cy="28575"/>
                  <wp:effectExtent l="0" t="0" r="0" b="0"/>
                  <wp:wrapNone/>
                  <wp:docPr id="952" name="Picture_22_SpCnt_115"/>
                  <wp:cNvGraphicFramePr/>
                  <a:graphic xmlns:a="http://schemas.openxmlformats.org/drawingml/2006/main">
                    <a:graphicData uri="http://schemas.openxmlformats.org/drawingml/2006/picture">
                      <pic:pic xmlns:pic="http://schemas.openxmlformats.org/drawingml/2006/picture">
                        <pic:nvPicPr>
                          <pic:cNvPr id="952" name="Picture_22_SpCnt_1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9525" cy="28575"/>
                  <wp:effectExtent l="0" t="0" r="0" b="0"/>
                  <wp:wrapNone/>
                  <wp:docPr id="953" name="Picture_45_SpCnt_115"/>
                  <wp:cNvGraphicFramePr/>
                  <a:graphic xmlns:a="http://schemas.openxmlformats.org/drawingml/2006/main">
                    <a:graphicData uri="http://schemas.openxmlformats.org/drawingml/2006/picture">
                      <pic:pic xmlns:pic="http://schemas.openxmlformats.org/drawingml/2006/picture">
                        <pic:nvPicPr>
                          <pic:cNvPr id="953" name="Picture_45_SpCnt_1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9525" cy="28575"/>
                  <wp:effectExtent l="0" t="0" r="0" b="0"/>
                  <wp:wrapNone/>
                  <wp:docPr id="954" name="Picture_44_SpCnt_118"/>
                  <wp:cNvGraphicFramePr/>
                  <a:graphic xmlns:a="http://schemas.openxmlformats.org/drawingml/2006/main">
                    <a:graphicData uri="http://schemas.openxmlformats.org/drawingml/2006/picture">
                      <pic:pic xmlns:pic="http://schemas.openxmlformats.org/drawingml/2006/picture">
                        <pic:nvPicPr>
                          <pic:cNvPr id="954" name="Picture_44_SpCnt_1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9525" cy="28575"/>
                  <wp:effectExtent l="0" t="0" r="0" b="0"/>
                  <wp:wrapNone/>
                  <wp:docPr id="955" name="Picture_23_SpCnt_115"/>
                  <wp:cNvGraphicFramePr/>
                  <a:graphic xmlns:a="http://schemas.openxmlformats.org/drawingml/2006/main">
                    <a:graphicData uri="http://schemas.openxmlformats.org/drawingml/2006/picture">
                      <pic:pic xmlns:pic="http://schemas.openxmlformats.org/drawingml/2006/picture">
                        <pic:nvPicPr>
                          <pic:cNvPr id="955" name="Picture_23_SpCnt_1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9525" cy="28575"/>
                  <wp:effectExtent l="0" t="0" r="0" b="0"/>
                  <wp:wrapNone/>
                  <wp:docPr id="956" name="Picture_22_SpCnt_116"/>
                  <wp:cNvGraphicFramePr/>
                  <a:graphic xmlns:a="http://schemas.openxmlformats.org/drawingml/2006/main">
                    <a:graphicData uri="http://schemas.openxmlformats.org/drawingml/2006/picture">
                      <pic:pic xmlns:pic="http://schemas.openxmlformats.org/drawingml/2006/picture">
                        <pic:nvPicPr>
                          <pic:cNvPr id="956" name="Picture_22_SpCnt_1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9525" cy="28575"/>
                  <wp:effectExtent l="0" t="0" r="0" b="0"/>
                  <wp:wrapNone/>
                  <wp:docPr id="957" name="Picture_23_SpCnt_116"/>
                  <wp:cNvGraphicFramePr/>
                  <a:graphic xmlns:a="http://schemas.openxmlformats.org/drawingml/2006/main">
                    <a:graphicData uri="http://schemas.openxmlformats.org/drawingml/2006/picture">
                      <pic:pic xmlns:pic="http://schemas.openxmlformats.org/drawingml/2006/picture">
                        <pic:nvPicPr>
                          <pic:cNvPr id="957" name="Picture_23_SpCnt_1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9525" cy="28575"/>
                  <wp:effectExtent l="0" t="0" r="0" b="0"/>
                  <wp:wrapNone/>
                  <wp:docPr id="958" name="Picture_45_SpCnt_116"/>
                  <wp:cNvGraphicFramePr/>
                  <a:graphic xmlns:a="http://schemas.openxmlformats.org/drawingml/2006/main">
                    <a:graphicData uri="http://schemas.openxmlformats.org/drawingml/2006/picture">
                      <pic:pic xmlns:pic="http://schemas.openxmlformats.org/drawingml/2006/picture">
                        <pic:nvPicPr>
                          <pic:cNvPr id="958" name="Picture_45_SpCnt_1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9525" cy="28575"/>
                  <wp:effectExtent l="0" t="0" r="0" b="0"/>
                  <wp:wrapNone/>
                  <wp:docPr id="959" name="Picture_22_SpCnt_117"/>
                  <wp:cNvGraphicFramePr/>
                  <a:graphic xmlns:a="http://schemas.openxmlformats.org/drawingml/2006/main">
                    <a:graphicData uri="http://schemas.openxmlformats.org/drawingml/2006/picture">
                      <pic:pic xmlns:pic="http://schemas.openxmlformats.org/drawingml/2006/picture">
                        <pic:nvPicPr>
                          <pic:cNvPr id="959" name="Picture_22_SpCnt_1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9525" cy="28575"/>
                  <wp:effectExtent l="0" t="0" r="0" b="0"/>
                  <wp:wrapNone/>
                  <wp:docPr id="960" name="Picture_45_SpCnt_117"/>
                  <wp:cNvGraphicFramePr/>
                  <a:graphic xmlns:a="http://schemas.openxmlformats.org/drawingml/2006/main">
                    <a:graphicData uri="http://schemas.openxmlformats.org/drawingml/2006/picture">
                      <pic:pic xmlns:pic="http://schemas.openxmlformats.org/drawingml/2006/picture">
                        <pic:nvPicPr>
                          <pic:cNvPr id="960" name="Picture_45_SpCnt_1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9525" cy="28575"/>
                  <wp:effectExtent l="0" t="0" r="0" b="0"/>
                  <wp:wrapNone/>
                  <wp:docPr id="961" name="Picture_44_SpCnt_119"/>
                  <wp:cNvGraphicFramePr/>
                  <a:graphic xmlns:a="http://schemas.openxmlformats.org/drawingml/2006/main">
                    <a:graphicData uri="http://schemas.openxmlformats.org/drawingml/2006/picture">
                      <pic:pic xmlns:pic="http://schemas.openxmlformats.org/drawingml/2006/picture">
                        <pic:nvPicPr>
                          <pic:cNvPr id="961" name="Picture_44_SpCnt_1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9525" cy="28575"/>
                  <wp:effectExtent l="0" t="0" r="0" b="0"/>
                  <wp:wrapNone/>
                  <wp:docPr id="962" name="Picture_23_SpCnt_117"/>
                  <wp:cNvGraphicFramePr/>
                  <a:graphic xmlns:a="http://schemas.openxmlformats.org/drawingml/2006/main">
                    <a:graphicData uri="http://schemas.openxmlformats.org/drawingml/2006/picture">
                      <pic:pic xmlns:pic="http://schemas.openxmlformats.org/drawingml/2006/picture">
                        <pic:nvPicPr>
                          <pic:cNvPr id="962" name="Picture_23_SpCnt_1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9525" cy="28575"/>
                  <wp:effectExtent l="0" t="0" r="0" b="0"/>
                  <wp:wrapNone/>
                  <wp:docPr id="963" name="Picture_22_SpCnt_118"/>
                  <wp:cNvGraphicFramePr/>
                  <a:graphic xmlns:a="http://schemas.openxmlformats.org/drawingml/2006/main">
                    <a:graphicData uri="http://schemas.openxmlformats.org/drawingml/2006/picture">
                      <pic:pic xmlns:pic="http://schemas.openxmlformats.org/drawingml/2006/picture">
                        <pic:nvPicPr>
                          <pic:cNvPr id="963" name="Picture_22_SpCnt_1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9525" cy="28575"/>
                  <wp:effectExtent l="0" t="0" r="0" b="0"/>
                  <wp:wrapNone/>
                  <wp:docPr id="964" name="Picture_23_SpCnt_118"/>
                  <wp:cNvGraphicFramePr/>
                  <a:graphic xmlns:a="http://schemas.openxmlformats.org/drawingml/2006/main">
                    <a:graphicData uri="http://schemas.openxmlformats.org/drawingml/2006/picture">
                      <pic:pic xmlns:pic="http://schemas.openxmlformats.org/drawingml/2006/picture">
                        <pic:nvPicPr>
                          <pic:cNvPr id="964" name="Picture_23_SpCnt_1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9525" cy="28575"/>
                  <wp:effectExtent l="0" t="0" r="0" b="0"/>
                  <wp:wrapNone/>
                  <wp:docPr id="965" name="Picture_45_SpCnt_118"/>
                  <wp:cNvGraphicFramePr/>
                  <a:graphic xmlns:a="http://schemas.openxmlformats.org/drawingml/2006/main">
                    <a:graphicData uri="http://schemas.openxmlformats.org/drawingml/2006/picture">
                      <pic:pic xmlns:pic="http://schemas.openxmlformats.org/drawingml/2006/picture">
                        <pic:nvPicPr>
                          <pic:cNvPr id="965" name="Picture_45_SpCnt_1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9525" cy="28575"/>
                  <wp:effectExtent l="0" t="0" r="0" b="0"/>
                  <wp:wrapNone/>
                  <wp:docPr id="966" name="Picture_22_SpCnt_119"/>
                  <wp:cNvGraphicFramePr/>
                  <a:graphic xmlns:a="http://schemas.openxmlformats.org/drawingml/2006/main">
                    <a:graphicData uri="http://schemas.openxmlformats.org/drawingml/2006/picture">
                      <pic:pic xmlns:pic="http://schemas.openxmlformats.org/drawingml/2006/picture">
                        <pic:nvPicPr>
                          <pic:cNvPr id="966" name="Picture_22_SpCnt_1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9525" cy="28575"/>
                  <wp:effectExtent l="0" t="0" r="0" b="0"/>
                  <wp:wrapNone/>
                  <wp:docPr id="967" name="Picture_23_SpCnt_119"/>
                  <wp:cNvGraphicFramePr/>
                  <a:graphic xmlns:a="http://schemas.openxmlformats.org/drawingml/2006/main">
                    <a:graphicData uri="http://schemas.openxmlformats.org/drawingml/2006/picture">
                      <pic:pic xmlns:pic="http://schemas.openxmlformats.org/drawingml/2006/picture">
                        <pic:nvPicPr>
                          <pic:cNvPr id="967" name="Picture_23_SpCnt_1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bdr w:val="single" w:color="000000" w:sz="4" w:space="0"/>
                <w:shd w:val="clear" w:color="auto" w:fill="FFFFFF"/>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9525" cy="28575"/>
                  <wp:effectExtent l="0" t="0" r="0" b="0"/>
                  <wp:wrapNone/>
                  <wp:docPr id="968" name="Picture_45_SpCnt_119"/>
                  <wp:cNvGraphicFramePr/>
                  <a:graphic xmlns:a="http://schemas.openxmlformats.org/drawingml/2006/main">
                    <a:graphicData uri="http://schemas.openxmlformats.org/drawingml/2006/picture">
                      <pic:pic xmlns:pic="http://schemas.openxmlformats.org/drawingml/2006/picture">
                        <pic:nvPicPr>
                          <pic:cNvPr id="968" name="Picture_45_SpCnt_1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default" w:ascii="Arial" w:hAnsi="Arial" w:eastAsia="宋体" w:cs="Arial"/>
                <w:kern w:val="0"/>
                <w:szCs w:val="21"/>
                <w:lang w:bidi="ar"/>
              </w:rPr>
              <w:t>2</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一、配置</w:t>
            </w:r>
            <w:r>
              <w:rPr>
                <w:rFonts w:hint="default" w:ascii="Arial" w:hAnsi="Arial" w:eastAsia="宋体" w:cs="Arial"/>
                <w:kern w:val="0"/>
                <w:szCs w:val="21"/>
                <w:lang w:bidi="ar"/>
              </w:rPr>
              <w:br w:type="textWrapping"/>
            </w:r>
            <w:r>
              <w:rPr>
                <w:rFonts w:hint="default" w:ascii="Arial" w:hAnsi="Arial" w:eastAsia="宋体" w:cs="Arial"/>
                <w:kern w:val="0"/>
                <w:szCs w:val="21"/>
                <w:lang w:bidi="ar"/>
              </w:rPr>
              <w:t>两个制胶盒、4个纤维垫、1盒预切滤片、电极模块组合、冷却模块、缓冲液槽及使用说明书</w:t>
            </w:r>
            <w:r>
              <w:rPr>
                <w:rFonts w:hint="default" w:ascii="Arial" w:hAnsi="Arial" w:eastAsia="宋体" w:cs="Arial"/>
                <w:kern w:val="0"/>
                <w:szCs w:val="21"/>
                <w:lang w:bidi="ar"/>
              </w:rPr>
              <w:br w:type="textWrapping"/>
            </w:r>
            <w:r>
              <w:rPr>
                <w:rFonts w:hint="default" w:ascii="Arial" w:hAnsi="Arial" w:eastAsia="宋体" w:cs="Arial"/>
                <w:kern w:val="0"/>
                <w:szCs w:val="21"/>
                <w:lang w:bidi="ar"/>
              </w:rPr>
              <w:t>二、性能指标</w:t>
            </w:r>
            <w:r>
              <w:rPr>
                <w:rFonts w:hint="default" w:ascii="Arial" w:hAnsi="Arial" w:eastAsia="宋体" w:cs="Arial"/>
                <w:kern w:val="0"/>
                <w:szCs w:val="21"/>
                <w:lang w:bidi="ar"/>
              </w:rPr>
              <w:br w:type="textWrapping"/>
            </w:r>
            <w:r>
              <w:rPr>
                <w:rFonts w:hint="default" w:ascii="Arial" w:hAnsi="Arial" w:eastAsia="宋体" w:cs="Arial"/>
                <w:kern w:val="0"/>
                <w:szCs w:val="21"/>
                <w:lang w:bidi="ar"/>
              </w:rPr>
              <w:t>1.最大凝胶尺寸(W x L)</w:t>
            </w:r>
            <w:r>
              <w:rPr>
                <w:rFonts w:hint="default" w:ascii="Arial" w:hAnsi="Arial" w:eastAsia="宋体" w:cs="Arial"/>
                <w:szCs w:val="21"/>
              </w:rPr>
              <w:t>≥</w:t>
            </w:r>
            <w:r>
              <w:rPr>
                <w:rFonts w:hint="default" w:ascii="Arial" w:hAnsi="Arial" w:eastAsia="宋体" w:cs="Arial"/>
                <w:kern w:val="0"/>
                <w:szCs w:val="21"/>
                <w:lang w:bidi="ar"/>
              </w:rPr>
              <w:t xml:space="preserve"> 10 x 7.5 cm，凝胶容量2 块</w:t>
            </w:r>
            <w:r>
              <w:rPr>
                <w:rFonts w:hint="default" w:ascii="Arial" w:hAnsi="Arial" w:eastAsia="宋体" w:cs="Arial"/>
                <w:kern w:val="0"/>
                <w:szCs w:val="21"/>
                <w:lang w:bidi="ar"/>
              </w:rPr>
              <w:br w:type="textWrapping"/>
            </w:r>
            <w:r>
              <w:rPr>
                <w:rFonts w:hint="default" w:ascii="Arial" w:hAnsi="Arial" w:eastAsia="宋体" w:cs="Arial"/>
                <w:kern w:val="0"/>
                <w:szCs w:val="21"/>
                <w:lang w:bidi="ar"/>
              </w:rPr>
              <w:t>2.缓冲液要求</w:t>
            </w:r>
            <w:r>
              <w:rPr>
                <w:rFonts w:hint="default" w:ascii="Arial" w:hAnsi="Arial" w:eastAsia="宋体" w:cs="Arial"/>
                <w:szCs w:val="21"/>
              </w:rPr>
              <w:t>≥</w:t>
            </w:r>
            <w:r>
              <w:rPr>
                <w:rFonts w:hint="default" w:ascii="Arial" w:hAnsi="Arial" w:eastAsia="宋体" w:cs="Arial"/>
                <w:kern w:val="0"/>
                <w:szCs w:val="21"/>
                <w:lang w:bidi="ar"/>
              </w:rPr>
              <w:t>450 ml</w:t>
            </w:r>
            <w:r>
              <w:rPr>
                <w:rFonts w:hint="default" w:ascii="Arial" w:hAnsi="Arial" w:eastAsia="宋体" w:cs="Arial"/>
                <w:kern w:val="0"/>
                <w:szCs w:val="21"/>
                <w:lang w:bidi="ar"/>
              </w:rPr>
              <w:br w:type="textWrapping"/>
            </w:r>
            <w:r>
              <w:rPr>
                <w:rFonts w:hint="default" w:ascii="Arial" w:hAnsi="Arial" w:eastAsia="宋体" w:cs="Arial"/>
                <w:kern w:val="0"/>
                <w:szCs w:val="21"/>
                <w:lang w:bidi="ar"/>
              </w:rPr>
              <w:t>3.1小时内可同时转印2 块</w:t>
            </w:r>
            <w:r>
              <w:rPr>
                <w:rFonts w:hint="default" w:ascii="Arial" w:hAnsi="Arial" w:eastAsia="宋体" w:cs="Arial"/>
                <w:szCs w:val="21"/>
              </w:rPr>
              <w:t>≥</w:t>
            </w:r>
            <w:r>
              <w:rPr>
                <w:rFonts w:hint="default" w:ascii="Arial" w:hAnsi="Arial" w:eastAsia="宋体" w:cs="Arial"/>
                <w:kern w:val="0"/>
                <w:szCs w:val="21"/>
                <w:lang w:bidi="ar"/>
              </w:rPr>
              <w:t>10 x 7.5 cm 凝胶；也可进行低强度的过夜转印</w:t>
            </w:r>
            <w:r>
              <w:rPr>
                <w:rFonts w:hint="default" w:ascii="Arial" w:hAnsi="Arial" w:eastAsia="宋体" w:cs="Arial"/>
                <w:kern w:val="0"/>
                <w:szCs w:val="21"/>
                <w:lang w:bidi="ar"/>
              </w:rPr>
              <w:br w:type="textWrapping"/>
            </w:r>
            <w:r>
              <w:rPr>
                <w:rFonts w:hint="default" w:ascii="Arial" w:hAnsi="Arial" w:eastAsia="宋体" w:cs="Arial"/>
                <w:kern w:val="0"/>
                <w:szCs w:val="21"/>
                <w:lang w:bidi="ar"/>
              </w:rPr>
              <w:t>4.电极丝相距</w:t>
            </w:r>
            <w:r>
              <w:rPr>
                <w:rFonts w:hint="default" w:ascii="Arial" w:hAnsi="Arial" w:eastAsia="宋体" w:cs="Arial"/>
                <w:szCs w:val="21"/>
              </w:rPr>
              <w:t>≥</w:t>
            </w:r>
            <w:r>
              <w:rPr>
                <w:rFonts w:hint="default" w:ascii="Arial" w:hAnsi="Arial" w:eastAsia="宋体" w:cs="Arial"/>
                <w:kern w:val="0"/>
                <w:szCs w:val="21"/>
                <w:lang w:bidi="ar"/>
              </w:rPr>
              <w:t>4cm，以产生强电场保证有效的蛋白转印</w:t>
            </w:r>
            <w:r>
              <w:rPr>
                <w:rFonts w:hint="default" w:ascii="Arial" w:hAnsi="Arial" w:eastAsia="宋体" w:cs="Arial"/>
                <w:kern w:val="0"/>
                <w:szCs w:val="21"/>
                <w:lang w:bidi="ar"/>
              </w:rPr>
              <w:br w:type="textWrapping"/>
            </w:r>
            <w:r>
              <w:rPr>
                <w:rFonts w:hint="default" w:ascii="Arial" w:hAnsi="Arial" w:eastAsia="宋体" w:cs="Arial"/>
                <w:kern w:val="0"/>
                <w:szCs w:val="21"/>
                <w:lang w:bidi="ar"/>
              </w:rPr>
              <w:t>5.颜色标记的转印夹和电极，确保转印过程中凝胶的正确定向</w:t>
            </w:r>
            <w:r>
              <w:rPr>
                <w:rFonts w:hint="default" w:ascii="Arial" w:hAnsi="Arial" w:eastAsia="宋体" w:cs="Arial"/>
                <w:kern w:val="0"/>
                <w:szCs w:val="21"/>
                <w:lang w:bidi="ar"/>
              </w:rPr>
              <w:br w:type="textWrapping"/>
            </w:r>
            <w:r>
              <w:rPr>
                <w:rFonts w:hint="default" w:ascii="Arial" w:hAnsi="Arial" w:eastAsia="宋体" w:cs="Arial"/>
                <w:kern w:val="0"/>
                <w:szCs w:val="21"/>
                <w:lang w:bidi="ar"/>
              </w:rPr>
              <w:t>6.内置冷却装置，可作为一个模块与电泳槽的缓冲液槽和盖兼容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13</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色谱柱</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3</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支</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adjustRightInd w:val="0"/>
              <w:snapToGrid w:val="0"/>
              <w:spacing w:after="0" w:line="288" w:lineRule="auto"/>
              <w:jc w:val="left"/>
              <w:textAlignment w:val="center"/>
              <w:rPr>
                <w:rFonts w:hint="default" w:ascii="Arial" w:hAnsi="Arial" w:eastAsia="宋体" w:cs="Arial"/>
                <w:kern w:val="0"/>
                <w:szCs w:val="21"/>
              </w:rPr>
            </w:pPr>
            <w:r>
              <w:rPr>
                <w:rFonts w:hint="default" w:ascii="Arial" w:hAnsi="Arial" w:eastAsia="宋体" w:cs="Arial"/>
                <w:kern w:val="0"/>
                <w:szCs w:val="21"/>
              </w:rPr>
              <w:t>C18(4.6mm*250mm,5um)</w:t>
            </w:r>
          </w:p>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rPr>
              <w:t>长度250 mm，直径4.6 mm，固定相Supersil AQ-C18全多孔球形硅胶（纯度＞99.999%），粒径5μm，比表面积300m</w:t>
            </w:r>
            <w:r>
              <w:rPr>
                <w:rFonts w:hint="default" w:ascii="Arial" w:hAnsi="Arial" w:eastAsia="宋体" w:cs="Arial"/>
                <w:kern w:val="0"/>
                <w:szCs w:val="21"/>
                <w:vertAlign w:val="superscript"/>
              </w:rPr>
              <w:t>2</w:t>
            </w:r>
            <w:r>
              <w:rPr>
                <w:rFonts w:hint="default" w:ascii="Arial" w:hAnsi="Arial" w:eastAsia="宋体" w:cs="Arial"/>
                <w:kern w:val="0"/>
                <w:szCs w:val="21"/>
              </w:rPr>
              <w:t>/g，孔径120A，碳含量14.50%，封尾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14</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生物安全柜</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4</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1、安全柜类别：A2型生物安全柜</w:t>
            </w:r>
            <w:r>
              <w:rPr>
                <w:rFonts w:hint="default" w:ascii="Arial" w:hAnsi="Arial" w:eastAsia="宋体" w:cs="Arial"/>
                <w:kern w:val="0"/>
                <w:szCs w:val="21"/>
                <w:lang w:bidi="ar"/>
              </w:rPr>
              <w:br w:type="textWrapping"/>
            </w:r>
            <w:r>
              <w:rPr>
                <w:rFonts w:hint="default" w:ascii="Arial" w:hAnsi="Arial" w:eastAsia="宋体" w:cs="Arial"/>
                <w:kern w:val="0"/>
                <w:szCs w:val="21"/>
                <w:lang w:bidi="ar"/>
              </w:rPr>
              <w:t>2、风机系统：风机系统属于核心部件，要求使用直流变频高效风机</w:t>
            </w:r>
            <w:r>
              <w:rPr>
                <w:rFonts w:hint="default" w:ascii="Arial" w:hAnsi="Arial" w:eastAsia="宋体" w:cs="Arial"/>
                <w:b w:val="0"/>
                <w:bCs w:val="0"/>
                <w:kern w:val="0"/>
                <w:szCs w:val="21"/>
                <w:lang w:bidi="ar"/>
              </w:rPr>
              <w:t>，可自动进行风量补偿，当出现进风通道受阻或过滤器年限增加导致堵塞阻力增加300%的情况，安全柜仍然能提供安全风速；</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3、制造商质量体系认证：制造工厂通过ISO 9001质量体系认证；（提供有效期内的相关证书复印件，证书上有相关查询链接）</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4、外形尺寸：长≤1340mm、整机外部厚度＜755mm（不包含755mm，便于进出实验室），高度≤1400mm；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5、工作区尺寸：长≥1220mm、宽≥550mm、高≥650mm；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6、搁手架：人体工程学设计：通体式搁手架宽度≥1200mm，不需要限位，降低长时间操作疲劳；禁止搁手架安置在进气格栅上方，避免影响进气流，可选配能自由裁剪长短的皮革搁</w:t>
            </w:r>
            <w:r>
              <w:rPr>
                <w:rFonts w:hint="default" w:ascii="Arial" w:hAnsi="Arial" w:eastAsia="宋体" w:cs="Arial"/>
                <w:kern w:val="0"/>
                <w:szCs w:val="21"/>
                <w:lang w:bidi="ar"/>
              </w:rPr>
              <w:t>手架，提高操作舒适度。</w:t>
            </w:r>
            <w:r>
              <w:rPr>
                <w:rFonts w:hint="default" w:ascii="Arial" w:hAnsi="Arial" w:eastAsia="宋体" w:cs="Arial"/>
                <w:kern w:val="0"/>
                <w:szCs w:val="21"/>
                <w:lang w:bidi="ar"/>
              </w:rPr>
              <w:br w:type="textWrapping"/>
            </w:r>
            <w:r>
              <w:rPr>
                <w:rFonts w:hint="default" w:ascii="Arial" w:hAnsi="Arial" w:eastAsia="宋体" w:cs="Arial"/>
                <w:kern w:val="0"/>
                <w:szCs w:val="21"/>
                <w:lang w:bidi="ar"/>
              </w:rPr>
              <w:t>7、过滤器：下沉气流和外排气流过滤均配置ULPA超高效过滤器，对于MPPS具有≥99.999%的截留效率；滤器结构：微褶皱无间隔型，增加过滤面积；</w:t>
            </w:r>
            <w:r>
              <w:rPr>
                <w:rFonts w:hint="default" w:ascii="Arial" w:hAnsi="Arial" w:eastAsia="宋体" w:cs="Arial"/>
                <w:kern w:val="0"/>
                <w:szCs w:val="21"/>
                <w:lang w:bidi="ar"/>
              </w:rPr>
              <w:br w:type="textWrapping"/>
            </w:r>
            <w:r>
              <w:rPr>
                <w:rFonts w:hint="default" w:ascii="Arial" w:hAnsi="Arial" w:eastAsia="宋体" w:cs="Arial"/>
                <w:kern w:val="0"/>
                <w:szCs w:val="21"/>
                <w:lang w:bidi="ar"/>
              </w:rPr>
              <w:t>8、噪音：噪音小于67dBA；</w:t>
            </w:r>
            <w:r>
              <w:rPr>
                <w:rFonts w:hint="default" w:ascii="Arial" w:hAnsi="Arial" w:eastAsia="宋体" w:cs="Arial"/>
                <w:kern w:val="0"/>
                <w:szCs w:val="21"/>
                <w:lang w:bidi="ar"/>
              </w:rPr>
              <w:br w:type="textWrapping"/>
            </w:r>
            <w:r>
              <w:rPr>
                <w:rFonts w:hint="default" w:ascii="Arial" w:hAnsi="Arial" w:eastAsia="宋体" w:cs="Arial"/>
                <w:kern w:val="0"/>
                <w:szCs w:val="21"/>
                <w:lang w:bidi="ar"/>
              </w:rPr>
              <w:t>9、照度：内嵌式，位于非污染区，不影响风路，照度：&gt;1200 Lux</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10、工作区洁净度：工作区洁净等级≥ISO14644.1标准或者以下要求同时达到：0.3微米粒径的粒子最大浓度≤102个/立方米；同时0.5微米粒径的粒子最大浓度≤35个/立方米；同时1.0微米粒径的粒子最大浓度≤8个/立方米；同时5.0微米粒径的粒子最大浓度≤0个/立方米；</w:t>
            </w:r>
            <w:r>
              <w:rPr>
                <w:rFonts w:hint="default" w:ascii="Arial" w:hAnsi="Arial" w:eastAsia="宋体" w:cs="Arial"/>
                <w:kern w:val="0"/>
                <w:szCs w:val="21"/>
                <w:lang w:bidi="ar"/>
              </w:rPr>
              <w:br w:type="textWrapping"/>
            </w:r>
            <w:r>
              <w:rPr>
                <w:rFonts w:hint="default" w:ascii="Arial" w:hAnsi="Arial" w:eastAsia="宋体" w:cs="Arial"/>
                <w:kern w:val="0"/>
                <w:szCs w:val="21"/>
                <w:lang w:bidi="ar"/>
              </w:rPr>
              <w:t>11、风速显示：进风风速不低于0.50m/s ；沉降风速不低于0.30m/s 。标配气流传感器探头实时监控风速，液晶控制屏上实时独立显示安全柜的吸入口气流数值和下送风气流，以便实时监测风速变化，风速达不到要求时提供声光报警，发现数值衰减时可立即中止实验，确保生物安全；</w:t>
            </w:r>
            <w:r>
              <w:rPr>
                <w:rFonts w:hint="default" w:ascii="Arial" w:hAnsi="Arial" w:eastAsia="宋体" w:cs="Arial"/>
                <w:kern w:val="0"/>
                <w:szCs w:val="21"/>
                <w:lang w:bidi="ar"/>
              </w:rPr>
              <w:br w:type="textWrapping"/>
            </w:r>
            <w:r>
              <w:rPr>
                <w:rFonts w:hint="default" w:ascii="Arial" w:hAnsi="Arial" w:eastAsia="宋体" w:cs="Arial"/>
                <w:kern w:val="0"/>
                <w:szCs w:val="21"/>
                <w:lang w:bidi="ar"/>
              </w:rPr>
              <w:t>12、过滤器显示：ULPA超高效过滤器寿命显示等数字化实时显示；</w:t>
            </w:r>
            <w:r>
              <w:rPr>
                <w:rFonts w:hint="default" w:ascii="Arial" w:hAnsi="Arial" w:eastAsia="宋体" w:cs="Arial"/>
                <w:kern w:val="0"/>
                <w:szCs w:val="21"/>
                <w:lang w:bidi="ar"/>
              </w:rPr>
              <w:br w:type="textWrapping"/>
            </w:r>
            <w:r>
              <w:rPr>
                <w:rFonts w:hint="default" w:ascii="Arial" w:hAnsi="Arial" w:eastAsia="宋体" w:cs="Arial"/>
                <w:kern w:val="0"/>
                <w:szCs w:val="21"/>
                <w:lang w:bidi="ar"/>
              </w:rPr>
              <w:t>13、温度显示：液晶控制屏上可以显示实时温度；</w:t>
            </w:r>
            <w:r>
              <w:rPr>
                <w:rFonts w:hint="default" w:ascii="Arial" w:hAnsi="Arial" w:eastAsia="宋体" w:cs="Arial"/>
                <w:kern w:val="0"/>
                <w:szCs w:val="21"/>
                <w:lang w:bidi="ar"/>
              </w:rPr>
              <w:br w:type="textWrapping"/>
            </w:r>
            <w:r>
              <w:rPr>
                <w:rFonts w:hint="default" w:ascii="Arial" w:hAnsi="Arial" w:eastAsia="宋体" w:cs="Arial"/>
                <w:kern w:val="0"/>
                <w:szCs w:val="21"/>
                <w:lang w:bidi="ar"/>
              </w:rPr>
              <w:t>14、预洁净程序：自净功能:系统自带开机强制3-15分钟预洁净程序，防止操作者没有预洁净直接开始操作、造成污染，倒计时结束后自动启动荧光灯；</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15、前窗玻璃：前窗玻璃倾斜角4到7°，当前窗需要完全关闭时，有隔手架限位保护，防止随意下拉导致上部洁净区暴露或紫外灭菌带来伤害；</w:t>
            </w:r>
            <w:r>
              <w:rPr>
                <w:rFonts w:hint="default" w:ascii="Arial" w:hAnsi="Arial" w:eastAsia="宋体" w:cs="Arial"/>
                <w:kern w:val="0"/>
                <w:szCs w:val="21"/>
                <w:lang w:bidi="ar"/>
              </w:rPr>
              <w:br w:type="textWrapping"/>
            </w:r>
            <w:r>
              <w:rPr>
                <w:rFonts w:hint="default" w:ascii="Arial" w:hAnsi="Arial" w:eastAsia="宋体" w:cs="Arial"/>
                <w:kern w:val="0"/>
                <w:szCs w:val="21"/>
                <w:lang w:bidi="ar"/>
              </w:rPr>
              <w:t>16、配重：无边框滑动式前窗，安全柜平衡背板与前窗采用高强度钢丝绳连接（非尼龙绳），避免长期磨损导变形和断裂。</w:t>
            </w:r>
            <w:r>
              <w:rPr>
                <w:rFonts w:hint="default" w:ascii="Arial" w:hAnsi="Arial" w:eastAsia="宋体" w:cs="Arial"/>
                <w:kern w:val="0"/>
                <w:szCs w:val="21"/>
                <w:lang w:bidi="ar"/>
              </w:rPr>
              <w:br w:type="textWrapping"/>
            </w:r>
            <w:r>
              <w:rPr>
                <w:rFonts w:hint="default" w:ascii="Arial" w:hAnsi="Arial" w:eastAsia="宋体" w:cs="Arial"/>
                <w:kern w:val="0"/>
                <w:szCs w:val="21"/>
                <w:lang w:bidi="ar"/>
              </w:rPr>
              <w:t>17、操作室：操作室侧壁为三面一体一次冲压成型，无焊接，大圆弧拐角便于清洁（非胶粘或拼接）；侧壁与台面不锈钢厚度≥1.5mm。四面负压环绕保护；</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18、柜体涂层：柜体外部含银离子或者氧化锌纳米涂层（提供涂层抗菌实验图文资料）；柜体涂层耐过氧化氢、臭氧腐蚀。</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19、数据输出：标配RS232或RS485数据输出端口，可实现多台生物安全柜和其他设备数据联网连接PC端；</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20、安全报警连锁：低风速报警功能（当风速数值波动超过20%时提供声光报警）；前窗位置异位报警功能；前窗与荧光灯和紫外系统连锁；过滤器使用寿命状态实时显示；</w:t>
            </w:r>
            <w:r>
              <w:rPr>
                <w:rFonts w:hint="default" w:ascii="Arial" w:hAnsi="Arial" w:eastAsia="宋体" w:cs="Arial"/>
                <w:b/>
                <w:bCs/>
                <w:kern w:val="0"/>
                <w:szCs w:val="21"/>
                <w:lang w:bidi="ar"/>
              </w:rPr>
              <w:br w:type="textWrapping"/>
            </w:r>
            <w:r>
              <w:rPr>
                <w:rFonts w:hint="default" w:ascii="Arial" w:hAnsi="Arial" w:eastAsia="宋体" w:cs="Arial"/>
                <w:kern w:val="0"/>
                <w:szCs w:val="21"/>
                <w:lang w:bidi="ar"/>
              </w:rPr>
              <w:t>21、配置：安全柜主机1台，万向脚轮支架1套，紫外灯1根，防溅插座1个，抗菌涂层外壳1套（非不锈钢）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15</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显微镜</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2</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用途：普通活细胞观察，用于临床工作。</w:t>
            </w:r>
            <w:r>
              <w:rPr>
                <w:rFonts w:hint="default" w:ascii="Arial" w:hAnsi="Arial" w:eastAsia="宋体" w:cs="Arial"/>
                <w:kern w:val="0"/>
                <w:szCs w:val="21"/>
                <w:lang w:bidi="ar"/>
              </w:rPr>
              <w:br w:type="textWrapping"/>
            </w:r>
            <w:r>
              <w:rPr>
                <w:rFonts w:hint="default" w:ascii="Arial" w:hAnsi="Arial" w:eastAsia="宋体" w:cs="Arial"/>
                <w:kern w:val="0"/>
                <w:szCs w:val="21"/>
                <w:lang w:bidi="ar"/>
              </w:rPr>
              <w:t>1．工作条件</w:t>
            </w:r>
            <w:r>
              <w:rPr>
                <w:rFonts w:hint="default" w:ascii="Arial" w:hAnsi="Arial" w:eastAsia="宋体" w:cs="Arial"/>
                <w:kern w:val="0"/>
                <w:szCs w:val="21"/>
                <w:lang w:bidi="ar"/>
              </w:rPr>
              <w:br w:type="textWrapping"/>
            </w:r>
            <w:r>
              <w:rPr>
                <w:rFonts w:hint="default" w:ascii="Arial" w:hAnsi="Arial" w:eastAsia="宋体" w:cs="Arial"/>
                <w:kern w:val="0"/>
                <w:szCs w:val="21"/>
                <w:lang w:bidi="ar"/>
              </w:rPr>
              <w:t>1.1  适于在气温为摄氏-40℃～＋50℃的环境条件下运输和贮存，在电源220V（10%）/50Hz、气温摄氏5℃～40℃和相对湿度80%的环境条件下运行。</w:t>
            </w:r>
            <w:r>
              <w:rPr>
                <w:rFonts w:hint="default" w:ascii="Arial" w:hAnsi="Arial" w:eastAsia="宋体" w:cs="Arial"/>
                <w:kern w:val="0"/>
                <w:szCs w:val="21"/>
                <w:lang w:bidi="ar"/>
              </w:rPr>
              <w:br w:type="textWrapping"/>
            </w:r>
            <w:r>
              <w:rPr>
                <w:rFonts w:hint="default" w:ascii="Arial" w:hAnsi="Arial" w:eastAsia="宋体" w:cs="Arial"/>
                <w:kern w:val="0"/>
                <w:szCs w:val="21"/>
                <w:lang w:bidi="ar"/>
              </w:rPr>
              <w:t>1.2  配置符合中国有关标准要求的插头，或提供适当的转换插座。</w:t>
            </w:r>
            <w:r>
              <w:rPr>
                <w:rFonts w:hint="default" w:ascii="Arial" w:hAnsi="Arial" w:eastAsia="宋体" w:cs="Arial"/>
                <w:kern w:val="0"/>
                <w:szCs w:val="21"/>
                <w:lang w:bidi="ar"/>
              </w:rPr>
              <w:br w:type="textWrapping"/>
            </w:r>
            <w:r>
              <w:rPr>
                <w:rFonts w:hint="default" w:ascii="Arial" w:hAnsi="Arial" w:eastAsia="宋体" w:cs="Arial"/>
                <w:kern w:val="0"/>
                <w:szCs w:val="21"/>
                <w:lang w:bidi="ar"/>
              </w:rPr>
              <w:t>2．主要技术指标</w:t>
            </w:r>
            <w:r>
              <w:rPr>
                <w:rFonts w:hint="default" w:ascii="Arial" w:hAnsi="Arial" w:eastAsia="宋体" w:cs="Arial"/>
                <w:kern w:val="0"/>
                <w:szCs w:val="21"/>
                <w:lang w:bidi="ar"/>
              </w:rPr>
              <w:br w:type="textWrapping"/>
            </w:r>
            <w:r>
              <w:rPr>
                <w:rFonts w:hint="default" w:ascii="Arial" w:hAnsi="Arial" w:eastAsia="宋体" w:cs="Arial"/>
                <w:kern w:val="0"/>
                <w:szCs w:val="21"/>
                <w:lang w:bidi="ar"/>
              </w:rPr>
              <w:t>2.1  倒置相差显微镜</w:t>
            </w:r>
            <w:r>
              <w:rPr>
                <w:rFonts w:hint="default" w:ascii="Arial" w:hAnsi="Arial" w:eastAsia="宋体" w:cs="Arial"/>
                <w:kern w:val="0"/>
                <w:szCs w:val="21"/>
                <w:lang w:bidi="ar"/>
              </w:rPr>
              <w:br w:type="textWrapping"/>
            </w:r>
            <w:r>
              <w:rPr>
                <w:rFonts w:hint="default" w:ascii="Arial" w:hAnsi="Arial" w:eastAsia="宋体" w:cs="Arial"/>
                <w:kern w:val="0"/>
                <w:szCs w:val="21"/>
                <w:lang w:bidi="ar"/>
              </w:rPr>
              <w:t>2.1.1  光学系统：无限远校正光学系统，齐焦距离必须≥45mm。</w:t>
            </w:r>
            <w:r>
              <w:rPr>
                <w:rFonts w:hint="default" w:ascii="Arial" w:hAnsi="Arial" w:eastAsia="宋体" w:cs="Arial"/>
                <w:kern w:val="0"/>
                <w:szCs w:val="21"/>
                <w:lang w:bidi="ar"/>
              </w:rPr>
              <w:br w:type="textWrapping"/>
            </w:r>
            <w:r>
              <w:rPr>
                <w:rFonts w:hint="default" w:ascii="Arial" w:hAnsi="Arial" w:eastAsia="宋体" w:cs="Arial"/>
                <w:kern w:val="0"/>
                <w:szCs w:val="21"/>
                <w:lang w:bidi="ar"/>
              </w:rPr>
              <w:t>2.1.2  调焦：通过物镜转盘的上下移动进行调焦（载物台高度固定）。备有聚焦机构同轴粗、微调旋钮，旋钮扭矩可调，由滚柱机构导向。粗调行程每一圈为≥36.8mm，微调行程每一圈为≤0.2mm。</w:t>
            </w:r>
            <w:r>
              <w:rPr>
                <w:rFonts w:hint="default" w:ascii="Arial" w:hAnsi="Arial" w:eastAsia="宋体" w:cs="Arial"/>
                <w:kern w:val="0"/>
                <w:szCs w:val="21"/>
                <w:lang w:bidi="ar"/>
              </w:rPr>
              <w:br w:type="textWrapping"/>
            </w:r>
            <w:r>
              <w:rPr>
                <w:rFonts w:hint="default" w:ascii="Arial" w:hAnsi="Arial" w:eastAsia="宋体" w:cs="Arial"/>
                <w:kern w:val="0"/>
                <w:szCs w:val="21"/>
                <w:lang w:bidi="ar"/>
              </w:rPr>
              <w:t>2.1.3  观察镜筒：宽视野三目镜筒，视场数≥22</w:t>
            </w:r>
            <w:r>
              <w:rPr>
                <w:rFonts w:hint="default" w:ascii="Arial" w:hAnsi="Arial" w:eastAsia="宋体" w:cs="Arial"/>
                <w:kern w:val="0"/>
                <w:szCs w:val="21"/>
                <w:lang w:bidi="ar"/>
              </w:rPr>
              <w:br w:type="textWrapping"/>
            </w:r>
            <w:r>
              <w:rPr>
                <w:rFonts w:hint="default" w:ascii="Arial" w:hAnsi="Arial" w:eastAsia="宋体" w:cs="Arial"/>
                <w:kern w:val="0"/>
                <w:szCs w:val="21"/>
                <w:lang w:bidi="ar"/>
              </w:rPr>
              <w:t>2.1.4  照明装置：高性能LED光源</w:t>
            </w:r>
            <w:r>
              <w:rPr>
                <w:rFonts w:hint="default" w:ascii="Arial" w:hAnsi="Arial" w:eastAsia="宋体" w:cs="Arial"/>
                <w:kern w:val="0"/>
                <w:szCs w:val="21"/>
                <w:lang w:bidi="ar"/>
              </w:rPr>
              <w:br w:type="textWrapping"/>
            </w:r>
            <w:r>
              <w:rPr>
                <w:rFonts w:hint="default" w:ascii="Arial" w:hAnsi="Arial" w:eastAsia="宋体" w:cs="Arial"/>
                <w:kern w:val="0"/>
                <w:szCs w:val="21"/>
                <w:lang w:bidi="ar"/>
              </w:rPr>
              <w:t>2.1.5  物镜：</w:t>
            </w:r>
            <w:r>
              <w:rPr>
                <w:rFonts w:hint="default" w:ascii="Arial" w:hAnsi="Arial" w:eastAsia="宋体" w:cs="Arial"/>
                <w:kern w:val="0"/>
                <w:szCs w:val="21"/>
                <w:lang w:bidi="ar"/>
              </w:rPr>
              <w:br w:type="textWrapping"/>
            </w:r>
            <w:r>
              <w:rPr>
                <w:rFonts w:hint="default" w:ascii="Arial" w:hAnsi="Arial" w:eastAsia="宋体" w:cs="Arial"/>
                <w:kern w:val="0"/>
                <w:szCs w:val="21"/>
                <w:lang w:bidi="ar"/>
              </w:rPr>
              <w:t>2.1.5.1  预对中相差物镜4X （N.A.≥0.13；W.D. ≥16.8）</w:t>
            </w:r>
            <w:r>
              <w:rPr>
                <w:rFonts w:hint="default" w:ascii="Arial" w:hAnsi="Arial" w:eastAsia="宋体" w:cs="Arial"/>
                <w:kern w:val="0"/>
                <w:szCs w:val="21"/>
                <w:lang w:bidi="ar"/>
              </w:rPr>
              <w:br w:type="textWrapping"/>
            </w:r>
            <w:r>
              <w:rPr>
                <w:rFonts w:hint="default" w:ascii="Arial" w:hAnsi="Arial" w:eastAsia="宋体" w:cs="Arial"/>
                <w:kern w:val="0"/>
                <w:szCs w:val="21"/>
                <w:lang w:bidi="ar"/>
              </w:rPr>
              <w:t>2.1.5.2  预对中相差物镜10X （W.D. ≥8.8）</w:t>
            </w:r>
            <w:r>
              <w:rPr>
                <w:rFonts w:hint="default" w:ascii="Arial" w:hAnsi="Arial" w:eastAsia="宋体" w:cs="Arial"/>
                <w:kern w:val="0"/>
                <w:szCs w:val="21"/>
                <w:lang w:bidi="ar"/>
              </w:rPr>
              <w:br w:type="textWrapping"/>
            </w:r>
            <w:r>
              <w:rPr>
                <w:rFonts w:hint="default" w:ascii="Arial" w:hAnsi="Arial" w:eastAsia="宋体" w:cs="Arial"/>
                <w:kern w:val="0"/>
                <w:szCs w:val="21"/>
                <w:lang w:bidi="ar"/>
              </w:rPr>
              <w:t>2.1.5.3  预对中长工作距离相差物镜20X （W.D. ≥3.2）</w:t>
            </w:r>
            <w:r>
              <w:rPr>
                <w:rFonts w:hint="default" w:ascii="Arial" w:hAnsi="Arial" w:eastAsia="宋体" w:cs="Arial"/>
                <w:kern w:val="0"/>
                <w:szCs w:val="21"/>
                <w:lang w:bidi="ar"/>
              </w:rPr>
              <w:br w:type="textWrapping"/>
            </w:r>
            <w:r>
              <w:rPr>
                <w:rFonts w:hint="default" w:ascii="Arial" w:hAnsi="Arial" w:eastAsia="宋体" w:cs="Arial"/>
                <w:kern w:val="0"/>
                <w:szCs w:val="21"/>
                <w:lang w:bidi="ar"/>
              </w:rPr>
              <w:t>2.1.5.4  预对中长工作距离相差物镜40X （W.D. ≥2.2）</w:t>
            </w:r>
            <w:r>
              <w:rPr>
                <w:rFonts w:hint="default" w:ascii="Arial" w:hAnsi="Arial" w:eastAsia="宋体" w:cs="Arial"/>
                <w:kern w:val="0"/>
                <w:szCs w:val="21"/>
                <w:lang w:bidi="ar"/>
              </w:rPr>
              <w:br w:type="textWrapping"/>
            </w:r>
            <w:r>
              <w:rPr>
                <w:rFonts w:hint="default" w:ascii="Arial" w:hAnsi="Arial" w:eastAsia="宋体" w:cs="Arial"/>
                <w:kern w:val="0"/>
                <w:szCs w:val="21"/>
                <w:lang w:bidi="ar"/>
              </w:rPr>
              <w:t>2.1.6  载物台：备有右手用低位置同轴X、Y向传动旋钮。载物台行程：X=110mm，Y=74mm。</w:t>
            </w:r>
            <w:r>
              <w:rPr>
                <w:rFonts w:hint="default" w:ascii="Arial" w:hAnsi="Arial" w:eastAsia="宋体" w:cs="Arial"/>
                <w:kern w:val="0"/>
                <w:szCs w:val="21"/>
                <w:lang w:bidi="ar"/>
              </w:rPr>
              <w:br w:type="textWrapping"/>
            </w:r>
            <w:r>
              <w:rPr>
                <w:rFonts w:hint="default" w:ascii="Arial" w:hAnsi="Arial" w:eastAsia="宋体" w:cs="Arial"/>
                <w:kern w:val="0"/>
                <w:szCs w:val="21"/>
                <w:lang w:bidi="ar"/>
              </w:rPr>
              <w:t>2.1.7  目镜：10×，视场直径为Ф22mm</w:t>
            </w:r>
            <w:r>
              <w:rPr>
                <w:rFonts w:hint="default" w:ascii="Arial" w:hAnsi="Arial" w:eastAsia="宋体" w:cs="Arial"/>
                <w:kern w:val="0"/>
                <w:szCs w:val="21"/>
                <w:lang w:bidi="ar"/>
              </w:rPr>
              <w:br w:type="textWrapping"/>
            </w:r>
            <w:r>
              <w:rPr>
                <w:rFonts w:hint="default" w:ascii="Arial" w:hAnsi="Arial" w:eastAsia="宋体" w:cs="Arial"/>
                <w:kern w:val="0"/>
                <w:szCs w:val="21"/>
                <w:lang w:bidi="ar"/>
              </w:rPr>
              <w:t>2.1.8  备有可拆装的超长工作距离聚光镜：N.A.≥0.3，W.D.≥72mm</w:t>
            </w:r>
            <w:r>
              <w:rPr>
                <w:rFonts w:hint="default" w:ascii="Arial" w:hAnsi="Arial" w:eastAsia="宋体" w:cs="Arial"/>
                <w:kern w:val="0"/>
                <w:szCs w:val="21"/>
                <w:lang w:bidi="ar"/>
              </w:rPr>
              <w:br w:type="textWrapping"/>
            </w:r>
            <w:r>
              <w:rPr>
                <w:rFonts w:hint="default" w:ascii="Arial" w:hAnsi="Arial" w:eastAsia="宋体" w:cs="Arial"/>
                <w:kern w:val="0"/>
                <w:szCs w:val="21"/>
                <w:lang w:bidi="ar"/>
              </w:rPr>
              <w:t>2.1.9  相差系统：预对中相差环板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kern w:val="0"/>
                <w:szCs w:val="21"/>
                <w:lang w:bidi="ar"/>
              </w:rPr>
              <w:t>16</w:t>
            </w:r>
          </w:p>
        </w:tc>
        <w:tc>
          <w:tcPr>
            <w:tcW w:w="910" w:type="dxa"/>
            <w:noWrap w:val="0"/>
            <w:vAlign w:val="center"/>
          </w:tcPr>
          <w:p>
            <w:pPr>
              <w:widowControl/>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kern w:val="0"/>
                <w:szCs w:val="21"/>
                <w:lang w:bidi="ar"/>
              </w:rPr>
              <w:t>显微镜</w:t>
            </w:r>
          </w:p>
        </w:tc>
        <w:tc>
          <w:tcPr>
            <w:tcW w:w="583"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3</w:t>
            </w:r>
          </w:p>
        </w:tc>
        <w:tc>
          <w:tcPr>
            <w:tcW w:w="686"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default" w:ascii="Arial" w:hAnsi="Arial" w:eastAsia="宋体" w:cs="Arial"/>
                <w:kern w:val="0"/>
                <w:szCs w:val="21"/>
                <w:lang w:bidi="ar"/>
              </w:rPr>
              <w:t>台</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Cs w:val="21"/>
                <w:highlight w:val="none"/>
                <w:lang w:bidi="ar"/>
              </w:rPr>
            </w:pPr>
            <w:r>
              <w:rPr>
                <w:rFonts w:hint="default" w:ascii="Arial" w:hAnsi="Arial" w:eastAsia="宋体" w:cs="Arial"/>
                <w:color w:val="auto"/>
                <w:kern w:val="0"/>
                <w:szCs w:val="21"/>
                <w:highlight w:val="none"/>
                <w:lang w:bidi="ar"/>
              </w:rPr>
              <w:t>工业</w:t>
            </w:r>
          </w:p>
        </w:tc>
        <w:tc>
          <w:tcPr>
            <w:tcW w:w="6204" w:type="dxa"/>
            <w:tcBorders>
              <w:left w:val="single" w:color="auto" w:sz="4" w:space="0"/>
              <w:right w:val="single" w:color="auto" w:sz="4" w:space="0"/>
            </w:tcBorders>
            <w:noWrap w:val="0"/>
            <w:vAlign w:val="center"/>
          </w:tcPr>
          <w:p>
            <w:pPr>
              <w:widowControl/>
              <w:spacing w:after="0" w:line="288" w:lineRule="auto"/>
              <w:jc w:val="left"/>
              <w:textAlignment w:val="center"/>
              <w:rPr>
                <w:rFonts w:hint="default" w:ascii="Arial" w:hAnsi="Arial" w:eastAsia="宋体" w:cs="Arial"/>
                <w:color w:val="auto"/>
                <w:szCs w:val="21"/>
                <w:highlight w:val="none"/>
              </w:rPr>
            </w:pPr>
            <w:r>
              <w:rPr>
                <w:rFonts w:hint="default" w:ascii="Arial" w:hAnsi="Arial" w:eastAsia="宋体" w:cs="Arial"/>
                <w:kern w:val="0"/>
                <w:szCs w:val="21"/>
                <w:lang w:bidi="ar"/>
              </w:rPr>
              <w:t>1.光学系统：</w:t>
            </w:r>
            <w:r>
              <w:rPr>
                <w:rFonts w:hint="default" w:ascii="Arial" w:hAnsi="Arial" w:eastAsia="宋体" w:cs="Arial"/>
                <w:kern w:val="0"/>
                <w:szCs w:val="21"/>
                <w:lang w:bidi="ar"/>
              </w:rPr>
              <w:br w:type="textWrapping"/>
            </w:r>
            <w:r>
              <w:rPr>
                <w:rFonts w:hint="default" w:ascii="Arial" w:hAnsi="Arial" w:eastAsia="宋体" w:cs="Arial"/>
                <w:kern w:val="0"/>
                <w:szCs w:val="21"/>
                <w:lang w:bidi="ar"/>
              </w:rPr>
              <w:t>采用无限远光学系统及模块化功能设计；可升级LED荧光激发模块的倒置荧光显微镜。</w:t>
            </w:r>
            <w:r>
              <w:rPr>
                <w:rFonts w:hint="default" w:ascii="Arial" w:hAnsi="Arial" w:eastAsia="宋体" w:cs="Arial"/>
                <w:kern w:val="0"/>
                <w:szCs w:val="21"/>
                <w:lang w:bidi="ar"/>
              </w:rPr>
              <w:br w:type="textWrapping"/>
            </w:r>
            <w:r>
              <w:rPr>
                <w:rFonts w:hint="default" w:ascii="Arial" w:hAnsi="Arial" w:eastAsia="宋体" w:cs="Arial"/>
                <w:b w:val="0"/>
                <w:bCs w:val="0"/>
                <w:kern w:val="0"/>
                <w:szCs w:val="21"/>
                <w:lang w:bidi="ar"/>
              </w:rPr>
              <w:t>2.目镜和物镜参数：</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广角平场10X目镜：视场直径Ф22mm，双目屈光度均可以调节</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配置平场消色差物镜和相差物镜：</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 xml:space="preserve">PLL 4X0.25 PH  工作距离：5.6 mm   </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 xml:space="preserve">PLL 10X0.25 PH工作距离：4.3 mm  </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PLL 20X0.40 PH  工作距离：8.0 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PLL 40X0.60 工作距离：3.5 mm</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3.目镜筒：</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铰链式三目，倾斜≥45°,瞳距调节范围53~75mm，目镜筒视度可调。</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4.透射照明系统：</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 xml:space="preserve">1）6V9WLED灯 ，亮度可调  </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 xml:space="preserve">2）推拉板式相差聚光镜，推拉板式相差环板，3孔，一孔为明场，另外两孔集成10X+20X、40X 的2个相差装置，预对中，工作距离55mm </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5.调焦机构：粗微动同轴调焦, 微动格值:2μm,带锁紧和限位装置</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6.物镜转换器：五孔(内向式滚珠内定位)</w:t>
            </w:r>
            <w:r>
              <w:rPr>
                <w:rFonts w:hint="default" w:ascii="Arial" w:hAnsi="Arial" w:eastAsia="宋体" w:cs="Arial"/>
                <w:b w:val="0"/>
                <w:bCs w:val="0"/>
                <w:kern w:val="0"/>
                <w:szCs w:val="21"/>
                <w:lang w:bidi="ar"/>
              </w:rPr>
              <w:br w:type="textWrapping"/>
            </w:r>
            <w:r>
              <w:rPr>
                <w:rFonts w:hint="default" w:ascii="Arial" w:hAnsi="Arial" w:eastAsia="宋体" w:cs="Arial"/>
                <w:b w:val="0"/>
                <w:bCs w:val="0"/>
                <w:kern w:val="0"/>
                <w:szCs w:val="21"/>
                <w:lang w:bidi="ar"/>
              </w:rPr>
              <w:t>7.相机端口：相当于第三目，位于机身左下方，而非目镜前方，避免操作时被相机挡住载物台视野。</w:t>
            </w:r>
            <w:r>
              <w:rPr>
                <w:rFonts w:hint="default" w:ascii="Arial" w:hAnsi="Arial" w:eastAsia="宋体" w:cs="Arial"/>
                <w:b/>
                <w:bCs/>
                <w:kern w:val="0"/>
                <w:szCs w:val="21"/>
                <w:lang w:bidi="ar"/>
              </w:rPr>
              <w:br w:type="textWrapping"/>
            </w:r>
            <w:r>
              <w:rPr>
                <w:rFonts w:hint="default" w:ascii="Arial" w:hAnsi="Arial" w:eastAsia="宋体" w:cs="Arial"/>
                <w:kern w:val="0"/>
                <w:szCs w:val="21"/>
                <w:lang w:bidi="ar"/>
              </w:rPr>
              <w:t>8.载物台：</w:t>
            </w:r>
            <w:r>
              <w:rPr>
                <w:rFonts w:hint="default" w:ascii="Arial" w:hAnsi="Arial" w:eastAsia="宋体" w:cs="Arial"/>
                <w:kern w:val="0"/>
                <w:szCs w:val="21"/>
                <w:lang w:bidi="ar"/>
              </w:rPr>
              <w:br w:type="textWrapping"/>
            </w:r>
            <w:r>
              <w:rPr>
                <w:rFonts w:hint="default" w:ascii="Arial" w:hAnsi="Arial" w:eastAsia="宋体" w:cs="Arial"/>
                <w:kern w:val="0"/>
                <w:szCs w:val="21"/>
                <w:lang w:bidi="ar"/>
              </w:rPr>
              <w:t>固定载物台尺寸：≥227mmX208mm，移动范围：纵向≥77mm，横向≥114mm；</w:t>
            </w:r>
            <w:r>
              <w:rPr>
                <w:rFonts w:hint="default" w:ascii="Arial" w:hAnsi="Arial" w:eastAsia="宋体" w:cs="Arial"/>
                <w:kern w:val="0"/>
                <w:szCs w:val="21"/>
                <w:lang w:bidi="ar"/>
              </w:rPr>
              <w:br w:type="textWrapping"/>
            </w:r>
            <w:r>
              <w:rPr>
                <w:rFonts w:hint="default" w:ascii="Arial" w:hAnsi="Arial" w:eastAsia="宋体" w:cs="Arial"/>
                <w:kern w:val="0"/>
                <w:szCs w:val="21"/>
                <w:lang w:bidi="ar"/>
              </w:rPr>
              <w:t>9.载物台适配器</w:t>
            </w:r>
            <w:r>
              <w:rPr>
                <w:rFonts w:hint="default" w:ascii="Arial" w:hAnsi="Arial" w:eastAsia="宋体" w:cs="Arial"/>
                <w:kern w:val="0"/>
                <w:szCs w:val="21"/>
                <w:lang w:bidi="ar"/>
              </w:rPr>
              <w:br w:type="textWrapping"/>
            </w:r>
            <w:r>
              <w:rPr>
                <w:rFonts w:hint="default" w:ascii="Arial" w:hAnsi="Arial" w:eastAsia="宋体" w:cs="Arial"/>
                <w:kern w:val="0"/>
                <w:szCs w:val="21"/>
                <w:lang w:bidi="ar"/>
              </w:rPr>
              <w:t>培养皿托板一：内槽尺寸：≥86mm（宽）*129.5mm（长），</w:t>
            </w:r>
            <w:r>
              <w:rPr>
                <w:rFonts w:hint="default" w:ascii="Arial" w:hAnsi="Arial" w:eastAsia="宋体" w:cs="Arial"/>
                <w:kern w:val="0"/>
                <w:szCs w:val="21"/>
                <w:lang w:bidi="ar"/>
              </w:rPr>
              <w:br w:type="textWrapping"/>
            </w:r>
            <w:r>
              <w:rPr>
                <w:rFonts w:hint="default" w:ascii="Arial" w:hAnsi="Arial" w:eastAsia="宋体" w:cs="Arial"/>
                <w:kern w:val="0"/>
                <w:szCs w:val="21"/>
                <w:lang w:bidi="ar"/>
              </w:rPr>
              <w:t>培养皿托板二：内槽尺寸：≥34mm（宽）*77.5mm（长），</w:t>
            </w:r>
            <w:r>
              <w:rPr>
                <w:rFonts w:hint="default" w:ascii="Arial" w:hAnsi="Arial" w:eastAsia="宋体" w:cs="Arial"/>
                <w:kern w:val="0"/>
                <w:szCs w:val="21"/>
                <w:lang w:bidi="ar"/>
              </w:rPr>
              <w:br w:type="textWrapping"/>
            </w:r>
            <w:r>
              <w:rPr>
                <w:rFonts w:hint="default" w:ascii="Arial" w:hAnsi="Arial" w:eastAsia="宋体" w:cs="Arial"/>
                <w:kern w:val="0"/>
                <w:szCs w:val="21"/>
                <w:lang w:bidi="ar"/>
              </w:rPr>
              <w:t>培养皿托板三：内槽尺寸：≥57mm（宽）*82mm（长）</w:t>
            </w:r>
            <w:r>
              <w:rPr>
                <w:rFonts w:hint="default" w:ascii="Arial" w:hAnsi="Arial" w:eastAsia="宋体" w:cs="Arial"/>
                <w:kern w:val="0"/>
                <w:szCs w:val="21"/>
                <w:lang w:bidi="ar"/>
              </w:rPr>
              <w:br w:type="textWrapping"/>
            </w:r>
            <w:r>
              <w:rPr>
                <w:rFonts w:hint="default" w:ascii="Arial" w:hAnsi="Arial" w:eastAsia="宋体" w:cs="Arial"/>
                <w:kern w:val="0"/>
                <w:szCs w:val="21"/>
                <w:lang w:bidi="ar"/>
              </w:rPr>
              <w:t xml:space="preserve">培养皿托板四：内槽尺寸：≥29mm（宽）*77.5mm（长） </w:t>
            </w:r>
            <w:r>
              <w:rPr>
                <w:rFonts w:hint="default" w:ascii="Arial" w:hAnsi="Arial" w:eastAsia="宋体" w:cs="Arial"/>
                <w:kern w:val="0"/>
                <w:szCs w:val="21"/>
                <w:lang w:bidi="ar"/>
              </w:rPr>
              <w:br w:type="textWrapping"/>
            </w:r>
            <w:r>
              <w:rPr>
                <w:rFonts w:hint="default" w:ascii="Arial" w:hAnsi="Arial" w:eastAsia="宋体" w:cs="Arial"/>
                <w:kern w:val="0"/>
                <w:szCs w:val="21"/>
                <w:lang w:bidi="ar"/>
              </w:rPr>
              <w:t>10.全金属机身，而非塑料，结构扎实稳定。</w:t>
            </w:r>
          </w:p>
        </w:tc>
      </w:tr>
    </w:tbl>
    <w:p>
      <w:pPr>
        <w:spacing w:line="300" w:lineRule="auto"/>
        <w:rPr>
          <w:rFonts w:ascii="Arial" w:hAnsi="Arial" w:eastAsia="宋体" w:cs="Arial"/>
          <w:b/>
          <w:color w:val="auto"/>
          <w:kern w:val="0"/>
          <w:szCs w:val="21"/>
          <w:highlight w:val="none"/>
        </w:rPr>
      </w:pPr>
      <w:r>
        <w:rPr>
          <w:rFonts w:ascii="Arial" w:hAnsi="Arial" w:eastAsia="宋体" w:cs="Arial"/>
          <w:b/>
          <w:color w:val="auto"/>
          <w:kern w:val="0"/>
          <w:sz w:val="24"/>
          <w:highlight w:val="none"/>
        </w:rPr>
        <w:t>三、商务要求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1．报价要求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2.合同签订日期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i/>
          <w:color w:val="auto"/>
          <w:szCs w:val="21"/>
          <w:highlight w:val="none"/>
        </w:rPr>
      </w:pPr>
      <w:r>
        <w:rPr>
          <w:rFonts w:ascii="Arial" w:hAnsi="Arial" w:eastAsia="宋体" w:cs="Arial"/>
          <w:color w:val="auto"/>
          <w:szCs w:val="21"/>
          <w:highlight w:val="none"/>
        </w:rPr>
        <w:t>成交通知书发出后25日内。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3.交货（实施）时间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b/>
          <w:bCs/>
          <w:color w:val="auto"/>
          <w:szCs w:val="21"/>
          <w:highlight w:val="none"/>
        </w:rPr>
      </w:pPr>
      <w:r>
        <w:rPr>
          <w:rFonts w:ascii="Arial" w:hAnsi="Arial" w:eastAsia="宋体" w:cs="Arial"/>
          <w:b/>
          <w:bCs/>
          <w:color w:val="auto"/>
          <w:kern w:val="0"/>
          <w:szCs w:val="21"/>
          <w:highlight w:val="none"/>
        </w:rPr>
        <w:t>自签订合同之日起30个日历日内交货并完成安装调试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4.交货地点或服务地点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桂林</w:t>
      </w:r>
      <w:r>
        <w:rPr>
          <w:rFonts w:hint="eastAsia" w:ascii="Arial" w:hAnsi="Arial" w:eastAsia="宋体" w:cs="Arial"/>
          <w:color w:val="auto"/>
          <w:szCs w:val="21"/>
          <w:highlight w:val="none"/>
        </w:rPr>
        <w:t>医科大学校内</w:t>
      </w:r>
      <w:r>
        <w:rPr>
          <w:rFonts w:ascii="Arial" w:hAnsi="Arial" w:eastAsia="宋体" w:cs="Arial"/>
          <w:color w:val="auto"/>
          <w:szCs w:val="21"/>
          <w:highlight w:val="none"/>
        </w:rPr>
        <w:t>采购人指定地点。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5.验收标准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6.服务标准、期限、效率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6.1成交供应商在质量保证期内应当为采购人提供以下技术支持和服务：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6.1.1电话咨询</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成交供应商应当为采购人提供技术援助电话，解答采购人在使用中遇到的问题，及时为采购人提出解决问题的建议。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6.1.2现场响应</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采购人遇到使用或技术问题，电话咨询不能解决的，成交供应商应在4小时内到达现场进行处理，到达现场后4小时内排除故障，恢复正常使用。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6.1.3技术升级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在质保期内，如果成交供应商的产品或服务升级，成交供应商应及时通知采购人，如采购人有相应要求，成交供应商应对采购人购买的产品或服务进行升级。质保期外的升级服务只收取配件成本费。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7.培训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8.付款方式、时间及条件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9.履约保证金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10.包装和运输要求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运输要求详见采购文件合同主要条款格式部分。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11.售后服务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11.2 质量保证期：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成交供应商应明确承诺采购文件采购需求部分如无特别要求，则质保期为自验收合格之日起一年，采购文件采购需求部分有特别要求的则以技术参数要求表为准。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11.3成交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11.4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11.5质量保证期内的费用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质量保证期内供应商为采购人所提供的所有技术支持和服务费用以及上门维修、更换零部件费用均包含在响应报价中，采购人不再另行支付。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11.6质保期过后的服务要求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电话咨询：产品质量保证期过后，成交供应商应当为采购人提供技术援助电话，解答采购人在使用中遇到的问题，及时为采购人提出解决问题的建议，并不予收费。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12.保险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供应商负责办理运输和保险，将货物运抵交货地点。与运输、保险相关的费用由供应商承担。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三、其他要求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1、其他未尽事宜由采购人和成交供应商在采购合同中详细约定。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2、供应商于响应文件中对所投本项目产品的技术参数要求作出真实、有效的响应和承诺。所提供的产品必须为原装正品的、全新的、完好无破损且为未开箱状态、符合有关质量标准的产品；设备到货安装前，采购人现场根据采购文件要求及响应文件承诺逐条对应进行核验，核验不合格的，采购人有权终止合同执行并全部退货，同时报相关监督管理部门处理，由此造成采购人经济损失的由成交供应商负责承担全部赔偿责任。</w:t>
      </w:r>
    </w:p>
    <w:p>
      <w:pPr>
        <w:spacing w:line="312" w:lineRule="auto"/>
        <w:ind w:firstLine="210" w:firstLineChars="100"/>
        <w:rPr>
          <w:rFonts w:ascii="Arial" w:hAnsi="Arial" w:eastAsia="宋体" w:cs="Arial"/>
          <w:color w:val="auto"/>
          <w:szCs w:val="21"/>
          <w:highlight w:val="none"/>
        </w:rPr>
      </w:pPr>
      <w:r>
        <w:rPr>
          <w:color w:val="auto"/>
          <w:szCs w:val="21"/>
          <w:highlight w:val="none"/>
        </w:rPr>
        <w:br w:type="page"/>
      </w:r>
      <w:r>
        <w:rPr>
          <w:rFonts w:ascii="Arial" w:hAnsi="Arial" w:eastAsia="宋体" w:cs="Arial"/>
          <w:color w:val="auto"/>
          <w:szCs w:val="21"/>
          <w:highlight w:val="none"/>
        </w:rPr>
        <w:t xml:space="preserve">附件1：             </w:t>
      </w:r>
    </w:p>
    <w:p>
      <w:pPr>
        <w:spacing w:line="528" w:lineRule="exact"/>
        <w:ind w:firstLine="210" w:firstLineChars="100"/>
        <w:jc w:val="center"/>
        <w:rPr>
          <w:rFonts w:ascii="Arial" w:hAnsi="Arial" w:eastAsia="宋体" w:cs="Arial"/>
          <w:color w:val="auto"/>
          <w:szCs w:val="21"/>
          <w:highlight w:val="none"/>
        </w:rPr>
      </w:pPr>
      <w:r>
        <w:rPr>
          <w:rFonts w:ascii="Arial" w:hAnsi="Arial" w:eastAsia="宋体" w:cs="Arial"/>
          <w:color w:val="auto"/>
          <w:szCs w:val="21"/>
          <w:highlight w:val="none"/>
        </w:rPr>
        <w:t>中小微企业划型标准</w:t>
      </w:r>
    </w:p>
    <w:tbl>
      <w:tblPr>
        <w:tblStyle w:val="23"/>
        <w:tblW w:w="9038" w:type="dxa"/>
        <w:tblInd w:w="250" w:type="dxa"/>
        <w:tblLayout w:type="fixed"/>
        <w:tblCellMar>
          <w:top w:w="0" w:type="dxa"/>
          <w:left w:w="108" w:type="dxa"/>
          <w:bottom w:w="0" w:type="dxa"/>
          <w:right w:w="108" w:type="dxa"/>
        </w:tblCellMar>
      </w:tblPr>
      <w:tblGrid>
        <w:gridCol w:w="1446"/>
        <w:gridCol w:w="1701"/>
        <w:gridCol w:w="866"/>
        <w:gridCol w:w="2114"/>
        <w:gridCol w:w="1861"/>
        <w:gridCol w:w="1050"/>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指标名称</w:t>
            </w:r>
          </w:p>
        </w:tc>
        <w:tc>
          <w:tcPr>
            <w:tcW w:w="866"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计量单位</w:t>
            </w:r>
          </w:p>
        </w:tc>
        <w:tc>
          <w:tcPr>
            <w:tcW w:w="2114"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中型</w:t>
            </w:r>
          </w:p>
        </w:tc>
        <w:tc>
          <w:tcPr>
            <w:tcW w:w="1861"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小型</w:t>
            </w:r>
          </w:p>
        </w:tc>
        <w:tc>
          <w:tcPr>
            <w:tcW w:w="1050"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500≤Y＜20000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50≤Y＜500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2000≤Y＜40000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300≤Y＜2000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6000≤Y＜80000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300≤Y＜6000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5000≤Z＜80000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300≤Z＜5000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ind w:firstLine="315" w:firstLineChars="150"/>
              <w:rPr>
                <w:rFonts w:ascii="Arial" w:hAnsi="Arial" w:eastAsia="宋体" w:cs="Arial"/>
                <w:color w:val="auto"/>
                <w:szCs w:val="21"/>
                <w:highlight w:val="none"/>
              </w:rPr>
            </w:pPr>
            <w:r>
              <w:rPr>
                <w:rFonts w:ascii="Arial" w:hAnsi="Arial" w:eastAsia="宋体" w:cs="Arial"/>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20≤X＜200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5≤X＜20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5000≤Y＜40000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1000≤Y＜5000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10≤X＜50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500≤Y＜20000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100≤Y＜500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3000≤Y＜30000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200≤Y＜3000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Y＜200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100≤X＜200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1000≤Y＜30000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2000≤Y＜30000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2000≤Y＜10000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2000≤Y＜10000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100≤X＜2000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1000≤Y＜100000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1000≤Y＜10000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50≤Y＜1000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1000≤Y＜200000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5000≤Z＜10000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2000≤Y＜5000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1000≤Y＜5000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8000≤Z＜120000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100≤Z＜8000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bl>
    <w:p>
      <w:pPr>
        <w:snapToGrid w:val="0"/>
        <w:spacing w:line="300"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line="300"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br w:type="page"/>
      </w:r>
      <w:r>
        <w:rPr>
          <w:rFonts w:ascii="Arial" w:hAnsi="Arial" w:eastAsia="宋体" w:cs="Arial"/>
          <w:color w:val="auto"/>
          <w:szCs w:val="21"/>
          <w:highlight w:val="none"/>
        </w:rPr>
        <w:t>附件2</w:t>
      </w:r>
    </w:p>
    <w:p>
      <w:pPr>
        <w:snapToGrid w:val="0"/>
        <w:spacing w:line="300" w:lineRule="auto"/>
        <w:ind w:firstLine="525" w:firstLineChars="250"/>
        <w:rPr>
          <w:rFonts w:ascii="Arial" w:hAnsi="Arial" w:eastAsia="宋体" w:cs="Arial"/>
          <w:color w:val="auto"/>
          <w:szCs w:val="21"/>
          <w:highlight w:val="none"/>
        </w:rPr>
        <w:sectPr>
          <w:footerReference r:id="rId8" w:type="first"/>
          <w:footerReference r:id="rId7" w:type="default"/>
          <w:type w:val="continuous"/>
          <w:pgSz w:w="11906" w:h="16838"/>
          <w:pgMar w:top="1134" w:right="1249" w:bottom="1134" w:left="1417" w:header="720" w:footer="720" w:gutter="0"/>
          <w:cols w:space="720" w:num="1"/>
          <w:titlePg/>
          <w:docGrid w:type="linesAndChars" w:linePitch="331" w:charSpace="0"/>
        </w:sectPr>
      </w:pPr>
      <w:r>
        <w:rPr>
          <w:color w:val="auto"/>
          <w:highlight w:val="none"/>
        </w:rPr>
        <w:drawing>
          <wp:inline distT="0" distB="0" distL="114300" distR="114300">
            <wp:extent cx="5499735" cy="7515860"/>
            <wp:effectExtent l="0" t="0" r="571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rcRect l="1321" t="7503"/>
                    <a:stretch>
                      <a:fillRect/>
                    </a:stretch>
                  </pic:blipFill>
                  <pic:spPr>
                    <a:xfrm>
                      <a:off x="0" y="0"/>
                      <a:ext cx="5499735" cy="7515860"/>
                    </a:xfrm>
                    <a:prstGeom prst="rect">
                      <a:avLst/>
                    </a:prstGeom>
                    <a:noFill/>
                    <a:ln>
                      <a:noFill/>
                    </a:ln>
                  </pic:spPr>
                </pic:pic>
              </a:graphicData>
            </a:graphic>
          </wp:inline>
        </w:drawing>
      </w:r>
    </w:p>
    <w:p>
      <w:pPr>
        <w:pStyle w:val="3"/>
        <w:snapToGrid w:val="0"/>
        <w:spacing w:before="0" w:after="0" w:line="240" w:lineRule="auto"/>
        <w:jc w:val="center"/>
        <w:rPr>
          <w:rFonts w:ascii="宋体" w:hAnsi="宋体" w:cs="宋体"/>
          <w:color w:val="auto"/>
          <w:szCs w:val="21"/>
          <w:highlight w:val="none"/>
        </w:rPr>
      </w:pPr>
      <w:r>
        <w:rPr>
          <w:rFonts w:ascii="Arial" w:hAnsi="Arial" w:cs="Arial"/>
          <w:b w:val="0"/>
          <w:color w:val="auto"/>
          <w:szCs w:val="21"/>
          <w:highlight w:val="none"/>
        </w:rPr>
        <w:br w:type="page"/>
      </w:r>
      <w:bookmarkStart w:id="23" w:name="_Toc2014"/>
      <w:bookmarkStart w:id="24" w:name="_Toc23090"/>
      <w:r>
        <w:rPr>
          <w:rFonts w:hint="eastAsia"/>
          <w:color w:val="auto"/>
          <w:highlight w:val="none"/>
        </w:rPr>
        <w:t>第四章  评审办法</w:t>
      </w:r>
      <w:bookmarkEnd w:id="23"/>
      <w:bookmarkEnd w:id="24"/>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一、评审依据</w:t>
      </w:r>
    </w:p>
    <w:p>
      <w:pPr>
        <w:pStyle w:val="13"/>
        <w:spacing w:line="380" w:lineRule="exact"/>
        <w:ind w:firstLine="420" w:firstLineChars="200"/>
        <w:rPr>
          <w:rFonts w:ascii="Arial" w:hAnsi="Arial" w:cs="Arial"/>
          <w:bCs/>
          <w:color w:val="auto"/>
          <w:highlight w:val="none"/>
        </w:rPr>
      </w:pPr>
      <w:r>
        <w:rPr>
          <w:rFonts w:ascii="Arial" w:hAnsi="Arial" w:cs="Arial"/>
          <w:bCs/>
          <w:color w:val="auto"/>
          <w:highlight w:val="none"/>
        </w:rPr>
        <w:t>1. 评审依据：谈判小组以谈判文件和响应文件为评审依据。</w:t>
      </w:r>
    </w:p>
    <w:p>
      <w:pPr>
        <w:pStyle w:val="13"/>
        <w:spacing w:line="380" w:lineRule="exact"/>
        <w:ind w:firstLine="420" w:firstLineChars="200"/>
        <w:rPr>
          <w:rFonts w:ascii="Arial" w:hAnsi="Arial" w:cs="Arial"/>
          <w:bCs/>
          <w:color w:val="auto"/>
          <w:highlight w:val="none"/>
        </w:rPr>
      </w:pPr>
      <w:r>
        <w:rPr>
          <w:rFonts w:ascii="Arial" w:hAnsi="Arial" w:cs="Arial"/>
          <w:bCs/>
          <w:color w:val="auto"/>
          <w:highlight w:val="none"/>
        </w:rPr>
        <w:t>2. 采购人和采购代理机构、竞争性谈判小组成员要严格遵守相关法律制度，依法履行各自职责，公正、客观、审慎地组织和参与评审工作。</w:t>
      </w:r>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二、评审办法</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1.谈判小组应当从质量和服务均能满足竞争性谈判文件全部实质性响应要求的供应商中，按照评审报价由低到高顺序提出3名以上（含3名）成交候选人。</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2.评审时，应当将通过资格性审查和符合性审查各供应商的评审报价，按照由低到高顺序排序；</w:t>
      </w:r>
    </w:p>
    <w:p>
      <w:pPr>
        <w:pStyle w:val="13"/>
        <w:spacing w:line="380" w:lineRule="exact"/>
        <w:ind w:firstLine="420" w:firstLineChars="200"/>
        <w:rPr>
          <w:rFonts w:hint="eastAsia" w:ascii="Arial" w:hAnsi="Arial" w:cs="Arial"/>
          <w:color w:val="auto"/>
          <w:szCs w:val="21"/>
          <w:highlight w:val="none"/>
        </w:rPr>
      </w:pPr>
      <w:r>
        <w:rPr>
          <w:rFonts w:ascii="Arial" w:hAnsi="Arial" w:cs="Arial"/>
          <w:color w:val="auto"/>
          <w:szCs w:val="21"/>
          <w:highlight w:val="none"/>
        </w:rPr>
        <w:t>提供相同品牌产品的不同</w:t>
      </w:r>
      <w:r>
        <w:rPr>
          <w:rFonts w:hint="eastAsia" w:ascii="Arial" w:hAnsi="Arial" w:cs="Arial"/>
          <w:color w:val="auto"/>
          <w:szCs w:val="21"/>
          <w:highlight w:val="none"/>
        </w:rPr>
        <w:t>供应商</w:t>
      </w:r>
      <w:r>
        <w:rPr>
          <w:rFonts w:ascii="Arial" w:hAnsi="Arial" w:cs="Arial"/>
          <w:color w:val="auto"/>
          <w:szCs w:val="21"/>
          <w:highlight w:val="none"/>
        </w:rPr>
        <w:t>参加同一合同项下</w:t>
      </w:r>
      <w:r>
        <w:rPr>
          <w:rFonts w:hint="eastAsia" w:ascii="Arial" w:hAnsi="Arial" w:cs="Arial"/>
          <w:color w:val="auto"/>
          <w:szCs w:val="21"/>
          <w:highlight w:val="none"/>
        </w:rPr>
        <w:t>谈判</w:t>
      </w:r>
      <w:r>
        <w:rPr>
          <w:rFonts w:ascii="Arial" w:hAnsi="Arial" w:cs="Arial"/>
          <w:color w:val="auto"/>
          <w:szCs w:val="21"/>
          <w:highlight w:val="none"/>
        </w:rPr>
        <w:t>的，以其中通过资格审查、符合性审查</w:t>
      </w:r>
      <w:r>
        <w:rPr>
          <w:rFonts w:hint="eastAsia" w:ascii="Arial" w:hAnsi="Arial" w:cs="Arial"/>
          <w:color w:val="auto"/>
          <w:szCs w:val="21"/>
          <w:highlight w:val="none"/>
        </w:rPr>
        <w:t>、谈判</w:t>
      </w:r>
      <w:r>
        <w:rPr>
          <w:rFonts w:ascii="Arial" w:hAnsi="Arial" w:cs="Arial"/>
          <w:color w:val="auto"/>
          <w:szCs w:val="21"/>
          <w:highlight w:val="none"/>
        </w:rPr>
        <w:t>且</w:t>
      </w:r>
      <w:r>
        <w:rPr>
          <w:rFonts w:hint="eastAsia" w:ascii="Arial" w:hAnsi="Arial" w:cs="Arial"/>
          <w:color w:val="auto"/>
          <w:szCs w:val="21"/>
          <w:highlight w:val="none"/>
        </w:rPr>
        <w:t>最后</w:t>
      </w:r>
      <w:r>
        <w:rPr>
          <w:rFonts w:ascii="Arial" w:hAnsi="Arial" w:cs="Arial"/>
          <w:color w:val="auto"/>
          <w:szCs w:val="21"/>
          <w:highlight w:val="none"/>
        </w:rPr>
        <w:t>报价最低的参加</w:t>
      </w:r>
      <w:r>
        <w:rPr>
          <w:rFonts w:hint="eastAsia" w:ascii="Arial" w:hAnsi="Arial" w:cs="Arial"/>
          <w:color w:val="auto"/>
          <w:szCs w:val="21"/>
          <w:highlight w:val="none"/>
        </w:rPr>
        <w:t>报价</w:t>
      </w:r>
      <w:r>
        <w:rPr>
          <w:rFonts w:ascii="Arial" w:hAnsi="Arial" w:cs="Arial"/>
          <w:color w:val="auto"/>
          <w:szCs w:val="21"/>
          <w:highlight w:val="none"/>
        </w:rPr>
        <w:t>评审，</w:t>
      </w:r>
      <w:r>
        <w:rPr>
          <w:rFonts w:hint="eastAsia" w:ascii="Arial" w:hAnsi="Arial" w:cs="Arial"/>
          <w:color w:val="auto"/>
          <w:szCs w:val="21"/>
          <w:highlight w:val="none"/>
        </w:rPr>
        <w:t>最后</w:t>
      </w:r>
      <w:r>
        <w:rPr>
          <w:rFonts w:ascii="Arial" w:hAnsi="Arial" w:cs="Arial"/>
          <w:color w:val="auto"/>
          <w:szCs w:val="21"/>
          <w:highlight w:val="none"/>
        </w:rPr>
        <w:t>报价相同的，</w:t>
      </w:r>
      <w:r>
        <w:rPr>
          <w:rFonts w:hint="eastAsia" w:ascii="Arial" w:hAnsi="Arial" w:cs="Arial"/>
          <w:color w:val="auto"/>
          <w:szCs w:val="21"/>
          <w:highlight w:val="none"/>
        </w:rPr>
        <w:t>由采购人或者采购人委托谈判小组按照竞争性谈判文件规定的方式确定一个参加评审的供应商，竞争性谈判文件未规定的采取随机抽取方式确定，其他响应文件作无效处理。</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非单一产品采购项目，多家供应商提供的核心产品品牌相同的，按前款规定处理。</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除以上情况外，当评审报价相同时，以最后报价低的优先排序；当最后报价相同时，则依次按节能环保产品优先、技术指标高优先、售后服务优先原则排序。</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3.评审报价为供应商的最后报价进行政策性扣除后的价格，评审报价只是作为评审时使用。最终成交供应商的成交金额等于最后报价。</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4.政策性扣除计算方法：</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1）根据《政府采购促进中小企业发展管理办法》（财库〔2020〕46号）规定，供应商在其响应文件中提供《中小企业声明函》，且其投标全部货物由小微企业制造的，对其最后报价给予10%的扣除，用扣除后的价格参加评审，扣除后的价格为评审报价，即评审报价=最后报价×（1-10%）。</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（4）除上述情况外，评审报价=最后报价。</w:t>
      </w:r>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三、成交候选人确定原则</w:t>
      </w:r>
    </w:p>
    <w:p>
      <w:pPr>
        <w:pStyle w:val="13"/>
        <w:tabs>
          <w:tab w:val="left" w:pos="4214"/>
        </w:tabs>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（1）采购单位应当确定谈判小组推荐排名第一的成交候选人为成交供应商。</w:t>
      </w:r>
    </w:p>
    <w:p>
      <w:pPr>
        <w:pStyle w:val="13"/>
        <w:spacing w:line="380" w:lineRule="exact"/>
        <w:ind w:firstLine="447" w:firstLineChars="213"/>
        <w:rPr>
          <w:rFonts w:ascii="Arial" w:hAnsi="Arial" w:cs="Arial"/>
          <w:color w:val="auto"/>
          <w:szCs w:val="21"/>
          <w:highlight w:val="none"/>
        </w:rPr>
      </w:pPr>
      <w:r>
        <w:rPr>
          <w:rFonts w:ascii="Arial" w:hAnsi="Arial"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pPr>
        <w:pStyle w:val="13"/>
        <w:adjustRightInd w:val="0"/>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（3）排名第二的成交候选人因前款规定的同样原因不能签订合同的，采购单位可以确定排名第三的成交候选人为成交供应商。</w:t>
      </w:r>
    </w:p>
    <w:p>
      <w:pPr>
        <w:pStyle w:val="3"/>
        <w:snapToGrid w:val="0"/>
        <w:spacing w:before="0" w:after="0" w:line="360" w:lineRule="auto"/>
        <w:jc w:val="center"/>
        <w:rPr>
          <w:rFonts w:ascii="Arial" w:hAnsi="Arial" w:cs="Arial"/>
          <w:color w:val="auto"/>
          <w:highlight w:val="none"/>
        </w:rPr>
      </w:pPr>
      <w:r>
        <w:rPr>
          <w:rFonts w:ascii="Arial" w:hAnsi="Arial" w:cs="Arial"/>
          <w:b w:val="0"/>
          <w:color w:val="auto"/>
          <w:highlight w:val="none"/>
        </w:rPr>
        <w:br w:type="page"/>
      </w:r>
      <w:bookmarkStart w:id="25" w:name="_Toc18801"/>
      <w:bookmarkStart w:id="26" w:name="_Toc16567"/>
      <w:r>
        <w:rPr>
          <w:rFonts w:ascii="Arial" w:hAnsi="Arial" w:cs="Arial"/>
          <w:bCs w:val="0"/>
          <w:color w:val="auto"/>
          <w:highlight w:val="none"/>
        </w:rPr>
        <w:t>第五章  政府采购合同（合同主要条款及格式）</w:t>
      </w:r>
      <w:bookmarkEnd w:id="25"/>
      <w:bookmarkEnd w:id="26"/>
    </w:p>
    <w:p>
      <w:pPr>
        <w:spacing w:before="120"/>
        <w:ind w:firstLine="420" w:firstLineChars="20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广西壮族自治区政府采购合同</w:t>
      </w:r>
    </w:p>
    <w:p>
      <w:pPr>
        <w:spacing w:before="120"/>
        <w:ind w:firstLine="420" w:firstLineChars="200"/>
        <w:jc w:val="center"/>
        <w:rPr>
          <w:rFonts w:hint="eastAsia" w:ascii="宋体" w:hAnsi="宋体" w:eastAsia="宋体" w:cs="宋体"/>
          <w:b/>
          <w:bCs/>
          <w:color w:val="auto"/>
          <w:kern w:val="0"/>
          <w:szCs w:val="21"/>
          <w:highlight w:val="none"/>
        </w:rPr>
      </w:pPr>
    </w:p>
    <w:p>
      <w:pPr>
        <w:snapToGrid w:val="0"/>
        <w:spacing w:line="288" w:lineRule="auto"/>
        <w:ind w:right="480" w:firstLine="5250" w:firstLineChars="25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合同编号：</w:t>
      </w:r>
    </w:p>
    <w:p>
      <w:pPr>
        <w:snapToGrid w:val="0"/>
        <w:spacing w:line="288" w:lineRule="auto"/>
        <w:rPr>
          <w:rFonts w:ascii="Arial" w:hAnsi="Arial" w:eastAsia="宋体" w:cs="Arial"/>
          <w:color w:val="auto"/>
          <w:kern w:val="0"/>
          <w:szCs w:val="21"/>
          <w:highlight w:val="none"/>
        </w:rPr>
      </w:pPr>
      <w:r>
        <w:rPr>
          <w:rFonts w:ascii="Arial" w:hAnsi="Arial" w:eastAsia="宋体" w:cs="Arial"/>
          <w:color w:val="auto"/>
          <w:szCs w:val="21"/>
          <w:highlight w:val="none"/>
        </w:rPr>
        <w:t>采购单位（甲方）</w:t>
      </w:r>
      <w:r>
        <w:rPr>
          <w:rFonts w:hint="eastAsia" w:ascii="Arial" w:hAnsi="Arial" w:eastAsia="宋体" w:cs="Arial"/>
          <w:color w:val="auto"/>
          <w:kern w:val="0"/>
          <w:szCs w:val="21"/>
          <w:highlight w:val="none"/>
          <w:u w:val="single"/>
        </w:rPr>
        <w:t>桂林医科大学</w:t>
      </w:r>
      <w:r>
        <w:rPr>
          <w:rFonts w:ascii="Arial" w:hAnsi="Arial" w:eastAsia="宋体" w:cs="Arial"/>
          <w:color w:val="auto"/>
          <w:kern w:val="0"/>
          <w:szCs w:val="21"/>
          <w:highlight w:val="none"/>
        </w:rPr>
        <w:t xml:space="preserve">                       </w:t>
      </w:r>
      <w:r>
        <w:rPr>
          <w:rFonts w:ascii="Arial" w:hAnsi="Arial" w:eastAsia="宋体" w:cs="Arial"/>
          <w:color w:val="auto"/>
          <w:spacing w:val="-20"/>
          <w:szCs w:val="21"/>
          <w:highlight w:val="none"/>
        </w:rPr>
        <w:t>采 购 计 划 号：</w:t>
      </w:r>
    </w:p>
    <w:p>
      <w:pPr>
        <w:snapToGrid w:val="0"/>
        <w:spacing w:line="288" w:lineRule="auto"/>
        <w:rPr>
          <w:rFonts w:ascii="Arial" w:hAnsi="Arial" w:eastAsia="宋体" w:cs="Arial"/>
          <w:color w:val="auto"/>
          <w:szCs w:val="21"/>
          <w:highlight w:val="none"/>
          <w:u w:val="single"/>
        </w:rPr>
      </w:pPr>
      <w:r>
        <w:rPr>
          <w:rFonts w:ascii="Arial" w:hAnsi="Arial" w:eastAsia="宋体" w:cs="Arial"/>
          <w:color w:val="auto"/>
          <w:szCs w:val="21"/>
          <w:highlight w:val="none"/>
        </w:rPr>
        <w:t>供 应 商（乙方）                                 项目名称及</w:t>
      </w:r>
      <w:r>
        <w:rPr>
          <w:rFonts w:ascii="Arial" w:hAnsi="Arial" w:eastAsia="宋体" w:cs="Arial"/>
          <w:color w:val="auto"/>
          <w:spacing w:val="-20"/>
          <w:szCs w:val="21"/>
          <w:highlight w:val="none"/>
        </w:rPr>
        <w:t>编号：</w:t>
      </w:r>
    </w:p>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签  订  地  点  </w:t>
      </w:r>
      <w:r>
        <w:rPr>
          <w:rFonts w:hint="eastAsia" w:ascii="Arial" w:hAnsi="Arial" w:eastAsia="宋体" w:cs="Arial"/>
          <w:color w:val="auto"/>
          <w:szCs w:val="21"/>
          <w:highlight w:val="none"/>
          <w:u w:val="single"/>
        </w:rPr>
        <w:t>桂林医科大学</w:t>
      </w:r>
      <w:r>
        <w:rPr>
          <w:rFonts w:ascii="Arial" w:hAnsi="Arial" w:eastAsia="宋体" w:cs="Arial"/>
          <w:color w:val="auto"/>
          <w:szCs w:val="21"/>
          <w:highlight w:val="none"/>
        </w:rPr>
        <w:t xml:space="preserve">                       签 订 时 间：</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根据《中华人民共和国政府采购法》、《中华人民共和国民法典》等法律、法规规定，按照采购文件规定条款和乙方响应文件及其承诺，甲乙双方签订本合同。</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第一条　合同标的</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1.供货一览表</w:t>
      </w:r>
    </w:p>
    <w:tbl>
      <w:tblPr>
        <w:tblStyle w:val="23"/>
        <w:tblW w:w="9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9"/>
        <w:gridCol w:w="1077"/>
        <w:gridCol w:w="1190"/>
        <w:gridCol w:w="1189"/>
        <w:gridCol w:w="669"/>
        <w:gridCol w:w="1076"/>
        <w:gridCol w:w="107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94"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1299"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标的</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名称</w:t>
            </w:r>
          </w:p>
        </w:tc>
        <w:tc>
          <w:tcPr>
            <w:tcW w:w="1077"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商标</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品牌</w:t>
            </w:r>
          </w:p>
        </w:tc>
        <w:tc>
          <w:tcPr>
            <w:tcW w:w="1190"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型号</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参数</w:t>
            </w:r>
          </w:p>
        </w:tc>
        <w:tc>
          <w:tcPr>
            <w:tcW w:w="1189"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生产</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厂家</w:t>
            </w:r>
          </w:p>
        </w:tc>
        <w:tc>
          <w:tcPr>
            <w:tcW w:w="669"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数  量</w:t>
            </w:r>
          </w:p>
        </w:tc>
        <w:tc>
          <w:tcPr>
            <w:tcW w:w="1076"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单位</w:t>
            </w:r>
          </w:p>
        </w:tc>
        <w:tc>
          <w:tcPr>
            <w:tcW w:w="1076"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  价</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（元）</w:t>
            </w:r>
          </w:p>
        </w:tc>
        <w:tc>
          <w:tcPr>
            <w:tcW w:w="1506"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金  额</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299" w:type="dxa"/>
            <w:noWrap w:val="0"/>
            <w:vAlign w:val="center"/>
          </w:tcPr>
          <w:p>
            <w:pPr>
              <w:snapToGrid w:val="0"/>
              <w:jc w:val="center"/>
              <w:rPr>
                <w:rFonts w:ascii="Arial" w:hAnsi="Arial" w:eastAsia="宋体" w:cs="Arial"/>
                <w:color w:val="auto"/>
                <w:szCs w:val="21"/>
                <w:highlight w:val="none"/>
              </w:rPr>
            </w:pPr>
          </w:p>
        </w:tc>
        <w:tc>
          <w:tcPr>
            <w:tcW w:w="1077" w:type="dxa"/>
            <w:noWrap w:val="0"/>
            <w:vAlign w:val="center"/>
          </w:tcPr>
          <w:p>
            <w:pPr>
              <w:snapToGrid w:val="0"/>
              <w:jc w:val="center"/>
              <w:rPr>
                <w:rFonts w:ascii="Arial" w:hAnsi="Arial" w:eastAsia="宋体" w:cs="Arial"/>
                <w:color w:val="auto"/>
                <w:szCs w:val="21"/>
                <w:highlight w:val="none"/>
              </w:rPr>
            </w:pPr>
          </w:p>
        </w:tc>
        <w:tc>
          <w:tcPr>
            <w:tcW w:w="1190" w:type="dxa"/>
            <w:noWrap w:val="0"/>
            <w:vAlign w:val="center"/>
          </w:tcPr>
          <w:p>
            <w:pPr>
              <w:snapToGrid w:val="0"/>
              <w:jc w:val="center"/>
              <w:rPr>
                <w:rFonts w:ascii="Arial" w:hAnsi="Arial" w:eastAsia="宋体" w:cs="Arial"/>
                <w:color w:val="auto"/>
                <w:szCs w:val="21"/>
                <w:highlight w:val="none"/>
              </w:rPr>
            </w:pPr>
          </w:p>
        </w:tc>
        <w:tc>
          <w:tcPr>
            <w:tcW w:w="1189" w:type="dxa"/>
            <w:noWrap w:val="0"/>
            <w:vAlign w:val="top"/>
          </w:tcPr>
          <w:p>
            <w:pPr>
              <w:snapToGrid w:val="0"/>
              <w:jc w:val="center"/>
              <w:rPr>
                <w:rFonts w:ascii="Arial" w:hAnsi="Arial" w:eastAsia="宋体" w:cs="Arial"/>
                <w:color w:val="auto"/>
                <w:szCs w:val="21"/>
                <w:highlight w:val="none"/>
              </w:rPr>
            </w:pPr>
          </w:p>
        </w:tc>
        <w:tc>
          <w:tcPr>
            <w:tcW w:w="669" w:type="dxa"/>
            <w:noWrap w:val="0"/>
            <w:vAlign w:val="top"/>
          </w:tcPr>
          <w:p>
            <w:pPr>
              <w:snapToGrid w:val="0"/>
              <w:jc w:val="center"/>
              <w:rPr>
                <w:rFonts w:ascii="Arial" w:hAnsi="Arial" w:eastAsia="宋体" w:cs="Arial"/>
                <w:color w:val="auto"/>
                <w:szCs w:val="21"/>
                <w:highlight w:val="none"/>
              </w:rPr>
            </w:pPr>
          </w:p>
        </w:tc>
        <w:tc>
          <w:tcPr>
            <w:tcW w:w="1076" w:type="dxa"/>
            <w:noWrap w:val="0"/>
            <w:vAlign w:val="top"/>
          </w:tcPr>
          <w:p>
            <w:pPr>
              <w:snapToGrid w:val="0"/>
              <w:jc w:val="center"/>
              <w:rPr>
                <w:rFonts w:ascii="Arial" w:hAnsi="Arial" w:eastAsia="宋体" w:cs="Arial"/>
                <w:color w:val="auto"/>
                <w:szCs w:val="21"/>
                <w:highlight w:val="none"/>
              </w:rPr>
            </w:pPr>
          </w:p>
        </w:tc>
        <w:tc>
          <w:tcPr>
            <w:tcW w:w="1076" w:type="dxa"/>
            <w:noWrap w:val="0"/>
            <w:vAlign w:val="center"/>
          </w:tcPr>
          <w:p>
            <w:pPr>
              <w:snapToGrid w:val="0"/>
              <w:jc w:val="center"/>
              <w:rPr>
                <w:rFonts w:ascii="Arial" w:hAnsi="Arial" w:eastAsia="宋体" w:cs="Arial"/>
                <w:color w:val="auto"/>
                <w:szCs w:val="21"/>
                <w:highlight w:val="none"/>
              </w:rPr>
            </w:pPr>
          </w:p>
        </w:tc>
        <w:tc>
          <w:tcPr>
            <w:tcW w:w="1506" w:type="dxa"/>
            <w:noWrap w:val="0"/>
            <w:vAlign w:val="center"/>
          </w:tcPr>
          <w:p>
            <w:pPr>
              <w:snapToGrid w:val="0"/>
              <w:jc w:val="center"/>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299" w:type="dxa"/>
            <w:noWrap w:val="0"/>
            <w:vAlign w:val="center"/>
          </w:tcPr>
          <w:p>
            <w:pPr>
              <w:snapToGrid w:val="0"/>
              <w:jc w:val="center"/>
              <w:rPr>
                <w:rFonts w:ascii="Arial" w:hAnsi="Arial" w:eastAsia="宋体" w:cs="Arial"/>
                <w:color w:val="auto"/>
                <w:szCs w:val="21"/>
                <w:highlight w:val="none"/>
              </w:rPr>
            </w:pPr>
          </w:p>
        </w:tc>
        <w:tc>
          <w:tcPr>
            <w:tcW w:w="1077" w:type="dxa"/>
            <w:noWrap w:val="0"/>
            <w:vAlign w:val="center"/>
          </w:tcPr>
          <w:p>
            <w:pPr>
              <w:snapToGrid w:val="0"/>
              <w:jc w:val="center"/>
              <w:rPr>
                <w:rFonts w:ascii="Arial" w:hAnsi="Arial" w:eastAsia="宋体" w:cs="Arial"/>
                <w:color w:val="auto"/>
                <w:szCs w:val="21"/>
                <w:highlight w:val="none"/>
              </w:rPr>
            </w:pPr>
          </w:p>
        </w:tc>
        <w:tc>
          <w:tcPr>
            <w:tcW w:w="1190" w:type="dxa"/>
            <w:noWrap w:val="0"/>
            <w:vAlign w:val="center"/>
          </w:tcPr>
          <w:p>
            <w:pPr>
              <w:snapToGrid w:val="0"/>
              <w:jc w:val="center"/>
              <w:rPr>
                <w:rFonts w:ascii="Arial" w:hAnsi="Arial" w:eastAsia="宋体" w:cs="Arial"/>
                <w:color w:val="auto"/>
                <w:szCs w:val="21"/>
                <w:highlight w:val="none"/>
              </w:rPr>
            </w:pPr>
          </w:p>
        </w:tc>
        <w:tc>
          <w:tcPr>
            <w:tcW w:w="1189" w:type="dxa"/>
            <w:noWrap w:val="0"/>
            <w:vAlign w:val="top"/>
          </w:tcPr>
          <w:p>
            <w:pPr>
              <w:snapToGrid w:val="0"/>
              <w:jc w:val="center"/>
              <w:rPr>
                <w:rFonts w:ascii="Arial" w:hAnsi="Arial" w:eastAsia="宋体" w:cs="Arial"/>
                <w:color w:val="auto"/>
                <w:szCs w:val="21"/>
                <w:highlight w:val="none"/>
              </w:rPr>
            </w:pPr>
          </w:p>
        </w:tc>
        <w:tc>
          <w:tcPr>
            <w:tcW w:w="669" w:type="dxa"/>
            <w:noWrap w:val="0"/>
            <w:vAlign w:val="top"/>
          </w:tcPr>
          <w:p>
            <w:pPr>
              <w:snapToGrid w:val="0"/>
              <w:jc w:val="center"/>
              <w:rPr>
                <w:rFonts w:ascii="Arial" w:hAnsi="Arial" w:eastAsia="宋体" w:cs="Arial"/>
                <w:color w:val="auto"/>
                <w:szCs w:val="21"/>
                <w:highlight w:val="none"/>
              </w:rPr>
            </w:pPr>
          </w:p>
        </w:tc>
        <w:tc>
          <w:tcPr>
            <w:tcW w:w="1076" w:type="dxa"/>
            <w:noWrap w:val="0"/>
            <w:vAlign w:val="top"/>
          </w:tcPr>
          <w:p>
            <w:pPr>
              <w:snapToGrid w:val="0"/>
              <w:jc w:val="center"/>
              <w:rPr>
                <w:rFonts w:ascii="Arial" w:hAnsi="Arial" w:eastAsia="宋体" w:cs="Arial"/>
                <w:color w:val="auto"/>
                <w:szCs w:val="21"/>
                <w:highlight w:val="none"/>
              </w:rPr>
            </w:pPr>
          </w:p>
        </w:tc>
        <w:tc>
          <w:tcPr>
            <w:tcW w:w="1076" w:type="dxa"/>
            <w:noWrap w:val="0"/>
            <w:vAlign w:val="center"/>
          </w:tcPr>
          <w:p>
            <w:pPr>
              <w:snapToGrid w:val="0"/>
              <w:jc w:val="center"/>
              <w:rPr>
                <w:rFonts w:ascii="Arial" w:hAnsi="Arial" w:eastAsia="宋体" w:cs="Arial"/>
                <w:color w:val="auto"/>
                <w:szCs w:val="21"/>
                <w:highlight w:val="none"/>
              </w:rPr>
            </w:pPr>
          </w:p>
        </w:tc>
        <w:tc>
          <w:tcPr>
            <w:tcW w:w="1506" w:type="dxa"/>
            <w:noWrap w:val="0"/>
            <w:vAlign w:val="center"/>
          </w:tcPr>
          <w:p>
            <w:pPr>
              <w:snapToGrid w:val="0"/>
              <w:jc w:val="center"/>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9576" w:type="dxa"/>
            <w:gridSpan w:val="9"/>
            <w:noWrap w:val="0"/>
            <w:vAlign w:val="center"/>
          </w:tcPr>
          <w:p>
            <w:pPr>
              <w:snapToGrid w:val="0"/>
              <w:rPr>
                <w:rFonts w:ascii="Arial" w:hAnsi="Arial" w:eastAsia="宋体" w:cs="Arial"/>
                <w:color w:val="auto"/>
                <w:szCs w:val="21"/>
                <w:highlight w:val="none"/>
              </w:rPr>
            </w:pPr>
            <w:r>
              <w:rPr>
                <w:rFonts w:ascii="Arial" w:hAnsi="Arial" w:eastAsia="宋体" w:cs="Arial"/>
                <w:color w:val="auto"/>
                <w:szCs w:val="21"/>
                <w:highlight w:val="none"/>
              </w:rPr>
              <w:t xml:space="preserve">人民币合计金额（大写）                          （小写）                 </w:t>
            </w:r>
          </w:p>
        </w:tc>
      </w:tr>
    </w:tbl>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合同合计金额包括本次采购范围内货物（或配件）价款、随配附件、备品备件、安装维修工具、设备的运行维护维保、项目经营、项目管理费、提供维保服务的人员工资、差旅费等，货物运抵指定交货地点、安装、调试的各种费用和售后服务、税金及其它所有成本、费用的总和。如</w:t>
      </w:r>
      <w:r>
        <w:rPr>
          <w:rFonts w:hint="eastAsia" w:ascii="Arial" w:hAnsi="Arial" w:cs="Arial"/>
          <w:color w:val="auto"/>
          <w:szCs w:val="21"/>
          <w:highlight w:val="none"/>
        </w:rPr>
        <w:t>谈判</w:t>
      </w:r>
      <w:r>
        <w:rPr>
          <w:rFonts w:ascii="Arial" w:hAnsi="Arial" w:cs="Arial"/>
          <w:color w:val="auto"/>
          <w:szCs w:val="21"/>
          <w:highlight w:val="none"/>
        </w:rPr>
        <w:t>、响应文件对其另有规定的，从其规定。</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3.采购合同履行中，甲方需追加与合同标的相同的货物的，在不改变合同其他条款的前提下，可以与乙方协商签订补充合同，但所有补充合同的采购金额不得超过原合同采购金额的10%。</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第二条　质量保证</w:t>
      </w:r>
    </w:p>
    <w:p>
      <w:pPr>
        <w:snapToGrid w:val="0"/>
        <w:spacing w:line="288" w:lineRule="auto"/>
        <w:ind w:firstLine="420" w:firstLineChars="200"/>
        <w:rPr>
          <w:rFonts w:ascii="Arial" w:hAnsi="Arial" w:eastAsia="宋体" w:cs="Arial"/>
          <w:strike/>
          <w:color w:val="auto"/>
          <w:szCs w:val="21"/>
          <w:highlight w:val="none"/>
        </w:rPr>
      </w:pPr>
      <w:r>
        <w:rPr>
          <w:rFonts w:ascii="Arial" w:hAnsi="Arial" w:eastAsia="宋体" w:cs="Arial"/>
          <w:color w:val="auto"/>
          <w:szCs w:val="21"/>
          <w:highlight w:val="none"/>
        </w:rPr>
        <w:t>1.乙方所提供的货物型号、技术规格、技术参数等质量必须与采购文件要求、响应文件承诺相一致。乙方提供的节能和环保产品必须是列入政府采购品目清单的产品。</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2.乙方所提供的货物必须是全新、未使用的原装产品，且在正常安装、使用和保养条件下，其使用寿命期内各项指标均达到质量要求。</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第三条  权利保证</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乙方应保证所提供货物在使用时不会侵犯任何第三方的专利权、商标权、工业设计权或其他权利。</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乙方应按采购文件规定的时间向甲方提供使用货物的有关技术资料。</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乙方保证所交付的货物的所有权完全属于乙方且无任何抵押、质押、查封等产权瑕疵。</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第四条  包装和运输</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1.乙方提供的货物均应按招响应文件要求的包装材料、包装标准、包装方式进行包装，每一包装单元内应附详细的装箱单和质量合格证。</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2.货物的运输方式：</w:t>
      </w:r>
      <w:r>
        <w:rPr>
          <w:rFonts w:ascii="Arial" w:hAnsi="Arial" w:cs="Arial"/>
          <w:color w:val="auto"/>
          <w:szCs w:val="21"/>
          <w:highlight w:val="none"/>
          <w:u w:val="single"/>
        </w:rPr>
        <w:t>乙方自定</w:t>
      </w:r>
      <w:r>
        <w:rPr>
          <w:rFonts w:ascii="Arial" w:hAnsi="Arial" w:cs="Arial"/>
          <w:color w:val="auto"/>
          <w:szCs w:val="21"/>
          <w:highlight w:val="none"/>
        </w:rPr>
        <w:t>。</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3.乙方负责货物运输，货物运输合理损耗及计算方法：</w:t>
      </w:r>
      <w:r>
        <w:rPr>
          <w:rFonts w:ascii="Arial" w:hAnsi="Arial" w:cs="Arial"/>
          <w:color w:val="auto"/>
          <w:szCs w:val="21"/>
          <w:highlight w:val="none"/>
          <w:u w:val="single"/>
        </w:rPr>
        <w:t xml:space="preserve">由乙方负责 </w:t>
      </w:r>
      <w:r>
        <w:rPr>
          <w:rFonts w:ascii="Arial" w:hAnsi="Arial"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第五条  交付和验收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1.交付使用时间：</w:t>
      </w:r>
      <w:r>
        <w:rPr>
          <w:rFonts w:ascii="Arial" w:hAnsi="Arial" w:eastAsia="宋体" w:cs="Arial"/>
          <w:color w:val="auto"/>
          <w:szCs w:val="21"/>
          <w:highlight w:val="none"/>
          <w:u w:val="single"/>
        </w:rPr>
        <w:t>按乙方响应文件中所承诺的时间</w:t>
      </w:r>
      <w:r>
        <w:rPr>
          <w:rFonts w:ascii="Arial" w:hAnsi="Arial" w:eastAsia="宋体" w:cs="Arial"/>
          <w:color w:val="auto"/>
          <w:szCs w:val="21"/>
          <w:highlight w:val="none"/>
        </w:rPr>
        <w:t>；地点：</w:t>
      </w:r>
      <w:r>
        <w:rPr>
          <w:rFonts w:ascii="Arial" w:hAnsi="Arial" w:eastAsia="宋体" w:cs="Arial"/>
          <w:color w:val="auto"/>
          <w:szCs w:val="21"/>
          <w:highlight w:val="none"/>
          <w:u w:val="single"/>
        </w:rPr>
        <w:t xml:space="preserve"> 甲方指定地点。</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2.乙方提供不符合招响应文件和本合同规定的货物，甲方有权拒绝接受。</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3.乙方应将所提供货物的装箱清单、用户手册、原厂保修卡、随机资料、工具和备品、备件等交付给甲方，如有缺失应及时补齐，否则视为逾期交货。</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4.甲方应当在到货并安装、调试完后七个工作日内进行验收，逾期不验收的，乙方可视同验收合格。验收合格后由甲乙双方签署货物验收单并加盖采购单位公章，甲乙双方各执一份。</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6.甲方对验收有异议的，在验收后五个工作日内以书面形式向乙方提出，乙方应自收到甲方书面异议后</w:t>
      </w:r>
      <w:r>
        <w:rPr>
          <w:rFonts w:ascii="Arial" w:hAnsi="Arial" w:eastAsia="宋体" w:cs="Arial"/>
          <w:color w:val="auto"/>
          <w:szCs w:val="21"/>
          <w:highlight w:val="none"/>
          <w:u w:val="single"/>
        </w:rPr>
        <w:t xml:space="preserve"> 7 </w:t>
      </w:r>
      <w:r>
        <w:rPr>
          <w:rFonts w:ascii="Arial" w:hAnsi="Arial" w:eastAsia="宋体" w:cs="Arial"/>
          <w:color w:val="auto"/>
          <w:szCs w:val="21"/>
          <w:highlight w:val="none"/>
        </w:rPr>
        <w:t>日内及时予以解决。</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第六条  安装和培训</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1.甲方应提供必要安装条件（如场地、电源、水源等）。</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2.乙方负责甲方有关人员的培训。培训时间、地点：</w:t>
      </w:r>
      <w:r>
        <w:rPr>
          <w:rFonts w:ascii="Arial" w:hAnsi="Arial" w:eastAsia="宋体" w:cs="Arial"/>
          <w:color w:val="auto"/>
          <w:szCs w:val="21"/>
          <w:highlight w:val="none"/>
          <w:u w:val="single"/>
        </w:rPr>
        <w:t xml:space="preserve"> 由甲方决定。</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第七条  售后服务、质保期</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1.乙方应按照国家有关法律法规和“三包”规定以及招响应文件和本合同附件，为甲方提供售后服务。</w:t>
      </w:r>
    </w:p>
    <w:p>
      <w:pPr>
        <w:snapToGrid w:val="0"/>
        <w:spacing w:line="324"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2.货物质保期：</w:t>
      </w:r>
      <w:r>
        <w:rPr>
          <w:rFonts w:ascii="Arial" w:hAnsi="Arial" w:eastAsia="宋体" w:cs="Arial"/>
          <w:color w:val="auto"/>
          <w:szCs w:val="21"/>
          <w:highlight w:val="none"/>
          <w:u w:val="single"/>
        </w:rPr>
        <w:t>乙方承诺采购文件采购需求部分如无特别要求，则质保期为自验收合格之日起一年，采购文件采购需求部分有特别要求的则以技术参数要求表为准</w:t>
      </w:r>
      <w:r>
        <w:rPr>
          <w:rFonts w:ascii="Arial" w:hAnsi="Arial" w:eastAsia="宋体"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3.乙方提供的服务承诺和售后服务及质保期责任等其它具体约定事项。（见合同附件）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第八条　付款方式</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1.资金性质：</w:t>
      </w:r>
      <w:r>
        <w:rPr>
          <w:rFonts w:ascii="Arial" w:hAnsi="Arial" w:eastAsia="宋体" w:cs="Arial"/>
          <w:color w:val="auto"/>
          <w:szCs w:val="21"/>
          <w:highlight w:val="none"/>
          <w:u w:val="single"/>
        </w:rPr>
        <w:t>财政性资金</w:t>
      </w:r>
      <w:r>
        <w:rPr>
          <w:rFonts w:ascii="Arial" w:hAnsi="Arial" w:eastAsia="宋体"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2.付款方式：</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验收合格后，乙方应向甲方开具等额（全额）有效的增值税专用发票，甲方收到发票后在30个日历日内付至合同价款的100%，履约保证金在验收合格满 (1年)后付清（无息）。</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 xml:space="preserve">第九条 履约保证金   </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履约保证金金额（人民币）：按成交金额的5%，如为小微企业，则</w:t>
      </w:r>
      <w:r>
        <w:rPr>
          <w:rFonts w:hint="eastAsia" w:ascii="Arial" w:hAnsi="Arial" w:eastAsia="宋体" w:cs="Arial"/>
          <w:color w:val="auto"/>
          <w:szCs w:val="21"/>
          <w:highlight w:val="none"/>
        </w:rPr>
        <w:t>按成交金额2%收取</w:t>
      </w:r>
      <w:r>
        <w:rPr>
          <w:rFonts w:ascii="Arial" w:hAnsi="Arial" w:eastAsia="宋体" w:cs="Arial"/>
          <w:color w:val="auto"/>
          <w:szCs w:val="21"/>
          <w:highlight w:val="none"/>
        </w:rPr>
        <w:t>履约保证金。履约保证金递交方式：以转账或电汇等非现金形式在领取成交通知书前从乙方基本账户交至以下账户：开户名称：</w:t>
      </w:r>
      <w:r>
        <w:rPr>
          <w:rFonts w:hint="eastAsia" w:ascii="Arial" w:hAnsi="Arial" w:eastAsia="宋体" w:cs="Arial"/>
          <w:color w:val="auto"/>
          <w:szCs w:val="21"/>
          <w:highlight w:val="none"/>
        </w:rPr>
        <w:t>桂林医科大学</w:t>
      </w:r>
      <w:r>
        <w:rPr>
          <w:rFonts w:ascii="Arial" w:hAnsi="Arial" w:eastAsia="宋体" w:cs="Arial"/>
          <w:color w:val="auto"/>
          <w:szCs w:val="21"/>
          <w:highlight w:val="none"/>
        </w:rPr>
        <w:t>。开户银行：</w:t>
      </w:r>
      <w:r>
        <w:rPr>
          <w:rFonts w:ascii="Arial" w:hAnsi="Arial" w:eastAsia="宋体" w:cs="Arial"/>
          <w:b/>
          <w:color w:val="auto"/>
          <w:kern w:val="0"/>
          <w:szCs w:val="21"/>
          <w:highlight w:val="none"/>
        </w:rPr>
        <w:t>建行桂林分行致和路支行</w:t>
      </w:r>
      <w:r>
        <w:rPr>
          <w:rFonts w:ascii="Arial" w:hAnsi="Arial" w:eastAsia="宋体" w:cs="Arial"/>
          <w:color w:val="auto"/>
          <w:szCs w:val="21"/>
          <w:highlight w:val="none"/>
        </w:rPr>
        <w:t>。账号：</w:t>
      </w:r>
      <w:r>
        <w:rPr>
          <w:rFonts w:ascii="Arial" w:hAnsi="Arial" w:eastAsia="宋体" w:cs="Arial"/>
          <w:b/>
          <w:color w:val="auto"/>
          <w:kern w:val="0"/>
          <w:szCs w:val="21"/>
          <w:highlight w:val="none"/>
        </w:rPr>
        <w:t>45001635413050500589</w:t>
      </w:r>
      <w:r>
        <w:rPr>
          <w:rFonts w:ascii="Arial" w:hAnsi="Arial" w:eastAsia="宋体" w:cs="Arial"/>
          <w:color w:val="auto"/>
          <w:szCs w:val="21"/>
          <w:highlight w:val="none"/>
        </w:rPr>
        <w:t>。</w:t>
      </w:r>
      <w:r>
        <w:rPr>
          <w:rFonts w:ascii="Arial" w:hAnsi="Arial" w:eastAsia="宋体" w:cs="Arial"/>
          <w:b/>
          <w:color w:val="auto"/>
          <w:szCs w:val="21"/>
          <w:highlight w:val="none"/>
        </w:rPr>
        <w:t>本项目履约保证金，合同验收满 (1年)乙方如无违约行为，甲方收到乙方提交退还履约保证金申请书后20个工作日内将履约保证金无息退回乙方。</w:t>
      </w:r>
    </w:p>
    <w:p>
      <w:pPr>
        <w:snapToGrid w:val="0"/>
        <w:spacing w:line="3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履约保证金退还方式及时间、条件、不予退还的情形：履约保证金自合同生效之日起生效至合同材料验收证书28天后失效，质保期满后，乙方可向甲方申请办理履约保证金的退付手续；如果乙方不履行合同约定的义务或其履行不符合合同的约定，甲方有权扣划全部或相应金额的履约保证金。</w:t>
      </w:r>
    </w:p>
    <w:p>
      <w:pPr>
        <w:snapToGrid w:val="0"/>
        <w:spacing w:line="3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履约保证金符合退还条件的，甲方在收到乙方提交的履约保证金退付申请之日起</w:t>
      </w:r>
      <w:r>
        <w:rPr>
          <w:rFonts w:ascii="Arial" w:hAnsi="Arial" w:eastAsia="宋体" w:cs="Arial"/>
          <w:color w:val="auto"/>
          <w:szCs w:val="21"/>
          <w:highlight w:val="none"/>
          <w:u w:val="single"/>
        </w:rPr>
        <w:t xml:space="preserve"> 20</w:t>
      </w:r>
      <w:r>
        <w:rPr>
          <w:rFonts w:ascii="Arial" w:hAnsi="Arial" w:eastAsia="宋体" w:cs="Arial"/>
          <w:color w:val="auto"/>
          <w:szCs w:val="21"/>
          <w:highlight w:val="none"/>
        </w:rPr>
        <w:t>个工作日内退还履约保证金，如未在规定时间内退还的，乙方可予以催告，经乙方催告后</w:t>
      </w:r>
      <w:r>
        <w:rPr>
          <w:rFonts w:ascii="Arial" w:hAnsi="Arial" w:eastAsia="宋体" w:cs="Arial"/>
          <w:color w:val="auto"/>
          <w:szCs w:val="21"/>
          <w:highlight w:val="none"/>
          <w:u w:val="single"/>
        </w:rPr>
        <w:t xml:space="preserve">  30  </w:t>
      </w:r>
      <w:r>
        <w:rPr>
          <w:rFonts w:ascii="Arial" w:hAnsi="Arial" w:eastAsia="宋体" w:cs="Arial"/>
          <w:color w:val="auto"/>
          <w:szCs w:val="21"/>
          <w:highlight w:val="none"/>
        </w:rPr>
        <w:t xml:space="preserve"> 天内仍未退还履约保证金的，甲方应按中国人民银行发布的同期同类贷款基准利率向乙方支付自催告日期起的利息。</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第十条 税费</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本合同执行中相关的一切税费均由乙方负担。</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第十一条 质量保证及售后服务</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乙方应按采购文件规定的货物性能、技术要求、质量标准向甲方提供未经使用的全新产品。乙方提供货物的质保期按交货验收合格之日起计（期限见《项目采购需求》中的要求）。在保证期内因货物本身的质量问题发生故障，乙方应负责免费修理和更换零部件。对达不到技术要求者，根据实际情况，经双方协商，可按以下办法处理：</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（1）更换：由乙方承担所发生的全部费用。</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（2）贬值处理：由甲乙双方合议定价。</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（3）退货处理：乙方应退还甲方支付的合同款，同时应承担该货物的直接费用（运输、保险、检验、货款利息及银行手续费等）。</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2.如在使用过程中发生质量问题，乙方在接到甲方通知后在</w:t>
      </w:r>
      <w:r>
        <w:rPr>
          <w:rFonts w:ascii="Arial" w:hAnsi="Arial" w:cs="Arial"/>
          <w:color w:val="auto"/>
          <w:szCs w:val="21"/>
          <w:highlight w:val="none"/>
          <w:u w:val="single"/>
        </w:rPr>
        <w:t xml:space="preserve">    </w:t>
      </w:r>
      <w:r>
        <w:rPr>
          <w:rFonts w:ascii="Arial" w:hAnsi="Arial" w:cs="Arial"/>
          <w:color w:val="auto"/>
          <w:szCs w:val="21"/>
          <w:highlight w:val="none"/>
        </w:rPr>
        <w:t>小时内到达甲方现场。</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3.在质保期内，乙方应对货物出现的质量及安全问题负责处理解决并承担一切费用。</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4.上述的货物因人为因素出现的故障不在免费保修范围内。超过质保期的机器设备，终生维修，维修时只收部件成本费。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5.质保期后，乙方负责提供设备的终身维修服务（只收取配件成本费）；接甲方检修设备通知后电话、传真、网络等远程支持沟通，如需现场解决的，桂林市</w:t>
      </w:r>
      <w:r>
        <w:rPr>
          <w:rFonts w:ascii="Arial" w:hAnsi="Arial" w:cs="Arial"/>
          <w:color w:val="auto"/>
          <w:szCs w:val="21"/>
          <w:highlight w:val="none"/>
          <w:u w:val="single"/>
        </w:rPr>
        <w:t xml:space="preserve">   </w:t>
      </w:r>
      <w:r>
        <w:rPr>
          <w:rFonts w:ascii="Arial" w:hAnsi="Arial" w:cs="Arial"/>
          <w:color w:val="auto"/>
          <w:szCs w:val="21"/>
          <w:highlight w:val="none"/>
        </w:rPr>
        <w:t>个小时内，外地</w:t>
      </w:r>
      <w:r>
        <w:rPr>
          <w:rFonts w:ascii="Arial" w:hAnsi="Arial" w:cs="Arial"/>
          <w:color w:val="auto"/>
          <w:szCs w:val="21"/>
          <w:highlight w:val="none"/>
          <w:u w:val="single"/>
        </w:rPr>
        <w:t xml:space="preserve">   </w:t>
      </w:r>
      <w:r>
        <w:rPr>
          <w:rFonts w:ascii="Arial" w:hAnsi="Arial" w:cs="Arial"/>
          <w:color w:val="auto"/>
          <w:szCs w:val="21"/>
          <w:highlight w:val="none"/>
        </w:rPr>
        <w:t>个小时内到达现场排除设备故障；保修期外提供技术援助电话，解答甲方在使用中遇到的问题，及时为甲方提出解决问题的建议，并不予收费。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6.质保期内提供免费升级，质保期外的升级服务只收取配件成本费。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b/>
          <w:color w:val="auto"/>
          <w:szCs w:val="21"/>
          <w:highlight w:val="none"/>
        </w:rPr>
        <w:t>第十二条 货物包装、发运及运输</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1.乙方应在货物发运前对其进行满足运输距离、防潮、防震、防锈和防破损装卸等要求包装，以保证货物安全运达甲方指定地点。</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2.使用说明书、质量检验证明书、随配附件和工具以及清单一并附于货物内。</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3.乙方在货物发运手续办理完毕后二十四小时内或货到甲方四十八小时前通知甲方，以准备接货。</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4.货物在交付甲方验收合格前发生的风险均由乙方负责。</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5.货物在规定的交付期限内由乙方送达甲方指定的地点并初步验收合格后视为交付，乙方同时需通知甲方货物已送达。</w:t>
      </w:r>
    </w:p>
    <w:p>
      <w:pPr>
        <w:pStyle w:val="13"/>
        <w:snapToGrid w:val="0"/>
        <w:spacing w:before="120" w:after="120" w:line="288" w:lineRule="auto"/>
        <w:ind w:firstLine="411" w:firstLineChars="196"/>
        <w:rPr>
          <w:rFonts w:ascii="Arial" w:hAnsi="Arial" w:cs="Arial"/>
          <w:b/>
          <w:color w:val="auto"/>
          <w:szCs w:val="21"/>
          <w:highlight w:val="none"/>
        </w:rPr>
      </w:pPr>
      <w:bookmarkStart w:id="27" w:name="_Toc217446110"/>
      <w:r>
        <w:rPr>
          <w:rFonts w:ascii="Arial" w:hAnsi="Arial" w:cs="Arial"/>
          <w:b/>
          <w:color w:val="auto"/>
          <w:szCs w:val="21"/>
          <w:highlight w:val="none"/>
        </w:rPr>
        <w:t>第十三条 交货及验收</w:t>
      </w:r>
      <w:bookmarkEnd w:id="27"/>
      <w:r>
        <w:rPr>
          <w:rFonts w:ascii="Arial" w:hAnsi="Arial" w:cs="Arial"/>
          <w:b/>
          <w:color w:val="auto"/>
          <w:szCs w:val="21"/>
          <w:highlight w:val="none"/>
        </w:rPr>
        <w:t>要求</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1.甲方对乙方提交的货物依据采购文件上的技术规格要求和国家有关质量标准进行现场初步验收，外观、说明书符合采购文件技术要求的，给予签收，初步验收不合格的不予签收。货到后，</w:t>
      </w:r>
      <w:r>
        <w:rPr>
          <w:rFonts w:ascii="Arial" w:hAnsi="Arial" w:cs="Arial"/>
          <w:bCs/>
          <w:color w:val="auto"/>
          <w:szCs w:val="21"/>
          <w:highlight w:val="none"/>
        </w:rPr>
        <w:t>甲方应当在到货并安装、调试完毕并收到乙方验收申请后七个工作日内进行验收</w:t>
      </w:r>
      <w:r>
        <w:rPr>
          <w:rFonts w:ascii="Arial" w:hAnsi="Arial" w:cs="Arial"/>
          <w:color w:val="auto"/>
          <w:szCs w:val="21"/>
          <w:highlight w:val="none"/>
        </w:rPr>
        <w:t>。</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13"/>
        <w:snapToGrid w:val="0"/>
        <w:spacing w:line="300" w:lineRule="auto"/>
        <w:ind w:firstLine="420" w:firstLineChars="200"/>
        <w:rPr>
          <w:rFonts w:ascii="Arial" w:hAnsi="Arial" w:cs="Arial"/>
          <w:color w:val="auto"/>
          <w:szCs w:val="21"/>
          <w:highlight w:val="none"/>
          <w:u w:val="single"/>
        </w:rPr>
      </w:pPr>
      <w:r>
        <w:rPr>
          <w:rFonts w:ascii="Arial" w:hAnsi="Arial" w:cs="Arial"/>
          <w:color w:val="auto"/>
          <w:szCs w:val="21"/>
          <w:highlight w:val="none"/>
        </w:rPr>
        <w:t>3.甲方对乙方提供的货物在使用前进行调试时，乙方需负责安装并培训甲方的使用操作人员，并协助甲方一起调试，直到符合技术要求，甲方才做最终验收。</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4.验收由甲方组织，乙方配合进行。对技术复杂的货物，甲方应请国家认可的专业检测机构参与初步验收及最终验收，并由其出具质量检测报告。</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（1）货物在乙方通知安装调试完毕向甲方提请验收申请后</w:t>
      </w:r>
      <w:r>
        <w:rPr>
          <w:rFonts w:ascii="Arial" w:hAnsi="Arial" w:cs="Arial"/>
          <w:bCs/>
          <w:color w:val="auto"/>
          <w:szCs w:val="21"/>
          <w:highlight w:val="none"/>
          <w:u w:val="single"/>
        </w:rPr>
        <w:t>七个工作日</w:t>
      </w:r>
      <w:r>
        <w:rPr>
          <w:rFonts w:ascii="Arial" w:hAnsi="Arial" w:cs="Arial"/>
          <w:color w:val="auto"/>
          <w:szCs w:val="21"/>
          <w:highlight w:val="none"/>
        </w:rPr>
        <w:t>内验收。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2）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标比较优胜的原则确定该项的约定标准进行验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（4）如货物经乙方</w:t>
      </w:r>
      <w:r>
        <w:rPr>
          <w:rFonts w:ascii="Arial" w:hAnsi="Arial" w:cs="Arial"/>
          <w:color w:val="auto"/>
          <w:szCs w:val="21"/>
          <w:highlight w:val="none"/>
          <w:u w:val="single"/>
        </w:rPr>
        <w:t>1</w:t>
      </w:r>
      <w:r>
        <w:rPr>
          <w:rFonts w:ascii="Arial" w:hAnsi="Arial" w:cs="Arial"/>
          <w:color w:val="auto"/>
          <w:szCs w:val="21"/>
          <w:highlight w:val="none"/>
        </w:rPr>
        <w:t>次维修仍不能达到合同约定的质量标准，甲方有权退货，并视作乙方不能交付货物而须支付违约赔偿金给甲方，甲方还可依法追究乙方的违约责任，并按虚假应标上报处理。</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（5）验收结束后，应当出具验收书，列明各项标准的验收情况及项目总体评价，由验收双方共同签署。</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5.货物安装调试完毕并由乙方提出验收申请后</w:t>
      </w:r>
      <w:r>
        <w:rPr>
          <w:rFonts w:ascii="Arial" w:hAnsi="Arial" w:cs="Arial"/>
          <w:bCs/>
          <w:color w:val="auto"/>
          <w:szCs w:val="21"/>
          <w:highlight w:val="none"/>
          <w:u w:val="single"/>
        </w:rPr>
        <w:t>七个工作日</w:t>
      </w:r>
      <w:r>
        <w:rPr>
          <w:rFonts w:ascii="Arial" w:hAnsi="Arial" w:cs="Arial"/>
          <w:color w:val="auto"/>
          <w:szCs w:val="21"/>
          <w:highlight w:val="none"/>
        </w:rPr>
        <w:t>内，甲方无故不进行验收工作并已使用货物的，视同已安装调试完成并验收合格。验收合格的项目，甲方在收到发票后在30个日历日内向乙方支付采购资金，如无违约行为，在收到乙方提交退还履约保证金申请书后20个工作日内将履约保证金无息退回乙方。验收不合格的项目，将按本合同第十四条违约责任处理，未作约定的，按照《民法典》规定处理。</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6.验收时乙方必须在现场，验收完毕后作出验收结果报告（验收书）；验收费用由乙方负责。费用标准参照国家或自治区有关规定执行。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00"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第十四条　违约责任</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违约金并赔偿甲方经济损失。</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2.乙方提供的货物如侵犯了第三方合法权益而引发的任何纠纷或诉讼，均由乙方负责交涉并承担全部责任。</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4.甲方无故延期接收货物、乙方逾期交货的，每天向对方偿付违约货款额3‰违约金，但违约金累计不得超过违约货款额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szCs w:val="21"/>
          <w:highlight w:val="none"/>
          <w:u w:val="single"/>
        </w:rPr>
        <w:t xml:space="preserve"> 30 </w:t>
      </w:r>
      <w:r>
        <w:rPr>
          <w:rFonts w:ascii="Arial" w:hAnsi="Arial" w:eastAsia="宋体" w:cs="Arial"/>
          <w:color w:val="auto"/>
          <w:szCs w:val="21"/>
          <w:highlight w:val="none"/>
        </w:rPr>
        <w:t>天对方有权解除合同，违约方承担因此给对方造成经济损失；甲方延期付货款的，每天向乙方偿付延期货款额</w:t>
      </w:r>
      <w:r>
        <w:rPr>
          <w:rFonts w:ascii="Arial" w:hAnsi="Arial" w:eastAsia="宋体" w:cs="Arial"/>
          <w:color w:val="auto"/>
          <w:szCs w:val="21"/>
          <w:highlight w:val="none"/>
          <w:u w:val="single"/>
        </w:rPr>
        <w:t xml:space="preserve">3‰ </w:t>
      </w:r>
      <w:r>
        <w:rPr>
          <w:rFonts w:ascii="Arial" w:hAnsi="Arial" w:eastAsia="宋体" w:cs="Arial"/>
          <w:color w:val="auto"/>
          <w:szCs w:val="21"/>
          <w:highlight w:val="none"/>
        </w:rPr>
        <w:t>滞纳金，但滞纳金累计不得超过延期货款额</w:t>
      </w:r>
      <w:r>
        <w:rPr>
          <w:rFonts w:ascii="Arial" w:hAnsi="Arial" w:eastAsia="宋体" w:cs="Arial"/>
          <w:color w:val="auto"/>
          <w:szCs w:val="21"/>
          <w:highlight w:val="none"/>
          <w:u w:val="single"/>
        </w:rPr>
        <w:t>5%</w:t>
      </w:r>
      <w:r>
        <w:rPr>
          <w:rFonts w:ascii="Arial" w:hAnsi="Arial" w:eastAsia="宋体" w:cs="Arial"/>
          <w:color w:val="auto"/>
          <w:szCs w:val="21"/>
          <w:highlight w:val="none"/>
        </w:rPr>
        <w:t>。</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5.乙方未按本合同和响应文件中规定的服务承诺提供售后服务的，乙方应按本合同合计金额</w:t>
      </w:r>
      <w:r>
        <w:rPr>
          <w:rFonts w:ascii="Arial" w:hAnsi="Arial" w:eastAsia="宋体" w:cs="Arial"/>
          <w:color w:val="auto"/>
          <w:szCs w:val="21"/>
          <w:highlight w:val="none"/>
          <w:u w:val="single"/>
        </w:rPr>
        <w:t>5%</w:t>
      </w:r>
      <w:r>
        <w:rPr>
          <w:rFonts w:ascii="Arial" w:hAnsi="Arial" w:eastAsia="宋体" w:cs="Arial"/>
          <w:color w:val="auto"/>
          <w:szCs w:val="21"/>
          <w:highlight w:val="none"/>
        </w:rPr>
        <w:t>向甲方支付违约金。</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6.乙方提供的货物在质保期内，因设计、工艺或材料的缺陷和其它质量原因造成的问题，由乙方负责，费用从履约保证金中扣除，履约保证金不足以支付的，由乙方另行支付。</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8.因甲方原因导致变更、中止或者终止采购合同的，应当依照合同约定对乙方受到的损失予以赔偿或者补偿。赔偿（补偿）标准：</w:t>
      </w:r>
      <w:r>
        <w:rPr>
          <w:rFonts w:ascii="Arial" w:hAnsi="Arial" w:eastAsia="宋体" w:cs="Arial"/>
          <w:color w:val="auto"/>
          <w:szCs w:val="21"/>
          <w:highlight w:val="none"/>
          <w:u w:val="single"/>
        </w:rPr>
        <w:t xml:space="preserve">  按实际损失赔偿    </w:t>
      </w:r>
    </w:p>
    <w:p>
      <w:pPr>
        <w:pStyle w:val="13"/>
        <w:snapToGrid w:val="0"/>
        <w:spacing w:line="300" w:lineRule="auto"/>
        <w:ind w:firstLine="411" w:firstLineChars="196"/>
        <w:rPr>
          <w:rFonts w:ascii="Arial" w:hAnsi="Arial" w:cs="Arial"/>
          <w:b/>
          <w:color w:val="auto"/>
          <w:szCs w:val="21"/>
          <w:highlight w:val="none"/>
        </w:rPr>
      </w:pPr>
      <w:r>
        <w:rPr>
          <w:rFonts w:ascii="Arial" w:hAnsi="Arial" w:cs="Arial"/>
          <w:b/>
          <w:color w:val="auto"/>
          <w:szCs w:val="21"/>
          <w:highlight w:val="none"/>
        </w:rPr>
        <w:t>第十五条 不可抗力事件处理</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1.在合同有效期内，任何一方因不可抗力事件导致不能履行合同，则合同履行期可延长，其延长期与不可抗力影响期相同。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2.不可抗力事件发生后，应立即通知对方，并寄送有关权威机构出具的证明。</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3.不可抗力事件延续一百二十天以上，双方应通过友好协商，确定是否继续履行合同。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第十六条  合同争议解决</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2.因履行本合同引起的或与本合同有关的争议，甲乙双方应首先通过友好协商解决，如果协商不能解决，可向甲方所在地人民法院提起诉讼。</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3.任一方为主张权利支出的合理费用由违约方承担，前述费用包括但不限于诉讼费、律师费、保全费、保全担保费、差旅费等。 </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4.诉讼期间，本合同继续履行。</w:t>
      </w:r>
    </w:p>
    <w:p>
      <w:pPr>
        <w:pStyle w:val="13"/>
        <w:snapToGrid w:val="0"/>
        <w:spacing w:line="300" w:lineRule="auto"/>
        <w:ind w:firstLine="420" w:firstLineChars="200"/>
        <w:rPr>
          <w:rFonts w:ascii="Arial" w:hAnsi="Arial" w:cs="Arial"/>
          <w:color w:val="auto"/>
          <w:szCs w:val="21"/>
          <w:highlight w:val="none"/>
        </w:rPr>
      </w:pPr>
      <w:r>
        <w:rPr>
          <w:rFonts w:ascii="Arial" w:hAnsi="Arial" w:cs="Arial"/>
          <w:b/>
          <w:color w:val="auto"/>
          <w:szCs w:val="21"/>
          <w:highlight w:val="none"/>
        </w:rPr>
        <w:t>第十七条 合同生效及其它</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w:t>
      </w:r>
      <w:r>
        <w:rPr>
          <w:rFonts w:ascii="Arial" w:hAnsi="Arial" w:eastAsia="宋体" w:cs="Arial"/>
          <w:color w:val="auto"/>
          <w:szCs w:val="21"/>
          <w:highlight w:val="none"/>
        </w:rPr>
        <w:t>合同经双方法定代表人或授权代表签字并加盖单位公章后生效。</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w:t>
      </w:r>
      <w:r>
        <w:rPr>
          <w:rFonts w:ascii="Arial" w:hAnsi="Arial" w:eastAsia="宋体" w:cs="Arial"/>
          <w:color w:val="auto"/>
          <w:szCs w:val="21"/>
          <w:highlight w:val="none"/>
        </w:rPr>
        <w:t>合同执行中涉及采购资金和采购内容修改或补充的，须签书面补充协议，方可作为主合同不可分割的一部分。</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w:t>
      </w:r>
      <w:r>
        <w:rPr>
          <w:rFonts w:ascii="Arial" w:hAnsi="Arial" w:eastAsia="宋体" w:cs="Arial"/>
          <w:color w:val="auto"/>
          <w:szCs w:val="21"/>
          <w:highlight w:val="none"/>
        </w:rPr>
        <w:t>本合同未尽事宜，遵照《民法典》有关条文执行。</w:t>
      </w:r>
    </w:p>
    <w:p>
      <w:pPr>
        <w:snapToGrid w:val="0"/>
        <w:spacing w:line="300"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第十八条　合同的变更、终止与转让</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1.除《中华人民共和国政府采购法》第五十条规定的情形外，本合同一经签订，甲乙双方不得擅自变更、中止或终止。</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2.未经甲方书面同意，乙方不得擅自转让（无进口资格的乙方委托进口货物除外）其应履行的合同义务。</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第十九条　签订本合同依据</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1.采购文件；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2.乙方提供的响应文件；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3.响应承诺书；</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4.成交通知书。</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第二十条　</w:t>
      </w:r>
      <w:r>
        <w:rPr>
          <w:rFonts w:ascii="Arial" w:hAnsi="Arial" w:eastAsia="宋体" w:cs="Arial"/>
          <w:color w:val="auto"/>
          <w:szCs w:val="21"/>
          <w:highlight w:val="none"/>
        </w:rPr>
        <w:t>本合同一式</w:t>
      </w:r>
      <w:r>
        <w:rPr>
          <w:rFonts w:hint="eastAsia" w:ascii="Arial" w:hAnsi="Arial" w:eastAsia="宋体" w:cs="Arial"/>
          <w:color w:val="auto"/>
          <w:szCs w:val="21"/>
          <w:highlight w:val="none"/>
          <w:u w:val="single"/>
        </w:rPr>
        <w:t xml:space="preserve">柒 </w:t>
      </w:r>
      <w:r>
        <w:rPr>
          <w:rFonts w:ascii="Arial" w:hAnsi="Arial" w:eastAsia="宋体" w:cs="Arial"/>
          <w:color w:val="auto"/>
          <w:szCs w:val="21"/>
          <w:highlight w:val="none"/>
        </w:rPr>
        <w:t>份，具有同等法律效力。</w:t>
      </w:r>
      <w:r>
        <w:rPr>
          <w:rFonts w:ascii="Arial" w:hAnsi="Arial" w:eastAsia="宋体" w:cs="Arial"/>
          <w:color w:val="auto"/>
          <w:spacing w:val="4"/>
          <w:szCs w:val="21"/>
          <w:highlight w:val="none"/>
        </w:rPr>
        <w:t>政府采购监督管理部门、采购代理机构</w:t>
      </w:r>
      <w:r>
        <w:rPr>
          <w:rFonts w:ascii="Arial" w:hAnsi="Arial" w:eastAsia="宋体" w:cs="Arial"/>
          <w:color w:val="auto"/>
          <w:szCs w:val="21"/>
          <w:highlight w:val="none"/>
        </w:rPr>
        <w:t>各一份，甲方</w:t>
      </w:r>
      <w:r>
        <w:rPr>
          <w:rFonts w:hint="eastAsia" w:ascii="Arial" w:hAnsi="Arial" w:eastAsia="宋体" w:cs="Arial"/>
          <w:color w:val="auto"/>
          <w:szCs w:val="21"/>
          <w:highlight w:val="none"/>
          <w:u w:val="single"/>
        </w:rPr>
        <w:t xml:space="preserve">肆 </w:t>
      </w:r>
      <w:r>
        <w:rPr>
          <w:rFonts w:ascii="Arial" w:hAnsi="Arial" w:eastAsia="宋体" w:cs="Arial"/>
          <w:color w:val="auto"/>
          <w:szCs w:val="21"/>
          <w:highlight w:val="none"/>
        </w:rPr>
        <w:t>份，乙方</w:t>
      </w:r>
      <w:r>
        <w:rPr>
          <w:rFonts w:hint="eastAsia" w:ascii="Arial" w:hAnsi="Arial" w:eastAsia="宋体" w:cs="Arial"/>
          <w:color w:val="auto"/>
          <w:szCs w:val="21"/>
          <w:highlight w:val="none"/>
          <w:u w:val="dotted"/>
        </w:rPr>
        <w:t>壹</w:t>
      </w:r>
      <w:r>
        <w:rPr>
          <w:rFonts w:hint="eastAsia" w:ascii="Arial" w:hAnsi="Arial" w:eastAsia="宋体" w:cs="Arial"/>
          <w:color w:val="auto"/>
          <w:szCs w:val="21"/>
          <w:highlight w:val="none"/>
          <w:u w:val="single"/>
        </w:rPr>
        <w:t xml:space="preserve">  </w:t>
      </w:r>
      <w:r>
        <w:rPr>
          <w:rFonts w:ascii="Arial" w:hAnsi="Arial" w:eastAsia="宋体" w:cs="Arial"/>
          <w:color w:val="auto"/>
          <w:szCs w:val="21"/>
          <w:highlight w:val="none"/>
        </w:rPr>
        <w:t>份。</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本合同经甲乙双方法定代表人或授权代表签字并加盖单位公章后生效。</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甲方（章）           </w:t>
            </w:r>
          </w:p>
          <w:p>
            <w:pPr>
              <w:snapToGrid w:val="0"/>
              <w:spacing w:line="288" w:lineRule="auto"/>
              <w:ind w:firstLine="945" w:firstLineChars="450"/>
              <w:jc w:val="right"/>
              <w:rPr>
                <w:rFonts w:ascii="Arial" w:hAnsi="Arial" w:eastAsia="宋体" w:cs="Arial"/>
                <w:color w:val="auto"/>
                <w:szCs w:val="21"/>
                <w:highlight w:val="none"/>
              </w:rPr>
            </w:pPr>
            <w:r>
              <w:rPr>
                <w:rFonts w:ascii="Arial" w:hAnsi="Arial" w:eastAsia="宋体" w:cs="Arial"/>
                <w:color w:val="auto"/>
                <w:szCs w:val="21"/>
                <w:highlight w:val="none"/>
              </w:rPr>
              <w:t>年   月   日</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乙方（章）              </w:t>
            </w:r>
          </w:p>
          <w:p>
            <w:pPr>
              <w:snapToGrid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单位地址：</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法定代表人：</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电话：</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电子邮箱：</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开户银行：</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账号：</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邮政编码：</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25" w:type="dxa"/>
            <w:gridSpan w:val="2"/>
            <w:noWrap w:val="0"/>
            <w:vAlign w:val="top"/>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经办人：</w:t>
            </w:r>
          </w:p>
          <w:p>
            <w:pPr>
              <w:snapToGrid w:val="0"/>
              <w:spacing w:line="288" w:lineRule="auto"/>
              <w:ind w:firstLine="630" w:firstLineChars="300"/>
              <w:jc w:val="right"/>
              <w:rPr>
                <w:rFonts w:ascii="Arial" w:hAnsi="Arial" w:eastAsia="宋体" w:cs="Arial"/>
                <w:color w:val="auto"/>
                <w:szCs w:val="21"/>
                <w:highlight w:val="none"/>
              </w:rPr>
            </w:pPr>
            <w:r>
              <w:rPr>
                <w:rFonts w:ascii="Arial" w:hAnsi="Arial" w:eastAsia="宋体" w:cs="Arial"/>
                <w:color w:val="auto"/>
                <w:szCs w:val="21"/>
                <w:highlight w:val="none"/>
              </w:rPr>
              <w:t>年    月    日</w:t>
            </w:r>
          </w:p>
        </w:tc>
      </w:tr>
    </w:tbl>
    <w:p>
      <w:pPr>
        <w:spacing w:before="120" w:line="288" w:lineRule="auto"/>
        <w:jc w:val="left"/>
        <w:rPr>
          <w:rFonts w:ascii="Arial" w:hAnsi="Arial" w:eastAsia="宋体" w:cs="Arial"/>
          <w:b/>
          <w:bCs/>
          <w:color w:val="auto"/>
          <w:kern w:val="0"/>
          <w:szCs w:val="21"/>
          <w:highlight w:val="none"/>
        </w:rPr>
      </w:pPr>
      <w:r>
        <w:rPr>
          <w:color w:val="auto"/>
          <w:highlight w:val="none"/>
        </w:rPr>
        <w:br w:type="page"/>
      </w:r>
      <w:bookmarkStart w:id="28" w:name="_Toc423"/>
      <w:bookmarkStart w:id="29" w:name="_Toc133"/>
      <w:r>
        <w:rPr>
          <w:rFonts w:ascii="Arial" w:hAnsi="Arial" w:eastAsia="宋体" w:cs="Arial"/>
          <w:b/>
          <w:bCs/>
          <w:color w:val="auto"/>
          <w:kern w:val="0"/>
          <w:szCs w:val="21"/>
          <w:highlight w:val="none"/>
        </w:rPr>
        <w:t>合同附件1</w:t>
      </w:r>
      <w:bookmarkEnd w:id="28"/>
      <w:bookmarkEnd w:id="29"/>
    </w:p>
    <w:p>
      <w:pPr>
        <w:snapToGrid w:val="0"/>
        <w:spacing w:line="288" w:lineRule="auto"/>
        <w:jc w:val="center"/>
        <w:rPr>
          <w:rFonts w:ascii="Arial" w:hAnsi="Arial" w:eastAsia="宋体" w:cs="Arial"/>
          <w:b/>
          <w:bCs/>
          <w:color w:val="auto"/>
          <w:szCs w:val="21"/>
          <w:highlight w:val="none"/>
        </w:rPr>
      </w:pPr>
      <w:r>
        <w:rPr>
          <w:rFonts w:ascii="Arial" w:hAnsi="Arial" w:eastAsia="宋体" w:cs="Arial"/>
          <w:b/>
          <w:bCs/>
          <w:color w:val="auto"/>
          <w:szCs w:val="21"/>
          <w:highlight w:val="none"/>
        </w:rPr>
        <w:t>响应承诺书</w:t>
      </w:r>
    </w:p>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一般货物类</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pPr>
              <w:spacing w:line="288" w:lineRule="auto"/>
              <w:ind w:right="210"/>
              <w:jc w:val="left"/>
              <w:rPr>
                <w:rFonts w:ascii="Arial" w:hAnsi="Arial" w:eastAsia="宋体" w:cs="Arial"/>
                <w:color w:val="auto"/>
                <w:szCs w:val="21"/>
                <w:highlight w:val="none"/>
              </w:rPr>
            </w:pPr>
            <w:r>
              <w:rPr>
                <w:rFonts w:ascii="Arial" w:hAnsi="Arial" w:eastAsia="宋体" w:cs="Arial"/>
                <w:color w:val="auto"/>
                <w:szCs w:val="21"/>
                <w:highlight w:val="none"/>
              </w:rPr>
              <w:t>1．乙方承诺具体事项：</w:t>
            </w:r>
          </w:p>
          <w:p>
            <w:pPr>
              <w:spacing w:line="288" w:lineRule="auto"/>
              <w:ind w:right="210"/>
              <w:jc w:val="left"/>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2．售后服务具体事项：</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3．质保期责任：</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4．其他具体事项：</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甲方(章)</w:t>
            </w:r>
          </w:p>
          <w:p>
            <w:pPr>
              <w:spacing w:line="288" w:lineRule="auto"/>
              <w:rPr>
                <w:rFonts w:ascii="Arial" w:hAnsi="Arial" w:eastAsia="宋体" w:cs="Arial"/>
                <w:color w:val="auto"/>
                <w:szCs w:val="21"/>
                <w:highlight w:val="none"/>
              </w:rPr>
            </w:pPr>
          </w:p>
          <w:p>
            <w:pPr>
              <w:spacing w:line="288" w:lineRule="auto"/>
              <w:rPr>
                <w:rFonts w:ascii="Arial" w:hAnsi="Arial" w:eastAsia="宋体" w:cs="Arial"/>
                <w:color w:val="auto"/>
                <w:szCs w:val="21"/>
                <w:highlight w:val="none"/>
              </w:rPr>
            </w:pPr>
          </w:p>
          <w:p>
            <w:pPr>
              <w:wordWrap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c>
          <w:tcPr>
            <w:tcW w:w="4285" w:type="dxa"/>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乙方(章)</w:t>
            </w:r>
          </w:p>
          <w:p>
            <w:pPr>
              <w:spacing w:line="288" w:lineRule="auto"/>
              <w:rPr>
                <w:rFonts w:ascii="Arial" w:hAnsi="Arial" w:eastAsia="宋体" w:cs="Arial"/>
                <w:color w:val="auto"/>
                <w:szCs w:val="21"/>
                <w:highlight w:val="none"/>
              </w:rPr>
            </w:pPr>
          </w:p>
          <w:p>
            <w:pPr>
              <w:spacing w:line="288" w:lineRule="auto"/>
              <w:rPr>
                <w:rFonts w:ascii="Arial" w:hAnsi="Arial" w:eastAsia="宋体" w:cs="Arial"/>
                <w:color w:val="auto"/>
                <w:szCs w:val="21"/>
                <w:highlight w:val="none"/>
              </w:rPr>
            </w:pPr>
          </w:p>
          <w:p>
            <w:pPr>
              <w:wordWrap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bl>
    <w:p>
      <w:pPr>
        <w:jc w:val="center"/>
        <w:rPr>
          <w:rFonts w:ascii="Arial" w:hAnsi="Arial" w:eastAsia="宋体" w:cs="Arial"/>
          <w:color w:val="auto"/>
          <w:szCs w:val="21"/>
          <w:highlight w:val="none"/>
        </w:rPr>
      </w:pPr>
      <w:r>
        <w:rPr>
          <w:rFonts w:ascii="Arial" w:hAnsi="Arial" w:eastAsia="宋体" w:cs="Arial"/>
          <w:color w:val="auto"/>
          <w:szCs w:val="21"/>
          <w:highlight w:val="none"/>
        </w:rPr>
        <w:t>注：售后服务事项填不下时可另加附页。</w:t>
      </w:r>
    </w:p>
    <w:p>
      <w:pPr>
        <w:pStyle w:val="3"/>
        <w:jc w:val="center"/>
        <w:rPr>
          <w:rFonts w:ascii="Arial" w:hAnsi="Arial" w:cs="Arial"/>
          <w:bCs w:val="0"/>
          <w:color w:val="auto"/>
          <w:highlight w:val="none"/>
        </w:rPr>
      </w:pPr>
      <w:r>
        <w:rPr>
          <w:rFonts w:ascii="Arial" w:hAnsi="Arial" w:cs="Arial"/>
          <w:b w:val="0"/>
          <w:bCs w:val="0"/>
          <w:color w:val="auto"/>
          <w:kern w:val="2"/>
          <w:sz w:val="21"/>
          <w:szCs w:val="21"/>
          <w:highlight w:val="none"/>
        </w:rPr>
        <w:br w:type="page"/>
      </w:r>
      <w:bookmarkStart w:id="30" w:name="_Toc25244"/>
      <w:bookmarkStart w:id="31" w:name="_Toc22260"/>
      <w:r>
        <w:rPr>
          <w:rFonts w:ascii="Arial" w:hAnsi="Arial" w:cs="Arial"/>
          <w:bCs w:val="0"/>
          <w:color w:val="auto"/>
          <w:highlight w:val="none"/>
        </w:rPr>
        <w:t>第六章 响应文件（格式）</w:t>
      </w:r>
      <w:bookmarkEnd w:id="30"/>
      <w:bookmarkEnd w:id="31"/>
    </w:p>
    <w:p>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一、响应文件</w:t>
      </w:r>
      <w:r>
        <w:rPr>
          <w:rFonts w:hint="eastAsia" w:ascii="Arial" w:hAnsi="Arial" w:eastAsia="宋体" w:cs="Arial"/>
          <w:b/>
          <w:color w:val="auto"/>
          <w:sz w:val="32"/>
          <w:szCs w:val="32"/>
          <w:highlight w:val="none"/>
        </w:rPr>
        <w:t>封面</w:t>
      </w:r>
    </w:p>
    <w:p>
      <w:pPr>
        <w:spacing w:line="400" w:lineRule="exact"/>
        <w:rPr>
          <w:rFonts w:ascii="Arial" w:hAnsi="Arial" w:eastAsia="宋体" w:cs="Arial"/>
          <w:b/>
          <w:color w:val="auto"/>
          <w:sz w:val="32"/>
          <w:szCs w:val="32"/>
          <w:highlight w:val="none"/>
        </w:rPr>
      </w:pPr>
    </w:p>
    <w:p>
      <w:pPr>
        <w:snapToGrid w:val="0"/>
        <w:spacing w:before="165" w:beforeLines="50" w:after="50"/>
        <w:jc w:val="right"/>
        <w:rPr>
          <w:rFonts w:ascii="Arial" w:hAnsi="Arial" w:eastAsia="宋体" w:cs="Arial"/>
          <w:bCs/>
          <w:color w:val="auto"/>
          <w:sz w:val="32"/>
          <w:szCs w:val="32"/>
          <w:highlight w:val="none"/>
        </w:rPr>
      </w:pPr>
      <w:r>
        <w:rPr>
          <w:rFonts w:hint="eastAsia" w:ascii="Arial" w:hAnsi="Arial" w:eastAsia="宋体" w:cs="Arial"/>
          <w:bCs/>
          <w:color w:val="auto"/>
          <w:sz w:val="32"/>
          <w:szCs w:val="32"/>
          <w:highlight w:val="none"/>
        </w:rPr>
        <w:t>正本/副本</w:t>
      </w:r>
    </w:p>
    <w:p>
      <w:pPr>
        <w:spacing w:line="400" w:lineRule="exact"/>
        <w:rPr>
          <w:rFonts w:ascii="Arial" w:hAnsi="Arial" w:eastAsia="宋体" w:cs="Arial"/>
          <w:b/>
          <w:color w:val="auto"/>
          <w:sz w:val="32"/>
          <w:szCs w:val="32"/>
          <w:highlight w:val="none"/>
        </w:rPr>
      </w:pPr>
    </w:p>
    <w:p>
      <w:pPr>
        <w:snapToGrid w:val="0"/>
        <w:spacing w:before="165" w:beforeLines="50" w:after="50"/>
        <w:jc w:val="center"/>
        <w:rPr>
          <w:rFonts w:ascii="Arial" w:hAnsi="Arial" w:eastAsia="宋体" w:cs="Arial"/>
          <w:bCs/>
          <w:color w:val="auto"/>
          <w:sz w:val="32"/>
          <w:szCs w:val="32"/>
          <w:highlight w:val="none"/>
        </w:rPr>
      </w:pPr>
      <w:r>
        <w:rPr>
          <w:rFonts w:hint="eastAsia" w:ascii="Arial" w:hAnsi="Arial" w:eastAsia="宋体" w:cs="Arial"/>
          <w:bCs/>
          <w:color w:val="auto"/>
          <w:sz w:val="36"/>
          <w:szCs w:val="36"/>
          <w:highlight w:val="none"/>
        </w:rPr>
        <w:t>响 应 文 件</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r>
        <w:rPr>
          <w:rFonts w:hint="eastAsia" w:ascii="Arial" w:hAnsi="Arial" w:eastAsia="宋体" w:cs="Arial"/>
          <w:bCs/>
          <w:color w:val="auto"/>
          <w:sz w:val="24"/>
          <w:highlight w:val="none"/>
        </w:rPr>
        <w:t>项目名称</w:t>
      </w:r>
      <w:r>
        <w:rPr>
          <w:rFonts w:hint="eastAsia" w:ascii="Arial" w:hAnsi="Arial" w:eastAsia="宋体" w:cs="Arial"/>
          <w:b/>
          <w:color w:val="auto"/>
          <w:sz w:val="32"/>
          <w:szCs w:val="32"/>
          <w:highlight w:val="none"/>
        </w:rPr>
        <w:t>：</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Cs/>
          <w:color w:val="auto"/>
          <w:sz w:val="24"/>
          <w:highlight w:val="none"/>
        </w:rPr>
      </w:pPr>
      <w:r>
        <w:rPr>
          <w:rFonts w:hint="eastAsia" w:ascii="Arial" w:hAnsi="Arial" w:eastAsia="宋体" w:cs="Arial"/>
          <w:bCs/>
          <w:color w:val="auto"/>
          <w:sz w:val="24"/>
          <w:highlight w:val="none"/>
        </w:rPr>
        <w:t>项目编号：</w:t>
      </w:r>
    </w:p>
    <w:p>
      <w:pPr>
        <w:spacing w:line="400" w:lineRule="exact"/>
        <w:rPr>
          <w:rFonts w:ascii="Arial" w:hAnsi="Arial" w:eastAsia="宋体" w:cs="Arial"/>
          <w:b/>
          <w:color w:val="auto"/>
          <w:sz w:val="32"/>
          <w:szCs w:val="32"/>
          <w:highlight w:val="none"/>
        </w:rPr>
      </w:pPr>
    </w:p>
    <w:p>
      <w:pPr>
        <w:snapToGrid w:val="0"/>
        <w:spacing w:before="165" w:beforeLines="50" w:after="50"/>
        <w:rPr>
          <w:rFonts w:ascii="Arial" w:hAnsi="Arial" w:eastAsia="宋体" w:cs="Arial"/>
          <w:bCs/>
          <w:color w:val="auto"/>
          <w:sz w:val="24"/>
          <w:highlight w:val="none"/>
        </w:rPr>
      </w:pPr>
    </w:p>
    <w:p>
      <w:pPr>
        <w:snapToGrid w:val="0"/>
        <w:spacing w:before="165" w:beforeLines="50" w:after="50"/>
        <w:rPr>
          <w:rFonts w:hint="eastAsia" w:ascii="Arial" w:hAnsi="Arial" w:eastAsia="宋体" w:cs="Arial"/>
          <w:bCs/>
          <w:color w:val="auto"/>
          <w:sz w:val="24"/>
          <w:highlight w:val="none"/>
        </w:rPr>
      </w:pPr>
      <w:r>
        <w:rPr>
          <w:rFonts w:hint="eastAsia" w:ascii="Arial" w:hAnsi="Arial" w:eastAsia="宋体" w:cs="Arial"/>
          <w:bCs/>
          <w:color w:val="auto"/>
          <w:sz w:val="24"/>
          <w:highlight w:val="none"/>
        </w:rPr>
        <w:t>采购代理机构：广西机电设备招标有限公司</w:t>
      </w:r>
    </w:p>
    <w:p>
      <w:pPr>
        <w:snapToGrid w:val="0"/>
        <w:spacing w:before="165" w:beforeLines="50" w:after="50"/>
        <w:ind w:firstLine="360" w:firstLineChars="150"/>
        <w:rPr>
          <w:rFonts w:ascii="Arial" w:hAnsi="Arial" w:eastAsia="宋体" w:cs="Arial"/>
          <w:bCs/>
          <w:color w:val="auto"/>
          <w:sz w:val="24"/>
          <w:highlight w:val="none"/>
        </w:rPr>
      </w:pPr>
    </w:p>
    <w:p>
      <w:pPr>
        <w:snapToGrid w:val="0"/>
        <w:spacing w:before="165" w:beforeLines="50" w:after="50"/>
        <w:ind w:firstLine="360" w:firstLineChars="150"/>
        <w:rPr>
          <w:rFonts w:ascii="Arial" w:hAnsi="Arial" w:eastAsia="宋体" w:cs="Arial"/>
          <w:bCs/>
          <w:color w:val="auto"/>
          <w:sz w:val="24"/>
          <w:highlight w:val="none"/>
        </w:rPr>
      </w:pP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供应商[公章(CA签章)、自然人除外]：                              </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法定代表人、负责人、自然人或相应的委托代理人签字[或盖章(CA签章)]</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（属自然人的应在签名处加盖大拇指指印或个人CA签章）：              </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联系电话：                                                </w:t>
      </w:r>
    </w:p>
    <w:p>
      <w:pPr>
        <w:snapToGrid w:val="0"/>
        <w:spacing w:before="165" w:beforeLines="50" w:after="50"/>
        <w:rPr>
          <w:rFonts w:ascii="Arial" w:hAnsi="Arial" w:eastAsia="宋体" w:cs="Arial"/>
          <w:b/>
          <w:color w:val="auto"/>
          <w:sz w:val="32"/>
          <w:szCs w:val="32"/>
          <w:highlight w:val="none"/>
        </w:rPr>
      </w:pPr>
      <w:r>
        <w:rPr>
          <w:rFonts w:hint="eastAsia" w:ascii="Arial" w:hAnsi="Arial" w:eastAsia="宋体" w:cs="Arial"/>
          <w:bCs/>
          <w:color w:val="auto"/>
          <w:sz w:val="24"/>
          <w:highlight w:val="none"/>
        </w:rPr>
        <w:t>日期：              年           月           日</w:t>
      </w:r>
    </w:p>
    <w:p>
      <w:pPr>
        <w:spacing w:line="440" w:lineRule="atLeas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二、响应文件组成</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（一）</w:t>
      </w:r>
      <w:r>
        <w:rPr>
          <w:rFonts w:ascii="Arial" w:hAnsi="Arial" w:eastAsia="宋体" w:cs="Arial"/>
          <w:b/>
          <w:color w:val="auto"/>
          <w:sz w:val="32"/>
          <w:szCs w:val="32"/>
          <w:highlight w:val="none"/>
        </w:rPr>
        <w:t>资格性响应证明材料</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（二）</w:t>
      </w:r>
      <w:r>
        <w:rPr>
          <w:rFonts w:ascii="Arial" w:hAnsi="Arial" w:eastAsia="宋体" w:cs="Arial"/>
          <w:b/>
          <w:color w:val="auto"/>
          <w:sz w:val="32"/>
          <w:szCs w:val="32"/>
          <w:highlight w:val="none"/>
        </w:rPr>
        <w:t>符合性响应证明材料</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（三）</w:t>
      </w:r>
      <w:r>
        <w:rPr>
          <w:rFonts w:ascii="Arial" w:hAnsi="Arial" w:eastAsia="宋体" w:cs="Arial"/>
          <w:b/>
          <w:color w:val="auto"/>
          <w:sz w:val="32"/>
          <w:szCs w:val="32"/>
          <w:highlight w:val="none"/>
        </w:rPr>
        <w:t>其它有效证明材料</w:t>
      </w:r>
    </w:p>
    <w:p>
      <w:pPr>
        <w:tabs>
          <w:tab w:val="left" w:pos="1305"/>
        </w:tabs>
        <w:spacing w:line="520" w:lineRule="exact"/>
        <w:jc w:val="center"/>
        <w:rPr>
          <w:rFonts w:ascii="Arial" w:hAnsi="Arial" w:eastAsia="宋体" w:cs="Arial"/>
          <w:color w:val="auto"/>
          <w:sz w:val="24"/>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（一）资格性响应证明材料目录</w:t>
      </w:r>
    </w:p>
    <w:p>
      <w:pPr>
        <w:tabs>
          <w:tab w:val="left" w:pos="1305"/>
        </w:tabs>
        <w:spacing w:line="5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2.供应商相应的法定代表人（负责人/自然人）身份证正反两面复印件</w:t>
      </w:r>
      <w:r>
        <w:rPr>
          <w:rFonts w:ascii="Arial" w:hAnsi="Arial" w:eastAsia="宋体" w:cs="Arial"/>
          <w:b/>
          <w:color w:val="auto"/>
          <w:szCs w:val="21"/>
          <w:highlight w:val="none"/>
        </w:rPr>
        <w:t>（必须提供）</w:t>
      </w:r>
    </w:p>
    <w:p>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（必须提供，自然人除外）</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520" w:lineRule="exact"/>
        <w:ind w:firstLine="550" w:firstLineChars="262"/>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lang w:eastAsia="zh-CN"/>
        </w:rPr>
        <w:t>2024年</w:t>
      </w:r>
      <w:r>
        <w:rPr>
          <w:rFonts w:hint="eastAsia" w:ascii="Arial" w:hAnsi="Arial" w:eastAsia="宋体" w:cs="Arial"/>
          <w:color w:val="auto"/>
          <w:szCs w:val="21"/>
          <w:highlight w:val="none"/>
        </w:rPr>
        <w:t>的</w:t>
      </w:r>
      <w:r>
        <w:rPr>
          <w:rFonts w:ascii="Arial" w:hAnsi="Arial" w:eastAsia="宋体" w:cs="Arial"/>
          <w:color w:val="auto"/>
          <w:szCs w:val="21"/>
          <w:highlight w:val="none"/>
        </w:rPr>
        <w:t>审计报告或财务报表（至少包含资产负债表、利润表、现金流量表）（202</w:t>
      </w:r>
      <w:r>
        <w:rPr>
          <w:rFonts w:hint="eastAsia" w:ascii="Arial" w:hAnsi="Arial" w:eastAsia="宋体" w:cs="Arial"/>
          <w:color w:val="auto"/>
          <w:szCs w:val="21"/>
          <w:highlight w:val="none"/>
        </w:rPr>
        <w:t>5</w:t>
      </w:r>
      <w:r>
        <w:rPr>
          <w:rFonts w:ascii="Arial" w:hAnsi="Arial" w:eastAsia="宋体" w:cs="Arial"/>
          <w:color w:val="auto"/>
          <w:szCs w:val="21"/>
          <w:highlight w:val="none"/>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 xml:space="preserve">（必须提供） </w:t>
      </w:r>
      <w:r>
        <w:rPr>
          <w:rFonts w:ascii="Arial" w:hAnsi="Arial" w:eastAsia="宋体" w:cs="Arial"/>
          <w:color w:val="auto"/>
          <w:szCs w:val="21"/>
          <w:highlight w:val="none"/>
        </w:rPr>
        <w:t xml:space="preserve"> </w:t>
      </w:r>
    </w:p>
    <w:p>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p>
    <w:p>
      <w:pPr>
        <w:tabs>
          <w:tab w:val="left" w:pos="1305"/>
        </w:tabs>
        <w:spacing w:line="52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8.供应商参加政府采购活动前3年内在经营活动中没有重大违法记录及有关信用信息的书面声明</w:t>
      </w:r>
      <w:r>
        <w:rPr>
          <w:rFonts w:ascii="Arial" w:hAnsi="Arial" w:eastAsia="宋体" w:cs="Arial"/>
          <w:b/>
          <w:color w:val="auto"/>
          <w:szCs w:val="21"/>
          <w:highlight w:val="none"/>
        </w:rPr>
        <w:t>（必须提供）</w:t>
      </w:r>
    </w:p>
    <w:p>
      <w:pPr>
        <w:spacing w:line="440" w:lineRule="atLeas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（必须提供，但供应商为自然人的无须提供）</w:t>
      </w:r>
    </w:p>
    <w:p>
      <w:pPr>
        <w:spacing w:line="440" w:lineRule="atLeas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pPr>
        <w:snapToGrid w:val="0"/>
        <w:spacing w:line="380" w:lineRule="exact"/>
        <w:ind w:firstLine="411" w:firstLineChars="196"/>
        <w:jc w:val="left"/>
        <w:rPr>
          <w:rFonts w:hint="eastAsia" w:ascii="Arial" w:hAnsi="Arial" w:eastAsia="宋体" w:cs="Arial"/>
          <w:color w:val="auto"/>
          <w:szCs w:val="21"/>
          <w:highlight w:val="none"/>
        </w:rPr>
      </w:pPr>
      <w:r>
        <w:rPr>
          <w:rFonts w:hint="eastAsia" w:ascii="Arial" w:hAnsi="Arial" w:cs="Arial"/>
          <w:bCs/>
          <w:color w:val="auto"/>
          <w:szCs w:val="21"/>
          <w:highlight w:val="none"/>
        </w:rPr>
        <w:t>11.</w:t>
      </w:r>
      <w:r>
        <w:rPr>
          <w:rFonts w:hint="eastAsia" w:ascii="Arial" w:hAnsi="Arial" w:eastAsia="宋体" w:cs="Arial"/>
          <w:color w:val="auto"/>
          <w:szCs w:val="21"/>
          <w:highlight w:val="none"/>
        </w:rPr>
        <w:t>谈判保证金转账底单</w:t>
      </w:r>
      <w:r>
        <w:rPr>
          <w:rFonts w:hint="eastAsia" w:ascii="Arial" w:hAnsi="Arial" w:eastAsia="宋体" w:cs="Arial"/>
          <w:b/>
          <w:bCs/>
          <w:color w:val="auto"/>
          <w:szCs w:val="21"/>
          <w:highlight w:val="none"/>
        </w:rPr>
        <w:t>（必须提供）</w:t>
      </w:r>
    </w:p>
    <w:p>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1. 响应函（必须提供）</w:t>
      </w:r>
    </w:p>
    <w:p>
      <w:pPr>
        <w:spacing w:line="440" w:lineRule="atLeast"/>
        <w:rPr>
          <w:rFonts w:ascii="Arial" w:hAnsi="Arial" w:eastAsia="宋体" w:cs="Arial"/>
          <w:b/>
          <w:color w:val="auto"/>
          <w:sz w:val="24"/>
          <w:highlight w:val="none"/>
        </w:rPr>
      </w:pPr>
      <w:r>
        <w:rPr>
          <w:rFonts w:ascii="Arial" w:hAnsi="Arial" w:eastAsia="宋体" w:cs="Arial"/>
          <w:b/>
          <w:color w:val="auto"/>
          <w:sz w:val="24"/>
          <w:highlight w:val="none"/>
        </w:rPr>
        <w:t>附件：</w:t>
      </w:r>
    </w:p>
    <w:p>
      <w:pPr>
        <w:pStyle w:val="13"/>
        <w:ind w:firstLine="800" w:firstLineChars="250"/>
        <w:jc w:val="center"/>
        <w:rPr>
          <w:rFonts w:ascii="Arial" w:hAnsi="Arial" w:cs="Arial"/>
          <w:b/>
          <w:color w:val="auto"/>
          <w:sz w:val="32"/>
          <w:highlight w:val="none"/>
        </w:rPr>
      </w:pPr>
      <w:r>
        <w:rPr>
          <w:rFonts w:ascii="Arial" w:hAnsi="Arial" w:cs="Arial"/>
          <w:b/>
          <w:color w:val="auto"/>
          <w:sz w:val="32"/>
          <w:highlight w:val="none"/>
        </w:rPr>
        <w:t>响 应 函 （格 式）</w:t>
      </w:r>
    </w:p>
    <w:p>
      <w:pPr>
        <w:spacing w:line="400" w:lineRule="exact"/>
        <w:rPr>
          <w:rFonts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rPr>
        <w:t>广西机电设备招标有限公司</w:t>
      </w:r>
      <w:r>
        <w:rPr>
          <w:rFonts w:ascii="Arial" w:hAnsi="Arial" w:eastAsia="宋体" w:cs="Arial"/>
          <w:color w:val="auto"/>
          <w:szCs w:val="21"/>
          <w:highlight w:val="none"/>
          <w:u w:val="single"/>
        </w:rPr>
        <w:t xml:space="preserve"> </w:t>
      </w:r>
    </w:p>
    <w:p>
      <w:pPr>
        <w:pStyle w:val="13"/>
        <w:spacing w:line="360" w:lineRule="exact"/>
        <w:ind w:firstLine="420"/>
        <w:rPr>
          <w:rFonts w:ascii="Arial" w:hAnsi="Arial" w:cs="Arial"/>
          <w:color w:val="auto"/>
          <w:highlight w:val="none"/>
        </w:rPr>
      </w:pPr>
      <w:r>
        <w:rPr>
          <w:rFonts w:ascii="Arial" w:hAnsi="Arial" w:cs="Arial"/>
          <w:color w:val="auto"/>
          <w:highlight w:val="none"/>
        </w:rPr>
        <w:t>根据贵方</w:t>
      </w:r>
      <w:r>
        <w:rPr>
          <w:rFonts w:ascii="Arial" w:hAnsi="Arial" w:cs="Arial"/>
          <w:color w:val="auto"/>
          <w:highlight w:val="none"/>
          <w:u w:val="single"/>
        </w:rPr>
        <w:t xml:space="preserve">         </w:t>
      </w:r>
      <w:r>
        <w:rPr>
          <w:rFonts w:ascii="Arial" w:hAnsi="Arial" w:cs="Arial"/>
          <w:color w:val="auto"/>
          <w:highlight w:val="none"/>
        </w:rPr>
        <w:t xml:space="preserve">项目谈判文件，项目编号 </w:t>
      </w:r>
      <w:r>
        <w:rPr>
          <w:rFonts w:ascii="Arial" w:hAnsi="Arial" w:cs="Arial"/>
          <w:color w:val="auto"/>
          <w:highlight w:val="none"/>
          <w:u w:val="single"/>
        </w:rPr>
        <w:t xml:space="preserve">               </w:t>
      </w:r>
      <w:r>
        <w:rPr>
          <w:rFonts w:ascii="Arial" w:hAnsi="Arial" w:cs="Arial"/>
          <w:color w:val="auto"/>
          <w:szCs w:val="21"/>
          <w:highlight w:val="none"/>
        </w:rPr>
        <w:t>，签字代表</w:t>
      </w:r>
      <w:r>
        <w:rPr>
          <w:rFonts w:ascii="Arial" w:hAnsi="Arial" w:cs="Arial"/>
          <w:color w:val="auto"/>
          <w:highlight w:val="none"/>
          <w:u w:val="single"/>
        </w:rPr>
        <w:t xml:space="preserve">         </w:t>
      </w:r>
      <w:r>
        <w:rPr>
          <w:rFonts w:ascii="Arial" w:hAnsi="Arial" w:cs="Arial"/>
          <w:color w:val="auto"/>
          <w:highlight w:val="none"/>
        </w:rPr>
        <w:t xml:space="preserve">（姓名）经正式授权并代表供应商 </w:t>
      </w:r>
      <w:r>
        <w:rPr>
          <w:rFonts w:ascii="Arial" w:hAnsi="Arial" w:cs="Arial"/>
          <w:color w:val="auto"/>
          <w:highlight w:val="none"/>
          <w:u w:val="single"/>
        </w:rPr>
        <w:t xml:space="preserve">                                   （</w:t>
      </w:r>
      <w:r>
        <w:rPr>
          <w:rFonts w:ascii="Arial" w:hAnsi="Arial" w:cs="Arial"/>
          <w:color w:val="auto"/>
          <w:highlight w:val="none"/>
        </w:rPr>
        <w:t>供应商单位名称），提交</w:t>
      </w:r>
      <w:r>
        <w:rPr>
          <w:rFonts w:hint="eastAsia" w:ascii="Arial" w:hAnsi="Arial" w:cs="Arial"/>
          <w:color w:val="auto"/>
          <w:highlight w:val="none"/>
        </w:rPr>
        <w:t>电子</w:t>
      </w:r>
      <w:r>
        <w:rPr>
          <w:rFonts w:ascii="Arial" w:hAnsi="Arial" w:cs="Arial"/>
          <w:color w:val="auto"/>
          <w:highlight w:val="none"/>
        </w:rPr>
        <w:t>响应文件。</w:t>
      </w:r>
    </w:p>
    <w:p>
      <w:pPr>
        <w:pStyle w:val="13"/>
        <w:spacing w:line="360" w:lineRule="exact"/>
        <w:ind w:firstLine="420"/>
        <w:rPr>
          <w:rFonts w:ascii="Arial" w:hAnsi="Arial" w:cs="Arial"/>
          <w:color w:val="auto"/>
          <w:highlight w:val="none"/>
        </w:rPr>
      </w:pPr>
      <w:r>
        <w:rPr>
          <w:rFonts w:ascii="Arial" w:hAnsi="Arial" w:cs="Arial"/>
          <w:color w:val="auto"/>
          <w:highlight w:val="none"/>
        </w:rPr>
        <w:t>据此函，签字代表宣布同意如下：</w:t>
      </w:r>
    </w:p>
    <w:p>
      <w:pPr>
        <w:pStyle w:val="13"/>
        <w:spacing w:line="360" w:lineRule="exact"/>
        <w:ind w:firstLine="420"/>
        <w:rPr>
          <w:rFonts w:ascii="Arial" w:hAnsi="Arial" w:cs="Arial"/>
          <w:color w:val="auto"/>
          <w:highlight w:val="none"/>
        </w:rPr>
      </w:pPr>
      <w:r>
        <w:rPr>
          <w:rFonts w:ascii="Arial" w:hAnsi="Arial" w:cs="Arial"/>
          <w:color w:val="auto"/>
          <w:highlight w:val="none"/>
        </w:rPr>
        <w:t>1.按谈判文件货物采购需求和谈判报价表：</w:t>
      </w:r>
    </w:p>
    <w:p>
      <w:pPr>
        <w:pStyle w:val="13"/>
        <w:spacing w:line="360" w:lineRule="exact"/>
        <w:ind w:firstLine="420"/>
        <w:rPr>
          <w:rFonts w:ascii="Arial" w:hAnsi="Arial" w:cs="Arial"/>
          <w:color w:val="auto"/>
          <w:highlight w:val="none"/>
        </w:rPr>
      </w:pPr>
      <w:r>
        <w:rPr>
          <w:rFonts w:ascii="Arial" w:hAnsi="Arial" w:cs="Arial"/>
          <w:color w:val="auto"/>
          <w:highlight w:val="none"/>
        </w:rPr>
        <w:t>谈判报价（大写）</w:t>
      </w:r>
      <w:r>
        <w:rPr>
          <w:rFonts w:ascii="Arial" w:hAnsi="Arial" w:cs="Arial"/>
          <w:color w:val="auto"/>
          <w:highlight w:val="none"/>
          <w:u w:val="single"/>
        </w:rPr>
        <w:t xml:space="preserve">              </w:t>
      </w:r>
      <w:r>
        <w:rPr>
          <w:rFonts w:ascii="Arial" w:hAnsi="Arial" w:cs="Arial"/>
          <w:color w:val="auto"/>
          <w:highlight w:val="none"/>
        </w:rPr>
        <w:t>元人民币(￥</w:t>
      </w:r>
      <w:r>
        <w:rPr>
          <w:rFonts w:ascii="Arial" w:hAnsi="Arial" w:cs="Arial"/>
          <w:color w:val="auto"/>
          <w:highlight w:val="none"/>
          <w:u w:val="single"/>
        </w:rPr>
        <w:t xml:space="preserve">             </w:t>
      </w:r>
      <w:r>
        <w:rPr>
          <w:rFonts w:ascii="Arial" w:hAnsi="Arial" w:cs="Arial"/>
          <w:color w:val="auto"/>
          <w:highlight w:val="none"/>
        </w:rPr>
        <w:t>)。</w:t>
      </w:r>
    </w:p>
    <w:p>
      <w:pPr>
        <w:pStyle w:val="13"/>
        <w:spacing w:line="360" w:lineRule="exact"/>
        <w:ind w:firstLine="420"/>
        <w:rPr>
          <w:rFonts w:ascii="Arial" w:hAnsi="Arial" w:cs="Arial"/>
          <w:color w:val="auto"/>
          <w:highlight w:val="none"/>
        </w:rPr>
      </w:pPr>
      <w:r>
        <w:rPr>
          <w:rFonts w:ascii="Arial" w:hAnsi="Arial" w:cs="Arial"/>
          <w:color w:val="auto"/>
          <w:highlight w:val="none"/>
        </w:rPr>
        <w:t>2.我方承诺已具备谈判文件规定的供应商资格条件。</w:t>
      </w:r>
    </w:p>
    <w:p>
      <w:pPr>
        <w:pStyle w:val="13"/>
        <w:spacing w:line="360" w:lineRule="exact"/>
        <w:ind w:firstLine="420"/>
        <w:rPr>
          <w:rFonts w:ascii="Arial" w:hAnsi="Arial" w:cs="Arial"/>
          <w:color w:val="auto"/>
          <w:highlight w:val="none"/>
        </w:rPr>
      </w:pPr>
      <w:r>
        <w:rPr>
          <w:rFonts w:ascii="Arial" w:hAnsi="Arial" w:cs="Arial"/>
          <w:color w:val="auto"/>
          <w:highlight w:val="none"/>
        </w:rPr>
        <w:t>3.我方已详细审核谈判文件，包括修改文件（如有的话）和有关附件，将自行承担因对全部谈判文件理解不正确或误解而产生的相应后果。</w:t>
      </w:r>
    </w:p>
    <w:p>
      <w:pPr>
        <w:pStyle w:val="13"/>
        <w:spacing w:line="360" w:lineRule="exact"/>
        <w:ind w:firstLine="420"/>
        <w:rPr>
          <w:rFonts w:ascii="Arial" w:hAnsi="Arial" w:cs="Arial"/>
          <w:color w:val="auto"/>
          <w:highlight w:val="none"/>
        </w:rPr>
      </w:pPr>
      <w:r>
        <w:rPr>
          <w:rFonts w:ascii="Arial" w:hAnsi="Arial" w:cs="Arial"/>
          <w:color w:val="auto"/>
          <w:highlight w:val="none"/>
        </w:rPr>
        <w:t>4.响应文件有效期为</w:t>
      </w:r>
      <w:r>
        <w:rPr>
          <w:rFonts w:ascii="Arial" w:hAnsi="Arial" w:cs="Arial"/>
          <w:color w:val="auto"/>
          <w:szCs w:val="21"/>
          <w:highlight w:val="none"/>
        </w:rPr>
        <w:t>响应文件递交截止时间之日起90天。</w:t>
      </w:r>
    </w:p>
    <w:p>
      <w:pPr>
        <w:pStyle w:val="13"/>
        <w:spacing w:line="360" w:lineRule="exact"/>
        <w:ind w:firstLine="420"/>
        <w:rPr>
          <w:rFonts w:ascii="Arial" w:hAnsi="Arial" w:cs="Arial"/>
          <w:color w:val="auto"/>
          <w:highlight w:val="none"/>
        </w:rPr>
      </w:pPr>
      <w:r>
        <w:rPr>
          <w:rFonts w:ascii="Arial" w:hAnsi="Arial" w:cs="Arial"/>
          <w:color w:val="auto"/>
          <w:highlight w:val="none"/>
        </w:rPr>
        <w:t>5.如我方成交：</w:t>
      </w:r>
    </w:p>
    <w:p>
      <w:pPr>
        <w:pStyle w:val="13"/>
        <w:spacing w:line="360" w:lineRule="exact"/>
        <w:ind w:firstLine="420"/>
        <w:rPr>
          <w:rFonts w:ascii="Arial" w:hAnsi="Arial" w:cs="Arial"/>
          <w:color w:val="auto"/>
          <w:highlight w:val="none"/>
        </w:rPr>
      </w:pPr>
      <w:r>
        <w:rPr>
          <w:rFonts w:ascii="Arial" w:hAnsi="Arial" w:cs="Arial"/>
          <w:color w:val="auto"/>
          <w:highlight w:val="none"/>
        </w:rPr>
        <w:t>（1）我方承诺在收到成交通知书后，在成交通知书规定的期限内与采购人签订合同。</w:t>
      </w:r>
    </w:p>
    <w:p>
      <w:pPr>
        <w:pStyle w:val="13"/>
        <w:spacing w:line="360" w:lineRule="exact"/>
        <w:ind w:firstLine="420"/>
        <w:rPr>
          <w:rFonts w:ascii="Arial" w:hAnsi="Arial" w:cs="Arial"/>
          <w:color w:val="auto"/>
          <w:highlight w:val="none"/>
        </w:rPr>
      </w:pPr>
      <w:r>
        <w:rPr>
          <w:rFonts w:ascii="Arial" w:hAnsi="Arial" w:cs="Arial"/>
          <w:color w:val="auto"/>
          <w:highlight w:val="none"/>
        </w:rPr>
        <w:t>（2）我方承诺按照谈判文件规定递交履约担保。</w:t>
      </w:r>
    </w:p>
    <w:p>
      <w:pPr>
        <w:pStyle w:val="13"/>
        <w:spacing w:line="360" w:lineRule="exact"/>
        <w:ind w:firstLine="420"/>
        <w:rPr>
          <w:rFonts w:ascii="Arial" w:hAnsi="Arial" w:cs="Arial"/>
          <w:color w:val="auto"/>
          <w:highlight w:val="none"/>
        </w:rPr>
      </w:pPr>
      <w:r>
        <w:rPr>
          <w:rFonts w:ascii="Arial" w:hAnsi="Arial" w:cs="Arial"/>
          <w:color w:val="auto"/>
          <w:highlight w:val="none"/>
        </w:rPr>
        <w:t>（3）我方承诺本响应文件至本项目合同履行完毕止均保持有效，按谈判文件及政府采购法律、法规的规定履行合同责任和义务。</w:t>
      </w:r>
    </w:p>
    <w:p>
      <w:pPr>
        <w:pStyle w:val="13"/>
        <w:spacing w:line="360" w:lineRule="exact"/>
        <w:ind w:firstLine="420"/>
        <w:rPr>
          <w:rFonts w:ascii="Arial" w:hAnsi="Arial" w:cs="Arial"/>
          <w:color w:val="auto"/>
          <w:highlight w:val="none"/>
        </w:rPr>
      </w:pPr>
      <w:r>
        <w:rPr>
          <w:rFonts w:ascii="Arial" w:hAnsi="Arial" w:cs="Arial"/>
          <w:color w:val="auto"/>
          <w:highlight w:val="none"/>
        </w:rPr>
        <w:t>与本项目有关的正式通讯地址为：</w:t>
      </w:r>
    </w:p>
    <w:p>
      <w:pPr>
        <w:pStyle w:val="13"/>
        <w:spacing w:line="400" w:lineRule="exact"/>
        <w:ind w:firstLine="420"/>
        <w:rPr>
          <w:rFonts w:ascii="Arial" w:hAnsi="Arial" w:cs="Arial"/>
          <w:color w:val="auto"/>
          <w:highlight w:val="none"/>
        </w:rPr>
      </w:pPr>
    </w:p>
    <w:p>
      <w:pPr>
        <w:pStyle w:val="13"/>
        <w:spacing w:line="360" w:lineRule="exact"/>
        <w:ind w:firstLine="420"/>
        <w:rPr>
          <w:rFonts w:ascii="Arial" w:hAnsi="Arial" w:cs="Arial"/>
          <w:color w:val="auto"/>
          <w:highlight w:val="none"/>
        </w:rPr>
      </w:pPr>
      <w:r>
        <w:rPr>
          <w:rFonts w:ascii="Arial" w:hAnsi="Arial" w:cs="Arial"/>
          <w:color w:val="auto"/>
          <w:highlight w:val="none"/>
        </w:rPr>
        <w:t>地址：</w:t>
      </w:r>
      <w:r>
        <w:rPr>
          <w:rFonts w:ascii="Arial" w:hAnsi="Arial" w:cs="Arial"/>
          <w:color w:val="auto"/>
          <w:highlight w:val="none"/>
          <w:u w:val="single"/>
        </w:rPr>
        <w:t xml:space="preserve">                                   </w:t>
      </w:r>
      <w:r>
        <w:rPr>
          <w:rFonts w:ascii="Arial" w:hAnsi="Arial" w:cs="Arial"/>
          <w:color w:val="auto"/>
          <w:highlight w:val="none"/>
        </w:rPr>
        <w:t xml:space="preserve"> 邮编：</w:t>
      </w:r>
      <w:r>
        <w:rPr>
          <w:rFonts w:ascii="Arial" w:hAnsi="Arial" w:cs="Arial"/>
          <w:color w:val="auto"/>
          <w:highlight w:val="none"/>
          <w:u w:val="single"/>
        </w:rPr>
        <w:t xml:space="preserve">          </w:t>
      </w:r>
      <w:r>
        <w:rPr>
          <w:rFonts w:ascii="Arial" w:hAnsi="Arial" w:cs="Arial"/>
          <w:color w:val="auto"/>
          <w:highlight w:val="none"/>
        </w:rPr>
        <w:t xml:space="preserve">  邮箱：</w:t>
      </w:r>
      <w:r>
        <w:rPr>
          <w:rFonts w:ascii="Arial" w:hAnsi="Arial" w:cs="Arial"/>
          <w:color w:val="auto"/>
          <w:highlight w:val="none"/>
          <w:u w:val="single"/>
        </w:rPr>
        <w:t xml:space="preserve">             </w:t>
      </w:r>
      <w:r>
        <w:rPr>
          <w:rFonts w:ascii="Arial" w:hAnsi="Arial" w:cs="Arial"/>
          <w:color w:val="auto"/>
          <w:highlight w:val="none"/>
        </w:rPr>
        <w:t xml:space="preserve"> </w:t>
      </w:r>
    </w:p>
    <w:p>
      <w:pPr>
        <w:pStyle w:val="13"/>
        <w:spacing w:line="360" w:lineRule="exact"/>
        <w:ind w:firstLine="420"/>
        <w:rPr>
          <w:rFonts w:ascii="Arial" w:hAnsi="Arial" w:cs="Arial"/>
          <w:color w:val="auto"/>
          <w:highlight w:val="none"/>
          <w:u w:val="single"/>
        </w:rPr>
      </w:pPr>
      <w:r>
        <w:rPr>
          <w:rFonts w:ascii="Arial" w:hAnsi="Arial" w:cs="Arial"/>
          <w:color w:val="auto"/>
          <w:highlight w:val="none"/>
        </w:rPr>
        <w:t>办公电话：</w:t>
      </w:r>
      <w:r>
        <w:rPr>
          <w:rFonts w:ascii="Arial" w:hAnsi="Arial" w:cs="Arial"/>
          <w:color w:val="auto"/>
          <w:highlight w:val="none"/>
          <w:u w:val="single"/>
        </w:rPr>
        <w:t xml:space="preserve">                </w:t>
      </w:r>
      <w:r>
        <w:rPr>
          <w:rFonts w:ascii="Arial" w:hAnsi="Arial" w:cs="Arial"/>
          <w:color w:val="auto"/>
          <w:highlight w:val="none"/>
        </w:rPr>
        <w:t xml:space="preserve">   传真：</w:t>
      </w:r>
      <w:r>
        <w:rPr>
          <w:rFonts w:ascii="Arial" w:hAnsi="Arial" w:cs="Arial"/>
          <w:color w:val="auto"/>
          <w:highlight w:val="none"/>
          <w:u w:val="single"/>
        </w:rPr>
        <w:t xml:space="preserve">            </w:t>
      </w:r>
    </w:p>
    <w:p>
      <w:pPr>
        <w:pStyle w:val="13"/>
        <w:spacing w:line="360" w:lineRule="exact"/>
        <w:ind w:firstLine="420"/>
        <w:rPr>
          <w:rFonts w:ascii="Arial" w:hAnsi="Arial" w:cs="Arial"/>
          <w:color w:val="auto"/>
          <w:highlight w:val="none"/>
          <w:u w:val="single"/>
        </w:rPr>
      </w:pPr>
      <w:r>
        <w:rPr>
          <w:rFonts w:ascii="Arial" w:hAnsi="Arial" w:cs="Arial"/>
          <w:color w:val="auto"/>
          <w:highlight w:val="none"/>
        </w:rPr>
        <w:t>委托代理人联系电话：</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开户名称：</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开户银行：</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账号：</w:t>
      </w:r>
      <w:r>
        <w:rPr>
          <w:rFonts w:ascii="Arial" w:hAnsi="Arial" w:cs="Arial"/>
          <w:color w:val="auto"/>
          <w:highlight w:val="none"/>
          <w:u w:val="single"/>
        </w:rPr>
        <w:t xml:space="preserve">                                   　　　   </w:t>
      </w:r>
    </w:p>
    <w:p>
      <w:pPr>
        <w:pStyle w:val="13"/>
        <w:spacing w:line="340" w:lineRule="exact"/>
        <w:ind w:firstLine="420"/>
        <w:rPr>
          <w:rFonts w:ascii="Arial" w:hAnsi="Arial" w:cs="Arial"/>
          <w:bCs/>
          <w:color w:val="auto"/>
          <w:highlight w:val="none"/>
        </w:rPr>
      </w:pPr>
      <w:r>
        <w:rPr>
          <w:rFonts w:ascii="Arial" w:hAnsi="Arial" w:cs="Arial"/>
          <w:bCs/>
          <w:color w:val="auto"/>
          <w:highlight w:val="none"/>
        </w:rPr>
        <w:t>供应商[公章(CA签章)、自然人除外]：</w:t>
      </w:r>
      <w:r>
        <w:rPr>
          <w:rFonts w:ascii="Arial" w:hAnsi="Arial" w:cs="Arial"/>
          <w:bCs/>
          <w:color w:val="auto"/>
          <w:highlight w:val="none"/>
          <w:u w:val="single"/>
        </w:rPr>
        <w:t xml:space="preserve">                              </w:t>
      </w:r>
    </w:p>
    <w:p>
      <w:pPr>
        <w:pStyle w:val="13"/>
        <w:spacing w:line="340" w:lineRule="exact"/>
        <w:ind w:firstLine="420"/>
        <w:rPr>
          <w:rFonts w:ascii="Arial" w:hAnsi="Arial" w:cs="Arial"/>
          <w:color w:val="auto"/>
          <w:szCs w:val="21"/>
          <w:highlight w:val="none"/>
          <w:u w:val="single"/>
        </w:rPr>
      </w:pPr>
      <w:r>
        <w:rPr>
          <w:rFonts w:ascii="Arial" w:hAnsi="Arial" w:cs="Arial"/>
          <w:bCs/>
          <w:color w:val="auto"/>
          <w:highlight w:val="none"/>
        </w:rPr>
        <w:t>法定代表人、负责人、自然人或相应的委托代理人签字[或盖章(CA签章)]（属自然人的应在签名处加盖大拇指指印或个人CA签章）：</w:t>
      </w:r>
      <w:r>
        <w:rPr>
          <w:rFonts w:ascii="Arial" w:hAnsi="Arial" w:cs="Arial"/>
          <w:color w:val="auto"/>
          <w:szCs w:val="21"/>
          <w:highlight w:val="none"/>
          <w:u w:val="single"/>
        </w:rPr>
        <w:t xml:space="preserve">              </w:t>
      </w:r>
    </w:p>
    <w:p>
      <w:pPr>
        <w:pStyle w:val="13"/>
        <w:spacing w:line="340" w:lineRule="exact"/>
        <w:ind w:firstLine="420"/>
        <w:rPr>
          <w:rFonts w:ascii="Arial" w:hAnsi="Arial" w:cs="Arial"/>
          <w:color w:val="auto"/>
          <w:highlight w:val="none"/>
          <w:u w:val="single"/>
        </w:rPr>
      </w:pPr>
      <w:r>
        <w:rPr>
          <w:rFonts w:ascii="Arial" w:hAnsi="Arial" w:cs="Arial"/>
          <w:bCs/>
          <w:color w:val="auto"/>
          <w:highlight w:val="none"/>
        </w:rPr>
        <w:t>响应</w:t>
      </w:r>
      <w:r>
        <w:rPr>
          <w:rFonts w:ascii="Arial" w:hAnsi="Arial" w:cs="Arial"/>
          <w:color w:val="auto"/>
          <w:highlight w:val="none"/>
        </w:rPr>
        <w:t>日期：</w:t>
      </w:r>
      <w:r>
        <w:rPr>
          <w:rFonts w:ascii="Arial" w:hAnsi="Arial" w:cs="Arial"/>
          <w:color w:val="auto"/>
          <w:highlight w:val="none"/>
          <w:u w:val="single"/>
        </w:rPr>
        <w:t xml:space="preserve">                               </w:t>
      </w:r>
    </w:p>
    <w:p>
      <w:pPr>
        <w:pStyle w:val="13"/>
        <w:spacing w:line="320" w:lineRule="exact"/>
        <w:ind w:firstLine="420"/>
        <w:rPr>
          <w:rFonts w:ascii="Arial" w:hAnsi="Arial" w:cs="Arial"/>
          <w:bCs/>
          <w:color w:val="auto"/>
          <w:highlight w:val="none"/>
        </w:rPr>
      </w:pPr>
    </w:p>
    <w:p>
      <w:pPr>
        <w:pStyle w:val="13"/>
        <w:spacing w:line="320" w:lineRule="exact"/>
        <w:ind w:left="840" w:leftChars="200" w:hanging="420" w:hangingChars="200"/>
        <w:rPr>
          <w:rFonts w:ascii="Arial" w:hAnsi="Arial" w:cs="Arial"/>
          <w:bCs/>
          <w:color w:val="auto"/>
          <w:highlight w:val="none"/>
        </w:rPr>
      </w:pPr>
      <w:r>
        <w:rPr>
          <w:rFonts w:ascii="Arial" w:hAnsi="Arial" w:cs="Arial"/>
          <w:bCs/>
          <w:color w:val="auto"/>
          <w:highlight w:val="none"/>
        </w:rPr>
        <w:t>注：1.未按照本响应函（格式）要求填报的响应函将被视为非实质性响应竞争性谈判文件要求，从而导致该响应被拒绝。</w:t>
      </w:r>
    </w:p>
    <w:p>
      <w:pPr>
        <w:pStyle w:val="13"/>
        <w:spacing w:line="320" w:lineRule="exact"/>
        <w:ind w:left="840" w:leftChars="400"/>
        <w:rPr>
          <w:rFonts w:ascii="Arial" w:hAnsi="Arial" w:cs="Arial"/>
          <w:bCs/>
          <w:color w:val="auto"/>
          <w:highlight w:val="none"/>
        </w:rPr>
      </w:pPr>
      <w:r>
        <w:rPr>
          <w:rFonts w:ascii="Arial" w:hAnsi="Arial" w:cs="Arial"/>
          <w:bCs/>
          <w:color w:val="auto"/>
          <w:szCs w:val="21"/>
          <w:highlight w:val="none"/>
        </w:rPr>
        <w:t>2.供应商必须按</w:t>
      </w:r>
      <w:r>
        <w:rPr>
          <w:rFonts w:ascii="Arial" w:hAnsi="Arial" w:cs="Arial"/>
          <w:bCs/>
          <w:color w:val="auto"/>
          <w:highlight w:val="none"/>
        </w:rPr>
        <w:t>本响应函（格式）</w:t>
      </w:r>
      <w:r>
        <w:rPr>
          <w:rFonts w:ascii="Arial" w:hAnsi="Arial" w:cs="Arial"/>
          <w:bCs/>
          <w:color w:val="auto"/>
          <w:szCs w:val="21"/>
          <w:highlight w:val="none"/>
        </w:rPr>
        <w:t>要求注明清楚联系方式（包括地址、邮编、邮箱、电话等），从而确保成交结果等相关信息能及时通知到位。</w:t>
      </w:r>
    </w:p>
    <w:p>
      <w:pPr>
        <w:pStyle w:val="13"/>
        <w:spacing w:line="320" w:lineRule="exact"/>
        <w:ind w:left="840" w:leftChars="400"/>
        <w:rPr>
          <w:rFonts w:ascii="Arial" w:hAnsi="Arial" w:cs="Arial"/>
          <w:bCs/>
          <w:color w:val="auto"/>
          <w:szCs w:val="21"/>
          <w:highlight w:val="none"/>
        </w:rPr>
      </w:pPr>
      <w:r>
        <w:rPr>
          <w:rFonts w:ascii="Arial" w:hAnsi="Arial" w:cs="Arial"/>
          <w:bCs/>
          <w:color w:val="auto"/>
          <w:highlight w:val="none"/>
        </w:rPr>
        <w:t>3.响应函</w:t>
      </w:r>
      <w:r>
        <w:rPr>
          <w:rFonts w:ascii="Arial" w:hAnsi="Arial" w:cs="Arial"/>
          <w:bCs/>
          <w:color w:val="auto"/>
          <w:szCs w:val="21"/>
          <w:highlight w:val="none"/>
        </w:rPr>
        <w:t>须</w:t>
      </w:r>
      <w:r>
        <w:rPr>
          <w:rFonts w:ascii="Arial" w:hAnsi="Arial" w:cs="Arial"/>
          <w:bCs/>
          <w:color w:val="auto"/>
          <w:highlight w:val="none"/>
        </w:rPr>
        <w:t>由</w:t>
      </w:r>
      <w:r>
        <w:rPr>
          <w:rFonts w:ascii="Arial" w:hAnsi="Arial" w:cs="Arial"/>
          <w:bCs/>
          <w:color w:val="auto"/>
          <w:szCs w:val="21"/>
          <w:highlight w:val="none"/>
        </w:rPr>
        <w:t>法定代表人（负责人/自然人）或委托代理人签字（</w:t>
      </w:r>
      <w:r>
        <w:rPr>
          <w:rFonts w:ascii="Arial" w:hAnsi="Arial" w:cs="Arial"/>
          <w:color w:val="auto"/>
          <w:highlight w:val="none"/>
        </w:rPr>
        <w:t>属自然人的应在签名处加盖大拇指指印</w:t>
      </w:r>
      <w:r>
        <w:rPr>
          <w:rFonts w:ascii="Arial" w:hAnsi="Arial" w:cs="Arial"/>
          <w:bCs/>
          <w:color w:val="auto"/>
          <w:szCs w:val="21"/>
          <w:highlight w:val="none"/>
        </w:rPr>
        <w:t>）并加盖供应商公章（自然人除外）。</w:t>
      </w:r>
    </w:p>
    <w:p>
      <w:pPr>
        <w:pStyle w:val="13"/>
        <w:spacing w:line="320" w:lineRule="exact"/>
        <w:ind w:left="840" w:leftChars="400"/>
        <w:rPr>
          <w:rFonts w:ascii="Arial" w:hAnsi="Arial" w:cs="Arial"/>
          <w:bCs/>
          <w:color w:val="auto"/>
          <w:szCs w:val="21"/>
          <w:highlight w:val="none"/>
        </w:rPr>
      </w:pPr>
    </w:p>
    <w:p>
      <w:pPr>
        <w:pStyle w:val="13"/>
        <w:spacing w:line="400" w:lineRule="exact"/>
        <w:ind w:firstLine="420" w:firstLineChars="200"/>
        <w:rPr>
          <w:rFonts w:ascii="Arial" w:hAnsi="Arial" w:cs="Arial"/>
          <w:bCs/>
          <w:color w:val="auto"/>
          <w:highlight w:val="none"/>
        </w:rPr>
      </w:pPr>
    </w:p>
    <w:p>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2.供应商相应的法定代表人（负责人/自然人)身份证正反两面复印件（必须提供）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3.供应商的授权委托书原件、委托代理人身份证正反面复印件（委托代理时必须提供）</w:t>
      </w:r>
    </w:p>
    <w:p>
      <w:pPr>
        <w:pStyle w:val="13"/>
        <w:rPr>
          <w:rFonts w:ascii="Arial" w:hAnsi="Arial" w:cs="Arial"/>
          <w:b/>
          <w:color w:val="auto"/>
          <w:sz w:val="32"/>
          <w:highlight w:val="none"/>
        </w:rPr>
      </w:pPr>
      <w:r>
        <w:rPr>
          <w:rFonts w:ascii="Arial" w:hAnsi="Arial" w:cs="Arial"/>
          <w:b/>
          <w:color w:val="auto"/>
          <w:sz w:val="32"/>
          <w:highlight w:val="none"/>
        </w:rPr>
        <w:t xml:space="preserve">附件：            </w:t>
      </w:r>
    </w:p>
    <w:p>
      <w:pPr>
        <w:pStyle w:val="13"/>
        <w:ind w:firstLine="627" w:firstLineChars="196"/>
        <w:jc w:val="center"/>
        <w:rPr>
          <w:rFonts w:ascii="Arial" w:hAnsi="Arial" w:cs="Arial"/>
          <w:b/>
          <w:color w:val="auto"/>
          <w:sz w:val="32"/>
          <w:highlight w:val="none"/>
        </w:rPr>
      </w:pPr>
      <w:r>
        <w:rPr>
          <w:rFonts w:ascii="Arial" w:hAnsi="Arial" w:cs="Arial"/>
          <w:b/>
          <w:color w:val="auto"/>
          <w:sz w:val="32"/>
          <w:highlight w:val="none"/>
        </w:rPr>
        <w:t>授权委托书（格式一）</w:t>
      </w:r>
    </w:p>
    <w:p>
      <w:pPr>
        <w:pStyle w:val="13"/>
        <w:rPr>
          <w:rFonts w:ascii="Arial" w:hAnsi="Arial" w:cs="Arial"/>
          <w:color w:val="auto"/>
          <w:highlight w:val="none"/>
        </w:rPr>
      </w:pPr>
    </w:p>
    <w:p>
      <w:pPr>
        <w:spacing w:line="400" w:lineRule="exact"/>
        <w:rPr>
          <w:rFonts w:hint="eastAsia"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rPr>
        <w:t>广西机电设备招标有限公司</w:t>
      </w:r>
    </w:p>
    <w:p>
      <w:pPr>
        <w:spacing w:line="400" w:lineRule="exact"/>
        <w:rPr>
          <w:rFonts w:ascii="Arial" w:hAnsi="Arial" w:eastAsia="宋体" w:cs="Arial"/>
          <w:color w:val="auto"/>
          <w:szCs w:val="21"/>
          <w:highlight w:val="none"/>
        </w:rPr>
      </w:pPr>
    </w:p>
    <w:p>
      <w:pPr>
        <w:pStyle w:val="13"/>
        <w:spacing w:line="40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 xml:space="preserve">              </w:t>
      </w:r>
      <w:r>
        <w:rPr>
          <w:rFonts w:ascii="Arial" w:hAnsi="Arial" w:cs="Arial"/>
          <w:color w:val="auto"/>
          <w:kern w:val="0"/>
          <w:highlight w:val="none"/>
        </w:rPr>
        <w:t>（姓名）系</w:t>
      </w:r>
      <w:r>
        <w:rPr>
          <w:rFonts w:ascii="Arial" w:hAnsi="Arial" w:cs="Arial"/>
          <w:color w:val="auto"/>
          <w:kern w:val="0"/>
          <w:highlight w:val="none"/>
          <w:u w:val="single"/>
        </w:rPr>
        <w:t xml:space="preserve">                              </w:t>
      </w:r>
      <w:r>
        <w:rPr>
          <w:rFonts w:ascii="Arial" w:hAnsi="Arial" w:cs="Arial"/>
          <w:color w:val="auto"/>
          <w:kern w:val="0"/>
          <w:highlight w:val="none"/>
        </w:rPr>
        <w:t>（供应商名称）的法定代表人，现授权委托本单位在职职工</w:t>
      </w:r>
      <w:r>
        <w:rPr>
          <w:rFonts w:ascii="Arial" w:hAnsi="Arial" w:cs="Arial"/>
          <w:color w:val="auto"/>
          <w:kern w:val="0"/>
          <w:highlight w:val="none"/>
          <w:u w:val="single"/>
        </w:rPr>
        <w:t xml:space="preserve">            </w:t>
      </w:r>
      <w:r>
        <w:rPr>
          <w:rFonts w:ascii="Arial" w:hAnsi="Arial" w:cs="Arial"/>
          <w:color w:val="auto"/>
          <w:kern w:val="0"/>
          <w:highlight w:val="none"/>
        </w:rPr>
        <w:t>（姓 名）以我公司名义参加</w:t>
      </w:r>
      <w:r>
        <w:rPr>
          <w:rFonts w:ascii="Arial" w:hAnsi="Arial" w:cs="Arial"/>
          <w:color w:val="auto"/>
          <w:kern w:val="0"/>
          <w:highlight w:val="none"/>
          <w:u w:val="single"/>
        </w:rPr>
        <w:t xml:space="preserve">      </w:t>
      </w:r>
      <w:r>
        <w:rPr>
          <w:rFonts w:ascii="Arial" w:hAnsi="Arial" w:cs="Arial"/>
          <w:color w:val="auto"/>
          <w:highlight w:val="none"/>
          <w:u w:val="single"/>
        </w:rPr>
        <w:t>（项目名称</w:t>
      </w:r>
      <w:r>
        <w:rPr>
          <w:rFonts w:hint="eastAsia" w:ascii="Arial" w:hAnsi="Arial" w:cs="Arial"/>
          <w:color w:val="auto"/>
          <w:highlight w:val="none"/>
          <w:u w:val="single"/>
        </w:rPr>
        <w:t>、</w:t>
      </w:r>
      <w:r>
        <w:rPr>
          <w:rFonts w:ascii="Arial" w:hAnsi="Arial" w:cs="Arial"/>
          <w:color w:val="auto"/>
          <w:highlight w:val="none"/>
          <w:u w:val="single"/>
        </w:rPr>
        <w:t xml:space="preserve">项目编号）        </w:t>
      </w:r>
      <w:r>
        <w:rPr>
          <w:rFonts w:ascii="Arial" w:hAnsi="Arial" w:cs="Arial"/>
          <w:color w:val="auto"/>
          <w:highlight w:val="none"/>
        </w:rPr>
        <w:t>项目的谈判活动，并代表我方全权办理针对上述项目的谈判、签约等具体事务和签署相关文件。</w:t>
      </w:r>
    </w:p>
    <w:p>
      <w:pPr>
        <w:pStyle w:val="13"/>
        <w:spacing w:line="400" w:lineRule="exact"/>
        <w:ind w:firstLine="420" w:firstLineChars="200"/>
        <w:rPr>
          <w:rFonts w:ascii="Arial" w:hAnsi="Arial" w:cs="Arial"/>
          <w:color w:val="auto"/>
          <w:highlight w:val="none"/>
        </w:rPr>
      </w:pPr>
      <w:r>
        <w:rPr>
          <w:rFonts w:ascii="Arial" w:hAnsi="Arial" w:cs="Arial"/>
          <w:color w:val="auto"/>
          <w:highlight w:val="none"/>
        </w:rPr>
        <w:t>我方对被授权人的签字事项负全部责任。</w:t>
      </w:r>
    </w:p>
    <w:p>
      <w:pPr>
        <w:pStyle w:val="13"/>
        <w:spacing w:line="400" w:lineRule="exact"/>
        <w:ind w:firstLine="420" w:firstLineChars="200"/>
        <w:rPr>
          <w:rFonts w:ascii="Arial" w:hAnsi="Arial" w:cs="Arial"/>
          <w:color w:val="auto"/>
          <w:highlight w:val="none"/>
          <w:u w:val="single"/>
        </w:rPr>
      </w:pPr>
      <w:r>
        <w:rPr>
          <w:rFonts w:ascii="Arial" w:hAnsi="Arial" w:cs="Arial"/>
          <w:color w:val="auto"/>
          <w:highlight w:val="none"/>
        </w:rPr>
        <w:t>授权委托代理期限：从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 xml:space="preserve"> 日起至</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日止。</w:t>
      </w:r>
    </w:p>
    <w:p>
      <w:pPr>
        <w:pStyle w:val="13"/>
        <w:spacing w:line="400" w:lineRule="exact"/>
        <w:rPr>
          <w:rFonts w:ascii="Arial" w:hAnsi="Arial" w:cs="Arial"/>
          <w:color w:val="auto"/>
          <w:highlight w:val="none"/>
          <w:u w:val="single"/>
        </w:rPr>
      </w:pPr>
      <w:r>
        <w:rPr>
          <w:rFonts w:ascii="Arial" w:hAnsi="Arial" w:cs="Arial"/>
          <w:color w:val="auto"/>
          <w:highlight w:val="none"/>
        </w:rPr>
        <w:t xml:space="preserve">                                                                                             </w:t>
      </w:r>
    </w:p>
    <w:p>
      <w:pPr>
        <w:spacing w:line="40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pPr>
        <w:snapToGrid w:val="0"/>
        <w:spacing w:line="400" w:lineRule="exact"/>
        <w:ind w:firstLine="525"/>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u w:val="single"/>
        </w:rPr>
      </w:pPr>
      <w:r>
        <w:rPr>
          <w:rFonts w:ascii="Arial" w:hAnsi="Arial" w:eastAsia="宋体" w:cs="Arial"/>
          <w:color w:val="auto"/>
          <w:szCs w:val="21"/>
          <w:highlight w:val="none"/>
        </w:rPr>
        <w:t>供应商[公章（CA签章）]：</w:t>
      </w:r>
      <w:r>
        <w:rPr>
          <w:rFonts w:ascii="Arial" w:hAnsi="Arial" w:eastAsia="宋体" w:cs="Arial"/>
          <w:b/>
          <w:color w:val="auto"/>
          <w:szCs w:val="21"/>
          <w:highlight w:val="none"/>
          <w:u w:val="single"/>
        </w:rPr>
        <w:t xml:space="preserve">                                      </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法定代表人（负责人）签字（或个人CA签章）：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p>
    <w:p>
      <w:pPr>
        <w:snapToGrid w:val="0"/>
        <w:spacing w:line="400" w:lineRule="exact"/>
        <w:rPr>
          <w:rFonts w:ascii="Arial" w:hAnsi="Arial" w:eastAsia="宋体" w:cs="Arial"/>
          <w:b/>
          <w:color w:val="auto"/>
          <w:szCs w:val="21"/>
          <w:highlight w:val="none"/>
        </w:rPr>
      </w:pPr>
    </w:p>
    <w:p>
      <w:pPr>
        <w:snapToGrid w:val="0"/>
        <w:spacing w:line="400" w:lineRule="exact"/>
        <w:rPr>
          <w:rFonts w:ascii="Arial" w:hAnsi="Arial" w:eastAsia="宋体" w:cs="Arial"/>
          <w:b/>
          <w:color w:val="auto"/>
          <w:szCs w:val="21"/>
          <w:highlight w:val="none"/>
        </w:rPr>
      </w:pPr>
    </w:p>
    <w:p>
      <w:pPr>
        <w:snapToGrid w:val="0"/>
        <w:spacing w:line="400" w:lineRule="exact"/>
        <w:rPr>
          <w:rFonts w:ascii="Arial" w:hAnsi="Arial" w:cs="Arial"/>
          <w:b/>
          <w:color w:val="auto"/>
          <w:sz w:val="24"/>
          <w:highlight w:val="none"/>
        </w:rPr>
      </w:pPr>
      <w:r>
        <w:rPr>
          <w:rFonts w:ascii="Arial" w:hAnsi="Arial" w:eastAsia="宋体" w:cs="Arial"/>
          <w:b/>
          <w:color w:val="auto"/>
          <w:szCs w:val="21"/>
          <w:highlight w:val="none"/>
        </w:rPr>
        <w:t>附：委托代理人有效的身份证正反两面复印件。</w:t>
      </w: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rPr>
          <w:rFonts w:ascii="Arial" w:hAnsi="Arial" w:eastAsia="宋体" w:cs="Arial"/>
          <w:b/>
          <w:color w:val="auto"/>
          <w:sz w:val="32"/>
          <w:highlight w:val="none"/>
        </w:rPr>
      </w:pPr>
      <w:r>
        <w:rPr>
          <w:rFonts w:ascii="Arial" w:hAnsi="Arial" w:eastAsia="宋体" w:cs="Arial"/>
          <w:b/>
          <w:color w:val="auto"/>
          <w:sz w:val="32"/>
          <w:highlight w:val="none"/>
        </w:rPr>
        <w:br w:type="page"/>
      </w:r>
    </w:p>
    <w:p>
      <w:pPr>
        <w:pStyle w:val="13"/>
        <w:jc w:val="center"/>
        <w:rPr>
          <w:rFonts w:ascii="Arial" w:hAnsi="Arial" w:cs="Arial"/>
          <w:b/>
          <w:color w:val="auto"/>
          <w:sz w:val="32"/>
          <w:highlight w:val="none"/>
        </w:rPr>
      </w:pPr>
      <w:r>
        <w:rPr>
          <w:rFonts w:ascii="Arial" w:hAnsi="Arial" w:cs="Arial"/>
          <w:b/>
          <w:color w:val="auto"/>
          <w:sz w:val="32"/>
          <w:highlight w:val="none"/>
        </w:rPr>
        <w:t>授权委托书（格式二）</w:t>
      </w:r>
    </w:p>
    <w:p>
      <w:pPr>
        <w:snapToGrid w:val="0"/>
        <w:spacing w:line="400" w:lineRule="exact"/>
        <w:rPr>
          <w:rFonts w:hint="eastAsia" w:ascii="Arial" w:hAnsi="Arial" w:eastAsia="宋体" w:cs="Arial"/>
          <w:color w:val="auto"/>
          <w:highlight w:val="none"/>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rPr>
        <w:t>广西机电设备招标有限公司</w:t>
      </w:r>
    </w:p>
    <w:p>
      <w:pPr>
        <w:snapToGrid w:val="0"/>
        <w:spacing w:line="400" w:lineRule="exact"/>
        <w:rPr>
          <w:rFonts w:ascii="Arial" w:hAnsi="Arial" w:eastAsia="宋体" w:cs="Arial"/>
          <w:color w:val="auto"/>
          <w:szCs w:val="21"/>
          <w:highlight w:val="none"/>
          <w:u w:val="single"/>
        </w:rPr>
      </w:pPr>
    </w:p>
    <w:p>
      <w:pPr>
        <w:pStyle w:val="13"/>
        <w:spacing w:line="34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 xml:space="preserve">              </w:t>
      </w:r>
      <w:r>
        <w:rPr>
          <w:rFonts w:ascii="Arial" w:hAnsi="Arial" w:cs="Arial"/>
          <w:color w:val="auto"/>
          <w:kern w:val="0"/>
          <w:highlight w:val="none"/>
        </w:rPr>
        <w:t>（姓名）系自然人，现授权委托</w:t>
      </w:r>
      <w:r>
        <w:rPr>
          <w:rFonts w:ascii="Arial" w:hAnsi="Arial" w:cs="Arial"/>
          <w:color w:val="auto"/>
          <w:kern w:val="0"/>
          <w:highlight w:val="none"/>
          <w:u w:val="single"/>
        </w:rPr>
        <w:t xml:space="preserve">            </w:t>
      </w:r>
      <w:r>
        <w:rPr>
          <w:rFonts w:ascii="Arial" w:hAnsi="Arial" w:cs="Arial"/>
          <w:color w:val="auto"/>
          <w:kern w:val="0"/>
          <w:highlight w:val="none"/>
        </w:rPr>
        <w:t>（姓 名）以本人名义参加</w:t>
      </w:r>
      <w:r>
        <w:rPr>
          <w:rFonts w:ascii="Arial" w:hAnsi="Arial" w:cs="Arial"/>
          <w:color w:val="auto"/>
          <w:kern w:val="0"/>
          <w:highlight w:val="none"/>
          <w:u w:val="single"/>
        </w:rPr>
        <w:t xml:space="preserve">      </w:t>
      </w:r>
      <w:r>
        <w:rPr>
          <w:rFonts w:ascii="Arial" w:hAnsi="Arial" w:cs="Arial"/>
          <w:color w:val="auto"/>
          <w:highlight w:val="none"/>
          <w:u w:val="single"/>
        </w:rPr>
        <w:t>（项目名称</w:t>
      </w:r>
      <w:r>
        <w:rPr>
          <w:rFonts w:hint="eastAsia" w:ascii="Arial" w:hAnsi="Arial" w:cs="Arial"/>
          <w:color w:val="auto"/>
          <w:highlight w:val="none"/>
          <w:u w:val="single"/>
        </w:rPr>
        <w:t>、</w:t>
      </w:r>
      <w:r>
        <w:rPr>
          <w:rFonts w:ascii="Arial" w:hAnsi="Arial" w:cs="Arial"/>
          <w:color w:val="auto"/>
          <w:highlight w:val="none"/>
          <w:u w:val="single"/>
        </w:rPr>
        <w:t xml:space="preserve">项目编号）        </w:t>
      </w:r>
      <w:r>
        <w:rPr>
          <w:rFonts w:ascii="Arial" w:hAnsi="Arial" w:cs="Arial"/>
          <w:color w:val="auto"/>
          <w:highlight w:val="none"/>
        </w:rPr>
        <w:t>项目的谈判活动，并代表本人全权办理针对上述项目的谈判、签约等具体事务和签署相关文件。</w:t>
      </w:r>
    </w:p>
    <w:p>
      <w:pPr>
        <w:pStyle w:val="13"/>
        <w:spacing w:line="340" w:lineRule="exact"/>
        <w:ind w:firstLine="420" w:firstLineChars="200"/>
        <w:rPr>
          <w:rFonts w:ascii="Arial" w:hAnsi="Arial" w:cs="Arial"/>
          <w:color w:val="auto"/>
          <w:highlight w:val="none"/>
        </w:rPr>
      </w:pPr>
      <w:r>
        <w:rPr>
          <w:rFonts w:ascii="Arial" w:hAnsi="Arial" w:cs="Arial"/>
          <w:color w:val="auto"/>
          <w:highlight w:val="none"/>
        </w:rPr>
        <w:t>本人对被授权人的签字事项负全部责任。</w:t>
      </w:r>
    </w:p>
    <w:p>
      <w:pPr>
        <w:pStyle w:val="13"/>
        <w:spacing w:line="340" w:lineRule="exact"/>
        <w:ind w:firstLine="420" w:firstLineChars="200"/>
        <w:rPr>
          <w:rFonts w:ascii="Arial" w:hAnsi="Arial" w:cs="Arial"/>
          <w:color w:val="auto"/>
          <w:highlight w:val="none"/>
          <w:u w:val="single"/>
        </w:rPr>
      </w:pPr>
      <w:r>
        <w:rPr>
          <w:rFonts w:ascii="Arial" w:hAnsi="Arial" w:cs="Arial"/>
          <w:color w:val="auto"/>
          <w:highlight w:val="none"/>
        </w:rPr>
        <w:t>授权委托代理期限：从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 xml:space="preserve"> 日起至</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日止。</w:t>
      </w:r>
    </w:p>
    <w:p>
      <w:pPr>
        <w:pStyle w:val="13"/>
        <w:spacing w:line="340" w:lineRule="exact"/>
        <w:rPr>
          <w:rFonts w:ascii="Arial" w:hAnsi="Arial" w:cs="Arial"/>
          <w:color w:val="auto"/>
          <w:highlight w:val="none"/>
          <w:u w:val="single"/>
        </w:rPr>
      </w:pPr>
      <w:r>
        <w:rPr>
          <w:rFonts w:ascii="Arial" w:hAnsi="Arial" w:cs="Arial"/>
          <w:color w:val="auto"/>
          <w:highlight w:val="none"/>
        </w:rPr>
        <w:t xml:space="preserve">                                                                                             </w:t>
      </w:r>
    </w:p>
    <w:p>
      <w:pPr>
        <w:spacing w:line="34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pPr>
        <w:snapToGrid w:val="0"/>
        <w:spacing w:line="340" w:lineRule="exact"/>
        <w:ind w:firstLine="525"/>
        <w:rPr>
          <w:rFonts w:ascii="Arial" w:hAnsi="Arial" w:eastAsia="宋体" w:cs="Arial"/>
          <w:color w:val="auto"/>
          <w:szCs w:val="21"/>
          <w:highlight w:val="none"/>
        </w:rPr>
      </w:pPr>
    </w:p>
    <w:p>
      <w:pPr>
        <w:snapToGrid w:val="0"/>
        <w:spacing w:line="34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pPr>
        <w:snapToGrid w:val="0"/>
        <w:spacing w:line="340" w:lineRule="exact"/>
        <w:ind w:firstLine="420"/>
        <w:rPr>
          <w:rFonts w:ascii="Arial" w:hAnsi="Arial" w:eastAsia="宋体" w:cs="Arial"/>
          <w:color w:val="auto"/>
          <w:szCs w:val="21"/>
          <w:highlight w:val="none"/>
        </w:rPr>
      </w:pPr>
    </w:p>
    <w:p>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自然人签字并在签名处加盖大拇指指印或个人CA签章：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日</w:t>
      </w:r>
    </w:p>
    <w:p>
      <w:pPr>
        <w:pStyle w:val="13"/>
        <w:spacing w:line="400" w:lineRule="exact"/>
        <w:ind w:left="420" w:leftChars="200"/>
        <w:rPr>
          <w:rFonts w:ascii="Arial" w:hAnsi="Arial" w:cs="Arial"/>
          <w:color w:val="auto"/>
          <w:szCs w:val="21"/>
          <w:highlight w:val="none"/>
        </w:rPr>
      </w:pPr>
    </w:p>
    <w:p>
      <w:pPr>
        <w:pStyle w:val="13"/>
        <w:spacing w:line="400" w:lineRule="exact"/>
        <w:ind w:left="420" w:leftChars="200"/>
        <w:rPr>
          <w:rFonts w:ascii="Arial" w:hAnsi="Arial" w:cs="Arial"/>
          <w:b/>
          <w:color w:val="auto"/>
          <w:sz w:val="24"/>
          <w:szCs w:val="24"/>
          <w:highlight w:val="none"/>
        </w:rPr>
      </w:pPr>
      <w:r>
        <w:rPr>
          <w:rFonts w:ascii="Arial" w:hAnsi="Arial" w:cs="Arial"/>
          <w:b/>
          <w:color w:val="auto"/>
          <w:sz w:val="24"/>
          <w:szCs w:val="24"/>
          <w:highlight w:val="none"/>
        </w:rPr>
        <w:t>附：委托代理人身份证正反面复印件。</w:t>
      </w: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340" w:lineRule="exact"/>
        <w:rPr>
          <w:rFonts w:ascii="Arial" w:hAnsi="Arial" w:cs="Arial"/>
          <w:b/>
          <w:color w:val="auto"/>
          <w:szCs w:val="21"/>
          <w:highlight w:val="none"/>
        </w:rPr>
      </w:pPr>
      <w:r>
        <w:rPr>
          <w:rFonts w:ascii="Arial" w:hAnsi="Arial" w:cs="Arial"/>
          <w:b/>
          <w:color w:val="auto"/>
          <w:sz w:val="28"/>
          <w:szCs w:val="28"/>
          <w:highlight w:val="none"/>
        </w:rPr>
        <w:t>4. 供应商的法人或者其他组织营业执照等证明文件复印件（必须提供，自然人除外）</w:t>
      </w:r>
    </w:p>
    <w:p>
      <w:pPr>
        <w:tabs>
          <w:tab w:val="left" w:pos="1305"/>
        </w:tabs>
        <w:spacing w:line="390" w:lineRule="exact"/>
        <w:ind w:firstLine="420" w:firstLineChars="200"/>
        <w:rPr>
          <w:rFonts w:ascii="Arial" w:hAnsi="Arial" w:eastAsia="宋体" w:cs="Arial"/>
          <w:b/>
          <w:color w:val="auto"/>
          <w:sz w:val="32"/>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3"/>
        <w:rPr>
          <w:rFonts w:ascii="Arial" w:hAnsi="Arial" w:cs="Arial"/>
          <w:b/>
          <w:color w:val="auto"/>
          <w:sz w:val="32"/>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5.供应商</w:t>
      </w:r>
      <w:r>
        <w:rPr>
          <w:rFonts w:hint="eastAsia" w:ascii="Arial" w:hAnsi="Arial" w:cs="Arial"/>
          <w:b/>
          <w:color w:val="auto"/>
          <w:sz w:val="28"/>
          <w:szCs w:val="28"/>
          <w:highlight w:val="none"/>
          <w:lang w:eastAsia="zh-CN"/>
        </w:rPr>
        <w:t>2024年</w:t>
      </w:r>
      <w:r>
        <w:rPr>
          <w:rFonts w:hint="eastAsia" w:ascii="Arial" w:hAnsi="Arial" w:cs="Arial"/>
          <w:b/>
          <w:color w:val="auto"/>
          <w:sz w:val="28"/>
          <w:szCs w:val="28"/>
          <w:highlight w:val="none"/>
        </w:rPr>
        <w:t>的</w:t>
      </w:r>
      <w:r>
        <w:rPr>
          <w:rFonts w:ascii="Arial" w:hAnsi="Arial" w:cs="Arial"/>
          <w:b/>
          <w:color w:val="auto"/>
          <w:sz w:val="28"/>
          <w:szCs w:val="28"/>
          <w:highlight w:val="none"/>
        </w:rPr>
        <w:t>审计报告或财务报表（至少包含资产负债表、利润表、现金流量表）（202</w:t>
      </w:r>
      <w:r>
        <w:rPr>
          <w:rFonts w:hint="eastAsia" w:ascii="Arial" w:hAnsi="Arial" w:cs="Arial"/>
          <w:b/>
          <w:color w:val="auto"/>
          <w:sz w:val="28"/>
          <w:szCs w:val="28"/>
          <w:highlight w:val="none"/>
        </w:rPr>
        <w:t>5</w:t>
      </w:r>
      <w:r>
        <w:rPr>
          <w:rFonts w:ascii="Arial" w:hAnsi="Arial" w:cs="Arial"/>
          <w:b/>
          <w:color w:val="auto"/>
          <w:sz w:val="28"/>
          <w:szCs w:val="28"/>
          <w:highlight w:val="none"/>
        </w:rPr>
        <w:t xml:space="preserve">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pPr>
        <w:pStyle w:val="13"/>
        <w:spacing w:line="340" w:lineRule="exact"/>
        <w:rPr>
          <w:rFonts w:ascii="Arial" w:hAnsi="Arial" w:cs="Arial"/>
          <w:b/>
          <w:color w:val="auto"/>
          <w:sz w:val="28"/>
          <w:szCs w:val="28"/>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7.供应商至响应文件递交截止时间前6个月内，任意1个月依法缴纳社会保障资金的相关材料复印件（必须提供）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8.供应商参加政府采购活动前3年内在经营活动中没有重大违法记录</w:t>
      </w:r>
      <w:r>
        <w:rPr>
          <w:rFonts w:ascii="Arial" w:hAnsi="Arial" w:cs="Arial"/>
          <w:b/>
          <w:color w:val="auto"/>
          <w:sz w:val="32"/>
          <w:szCs w:val="32"/>
          <w:highlight w:val="none"/>
        </w:rPr>
        <w:t>及</w:t>
      </w:r>
      <w:r>
        <w:rPr>
          <w:rFonts w:ascii="Arial" w:hAnsi="Arial" w:cs="Arial"/>
          <w:b/>
          <w:color w:val="auto"/>
          <w:sz w:val="28"/>
          <w:szCs w:val="28"/>
          <w:highlight w:val="none"/>
        </w:rPr>
        <w:t>有关信用信息的书面声明（必须提供）</w:t>
      </w:r>
    </w:p>
    <w:p>
      <w:pPr>
        <w:pStyle w:val="13"/>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 xml:space="preserve">                       </w:t>
      </w:r>
    </w:p>
    <w:p>
      <w:pPr>
        <w:pStyle w:val="13"/>
        <w:spacing w:line="400" w:lineRule="exact"/>
        <w:rPr>
          <w:rFonts w:ascii="Arial" w:hAnsi="Arial" w:cs="Arial"/>
          <w:b/>
          <w:color w:val="auto"/>
          <w:sz w:val="32"/>
          <w:szCs w:val="32"/>
          <w:highlight w:val="none"/>
        </w:rPr>
      </w:pPr>
      <w:r>
        <w:rPr>
          <w:rFonts w:ascii="Arial" w:hAnsi="Arial" w:cs="Arial"/>
          <w:b/>
          <w:color w:val="auto"/>
          <w:sz w:val="32"/>
          <w:szCs w:val="32"/>
          <w:highlight w:val="none"/>
        </w:rPr>
        <w:t>附件：</w:t>
      </w:r>
    </w:p>
    <w:p>
      <w:pPr>
        <w:pStyle w:val="13"/>
        <w:spacing w:line="400" w:lineRule="exact"/>
        <w:rPr>
          <w:rFonts w:ascii="Arial" w:hAnsi="Arial" w:cs="Arial"/>
          <w:b/>
          <w:color w:val="auto"/>
          <w:sz w:val="32"/>
          <w:szCs w:val="32"/>
          <w:highlight w:val="none"/>
        </w:rPr>
      </w:pPr>
    </w:p>
    <w:p>
      <w:pPr>
        <w:pStyle w:val="13"/>
        <w:spacing w:line="400" w:lineRule="exact"/>
        <w:rPr>
          <w:rFonts w:ascii="Arial" w:hAnsi="Arial" w:cs="Arial"/>
          <w:b/>
          <w:color w:val="auto"/>
          <w:sz w:val="32"/>
          <w:szCs w:val="32"/>
          <w:highlight w:val="none"/>
        </w:rPr>
      </w:pPr>
    </w:p>
    <w:p>
      <w:pPr>
        <w:pStyle w:val="13"/>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声   明（格式）</w:t>
      </w:r>
    </w:p>
    <w:p>
      <w:pPr>
        <w:snapToGrid w:val="0"/>
        <w:spacing w:line="400" w:lineRule="exact"/>
        <w:rPr>
          <w:rFonts w:hint="eastAsia" w:ascii="Arial" w:hAnsi="Arial" w:eastAsia="宋体" w:cs="Arial"/>
          <w:color w:val="auto"/>
          <w:highlight w:val="none"/>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rPr>
        <w:t>广西机电设备招标有限公司</w:t>
      </w:r>
    </w:p>
    <w:p>
      <w:pPr>
        <w:snapToGrid w:val="0"/>
        <w:spacing w:line="400" w:lineRule="exact"/>
        <w:rPr>
          <w:rFonts w:ascii="Arial" w:hAnsi="Arial" w:eastAsia="宋体" w:cs="Arial"/>
          <w:color w:val="auto"/>
          <w:szCs w:val="21"/>
          <w:highlight w:val="none"/>
          <w:u w:val="single"/>
        </w:rPr>
      </w:pPr>
    </w:p>
    <w:p>
      <w:pPr>
        <w:pStyle w:val="13"/>
        <w:spacing w:line="400" w:lineRule="exact"/>
        <w:ind w:firstLine="420" w:firstLineChars="200"/>
        <w:rPr>
          <w:rFonts w:ascii="Arial" w:hAnsi="Arial" w:cs="Arial"/>
          <w:color w:val="auto"/>
          <w:highlight w:val="none"/>
        </w:rPr>
      </w:pPr>
      <w:r>
        <w:rPr>
          <w:rFonts w:ascii="Arial" w:hAnsi="Arial" w:cs="Arial"/>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Arial" w:hAnsi="Arial" w:cs="Arial"/>
          <w:color w:val="auto"/>
          <w:highlight w:val="none"/>
        </w:rPr>
        <w:t>重大税收违法失信主体</w:t>
      </w:r>
      <w:r>
        <w:rPr>
          <w:rFonts w:ascii="Arial" w:hAnsi="Arial" w:cs="Arial"/>
          <w:color w:val="auto"/>
          <w:highlight w:val="none"/>
        </w:rPr>
        <w:t>、政府采购严重违法失信行为记录名单，完全符合《中华人民共和国政府采购法》第二十二条规定的供应商资格条件，我方对此声明负全部法律责任。</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935" w:firstLineChars="2350"/>
        <w:rPr>
          <w:rFonts w:ascii="Arial" w:hAnsi="Arial" w:eastAsia="宋体" w:cs="Arial"/>
          <w:color w:val="auto"/>
          <w:szCs w:val="21"/>
          <w:highlight w:val="none"/>
        </w:rPr>
      </w:pPr>
    </w:p>
    <w:p>
      <w:pPr>
        <w:snapToGrid w:val="0"/>
        <w:spacing w:line="400" w:lineRule="exact"/>
        <w:ind w:firstLine="4935" w:firstLineChars="2350"/>
        <w:rPr>
          <w:rFonts w:ascii="Arial" w:hAnsi="Arial" w:eastAsia="宋体" w:cs="Arial"/>
          <w:color w:val="auto"/>
          <w:szCs w:val="21"/>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spacing w:line="400" w:lineRule="exact"/>
        <w:rPr>
          <w:rFonts w:ascii="Arial" w:hAnsi="Arial" w:cs="Arial"/>
          <w:b/>
          <w:color w:val="auto"/>
          <w:sz w:val="32"/>
          <w:szCs w:val="32"/>
          <w:highlight w:val="none"/>
        </w:rPr>
      </w:pPr>
      <w:r>
        <w:rPr>
          <w:rFonts w:ascii="Arial" w:hAnsi="Arial" w:cs="Arial"/>
          <w:b/>
          <w:bCs/>
          <w:color w:val="auto"/>
          <w:highlight w:val="none"/>
        </w:rPr>
        <w:br w:type="page"/>
      </w:r>
      <w:r>
        <w:rPr>
          <w:rFonts w:ascii="Arial" w:hAnsi="Arial" w:cs="Arial"/>
          <w:b/>
          <w:color w:val="auto"/>
          <w:sz w:val="32"/>
          <w:szCs w:val="32"/>
          <w:highlight w:val="none"/>
        </w:rPr>
        <w:t>9.供应商股东及出资信息表（必须提供，但供应商为自然人的无须提供）</w:t>
      </w:r>
    </w:p>
    <w:p>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供应商直接控股股东信息表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076"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直接控股股东名称</w:t>
            </w:r>
          </w:p>
        </w:tc>
        <w:tc>
          <w:tcPr>
            <w:tcW w:w="1199"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出资比例</w:t>
            </w:r>
          </w:p>
        </w:tc>
        <w:tc>
          <w:tcPr>
            <w:tcW w:w="3271"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身份证号码或统一社会信用代码</w:t>
            </w:r>
          </w:p>
        </w:tc>
        <w:tc>
          <w:tcPr>
            <w:tcW w:w="1884"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076" w:type="dxa"/>
            <w:noWrap w:val="0"/>
            <w:vAlign w:val="top"/>
          </w:tcPr>
          <w:p>
            <w:pPr>
              <w:snapToGrid w:val="0"/>
              <w:spacing w:before="165" w:beforeLines="50" w:after="50" w:line="440" w:lineRule="exact"/>
              <w:rPr>
                <w:rFonts w:ascii="Arial" w:hAnsi="Arial" w:eastAsia="宋体" w:cs="Arial"/>
                <w:color w:val="auto"/>
                <w:highlight w:val="none"/>
              </w:rPr>
            </w:pPr>
          </w:p>
        </w:tc>
        <w:tc>
          <w:tcPr>
            <w:tcW w:w="1199" w:type="dxa"/>
            <w:noWrap w:val="0"/>
            <w:vAlign w:val="top"/>
          </w:tcPr>
          <w:p>
            <w:pPr>
              <w:snapToGrid w:val="0"/>
              <w:spacing w:before="165" w:beforeLines="50" w:after="50" w:line="440" w:lineRule="exact"/>
              <w:rPr>
                <w:rFonts w:ascii="Arial" w:hAnsi="Arial" w:eastAsia="宋体" w:cs="Arial"/>
                <w:color w:val="auto"/>
                <w:highlight w:val="none"/>
              </w:rPr>
            </w:pPr>
          </w:p>
        </w:tc>
        <w:tc>
          <w:tcPr>
            <w:tcW w:w="3271" w:type="dxa"/>
            <w:noWrap w:val="0"/>
            <w:vAlign w:val="top"/>
          </w:tcPr>
          <w:p>
            <w:pPr>
              <w:snapToGrid w:val="0"/>
              <w:spacing w:before="165" w:beforeLines="50" w:after="50" w:line="440" w:lineRule="exact"/>
              <w:rPr>
                <w:rFonts w:ascii="Arial" w:hAnsi="Arial" w:eastAsia="宋体" w:cs="Arial"/>
                <w:color w:val="auto"/>
                <w:highlight w:val="none"/>
              </w:rPr>
            </w:pPr>
          </w:p>
        </w:tc>
        <w:tc>
          <w:tcPr>
            <w:tcW w:w="1884" w:type="dxa"/>
            <w:noWrap w:val="0"/>
            <w:vAlign w:val="top"/>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076" w:type="dxa"/>
            <w:noWrap w:val="0"/>
            <w:vAlign w:val="top"/>
          </w:tcPr>
          <w:p>
            <w:pPr>
              <w:snapToGrid w:val="0"/>
              <w:spacing w:before="165" w:beforeLines="50" w:after="50" w:line="440" w:lineRule="exact"/>
              <w:rPr>
                <w:rFonts w:ascii="Arial" w:hAnsi="Arial" w:eastAsia="宋体" w:cs="Arial"/>
                <w:color w:val="auto"/>
                <w:highlight w:val="none"/>
              </w:rPr>
            </w:pPr>
          </w:p>
        </w:tc>
        <w:tc>
          <w:tcPr>
            <w:tcW w:w="1199" w:type="dxa"/>
            <w:noWrap w:val="0"/>
            <w:vAlign w:val="top"/>
          </w:tcPr>
          <w:p>
            <w:pPr>
              <w:snapToGrid w:val="0"/>
              <w:spacing w:before="165" w:beforeLines="50" w:after="50" w:line="440" w:lineRule="exact"/>
              <w:rPr>
                <w:rFonts w:ascii="Arial" w:hAnsi="Arial" w:eastAsia="宋体" w:cs="Arial"/>
                <w:color w:val="auto"/>
                <w:highlight w:val="none"/>
              </w:rPr>
            </w:pPr>
          </w:p>
        </w:tc>
        <w:tc>
          <w:tcPr>
            <w:tcW w:w="3271" w:type="dxa"/>
            <w:noWrap w:val="0"/>
            <w:vAlign w:val="top"/>
          </w:tcPr>
          <w:p>
            <w:pPr>
              <w:snapToGrid w:val="0"/>
              <w:spacing w:before="165" w:beforeLines="50" w:after="50" w:line="440" w:lineRule="exact"/>
              <w:rPr>
                <w:rFonts w:ascii="Arial" w:hAnsi="Arial" w:eastAsia="宋体" w:cs="Arial"/>
                <w:color w:val="auto"/>
                <w:highlight w:val="none"/>
              </w:rPr>
            </w:pPr>
          </w:p>
        </w:tc>
        <w:tc>
          <w:tcPr>
            <w:tcW w:w="1884" w:type="dxa"/>
            <w:noWrap w:val="0"/>
            <w:vAlign w:val="top"/>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076" w:type="dxa"/>
            <w:noWrap w:val="0"/>
            <w:vAlign w:val="top"/>
          </w:tcPr>
          <w:p>
            <w:pPr>
              <w:snapToGrid w:val="0"/>
              <w:spacing w:before="165" w:beforeLines="50" w:after="50" w:line="440" w:lineRule="exact"/>
              <w:rPr>
                <w:rFonts w:ascii="Arial" w:hAnsi="Arial" w:eastAsia="宋体" w:cs="Arial"/>
                <w:color w:val="auto"/>
                <w:highlight w:val="none"/>
              </w:rPr>
            </w:pPr>
          </w:p>
        </w:tc>
        <w:tc>
          <w:tcPr>
            <w:tcW w:w="1199" w:type="dxa"/>
            <w:noWrap w:val="0"/>
            <w:vAlign w:val="top"/>
          </w:tcPr>
          <w:p>
            <w:pPr>
              <w:snapToGrid w:val="0"/>
              <w:spacing w:before="165" w:beforeLines="50" w:after="50" w:line="440" w:lineRule="exact"/>
              <w:rPr>
                <w:rFonts w:ascii="Arial" w:hAnsi="Arial" w:eastAsia="宋体" w:cs="Arial"/>
                <w:color w:val="auto"/>
                <w:highlight w:val="none"/>
              </w:rPr>
            </w:pPr>
          </w:p>
        </w:tc>
        <w:tc>
          <w:tcPr>
            <w:tcW w:w="3271" w:type="dxa"/>
            <w:noWrap w:val="0"/>
            <w:vAlign w:val="top"/>
          </w:tcPr>
          <w:p>
            <w:pPr>
              <w:snapToGrid w:val="0"/>
              <w:spacing w:before="165" w:beforeLines="50" w:after="50" w:line="440" w:lineRule="exact"/>
              <w:rPr>
                <w:rFonts w:ascii="Arial" w:hAnsi="Arial" w:eastAsia="宋体" w:cs="Arial"/>
                <w:color w:val="auto"/>
                <w:highlight w:val="none"/>
              </w:rPr>
            </w:pPr>
          </w:p>
        </w:tc>
        <w:tc>
          <w:tcPr>
            <w:tcW w:w="1884" w:type="dxa"/>
            <w:noWrap w:val="0"/>
            <w:vAlign w:val="top"/>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076" w:type="dxa"/>
            <w:noWrap w:val="0"/>
            <w:vAlign w:val="top"/>
          </w:tcPr>
          <w:p>
            <w:pPr>
              <w:snapToGrid w:val="0"/>
              <w:spacing w:before="165" w:beforeLines="50" w:after="50" w:line="440" w:lineRule="exact"/>
              <w:rPr>
                <w:rFonts w:ascii="Arial" w:hAnsi="Arial" w:eastAsia="宋体" w:cs="Arial"/>
                <w:color w:val="auto"/>
                <w:highlight w:val="none"/>
              </w:rPr>
            </w:pPr>
          </w:p>
        </w:tc>
        <w:tc>
          <w:tcPr>
            <w:tcW w:w="1199" w:type="dxa"/>
            <w:noWrap w:val="0"/>
            <w:vAlign w:val="top"/>
          </w:tcPr>
          <w:p>
            <w:pPr>
              <w:snapToGrid w:val="0"/>
              <w:spacing w:before="165" w:beforeLines="50" w:after="50" w:line="440" w:lineRule="exact"/>
              <w:rPr>
                <w:rFonts w:ascii="Arial" w:hAnsi="Arial" w:eastAsia="宋体" w:cs="Arial"/>
                <w:color w:val="auto"/>
                <w:highlight w:val="none"/>
              </w:rPr>
            </w:pPr>
          </w:p>
        </w:tc>
        <w:tc>
          <w:tcPr>
            <w:tcW w:w="3271" w:type="dxa"/>
            <w:noWrap w:val="0"/>
            <w:vAlign w:val="top"/>
          </w:tcPr>
          <w:p>
            <w:pPr>
              <w:snapToGrid w:val="0"/>
              <w:spacing w:before="165" w:beforeLines="50" w:after="50" w:line="440" w:lineRule="exact"/>
              <w:rPr>
                <w:rFonts w:ascii="Arial" w:hAnsi="Arial" w:eastAsia="宋体" w:cs="Arial"/>
                <w:color w:val="auto"/>
                <w:highlight w:val="none"/>
              </w:rPr>
            </w:pPr>
          </w:p>
        </w:tc>
        <w:tc>
          <w:tcPr>
            <w:tcW w:w="1884" w:type="dxa"/>
            <w:noWrap w:val="0"/>
            <w:vAlign w:val="top"/>
          </w:tcPr>
          <w:p>
            <w:pPr>
              <w:snapToGrid w:val="0"/>
              <w:spacing w:before="165" w:beforeLines="50" w:after="50" w:line="440" w:lineRule="exact"/>
              <w:rPr>
                <w:rFonts w:ascii="Arial" w:hAnsi="Arial" w:eastAsia="宋体" w:cs="Arial"/>
                <w:color w:val="auto"/>
                <w:highlight w:val="none"/>
              </w:rPr>
            </w:pPr>
          </w:p>
        </w:tc>
      </w:tr>
    </w:tbl>
    <w:p>
      <w:pPr>
        <w:widowControl/>
        <w:jc w:val="left"/>
        <w:rPr>
          <w:rFonts w:ascii="Arial" w:hAnsi="Arial" w:eastAsia="宋体" w:cs="Arial"/>
          <w:color w:val="auto"/>
          <w:highlight w:val="none"/>
        </w:rPr>
      </w:pPr>
      <w:r>
        <w:rPr>
          <w:rFonts w:ascii="Arial" w:hAnsi="Arial" w:eastAsia="宋体" w:cs="Arial"/>
          <w:color w:val="auto"/>
          <w:kern w:val="0"/>
          <w:szCs w:val="21"/>
          <w:highlight w:val="none"/>
        </w:rPr>
        <w:t>注：</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1.直接控股股东：是指其出资额占有限责任公司资本总额百分之五十以上或者其持有的股份占股份有限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公司股份总额百分之五十以上的股东；出资额或者持有股份的比例虽然不足百分之五十，但依其出资额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或者持有的股份所享有的表决权已足以对股东会、股东大会的决议产生重大影响的股东。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2.本表所指的控股关系仅限于直接控股关系，不包括间接的控股关系。公司实际控制人与公司之间的关 </w:t>
      </w:r>
    </w:p>
    <w:p>
      <w:pPr>
        <w:widowControl/>
        <w:jc w:val="left"/>
        <w:rPr>
          <w:rFonts w:ascii="Arial" w:hAnsi="Arial" w:eastAsia="宋体" w:cs="Arial"/>
          <w:color w:val="auto"/>
          <w:highlight w:val="none"/>
        </w:rPr>
      </w:pPr>
      <w:r>
        <w:rPr>
          <w:rFonts w:ascii="Arial" w:hAnsi="Arial" w:eastAsia="宋体" w:cs="Arial"/>
          <w:color w:val="auto"/>
          <w:kern w:val="0"/>
          <w:szCs w:val="21"/>
          <w:highlight w:val="none"/>
        </w:rPr>
        <w:t xml:space="preserve">系不属于本表所指的直接控股关系。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440" w:lineRule="exact"/>
        <w:ind w:firstLine="420"/>
        <w:jc w:val="right"/>
        <w:rPr>
          <w:rFonts w:ascii="Arial" w:hAnsi="Arial" w:cs="Arial"/>
          <w:color w:val="auto"/>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p>
    <w:p>
      <w:pPr>
        <w:snapToGrid w:val="0"/>
        <w:spacing w:before="165" w:beforeLines="50" w:after="50" w:line="440" w:lineRule="exact"/>
        <w:jc w:val="center"/>
        <w:rPr>
          <w:rFonts w:ascii="Arial" w:hAnsi="Arial" w:eastAsia="宋体" w:cs="Arial"/>
          <w:b/>
          <w:bCs/>
          <w:color w:val="auto"/>
          <w:sz w:val="22"/>
          <w:szCs w:val="28"/>
          <w:highlight w:val="none"/>
        </w:rPr>
      </w:pPr>
      <w:bookmarkStart w:id="32" w:name="_Toc17511"/>
      <w:r>
        <w:rPr>
          <w:rFonts w:ascii="Arial" w:hAnsi="Arial" w:eastAsia="宋体" w:cs="Arial"/>
          <w:b/>
          <w:bCs/>
          <w:color w:val="auto"/>
          <w:sz w:val="22"/>
          <w:szCs w:val="28"/>
          <w:highlight w:val="none"/>
        </w:rPr>
        <w:t>供应商直接管理关系信息表</w:t>
      </w:r>
      <w:bookmarkEnd w:id="32"/>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序号</w:t>
            </w:r>
          </w:p>
        </w:tc>
        <w:tc>
          <w:tcPr>
            <w:tcW w:w="232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直接管理关系单位名称</w:t>
            </w:r>
          </w:p>
        </w:tc>
        <w:tc>
          <w:tcPr>
            <w:tcW w:w="3661"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统一社会信用代码</w:t>
            </w:r>
          </w:p>
        </w:tc>
        <w:tc>
          <w:tcPr>
            <w:tcW w:w="2109"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10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1</w:t>
            </w:r>
          </w:p>
        </w:tc>
        <w:tc>
          <w:tcPr>
            <w:tcW w:w="2324" w:type="dxa"/>
            <w:noWrap w:val="0"/>
            <w:vAlign w:val="center"/>
          </w:tcPr>
          <w:p>
            <w:pPr>
              <w:snapToGrid w:val="0"/>
              <w:jc w:val="center"/>
              <w:rPr>
                <w:rFonts w:ascii="Arial" w:hAnsi="Arial" w:eastAsia="宋体" w:cs="Arial"/>
                <w:color w:val="auto"/>
                <w:highlight w:val="none"/>
              </w:rPr>
            </w:pPr>
          </w:p>
        </w:tc>
        <w:tc>
          <w:tcPr>
            <w:tcW w:w="3661" w:type="dxa"/>
            <w:noWrap w:val="0"/>
            <w:vAlign w:val="center"/>
          </w:tcPr>
          <w:p>
            <w:pPr>
              <w:snapToGrid w:val="0"/>
              <w:jc w:val="center"/>
              <w:rPr>
                <w:rFonts w:ascii="Arial" w:hAnsi="Arial" w:eastAsia="宋体" w:cs="Arial"/>
                <w:color w:val="auto"/>
                <w:highlight w:val="none"/>
              </w:rPr>
            </w:pPr>
          </w:p>
        </w:tc>
        <w:tc>
          <w:tcPr>
            <w:tcW w:w="2109" w:type="dxa"/>
            <w:noWrap w:val="0"/>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10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2</w:t>
            </w:r>
          </w:p>
        </w:tc>
        <w:tc>
          <w:tcPr>
            <w:tcW w:w="2324" w:type="dxa"/>
            <w:noWrap w:val="0"/>
            <w:vAlign w:val="center"/>
          </w:tcPr>
          <w:p>
            <w:pPr>
              <w:snapToGrid w:val="0"/>
              <w:jc w:val="center"/>
              <w:rPr>
                <w:rFonts w:ascii="Arial" w:hAnsi="Arial" w:eastAsia="宋体" w:cs="Arial"/>
                <w:color w:val="auto"/>
                <w:highlight w:val="none"/>
              </w:rPr>
            </w:pPr>
          </w:p>
        </w:tc>
        <w:tc>
          <w:tcPr>
            <w:tcW w:w="3661" w:type="dxa"/>
            <w:noWrap w:val="0"/>
            <w:vAlign w:val="center"/>
          </w:tcPr>
          <w:p>
            <w:pPr>
              <w:snapToGrid w:val="0"/>
              <w:jc w:val="center"/>
              <w:rPr>
                <w:rFonts w:ascii="Arial" w:hAnsi="Arial" w:eastAsia="宋体" w:cs="Arial"/>
                <w:color w:val="auto"/>
                <w:highlight w:val="none"/>
              </w:rPr>
            </w:pPr>
          </w:p>
        </w:tc>
        <w:tc>
          <w:tcPr>
            <w:tcW w:w="2109" w:type="dxa"/>
            <w:noWrap w:val="0"/>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exact"/>
        </w:trPr>
        <w:tc>
          <w:tcPr>
            <w:tcW w:w="110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3</w:t>
            </w:r>
          </w:p>
        </w:tc>
        <w:tc>
          <w:tcPr>
            <w:tcW w:w="2324" w:type="dxa"/>
            <w:noWrap w:val="0"/>
            <w:vAlign w:val="center"/>
          </w:tcPr>
          <w:p>
            <w:pPr>
              <w:snapToGrid w:val="0"/>
              <w:jc w:val="center"/>
              <w:rPr>
                <w:rFonts w:ascii="Arial" w:hAnsi="Arial" w:eastAsia="宋体" w:cs="Arial"/>
                <w:color w:val="auto"/>
                <w:highlight w:val="none"/>
              </w:rPr>
            </w:pPr>
          </w:p>
        </w:tc>
        <w:tc>
          <w:tcPr>
            <w:tcW w:w="3661" w:type="dxa"/>
            <w:noWrap w:val="0"/>
            <w:vAlign w:val="center"/>
          </w:tcPr>
          <w:p>
            <w:pPr>
              <w:snapToGrid w:val="0"/>
              <w:jc w:val="center"/>
              <w:rPr>
                <w:rFonts w:ascii="Arial" w:hAnsi="Arial" w:eastAsia="宋体" w:cs="Arial"/>
                <w:color w:val="auto"/>
                <w:highlight w:val="none"/>
              </w:rPr>
            </w:pPr>
          </w:p>
        </w:tc>
        <w:tc>
          <w:tcPr>
            <w:tcW w:w="2109" w:type="dxa"/>
            <w:noWrap w:val="0"/>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324" w:type="dxa"/>
            <w:noWrap w:val="0"/>
            <w:vAlign w:val="top"/>
          </w:tcPr>
          <w:p>
            <w:pPr>
              <w:snapToGrid w:val="0"/>
              <w:spacing w:before="165" w:beforeLines="50" w:after="50" w:line="440" w:lineRule="exact"/>
              <w:rPr>
                <w:rFonts w:ascii="Arial" w:hAnsi="Arial" w:eastAsia="宋体" w:cs="Arial"/>
                <w:color w:val="auto"/>
                <w:highlight w:val="none"/>
              </w:rPr>
            </w:pPr>
          </w:p>
        </w:tc>
        <w:tc>
          <w:tcPr>
            <w:tcW w:w="3661" w:type="dxa"/>
            <w:noWrap w:val="0"/>
            <w:vAlign w:val="top"/>
          </w:tcPr>
          <w:p>
            <w:pPr>
              <w:snapToGrid w:val="0"/>
              <w:spacing w:before="165" w:beforeLines="50" w:after="50" w:line="440" w:lineRule="exact"/>
              <w:rPr>
                <w:rFonts w:ascii="Arial" w:hAnsi="Arial" w:eastAsia="宋体" w:cs="Arial"/>
                <w:color w:val="auto"/>
                <w:highlight w:val="none"/>
              </w:rPr>
            </w:pPr>
          </w:p>
        </w:tc>
        <w:tc>
          <w:tcPr>
            <w:tcW w:w="2109" w:type="dxa"/>
            <w:noWrap w:val="0"/>
            <w:vAlign w:val="top"/>
          </w:tcPr>
          <w:p>
            <w:pPr>
              <w:snapToGrid w:val="0"/>
              <w:spacing w:before="165" w:beforeLines="50" w:after="50" w:line="440" w:lineRule="exact"/>
              <w:rPr>
                <w:rFonts w:ascii="Arial" w:hAnsi="Arial" w:eastAsia="宋体" w:cs="Arial"/>
                <w:color w:val="auto"/>
                <w:highlight w:val="none"/>
              </w:rPr>
            </w:pPr>
          </w:p>
        </w:tc>
      </w:tr>
    </w:tbl>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注：1.管理关系：是指不具有出资持股关系的其他单位之间存在的管理与被管理关系，如一些上下级关系的事业单位和团体组织。</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2.本表所指的管理关系仅限于直接管理关系，不包括间接的管理关系。</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440" w:lineRule="exact"/>
        <w:ind w:firstLine="420"/>
        <w:jc w:val="right"/>
        <w:rPr>
          <w:rFonts w:ascii="Arial" w:hAnsi="Arial" w:cs="Arial"/>
          <w:color w:val="auto"/>
          <w:sz w:val="24"/>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bookmarkStart w:id="33" w:name="_Toc21509"/>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bookmarkEnd w:id="33"/>
    </w:p>
    <w:p>
      <w:pPr>
        <w:pStyle w:val="13"/>
        <w:spacing w:line="440" w:lineRule="exact"/>
        <w:ind w:firstLine="420"/>
        <w:jc w:val="left"/>
        <w:rPr>
          <w:rFonts w:ascii="Arial" w:hAnsi="Arial" w:cs="Arial"/>
          <w:color w:val="auto"/>
          <w:sz w:val="24"/>
          <w:highlight w:val="none"/>
        </w:rPr>
      </w:pPr>
      <w:r>
        <w:rPr>
          <w:rFonts w:ascii="Arial" w:hAnsi="Arial" w:cs="Arial"/>
          <w:b/>
          <w:color w:val="auto"/>
          <w:kern w:val="0"/>
          <w:szCs w:val="21"/>
          <w:highlight w:val="none"/>
        </w:rPr>
        <w:t>注：“供应商直接控股、管理关系信息表”必须由法定代表人(负责人)或委托代理人签字并加盖供应商公章。</w:t>
      </w:r>
    </w:p>
    <w:p>
      <w:pPr>
        <w:pStyle w:val="13"/>
        <w:spacing w:line="440" w:lineRule="exact"/>
        <w:ind w:firstLine="420"/>
        <w:rPr>
          <w:rFonts w:ascii="Arial" w:hAnsi="Arial" w:cs="Arial"/>
          <w:b/>
          <w:bCs/>
          <w:color w:val="auto"/>
          <w:highlight w:val="none"/>
        </w:rPr>
        <w:sectPr>
          <w:type w:val="continuous"/>
          <w:pgSz w:w="11906" w:h="16838"/>
          <w:pgMar w:top="1134" w:right="1249" w:bottom="1134" w:left="1417" w:header="720" w:footer="720" w:gutter="0"/>
          <w:cols w:space="720" w:num="1"/>
          <w:titlePg/>
          <w:docGrid w:type="linesAndChars" w:linePitch="331" w:charSpace="0"/>
        </w:sectPr>
      </w:pPr>
    </w:p>
    <w:p>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10.供应商参加本项目无围标串标行为的承诺函（必须提供）</w:t>
      </w:r>
    </w:p>
    <w:p>
      <w:pPr>
        <w:pStyle w:val="13"/>
        <w:spacing w:line="400" w:lineRule="exact"/>
        <w:rPr>
          <w:rFonts w:ascii="Arial" w:hAnsi="Arial" w:cs="Arial"/>
          <w:b/>
          <w:color w:val="auto"/>
          <w:sz w:val="32"/>
          <w:szCs w:val="32"/>
          <w:highlight w:val="none"/>
        </w:rPr>
      </w:pPr>
      <w:bookmarkStart w:id="34" w:name="_Toc3960"/>
      <w:r>
        <w:rPr>
          <w:rFonts w:ascii="Arial" w:hAnsi="Arial" w:cs="Arial"/>
          <w:b/>
          <w:color w:val="auto"/>
          <w:sz w:val="32"/>
          <w:szCs w:val="32"/>
          <w:highlight w:val="none"/>
        </w:rPr>
        <w:t>附件：</w:t>
      </w:r>
      <w:bookmarkEnd w:id="34"/>
    </w:p>
    <w:p>
      <w:pPr>
        <w:pStyle w:val="13"/>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供应商参加本项目无围标串标行为的承诺函（格式）</w:t>
      </w:r>
    </w:p>
    <w:p>
      <w:pPr>
        <w:snapToGrid w:val="0"/>
        <w:spacing w:before="165" w:beforeLines="50" w:after="50"/>
        <w:jc w:val="left"/>
        <w:rPr>
          <w:rFonts w:ascii="Arial" w:hAnsi="Arial" w:eastAsia="宋体" w:cs="Arial"/>
          <w:b/>
          <w:color w:val="auto"/>
          <w:szCs w:val="21"/>
          <w:highlight w:val="none"/>
        </w:rPr>
      </w:pPr>
      <w:r>
        <w:rPr>
          <w:rFonts w:ascii="Arial" w:hAnsi="Arial" w:eastAsia="宋体" w:cs="Arial"/>
          <w:b/>
          <w:color w:val="auto"/>
          <w:szCs w:val="21"/>
          <w:highlight w:val="none"/>
        </w:rPr>
        <w:t>一、我公司承诺无下列相互串通参与谈判的情形：</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（1）不同供应商的响应文件由同一单位或者个人编制；</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（2）不同供应商委托同一单位或者个人办理谈判事宜；</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（3）不同的供应商的响应文件载明的项目管理员为同一个人；</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 xml:space="preserve">（4）不同供应商的响应文件异常一致或最后报价呈规律性差异； </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（5）不同供应商的响应文件相互混装；</w:t>
      </w:r>
    </w:p>
    <w:p>
      <w:pPr>
        <w:snapToGrid w:val="0"/>
        <w:spacing w:before="165" w:beforeLines="50" w:after="50"/>
        <w:ind w:firstLine="411" w:firstLineChars="196"/>
        <w:jc w:val="left"/>
        <w:rPr>
          <w:rFonts w:ascii="Arial" w:hAnsi="Arial" w:eastAsia="宋体" w:cs="Arial"/>
          <w:color w:val="auto"/>
          <w:szCs w:val="21"/>
          <w:highlight w:val="none"/>
        </w:rPr>
      </w:pPr>
      <w:r>
        <w:rPr>
          <w:rFonts w:hint="eastAsia" w:ascii="Arial" w:hAnsi="Arial" w:eastAsia="宋体" w:cs="Arial"/>
          <w:color w:val="auto"/>
          <w:szCs w:val="21"/>
          <w:highlight w:val="none"/>
        </w:rPr>
        <w:t>（6）谈判文件未做实质性变动，最后报价高于首次报价。</w:t>
      </w:r>
    </w:p>
    <w:p>
      <w:pPr>
        <w:snapToGrid w:val="0"/>
        <w:spacing w:before="165" w:beforeLines="50" w:after="50"/>
        <w:jc w:val="left"/>
        <w:rPr>
          <w:rFonts w:ascii="Arial" w:hAnsi="Arial" w:eastAsia="宋体" w:cs="Arial"/>
          <w:color w:val="auto"/>
          <w:szCs w:val="21"/>
          <w:highlight w:val="none"/>
        </w:rPr>
      </w:pPr>
      <w:r>
        <w:rPr>
          <w:rFonts w:ascii="Arial" w:hAnsi="Arial" w:eastAsia="宋体" w:cs="Arial"/>
          <w:b/>
          <w:color w:val="auto"/>
          <w:szCs w:val="21"/>
          <w:highlight w:val="none"/>
        </w:rPr>
        <w:t>二、我公司承诺无下列恶意串通的情形：</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5. 供应商之间事先约定一致抬高或者压低谈判报价,或者在采购项目中事先约定轮流以高价位或者低价位成交,或者事先约定由某一特定供应商成交,然后再参加谈判；</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6. 供应商之间商定部分供应商放弃参加政府采购活动或者放弃成交；</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7. 供应商与采购人或者采购代理机构之间、供应商相互之间，为谋求特定供应商成交或者排斥其他供应商的其他串通行为。</w:t>
      </w:r>
    </w:p>
    <w:p>
      <w:pPr>
        <w:pStyle w:val="13"/>
        <w:snapToGrid w:val="0"/>
        <w:spacing w:before="295" w:after="295" w:line="320" w:lineRule="exact"/>
        <w:ind w:firstLine="480" w:firstLineChars="200"/>
        <w:rPr>
          <w:rFonts w:ascii="Arial" w:hAnsi="Arial" w:cs="Arial"/>
          <w:b/>
          <w:color w:val="auto"/>
          <w:sz w:val="24"/>
          <w:highlight w:val="none"/>
        </w:rPr>
      </w:pPr>
      <w:bookmarkStart w:id="35" w:name="_Toc1964"/>
      <w:bookmarkStart w:id="36" w:name="_Toc28504"/>
      <w:r>
        <w:rPr>
          <w:rFonts w:ascii="Arial" w:hAnsi="Arial" w:cs="Arial"/>
          <w:b/>
          <w:color w:val="auto"/>
          <w:sz w:val="24"/>
          <w:highlight w:val="none"/>
        </w:rPr>
        <w:t>以上情形一经核查属实，我方愿意承担一切后果，并不再寻求任何旨在减轻或免除法律责任的辩解。</w:t>
      </w:r>
      <w:bookmarkEnd w:id="35"/>
      <w:bookmarkEnd w:id="36"/>
    </w:p>
    <w:p>
      <w:pPr>
        <w:pStyle w:val="13"/>
        <w:snapToGrid w:val="0"/>
        <w:spacing w:before="295" w:after="295" w:line="320" w:lineRule="exact"/>
        <w:ind w:firstLine="480" w:firstLineChars="200"/>
        <w:jc w:val="center"/>
        <w:rPr>
          <w:rFonts w:ascii="Arial" w:hAnsi="Arial" w:cs="Arial"/>
          <w:color w:val="auto"/>
          <w:sz w:val="28"/>
          <w:szCs w:val="28"/>
          <w:highlight w:val="none"/>
        </w:rPr>
      </w:pPr>
      <w:r>
        <w:rPr>
          <w:rFonts w:hint="eastAsia" w:ascii="Arial" w:hAnsi="Arial" w:cs="Arial"/>
          <w:b/>
          <w:color w:val="auto"/>
          <w:sz w:val="24"/>
          <w:highlight w:val="none"/>
        </w:rPr>
        <w:t xml:space="preserve">                                   </w:t>
      </w:r>
      <w:bookmarkStart w:id="37" w:name="_Toc13152"/>
      <w:bookmarkStart w:id="38" w:name="_Toc8984"/>
      <w:r>
        <w:rPr>
          <w:rFonts w:ascii="Arial" w:hAnsi="Arial" w:cs="Arial"/>
          <w:color w:val="auto"/>
          <w:sz w:val="22"/>
          <w:szCs w:val="21"/>
          <w:highlight w:val="none"/>
        </w:rPr>
        <w:t>供应商（CA证书签章）</w:t>
      </w:r>
      <w:r>
        <w:rPr>
          <w:rFonts w:hint="eastAsia" w:ascii="Arial" w:hAnsi="Arial" w:cs="Arial"/>
          <w:color w:val="auto"/>
          <w:sz w:val="22"/>
          <w:szCs w:val="21"/>
          <w:highlight w:val="none"/>
        </w:rPr>
        <w:t>：</w:t>
      </w:r>
      <w:bookmarkEnd w:id="37"/>
      <w:bookmarkEnd w:id="38"/>
    </w:p>
    <w:p>
      <w:pPr>
        <w:pStyle w:val="13"/>
        <w:spacing w:line="440" w:lineRule="exact"/>
        <w:ind w:firstLine="420"/>
        <w:jc w:val="center"/>
        <w:rPr>
          <w:rFonts w:ascii="Arial" w:hAnsi="Arial" w:cs="Arial"/>
          <w:b/>
          <w:bCs/>
          <w:color w:val="auto"/>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hint="eastAsia" w:ascii="Arial" w:hAnsi="Arial" w:eastAsia="宋体" w:cs="Arial"/>
          <w:b/>
          <w:color w:val="auto"/>
          <w:sz w:val="28"/>
          <w:szCs w:val="28"/>
          <w:highlight w:val="none"/>
        </w:rPr>
      </w:pPr>
      <w:r>
        <w:rPr>
          <w:rFonts w:hint="eastAsia" w:ascii="Arial" w:hAnsi="Arial" w:eastAsia="宋体" w:cs="Arial"/>
          <w:b/>
          <w:color w:val="auto"/>
          <w:sz w:val="28"/>
          <w:szCs w:val="28"/>
          <w:highlight w:val="none"/>
        </w:rPr>
        <w:t>11.谈判保证金转账底单（必须提供）</w:t>
      </w:r>
    </w:p>
    <w:p>
      <w:pPr>
        <w:spacing w:line="400" w:lineRule="exact"/>
        <w:rPr>
          <w:rFonts w:ascii="Arial" w:hAnsi="Arial" w:eastAsia="宋体" w:cs="Arial"/>
          <w:b/>
          <w:color w:val="auto"/>
          <w:sz w:val="32"/>
          <w:szCs w:val="32"/>
          <w:highlight w:val="none"/>
        </w:rPr>
      </w:pPr>
      <w:r>
        <w:rPr>
          <w:rFonts w:hint="eastAsia" w:ascii="Arial" w:hAnsi="Arial" w:eastAsia="宋体" w:cs="Arial"/>
          <w:b/>
          <w:color w:val="auto"/>
          <w:sz w:val="28"/>
          <w:szCs w:val="28"/>
          <w:highlight w:val="none"/>
        </w:rPr>
        <w:br w:type="page"/>
      </w:r>
    </w:p>
    <w:p>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（二）符合性响应证明材料目录</w:t>
      </w:r>
    </w:p>
    <w:p>
      <w:pPr>
        <w:tabs>
          <w:tab w:val="left" w:pos="1305"/>
        </w:tabs>
        <w:spacing w:line="440" w:lineRule="exact"/>
        <w:ind w:firstLine="420" w:firstLineChars="200"/>
        <w:rPr>
          <w:rFonts w:ascii="Arial" w:hAnsi="Arial" w:eastAsia="宋体" w:cs="Arial"/>
          <w:color w:val="auto"/>
          <w:szCs w:val="21"/>
          <w:highlight w:val="none"/>
        </w:rPr>
      </w:pP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1.谈判报价表</w:t>
      </w:r>
      <w:r>
        <w:rPr>
          <w:rFonts w:ascii="Arial" w:hAnsi="Arial" w:eastAsia="宋体" w:cs="Arial"/>
          <w:b/>
          <w:color w:val="auto"/>
          <w:sz w:val="24"/>
          <w:highlight w:val="none"/>
        </w:rPr>
        <w:t>（必须提供）</w:t>
      </w:r>
      <w:r>
        <w:rPr>
          <w:rFonts w:ascii="Arial" w:hAnsi="Arial" w:eastAsia="宋体" w:cs="Arial"/>
          <w:color w:val="auto"/>
          <w:sz w:val="24"/>
          <w:highlight w:val="none"/>
        </w:rPr>
        <w:t xml:space="preserve"> </w:t>
      </w:r>
    </w:p>
    <w:p>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2.技术响应表</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3</w:t>
      </w:r>
      <w:r>
        <w:rPr>
          <w:rFonts w:ascii="Arial" w:hAnsi="Arial" w:eastAsia="宋体" w:cs="Arial"/>
          <w:color w:val="auto"/>
          <w:sz w:val="24"/>
          <w:highlight w:val="none"/>
        </w:rPr>
        <w:t>.供应商的项目实施方案</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4</w:t>
      </w:r>
      <w:r>
        <w:rPr>
          <w:rFonts w:ascii="Arial" w:hAnsi="Arial" w:eastAsia="宋体" w:cs="Arial"/>
          <w:color w:val="auto"/>
          <w:sz w:val="24"/>
          <w:highlight w:val="none"/>
        </w:rPr>
        <w:t>.供应商的售后服务承诺书</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5</w:t>
      </w:r>
      <w:r>
        <w:rPr>
          <w:rFonts w:ascii="Arial" w:hAnsi="Arial" w:eastAsia="宋体" w:cs="Arial"/>
          <w:color w:val="auto"/>
          <w:sz w:val="24"/>
          <w:highlight w:val="none"/>
        </w:rPr>
        <w:t>.商务响应表</w:t>
      </w:r>
      <w:r>
        <w:rPr>
          <w:rFonts w:ascii="Arial" w:hAnsi="Arial" w:eastAsia="宋体" w:cs="Arial"/>
          <w:b/>
          <w:color w:val="auto"/>
          <w:sz w:val="24"/>
          <w:highlight w:val="none"/>
        </w:rPr>
        <w:t>（必须提供））</w:t>
      </w:r>
    </w:p>
    <w:p>
      <w:pPr>
        <w:tabs>
          <w:tab w:val="left" w:pos="1305"/>
        </w:tabs>
        <w:spacing w:line="520" w:lineRule="exact"/>
        <w:ind w:firstLine="630" w:firstLineChars="300"/>
        <w:rPr>
          <w:rFonts w:ascii="Arial" w:hAnsi="Arial" w:eastAsia="宋体" w:cs="Arial"/>
          <w:b/>
          <w:bCs/>
          <w:color w:val="auto"/>
          <w:highlight w:val="none"/>
        </w:rPr>
        <w:sectPr>
          <w:footerReference r:id="rId10" w:type="first"/>
          <w:footerReference r:id="rId9" w:type="default"/>
          <w:pgSz w:w="11906" w:h="16838"/>
          <w:pgMar w:top="1134" w:right="692" w:bottom="1134" w:left="1134" w:header="720" w:footer="720" w:gutter="0"/>
          <w:cols w:space="720" w:num="1"/>
          <w:docGrid w:type="linesAndChars" w:linePitch="331" w:charSpace="0"/>
        </w:sect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1.谈判报价表（必须提供）</w:t>
      </w:r>
    </w:p>
    <w:p>
      <w:pPr>
        <w:pStyle w:val="13"/>
        <w:ind w:left="420"/>
        <w:jc w:val="left"/>
        <w:rPr>
          <w:rFonts w:hint="eastAsia" w:ascii="Arial" w:hAnsi="Arial" w:cs="Arial"/>
          <w:bCs/>
          <w:color w:val="auto"/>
          <w:szCs w:val="21"/>
          <w:highlight w:val="none"/>
        </w:rPr>
      </w:pPr>
      <w:r>
        <w:rPr>
          <w:rFonts w:ascii="Arial" w:hAnsi="Arial" w:cs="Arial"/>
          <w:b/>
          <w:color w:val="auto"/>
          <w:sz w:val="24"/>
          <w:szCs w:val="24"/>
          <w:highlight w:val="none"/>
        </w:rPr>
        <w:t xml:space="preserve">附件：                                     </w:t>
      </w:r>
      <w:r>
        <w:rPr>
          <w:rFonts w:ascii="Arial" w:hAnsi="Arial" w:cs="Arial"/>
          <w:b/>
          <w:color w:val="auto"/>
          <w:sz w:val="32"/>
          <w:highlight w:val="none"/>
        </w:rPr>
        <w:t>谈判报价表（格式）</w:t>
      </w:r>
      <w:r>
        <w:rPr>
          <w:rFonts w:hint="eastAsia" w:ascii="Arial" w:hAnsi="Arial" w:cs="Arial"/>
          <w:bCs/>
          <w:color w:val="auto"/>
          <w:szCs w:val="21"/>
          <w:highlight w:val="none"/>
        </w:rPr>
        <w:t xml:space="preserve"> </w:t>
      </w:r>
    </w:p>
    <w:p>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highlight w:val="none"/>
          <w:lang w:eastAsia="zh-CN"/>
        </w:rPr>
        <w:t>2025年广西一流学科建设项目仪器设备采购</w:t>
      </w:r>
    </w:p>
    <w:p>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GXZC2025-J1-002800-JDZB</w:t>
      </w:r>
    </w:p>
    <w:tbl>
      <w:tblPr>
        <w:tblStyle w:val="2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2294"/>
        <w:gridCol w:w="2151"/>
        <w:gridCol w:w="2552"/>
        <w:gridCol w:w="910"/>
        <w:gridCol w:w="793"/>
        <w:gridCol w:w="1117"/>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eastAsia="宋体" w:cs="Arial"/>
                <w:color w:val="auto"/>
                <w:highlight w:val="none"/>
              </w:rPr>
            </w:pPr>
            <w:r>
              <w:rPr>
                <w:rFonts w:ascii="Arial" w:hAnsi="Arial" w:eastAsia="宋体" w:cs="Arial"/>
                <w:color w:val="auto"/>
                <w:highlight w:val="none"/>
              </w:rPr>
              <w:t>标的名称</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eastAsia="宋体" w:cs="Arial"/>
                <w:color w:val="auto"/>
                <w:highlight w:val="none"/>
              </w:rPr>
            </w:pPr>
            <w:r>
              <w:rPr>
                <w:rFonts w:ascii="Arial" w:hAnsi="Arial" w:eastAsia="宋体" w:cs="Arial"/>
                <w:color w:val="auto"/>
                <w:szCs w:val="30"/>
                <w:highlight w:val="none"/>
              </w:rPr>
              <w:t>生产厂家、品牌、规格型号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color w:val="auto"/>
                <w:szCs w:val="21"/>
                <w:highlight w:val="none"/>
              </w:rPr>
            </w:pPr>
            <w:r>
              <w:rPr>
                <w:rFonts w:ascii="Arial" w:hAnsi="Arial" w:eastAsia="宋体" w:cs="Arial"/>
                <w:color w:val="auto"/>
                <w:szCs w:val="21"/>
                <w:highlight w:val="none"/>
              </w:rPr>
              <w:t>技术参数性能指标等</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（须完整填写）</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数量</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①</w:t>
            </w: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单价（元）</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②</w:t>
            </w: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单项合计=数量×单价</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617" w:type="dxa"/>
            <w:gridSpan w:val="7"/>
            <w:tcBorders>
              <w:top w:val="single" w:color="auto" w:sz="4" w:space="0"/>
              <w:left w:val="single" w:color="auto" w:sz="4" w:space="0"/>
              <w:right w:val="single" w:color="auto" w:sz="4" w:space="0"/>
            </w:tcBorders>
            <w:noWrap w:val="0"/>
            <w:vAlign w:val="center"/>
          </w:tcPr>
          <w:p>
            <w:pPr>
              <w:spacing w:line="300" w:lineRule="exact"/>
              <w:ind w:right="315"/>
              <w:jc w:val="right"/>
              <w:rPr>
                <w:rFonts w:ascii="Arial" w:hAnsi="Arial" w:eastAsia="宋体" w:cs="Arial"/>
                <w:bCs/>
                <w:color w:val="auto"/>
                <w:highlight w:val="none"/>
              </w:rPr>
            </w:pPr>
            <w:r>
              <w:rPr>
                <w:rFonts w:ascii="Arial" w:hAnsi="Arial" w:eastAsia="宋体" w:cs="Arial"/>
                <w:bCs/>
                <w:color w:val="auto"/>
                <w:highlight w:val="none"/>
              </w:rPr>
              <w:t>合计金额</w:t>
            </w: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noWrap w:val="0"/>
            <w:vAlign w:val="center"/>
          </w:tcPr>
          <w:p>
            <w:pPr>
              <w:spacing w:line="300" w:lineRule="exact"/>
              <w:rPr>
                <w:rFonts w:ascii="Arial" w:hAnsi="Arial" w:eastAsia="宋体" w:cs="Arial"/>
                <w:b/>
                <w:bCs/>
                <w:color w:val="auto"/>
                <w:highlight w:val="none"/>
              </w:rPr>
            </w:pPr>
            <w:r>
              <w:rPr>
                <w:rFonts w:ascii="Arial" w:hAnsi="Arial" w:eastAsia="宋体" w:cs="Arial"/>
                <w:color w:val="auto"/>
                <w:spacing w:val="-6"/>
                <w:highlight w:val="none"/>
              </w:rPr>
              <w:t>谈判报价（大写）：                                                                 元人民币（￥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noWrap w:val="0"/>
            <w:vAlign w:val="center"/>
          </w:tcPr>
          <w:p>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交付时间及地点: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noWrap w:val="0"/>
            <w:vAlign w:val="center"/>
          </w:tcPr>
          <w:p>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本项目响应有效期为响应文件递交截止时间之日起90天。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noWrap w:val="0"/>
            <w:vAlign w:val="center"/>
          </w:tcPr>
          <w:p>
            <w:pPr>
              <w:spacing w:line="300" w:lineRule="exact"/>
              <w:rPr>
                <w:rFonts w:ascii="Arial" w:hAnsi="Arial" w:eastAsia="宋体" w:cs="Arial"/>
                <w:color w:val="auto"/>
                <w:spacing w:val="-6"/>
                <w:highlight w:val="none"/>
              </w:rPr>
            </w:pPr>
            <w:r>
              <w:rPr>
                <w:rFonts w:hint="eastAsia" w:ascii="Arial" w:hAnsi="Arial" w:eastAsia="宋体" w:cs="Arial"/>
                <w:color w:val="auto"/>
                <w:spacing w:val="-6"/>
                <w:highlight w:val="none"/>
              </w:rPr>
              <w:t>质保期</w:t>
            </w:r>
            <w:r>
              <w:rPr>
                <w:rFonts w:ascii="Arial" w:hAnsi="Arial" w:eastAsia="宋体" w:cs="Arial"/>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noWrap w:val="0"/>
            <w:vAlign w:val="center"/>
          </w:tcPr>
          <w:p>
            <w:pPr>
              <w:spacing w:line="340" w:lineRule="exact"/>
              <w:rPr>
                <w:rFonts w:ascii="Arial" w:hAnsi="Arial" w:eastAsia="宋体" w:cs="Arial"/>
                <w:color w:val="auto"/>
                <w:spacing w:val="-6"/>
                <w:szCs w:val="21"/>
                <w:highlight w:val="none"/>
              </w:rPr>
            </w:pPr>
            <w:r>
              <w:rPr>
                <w:rFonts w:ascii="Arial" w:hAnsi="Arial" w:eastAsia="宋体" w:cs="Arial"/>
                <w:color w:val="auto"/>
                <w:spacing w:val="-6"/>
                <w:szCs w:val="21"/>
                <w:highlight w:val="none"/>
              </w:rPr>
              <w:t>其中：属于财政部</w:t>
            </w:r>
            <w:r>
              <w:rPr>
                <w:rFonts w:ascii="Arial" w:hAnsi="Arial" w:eastAsia="宋体" w:cs="Arial"/>
                <w:bCs/>
                <w:color w:val="auto"/>
                <w:highlight w:val="none"/>
              </w:rPr>
              <w:t>《节能产品政府采购品目清单》</w:t>
            </w:r>
            <w:r>
              <w:rPr>
                <w:rFonts w:ascii="Arial" w:hAnsi="Arial" w:eastAsia="宋体" w:cs="Arial"/>
                <w:color w:val="auto"/>
                <w:spacing w:val="-6"/>
                <w:szCs w:val="21"/>
                <w:highlight w:val="none"/>
              </w:rPr>
              <w:t>内产品的总金额为人民币（大写）：               元（￥            ）；</w:t>
            </w:r>
          </w:p>
          <w:p>
            <w:pPr>
              <w:spacing w:line="340" w:lineRule="exact"/>
              <w:ind w:firstLine="594" w:firstLineChars="300"/>
              <w:rPr>
                <w:rFonts w:ascii="Arial" w:hAnsi="Arial" w:eastAsia="宋体" w:cs="Arial"/>
                <w:color w:val="auto"/>
                <w:spacing w:val="-6"/>
                <w:szCs w:val="21"/>
                <w:highlight w:val="none"/>
              </w:rPr>
            </w:pPr>
            <w:r>
              <w:rPr>
                <w:rFonts w:ascii="Arial" w:hAnsi="Arial" w:eastAsia="宋体" w:cs="Arial"/>
                <w:color w:val="auto"/>
                <w:spacing w:val="-6"/>
                <w:szCs w:val="21"/>
                <w:highlight w:val="none"/>
              </w:rPr>
              <w:t>属于财政部</w:t>
            </w:r>
            <w:r>
              <w:rPr>
                <w:rFonts w:ascii="Arial" w:hAnsi="Arial" w:eastAsia="宋体" w:cs="Arial"/>
                <w:bCs/>
                <w:color w:val="auto"/>
                <w:highlight w:val="none"/>
              </w:rPr>
              <w:t>《环境标志产品政府采购品目清单》</w:t>
            </w:r>
            <w:r>
              <w:rPr>
                <w:rFonts w:ascii="Arial" w:hAnsi="Arial" w:eastAsia="宋体" w:cs="Arial"/>
                <w:color w:val="auto"/>
                <w:spacing w:val="-6"/>
                <w:szCs w:val="21"/>
                <w:highlight w:val="none"/>
              </w:rPr>
              <w:t>内产品的总金额为人民币（大写）：                   元（￥             ）。</w:t>
            </w:r>
          </w:p>
          <w:p>
            <w:pPr>
              <w:spacing w:line="340" w:lineRule="exact"/>
              <w:rPr>
                <w:rFonts w:ascii="Arial" w:hAnsi="Arial" w:eastAsia="宋体" w:cs="Arial"/>
                <w:b/>
                <w:bCs/>
                <w:color w:val="auto"/>
                <w:highlight w:val="none"/>
              </w:rPr>
            </w:pPr>
            <w:r>
              <w:rPr>
                <w:rFonts w:ascii="Arial" w:hAnsi="Arial" w:eastAsia="宋体" w:cs="Arial"/>
                <w:b/>
                <w:color w:val="auto"/>
                <w:spacing w:val="-6"/>
                <w:szCs w:val="21"/>
                <w:highlight w:val="none"/>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noWrap w:val="0"/>
            <w:vAlign w:val="center"/>
          </w:tcPr>
          <w:p>
            <w:pPr>
              <w:spacing w:line="340" w:lineRule="exact"/>
              <w:rPr>
                <w:rFonts w:ascii="Arial" w:hAnsi="Arial" w:eastAsia="宋体" w:cs="Arial"/>
                <w:b/>
                <w:bCs/>
                <w:color w:val="auto"/>
                <w:highlight w:val="none"/>
              </w:rPr>
            </w:pPr>
            <w:r>
              <w:rPr>
                <w:rFonts w:ascii="Arial" w:hAnsi="Arial" w:eastAsia="宋体" w:cs="Arial"/>
                <w:color w:val="auto"/>
                <w:highlight w:val="none"/>
              </w:rPr>
              <w:t>说明：谈判报价指</w:t>
            </w:r>
            <w:r>
              <w:rPr>
                <w:rFonts w:hint="eastAsia" w:ascii="Arial" w:hAnsi="Arial" w:eastAsia="宋体" w:cs="Arial"/>
                <w:color w:val="auto"/>
                <w:szCs w:val="21"/>
                <w:highlight w:val="none"/>
              </w:rPr>
              <w:t>本次采购范围内所有货物、随配附件、备品备件、运输、工具、报装、安装、调试、对接、各种辅材、售后服务、培训、停车费、税金及其他所有可能发生的一切费用，采购人不再支付任何费用；验收过程中所产生的一切费用均由成交供应商承担；报价时应考虑相关费用</w:t>
            </w:r>
            <w:r>
              <w:rPr>
                <w:rFonts w:ascii="Arial" w:hAnsi="Arial" w:eastAsia="宋体" w:cs="Arial"/>
                <w:color w:val="auto"/>
                <w:highlight w:val="none"/>
              </w:rPr>
              <w:t>。</w:t>
            </w:r>
          </w:p>
        </w:tc>
      </w:tr>
    </w:tbl>
    <w:p>
      <w:pPr>
        <w:tabs>
          <w:tab w:val="left" w:pos="1305"/>
        </w:tabs>
        <w:spacing w:line="390" w:lineRule="exact"/>
        <w:rPr>
          <w:rFonts w:ascii="Arial" w:hAnsi="Arial" w:eastAsia="宋体" w:cs="Arial"/>
          <w:color w:val="auto"/>
          <w:szCs w:val="21"/>
          <w:highlight w:val="none"/>
        </w:rPr>
      </w:pPr>
      <w:r>
        <w:rPr>
          <w:rFonts w:ascii="Arial" w:hAnsi="Arial" w:eastAsia="宋体" w:cs="Arial"/>
          <w:color w:val="auto"/>
          <w:szCs w:val="21"/>
          <w:highlight w:val="none"/>
        </w:rPr>
        <w:br w:type="textWrapping" w:clear="all"/>
      </w:r>
      <w:r>
        <w:rPr>
          <w:rFonts w:ascii="Arial" w:hAnsi="Arial" w:eastAsia="宋体" w:cs="Arial"/>
          <w:color w:val="auto"/>
          <w:szCs w:val="21"/>
          <w:highlight w:val="none"/>
        </w:rPr>
        <w:t>供应商（CA签章，自然人除外）：</w:t>
      </w:r>
      <w:r>
        <w:rPr>
          <w:rFonts w:ascii="Arial" w:hAnsi="Arial" w:eastAsia="宋体" w:cs="Arial"/>
          <w:color w:val="auto"/>
          <w:szCs w:val="21"/>
          <w:highlight w:val="none"/>
          <w:u w:val="single"/>
        </w:rPr>
        <w:t xml:space="preserve">                                        </w:t>
      </w:r>
    </w:p>
    <w:p>
      <w:pPr>
        <w:jc w:val="left"/>
        <w:rPr>
          <w:rFonts w:ascii="Arial" w:hAnsi="Arial" w:eastAsia="宋体" w:cs="Arial"/>
          <w:color w:val="auto"/>
          <w:highlight w:val="none"/>
          <w:u w:val="single"/>
        </w:rPr>
      </w:pPr>
      <w:r>
        <w:rPr>
          <w:rFonts w:ascii="Arial" w:hAnsi="Arial" w:eastAsia="宋体" w:cs="Arial"/>
          <w:color w:val="auto"/>
          <w:szCs w:val="21"/>
          <w:highlight w:val="none"/>
        </w:rPr>
        <w:t>法定代表人、负责人、自然人或相应的委托代理人签字或个人CA签章（属自然人的应在签名处加盖食指指印或个人CA签章）：</w:t>
      </w:r>
      <w:r>
        <w:rPr>
          <w:rFonts w:ascii="Arial" w:hAnsi="Arial" w:eastAsia="宋体" w:cs="Arial"/>
          <w:color w:val="auto"/>
          <w:szCs w:val="21"/>
          <w:highlight w:val="none"/>
          <w:u w:val="single"/>
        </w:rPr>
        <w:t xml:space="preserve">                     </w:t>
      </w:r>
    </w:p>
    <w:p>
      <w:pPr>
        <w:pStyle w:val="13"/>
        <w:spacing w:line="340" w:lineRule="exact"/>
        <w:jc w:val="left"/>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spacing w:line="340" w:lineRule="exact"/>
        <w:jc w:val="left"/>
        <w:rPr>
          <w:rFonts w:ascii="Arial" w:hAnsi="Arial" w:eastAsia="宋体" w:cs="Arial"/>
          <w:color w:val="auto"/>
          <w:highlight w:val="none"/>
        </w:rPr>
      </w:pPr>
    </w:p>
    <w:p>
      <w:pPr>
        <w:tabs>
          <w:tab w:val="left" w:pos="1305"/>
        </w:tabs>
        <w:spacing w:line="360" w:lineRule="exact"/>
        <w:ind w:left="625" w:leftChars="98"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w:t>
      </w:r>
      <w:r>
        <w:rPr>
          <w:rFonts w:ascii="Arial" w:hAnsi="Arial" w:eastAsia="宋体" w:cs="Arial"/>
          <w:b/>
          <w:bCs/>
          <w:color w:val="auto"/>
          <w:szCs w:val="21"/>
          <w:highlight w:val="none"/>
        </w:rPr>
        <w:t>：</w:t>
      </w:r>
      <w:r>
        <w:rPr>
          <w:rFonts w:ascii="Arial" w:hAnsi="Arial" w:eastAsia="宋体" w:cs="Arial"/>
          <w:bCs/>
          <w:color w:val="auto"/>
          <w:szCs w:val="21"/>
          <w:highlight w:val="none"/>
        </w:rPr>
        <w:t>1.</w:t>
      </w:r>
      <w:r>
        <w:rPr>
          <w:rFonts w:ascii="Arial" w:hAnsi="Arial" w:eastAsia="宋体" w:cs="Arial"/>
          <w:color w:val="auto"/>
          <w:szCs w:val="21"/>
          <w:highlight w:val="none"/>
        </w:rPr>
        <w:t>供应商必须就“货物采购需求”中的所有内容作完整唯一报价，</w:t>
      </w:r>
      <w:r>
        <w:rPr>
          <w:rFonts w:ascii="Arial" w:hAnsi="Arial" w:eastAsia="宋体" w:cs="Arial"/>
          <w:color w:val="auto"/>
          <w:highlight w:val="none"/>
        </w:rPr>
        <w:t>根据“</w:t>
      </w:r>
      <w:r>
        <w:rPr>
          <w:rFonts w:ascii="Arial" w:hAnsi="Arial" w:eastAsia="宋体" w:cs="Arial"/>
          <w:color w:val="auto"/>
          <w:szCs w:val="21"/>
          <w:highlight w:val="none"/>
        </w:rPr>
        <w:t>货物采购需求”中的“项目要求及技术需求”要求逐项</w:t>
      </w:r>
      <w:r>
        <w:rPr>
          <w:rFonts w:ascii="Arial" w:hAnsi="Arial" w:eastAsia="宋体" w:cs="Arial"/>
          <w:color w:val="auto"/>
          <w:highlight w:val="none"/>
        </w:rPr>
        <w:t>对应填报所提供货物的性能指标等承诺（即：谈判报价表），</w:t>
      </w:r>
      <w:r>
        <w:rPr>
          <w:rFonts w:ascii="Arial" w:hAnsi="Arial" w:eastAsia="宋体" w:cs="Arial"/>
          <w:color w:val="auto"/>
          <w:szCs w:val="21"/>
          <w:highlight w:val="none"/>
        </w:rPr>
        <w:t>否则，其响应将被拒绝；响应文件只允许有一个报价，有选择的或有条件的报价将不予接受。</w:t>
      </w:r>
    </w:p>
    <w:p>
      <w:pPr>
        <w:spacing w:line="360" w:lineRule="exact"/>
        <w:ind w:left="630" w:leftChars="300"/>
        <w:rPr>
          <w:rFonts w:ascii="Arial" w:hAnsi="Arial" w:eastAsia="宋体" w:cs="Arial"/>
          <w:color w:val="auto"/>
          <w:highlight w:val="none"/>
        </w:rPr>
      </w:pPr>
      <w:r>
        <w:rPr>
          <w:rFonts w:hint="eastAsia" w:ascii="Arial" w:hAnsi="Arial" w:eastAsia="宋体" w:cs="Arial"/>
          <w:color w:val="auto"/>
          <w:highlight w:val="none"/>
        </w:rPr>
        <w:t>2. 供应商应如实填写谈判报价表的各项内容，否则，响应无效。</w:t>
      </w:r>
    </w:p>
    <w:p>
      <w:pPr>
        <w:spacing w:line="360" w:lineRule="exact"/>
        <w:ind w:left="630" w:leftChars="300"/>
        <w:rPr>
          <w:rFonts w:ascii="Arial" w:hAnsi="Arial" w:eastAsia="宋体" w:cs="Arial"/>
          <w:color w:val="auto"/>
          <w:highlight w:val="none"/>
        </w:rPr>
      </w:pPr>
      <w:r>
        <w:rPr>
          <w:rFonts w:hint="eastAsia" w:ascii="Arial" w:hAnsi="Arial" w:eastAsia="宋体" w:cs="Arial"/>
          <w:color w:val="auto"/>
          <w:highlight w:val="none"/>
        </w:rPr>
        <w:t>3. 谈判报价表须由法定代表人负责人、自然人或相应的委托代理人签字或个人CA签章（属自然人的应在签名处加盖食指指印或个人CA签章）并加盖供应商CA签章（自然人除外）。当本表由多页构成时，需逐页加盖供应商公章（属自然人的须逐页签字或个人CA签章）</w:t>
      </w:r>
    </w:p>
    <w:p>
      <w:pPr>
        <w:spacing w:line="360" w:lineRule="exact"/>
        <w:ind w:left="630" w:leftChars="300"/>
        <w:rPr>
          <w:rFonts w:ascii="Arial" w:hAnsi="Arial" w:eastAsia="宋体" w:cs="Arial"/>
          <w:color w:val="auto"/>
          <w:highlight w:val="none"/>
        </w:rPr>
        <w:sectPr>
          <w:pgSz w:w="16838" w:h="11906" w:orient="landscape"/>
          <w:pgMar w:top="779" w:right="1440" w:bottom="935" w:left="1440" w:header="851" w:footer="992" w:gutter="0"/>
          <w:cols w:space="720" w:num="1"/>
          <w:docGrid w:type="linesAndChars" w:linePitch="312" w:charSpace="0"/>
        </w:sectPr>
      </w:pPr>
      <w:r>
        <w:rPr>
          <w:rFonts w:hint="eastAsia" w:ascii="Arial" w:hAnsi="Arial" w:eastAsia="宋体" w:cs="Arial"/>
          <w:color w:val="auto"/>
          <w:highlight w:val="none"/>
        </w:rPr>
        <w:t>4.如全部或部分产品属于财政部《节能产品政府采购品目清单》或《环境标志产品政府采购品目清单》内产品的，供应商应于响应文件中提供该产品由国家确定的认证机构出具的、处于有效期之内的认证证书复印件及相应的品目清单（标注出所竞产品在品目清单中所属的品目），以便谈判小组作为评审或优先采购的依据。</w:t>
      </w:r>
    </w:p>
    <w:p>
      <w:pPr>
        <w:pStyle w:val="13"/>
        <w:spacing w:line="340" w:lineRule="exact"/>
        <w:rPr>
          <w:rFonts w:ascii="Arial" w:hAnsi="Arial" w:cs="Arial"/>
          <w:b/>
          <w:color w:val="auto"/>
          <w:sz w:val="28"/>
          <w:szCs w:val="28"/>
          <w:highlight w:val="none"/>
        </w:rPr>
      </w:pPr>
      <w:bookmarkStart w:id="39" w:name="_Toc4669"/>
      <w:bookmarkStart w:id="40" w:name="_Toc20974"/>
      <w:bookmarkStart w:id="41" w:name="_Toc31146"/>
      <w:r>
        <w:rPr>
          <w:rFonts w:ascii="Arial" w:hAnsi="Arial" w:cs="Arial"/>
          <w:b/>
          <w:color w:val="auto"/>
          <w:sz w:val="28"/>
          <w:szCs w:val="28"/>
          <w:highlight w:val="none"/>
        </w:rPr>
        <w:t>2.技术响应表（必须提供）</w:t>
      </w:r>
      <w:bookmarkEnd w:id="39"/>
      <w:bookmarkEnd w:id="40"/>
      <w:bookmarkEnd w:id="41"/>
    </w:p>
    <w:p>
      <w:pPr>
        <w:pStyle w:val="13"/>
        <w:ind w:firstLine="472" w:firstLineChars="147"/>
        <w:rPr>
          <w:rFonts w:ascii="Arial" w:hAnsi="Arial" w:cs="Arial"/>
          <w:b/>
          <w:color w:val="auto"/>
          <w:sz w:val="24"/>
          <w:szCs w:val="24"/>
          <w:highlight w:val="none"/>
        </w:rPr>
      </w:pPr>
      <w:bookmarkStart w:id="42" w:name="_Toc19638"/>
      <w:bookmarkStart w:id="43" w:name="_Toc23422"/>
      <w:bookmarkStart w:id="44" w:name="_Toc7329"/>
      <w:r>
        <w:rPr>
          <w:rFonts w:ascii="Arial" w:hAnsi="Arial" w:cs="Arial"/>
          <w:b/>
          <w:bCs/>
          <w:color w:val="auto"/>
          <w:sz w:val="32"/>
          <w:szCs w:val="32"/>
          <w:highlight w:val="none"/>
        </w:rPr>
        <w:t>附件：</w:t>
      </w:r>
      <w:bookmarkEnd w:id="42"/>
      <w:bookmarkEnd w:id="43"/>
      <w:bookmarkEnd w:id="44"/>
      <w:r>
        <w:rPr>
          <w:rFonts w:ascii="Arial" w:hAnsi="Arial" w:cs="Arial"/>
          <w:b/>
          <w:bCs/>
          <w:color w:val="auto"/>
          <w:sz w:val="32"/>
          <w:szCs w:val="32"/>
          <w:highlight w:val="none"/>
        </w:rPr>
        <w:t xml:space="preserve"> </w:t>
      </w:r>
      <w:r>
        <w:rPr>
          <w:rFonts w:ascii="Arial" w:hAnsi="Arial" w:cs="Arial"/>
          <w:b/>
          <w:color w:val="auto"/>
          <w:sz w:val="24"/>
          <w:szCs w:val="24"/>
          <w:highlight w:val="none"/>
        </w:rPr>
        <w:t xml:space="preserve">           </w:t>
      </w:r>
    </w:p>
    <w:p>
      <w:pPr>
        <w:pStyle w:val="13"/>
        <w:ind w:firstLine="472" w:firstLineChars="147"/>
        <w:jc w:val="center"/>
        <w:rPr>
          <w:rFonts w:ascii="Arial" w:hAnsi="Arial" w:cs="Arial"/>
          <w:b/>
          <w:bCs/>
          <w:color w:val="auto"/>
          <w:sz w:val="32"/>
          <w:highlight w:val="none"/>
        </w:rPr>
      </w:pPr>
      <w:r>
        <w:rPr>
          <w:rFonts w:ascii="Arial" w:hAnsi="Arial" w:cs="Arial"/>
          <w:b/>
          <w:bCs/>
          <w:color w:val="auto"/>
          <w:sz w:val="32"/>
          <w:highlight w:val="none"/>
        </w:rPr>
        <w:t>技术响应表（格式）</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noWrap w:val="0"/>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项号</w:t>
            </w:r>
          </w:p>
        </w:tc>
        <w:tc>
          <w:tcPr>
            <w:tcW w:w="2079" w:type="dxa"/>
            <w:noWrap w:val="0"/>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货物服务名称</w:t>
            </w:r>
          </w:p>
        </w:tc>
        <w:tc>
          <w:tcPr>
            <w:tcW w:w="2326" w:type="dxa"/>
            <w:noWrap w:val="0"/>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项目要求及技术需求</w:t>
            </w:r>
          </w:p>
        </w:tc>
        <w:tc>
          <w:tcPr>
            <w:tcW w:w="1771" w:type="dxa"/>
            <w:noWrap w:val="0"/>
            <w:vAlign w:val="center"/>
          </w:tcPr>
          <w:p>
            <w:pPr>
              <w:pStyle w:val="13"/>
              <w:spacing w:line="300" w:lineRule="exact"/>
              <w:jc w:val="center"/>
              <w:rPr>
                <w:rFonts w:ascii="Arial" w:hAnsi="Arial" w:cs="Arial"/>
                <w:color w:val="auto"/>
                <w:highlight w:val="none"/>
              </w:rPr>
            </w:pPr>
            <w:r>
              <w:rPr>
                <w:rFonts w:ascii="Arial" w:hAnsi="Arial" w:cs="Arial"/>
                <w:color w:val="auto"/>
                <w:szCs w:val="21"/>
                <w:highlight w:val="none"/>
              </w:rPr>
              <w:t>响应文件的响应情况</w:t>
            </w:r>
          </w:p>
        </w:tc>
        <w:tc>
          <w:tcPr>
            <w:tcW w:w="2014" w:type="dxa"/>
            <w:noWrap w:val="0"/>
            <w:vAlign w:val="center"/>
          </w:tcPr>
          <w:p>
            <w:pPr>
              <w:pStyle w:val="13"/>
              <w:spacing w:line="400" w:lineRule="exact"/>
              <w:jc w:val="center"/>
              <w:rPr>
                <w:rFonts w:ascii="Arial" w:hAnsi="Arial" w:cs="Arial"/>
                <w:color w:val="auto"/>
                <w:highlight w:val="none"/>
              </w:rPr>
            </w:pPr>
            <w:bookmarkStart w:id="45" w:name="_Toc254970560"/>
            <w:bookmarkStart w:id="46" w:name="_Toc254970701"/>
            <w:r>
              <w:rPr>
                <w:rFonts w:ascii="Arial" w:hAnsi="Arial" w:cs="Arial"/>
                <w:color w:val="auto"/>
                <w:highlight w:val="none"/>
              </w:rPr>
              <w:t>偏离情况</w:t>
            </w:r>
            <w:bookmarkEnd w:id="45"/>
            <w:bookmarkEnd w:id="46"/>
            <w:r>
              <w:rPr>
                <w:rFonts w:ascii="Arial" w:hAnsi="Arial" w:cs="Arial"/>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079" w:type="dxa"/>
            <w:noWrap w:val="0"/>
            <w:vAlign w:val="center"/>
          </w:tcPr>
          <w:p>
            <w:pPr>
              <w:jc w:val="center"/>
              <w:rPr>
                <w:rFonts w:ascii="Arial" w:hAnsi="Arial" w:eastAsia="宋体" w:cs="Arial"/>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079" w:type="dxa"/>
            <w:noWrap w:val="0"/>
            <w:vAlign w:val="center"/>
          </w:tcPr>
          <w:p>
            <w:pPr>
              <w:jc w:val="center"/>
              <w:rPr>
                <w:rFonts w:ascii="Arial" w:hAnsi="Arial" w:eastAsia="宋体" w:cs="Arial"/>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2079" w:type="dxa"/>
            <w:noWrap w:val="0"/>
            <w:vAlign w:val="center"/>
          </w:tcPr>
          <w:p>
            <w:pPr>
              <w:jc w:val="center"/>
              <w:rPr>
                <w:rFonts w:ascii="Arial" w:hAnsi="Arial" w:eastAsia="宋体" w:cs="Arial"/>
                <w:bCs/>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noWrap w:val="0"/>
            <w:vAlign w:val="center"/>
          </w:tcPr>
          <w:p>
            <w:pPr>
              <w:jc w:val="center"/>
              <w:rPr>
                <w:rFonts w:ascii="Arial" w:hAnsi="Arial" w:eastAsia="宋体" w:cs="Arial"/>
                <w:bCs/>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noWrap w:val="0"/>
            <w:vAlign w:val="center"/>
          </w:tcPr>
          <w:p>
            <w:pPr>
              <w:jc w:val="center"/>
              <w:rPr>
                <w:rFonts w:ascii="Arial" w:hAnsi="Arial" w:eastAsia="宋体" w:cs="Arial"/>
                <w:bCs/>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bl>
    <w:p>
      <w:pPr>
        <w:pStyle w:val="13"/>
        <w:rPr>
          <w:rFonts w:ascii="Arial" w:hAnsi="Arial" w:cs="Arial"/>
          <w:color w:val="auto"/>
          <w:highlight w:val="none"/>
          <w:u w:val="singl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60" w:lineRule="exact"/>
        <w:ind w:left="420" w:hanging="420" w:hangingChars="200"/>
        <w:jc w:val="center"/>
        <w:rPr>
          <w:rFonts w:ascii="Arial" w:hAnsi="Arial" w:cs="Arial"/>
          <w:bCs/>
          <w:color w:val="auto"/>
          <w:szCs w:val="21"/>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spacing w:line="360" w:lineRule="exact"/>
        <w:ind w:left="420" w:hanging="420" w:hangingChars="200"/>
        <w:rPr>
          <w:rFonts w:ascii="Arial" w:hAnsi="Arial" w:cs="Arial"/>
          <w:bCs/>
          <w:color w:val="auto"/>
          <w:szCs w:val="21"/>
          <w:highlight w:val="none"/>
        </w:rPr>
      </w:pPr>
      <w:r>
        <w:rPr>
          <w:rFonts w:ascii="Arial" w:hAnsi="Arial" w:cs="Arial"/>
          <w:bCs/>
          <w:color w:val="auto"/>
          <w:szCs w:val="21"/>
          <w:highlight w:val="none"/>
        </w:rPr>
        <w:t>注：1.</w:t>
      </w:r>
      <w:r>
        <w:rPr>
          <w:rFonts w:ascii="Arial" w:hAnsi="Arial" w:cs="Arial"/>
          <w:color w:val="auto"/>
          <w:highlight w:val="none"/>
        </w:rPr>
        <w:t xml:space="preserve"> 供应商应根据提供货物的性能指标承诺（即：谈判报价表）、对照“货物采购需求”详细注明响应情况，并按格式填写此表，当所提供货物的技术参数性能指标等承诺出现“正偏离”情况时，应详</w:t>
      </w:r>
      <w:r>
        <w:rPr>
          <w:rFonts w:ascii="Arial" w:hAnsi="Arial" w:cs="Arial"/>
          <w:bCs/>
          <w:color w:val="auto"/>
          <w:szCs w:val="21"/>
          <w:highlight w:val="none"/>
        </w:rPr>
        <w:t>细填写偏离情况说明及提供相应有效的证明材料；经谈判小组审核确定“正偏离”情况。</w:t>
      </w:r>
    </w:p>
    <w:p>
      <w:pPr>
        <w:adjustRightInd w:val="0"/>
        <w:spacing w:line="460" w:lineRule="exact"/>
        <w:rPr>
          <w:rFonts w:ascii="Arial" w:hAnsi="Arial" w:eastAsia="宋体" w:cs="Arial"/>
          <w:b/>
          <w:color w:val="auto"/>
          <w:sz w:val="28"/>
          <w:szCs w:val="28"/>
          <w:highlight w:val="none"/>
        </w:rPr>
      </w:pPr>
      <w:r>
        <w:rPr>
          <w:rFonts w:ascii="Arial" w:hAnsi="Arial" w:eastAsia="宋体" w:cs="Arial"/>
          <w:color w:val="auto"/>
          <w:highlight w:val="none"/>
        </w:rPr>
        <w:br w:type="page"/>
      </w:r>
    </w:p>
    <w:p>
      <w:pPr>
        <w:adjustRightInd w:val="0"/>
        <w:spacing w:line="460" w:lineRule="exact"/>
        <w:rPr>
          <w:rFonts w:ascii="Arial" w:hAnsi="Arial" w:eastAsia="宋体" w:cs="Arial"/>
          <w:b/>
          <w:color w:val="auto"/>
          <w:sz w:val="28"/>
          <w:szCs w:val="28"/>
          <w:highlight w:val="none"/>
        </w:rPr>
      </w:pPr>
      <w:r>
        <w:rPr>
          <w:rFonts w:hint="eastAsia" w:ascii="Arial" w:hAnsi="Arial" w:eastAsia="宋体" w:cs="Arial"/>
          <w:b/>
          <w:color w:val="auto"/>
          <w:sz w:val="28"/>
          <w:szCs w:val="28"/>
          <w:highlight w:val="none"/>
        </w:rPr>
        <w:t>3</w:t>
      </w:r>
      <w:r>
        <w:rPr>
          <w:rFonts w:ascii="Arial" w:hAnsi="Arial" w:eastAsia="宋体" w:cs="Arial"/>
          <w:b/>
          <w:color w:val="auto"/>
          <w:sz w:val="28"/>
          <w:szCs w:val="28"/>
          <w:highlight w:val="none"/>
        </w:rPr>
        <w:t>.</w:t>
      </w:r>
      <w:r>
        <w:rPr>
          <w:rFonts w:ascii="Arial" w:hAnsi="Arial" w:eastAsia="宋体" w:cs="Arial"/>
          <w:color w:val="auto"/>
          <w:highlight w:val="none"/>
        </w:rPr>
        <w:t xml:space="preserve"> </w:t>
      </w:r>
      <w:r>
        <w:rPr>
          <w:rFonts w:ascii="Arial" w:hAnsi="Arial" w:eastAsia="宋体" w:cs="Arial"/>
          <w:b/>
          <w:color w:val="auto"/>
          <w:sz w:val="28"/>
          <w:szCs w:val="28"/>
          <w:highlight w:val="none"/>
        </w:rPr>
        <w:t>供应商的项目实施方案（必须提供）</w:t>
      </w:r>
    </w:p>
    <w:p>
      <w:pPr>
        <w:adjustRightInd w:val="0"/>
        <w:spacing w:line="460" w:lineRule="exact"/>
        <w:rPr>
          <w:rFonts w:ascii="Arial" w:hAnsi="Arial" w:eastAsia="宋体" w:cs="Arial"/>
          <w:b/>
          <w:bCs/>
          <w:color w:val="auto"/>
          <w:sz w:val="32"/>
          <w:szCs w:val="32"/>
          <w:highlight w:val="none"/>
        </w:rPr>
      </w:pPr>
      <w:bookmarkStart w:id="47" w:name="_Toc30843"/>
      <w:bookmarkStart w:id="48" w:name="_Toc24467"/>
      <w:bookmarkStart w:id="49" w:name="_Toc7206"/>
      <w:r>
        <w:rPr>
          <w:rFonts w:ascii="Arial" w:hAnsi="Arial" w:eastAsia="宋体" w:cs="Arial"/>
          <w:b/>
          <w:bCs/>
          <w:color w:val="auto"/>
          <w:sz w:val="32"/>
          <w:szCs w:val="32"/>
          <w:highlight w:val="none"/>
        </w:rPr>
        <w:t>附件：</w:t>
      </w:r>
      <w:bookmarkEnd w:id="47"/>
      <w:bookmarkEnd w:id="48"/>
      <w:bookmarkEnd w:id="49"/>
    </w:p>
    <w:p>
      <w:pPr>
        <w:pStyle w:val="13"/>
        <w:ind w:firstLine="3213" w:firstLineChars="1000"/>
        <w:rPr>
          <w:rFonts w:ascii="Arial" w:hAnsi="Arial" w:cs="Arial"/>
          <w:b/>
          <w:bCs/>
          <w:color w:val="auto"/>
          <w:sz w:val="32"/>
          <w:szCs w:val="32"/>
          <w:highlight w:val="none"/>
        </w:rPr>
      </w:pPr>
      <w:r>
        <w:rPr>
          <w:rFonts w:ascii="Arial" w:hAnsi="Arial" w:cs="Arial"/>
          <w:b/>
          <w:bCs/>
          <w:color w:val="auto"/>
          <w:sz w:val="32"/>
          <w:szCs w:val="32"/>
          <w:highlight w:val="none"/>
        </w:rPr>
        <w:t>项目实施方案（格式）</w:t>
      </w:r>
    </w:p>
    <w:p>
      <w:pPr>
        <w:spacing w:line="380" w:lineRule="exact"/>
        <w:ind w:firstLine="562" w:firstLineChars="200"/>
        <w:rPr>
          <w:rFonts w:ascii="Arial" w:hAnsi="Arial" w:eastAsia="宋体" w:cs="Arial"/>
          <w:b/>
          <w:bCs/>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4</w:t>
      </w:r>
      <w:r>
        <w:rPr>
          <w:rFonts w:ascii="Arial" w:hAnsi="Arial" w:cs="Arial"/>
          <w:b/>
          <w:color w:val="auto"/>
          <w:sz w:val="28"/>
          <w:szCs w:val="28"/>
          <w:highlight w:val="none"/>
        </w:rPr>
        <w:t>.供应商的售后服务承诺书（必须提供）</w:t>
      </w:r>
    </w:p>
    <w:p>
      <w:pPr>
        <w:pStyle w:val="13"/>
        <w:rPr>
          <w:rFonts w:ascii="Arial" w:hAnsi="Arial" w:cs="Arial"/>
          <w:b/>
          <w:bCs/>
          <w:color w:val="auto"/>
          <w:sz w:val="32"/>
          <w:szCs w:val="32"/>
          <w:highlight w:val="none"/>
        </w:rPr>
      </w:pPr>
      <w:bookmarkStart w:id="50" w:name="_Toc16312"/>
      <w:bookmarkStart w:id="51" w:name="_Toc9802"/>
      <w:bookmarkStart w:id="52" w:name="_Toc3847"/>
      <w:r>
        <w:rPr>
          <w:rFonts w:ascii="Arial" w:hAnsi="Arial" w:cs="Arial"/>
          <w:b/>
          <w:bCs/>
          <w:color w:val="auto"/>
          <w:sz w:val="32"/>
          <w:szCs w:val="32"/>
          <w:highlight w:val="none"/>
        </w:rPr>
        <w:t>附件：</w:t>
      </w:r>
      <w:bookmarkEnd w:id="50"/>
      <w:bookmarkEnd w:id="51"/>
      <w:bookmarkEnd w:id="52"/>
    </w:p>
    <w:p>
      <w:pPr>
        <w:pStyle w:val="13"/>
        <w:ind w:firstLine="2731" w:firstLineChars="850"/>
        <w:rPr>
          <w:rFonts w:ascii="Arial" w:hAnsi="Arial" w:cs="Arial"/>
          <w:b/>
          <w:bCs/>
          <w:color w:val="auto"/>
          <w:sz w:val="32"/>
          <w:szCs w:val="32"/>
          <w:highlight w:val="none"/>
        </w:rPr>
      </w:pPr>
      <w:r>
        <w:rPr>
          <w:rFonts w:ascii="Arial" w:hAnsi="Arial" w:cs="Arial"/>
          <w:b/>
          <w:bCs/>
          <w:color w:val="auto"/>
          <w:sz w:val="32"/>
          <w:szCs w:val="32"/>
          <w:highlight w:val="none"/>
        </w:rPr>
        <w:t>售后服务承诺书（格式）</w:t>
      </w:r>
    </w:p>
    <w:p>
      <w:pPr>
        <w:pStyle w:val="13"/>
        <w:ind w:firstLine="2731" w:firstLineChars="850"/>
        <w:rPr>
          <w:rFonts w:ascii="Arial" w:hAnsi="Arial" w:cs="Arial"/>
          <w:b/>
          <w:bCs/>
          <w:color w:val="auto"/>
          <w:sz w:val="32"/>
          <w:szCs w:val="32"/>
          <w:highlight w:val="none"/>
        </w:rPr>
      </w:pPr>
    </w:p>
    <w:p>
      <w:pPr>
        <w:snapToGrid w:val="0"/>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 1.三包及</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要求：按国家有关产品“三包”规定执行“三包”，</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rPr>
        <w:t>年（</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从设备验收合格之日起计算，项目要求及技术需求中规定的，按规定执行）。</w:t>
      </w:r>
      <w:r>
        <w:rPr>
          <w:rFonts w:ascii="Arial" w:hAnsi="Arial" w:eastAsia="宋体" w:cs="Arial"/>
          <w:color w:val="auto"/>
          <w:highlight w:val="none"/>
        </w:rPr>
        <w:t>质保期内提供上门维修（免收维修费和元器件费）、更换零部件，并提供终身维修服务。</w:t>
      </w:r>
    </w:p>
    <w:p>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2.送货上门，按采购人要求安装调试，提供技术培训直至操作人员熟练操作产品的各项功能。</w:t>
      </w:r>
    </w:p>
    <w:p>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3.售后服务要求：①</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质保期内</w:t>
      </w:r>
      <w:r>
        <w:rPr>
          <w:rFonts w:hint="eastAsia" w:ascii="Arial" w:hAnsi="Arial" w:eastAsia="宋体" w:cs="Arial"/>
          <w:color w:val="auto"/>
          <w:kern w:val="0"/>
          <w:szCs w:val="21"/>
          <w:highlight w:val="none"/>
        </w:rPr>
        <w:t>不收取费用</w:t>
      </w:r>
      <w:r>
        <w:rPr>
          <w:rFonts w:ascii="Arial" w:hAnsi="Arial" w:eastAsia="宋体" w:cs="Arial"/>
          <w:color w:val="auto"/>
          <w:kern w:val="0"/>
          <w:szCs w:val="21"/>
          <w:highlight w:val="none"/>
        </w:rPr>
        <w:t>升级服务。③其余按厂家承诺执行。</w:t>
      </w:r>
    </w:p>
    <w:p>
      <w:pPr>
        <w:snapToGrid w:val="0"/>
        <w:spacing w:line="400" w:lineRule="exact"/>
        <w:ind w:firstLine="241" w:firstLineChars="100"/>
        <w:rPr>
          <w:rFonts w:ascii="Arial" w:hAnsi="Arial" w:eastAsia="宋体" w:cs="Arial"/>
          <w:b/>
          <w:bCs/>
          <w:color w:val="auto"/>
          <w:kern w:val="0"/>
          <w:sz w:val="24"/>
          <w:highlight w:val="none"/>
        </w:rPr>
      </w:pPr>
      <w:r>
        <w:rPr>
          <w:rFonts w:hint="eastAsia" w:ascii="Arial" w:hAnsi="Arial" w:eastAsia="宋体" w:cs="Arial"/>
          <w:b/>
          <w:bCs/>
          <w:color w:val="auto"/>
          <w:kern w:val="0"/>
          <w:sz w:val="24"/>
          <w:highlight w:val="none"/>
        </w:rPr>
        <w:t>4.其他承诺内容：供应商可自行增加。</w:t>
      </w:r>
    </w:p>
    <w:p>
      <w:pPr>
        <w:snapToGrid w:val="0"/>
        <w:spacing w:line="300" w:lineRule="exact"/>
        <w:ind w:firstLine="3570" w:firstLineChars="1700"/>
        <w:rPr>
          <w:rFonts w:ascii="Arial" w:hAnsi="Arial" w:eastAsia="宋体" w:cs="Arial"/>
          <w:color w:val="auto"/>
          <w:kern w:val="0"/>
          <w:szCs w:val="21"/>
          <w:highlight w:val="none"/>
        </w:rPr>
      </w:pPr>
    </w:p>
    <w:p>
      <w:pPr>
        <w:snapToGrid w:val="0"/>
        <w:spacing w:line="300" w:lineRule="exact"/>
        <w:ind w:firstLine="3570" w:firstLineChars="1700"/>
        <w:rPr>
          <w:rFonts w:ascii="Arial" w:hAnsi="Arial" w:eastAsia="宋体" w:cs="Arial"/>
          <w:color w:val="auto"/>
          <w:kern w:val="0"/>
          <w:szCs w:val="21"/>
          <w:highlight w:val="none"/>
        </w:rPr>
      </w:pPr>
    </w:p>
    <w:p>
      <w:pPr>
        <w:snapToGrid w:val="0"/>
        <w:spacing w:line="300" w:lineRule="exact"/>
        <w:ind w:firstLine="3570" w:firstLineChars="1700"/>
        <w:rPr>
          <w:rFonts w:ascii="Arial" w:hAnsi="Arial" w:eastAsia="宋体" w:cs="Arial"/>
          <w:color w:val="auto"/>
          <w:kern w:val="0"/>
          <w:szCs w:val="21"/>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pStyle w:val="13"/>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br w:type="page"/>
      </w:r>
      <w:r>
        <w:rPr>
          <w:rFonts w:hint="eastAsia" w:ascii="Arial" w:hAnsi="Arial" w:cs="Arial"/>
          <w:b/>
          <w:color w:val="auto"/>
          <w:sz w:val="28"/>
          <w:szCs w:val="28"/>
          <w:highlight w:val="none"/>
        </w:rPr>
        <w:t>5</w:t>
      </w:r>
      <w:r>
        <w:rPr>
          <w:rFonts w:ascii="Arial" w:hAnsi="Arial" w:cs="Arial"/>
          <w:b/>
          <w:color w:val="auto"/>
          <w:sz w:val="28"/>
          <w:szCs w:val="28"/>
          <w:highlight w:val="none"/>
        </w:rPr>
        <w:t>.商务响应表（必须提供）</w:t>
      </w:r>
    </w:p>
    <w:p>
      <w:pPr>
        <w:pStyle w:val="13"/>
        <w:spacing w:line="340" w:lineRule="exact"/>
        <w:rPr>
          <w:rFonts w:ascii="Arial" w:hAnsi="Arial" w:cs="Arial"/>
          <w:b/>
          <w:color w:val="auto"/>
          <w:sz w:val="28"/>
          <w:szCs w:val="28"/>
          <w:highlight w:val="none"/>
        </w:rPr>
      </w:pPr>
    </w:p>
    <w:p>
      <w:pPr>
        <w:pStyle w:val="13"/>
        <w:rPr>
          <w:rFonts w:ascii="Arial" w:hAnsi="Arial" w:cs="Arial"/>
          <w:b/>
          <w:bCs/>
          <w:color w:val="auto"/>
          <w:sz w:val="32"/>
          <w:szCs w:val="32"/>
          <w:highlight w:val="none"/>
        </w:rPr>
      </w:pPr>
      <w:bookmarkStart w:id="53" w:name="_Toc11787"/>
      <w:bookmarkStart w:id="54" w:name="_Toc8710"/>
      <w:bookmarkStart w:id="55" w:name="_Toc374"/>
      <w:r>
        <w:rPr>
          <w:rFonts w:ascii="Arial" w:hAnsi="Arial" w:cs="Arial"/>
          <w:b/>
          <w:bCs/>
          <w:color w:val="auto"/>
          <w:sz w:val="32"/>
          <w:szCs w:val="32"/>
          <w:highlight w:val="none"/>
        </w:rPr>
        <w:t>附件：</w:t>
      </w:r>
      <w:bookmarkEnd w:id="53"/>
      <w:bookmarkEnd w:id="54"/>
      <w:bookmarkEnd w:id="55"/>
    </w:p>
    <w:p>
      <w:pPr>
        <w:pStyle w:val="13"/>
        <w:ind w:firstLine="2731" w:firstLineChars="850"/>
        <w:rPr>
          <w:rFonts w:ascii="Arial" w:hAnsi="Arial" w:cs="Arial"/>
          <w:b/>
          <w:bCs/>
          <w:color w:val="auto"/>
          <w:sz w:val="32"/>
          <w:szCs w:val="32"/>
          <w:highlight w:val="none"/>
        </w:rPr>
      </w:pPr>
      <w:r>
        <w:rPr>
          <w:rFonts w:ascii="Arial" w:hAnsi="Arial" w:cs="Arial"/>
          <w:b/>
          <w:bCs/>
          <w:color w:val="auto"/>
          <w:sz w:val="32"/>
          <w:szCs w:val="32"/>
          <w:highlight w:val="none"/>
        </w:rPr>
        <w:t>商务响应表（格式）</w:t>
      </w:r>
    </w:p>
    <w:p>
      <w:pPr>
        <w:pStyle w:val="7"/>
        <w:ind w:left="2940"/>
        <w:jc w:val="center"/>
        <w:rPr>
          <w:color w:val="auto"/>
          <w:highlight w:val="none"/>
        </w:rPr>
      </w:pPr>
      <w:r>
        <w:rPr>
          <w:rFonts w:hint="eastAsia" w:ascii="Arial" w:hAnsi="Arial" w:cs="Arial"/>
          <w:b/>
          <w:color w:val="auto"/>
          <w:sz w:val="24"/>
          <w:highlight w:val="none"/>
        </w:rPr>
        <w:t xml:space="preserve">                     </w:t>
      </w:r>
    </w:p>
    <w:tbl>
      <w:tblPr>
        <w:tblStyle w:val="23"/>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8"/>
        <w:gridCol w:w="2962"/>
        <w:gridCol w:w="1420"/>
        <w:gridCol w:w="2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项目</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竞争性谈判文件要求</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供应商的承诺或说明</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Arial" w:hAnsi="Arial" w:eastAsia="宋体" w:cs="Arial"/>
                <w:color w:val="auto"/>
                <w:highlight w:val="none"/>
              </w:rPr>
            </w:pPr>
            <w:r>
              <w:rPr>
                <w:rFonts w:ascii="Arial" w:hAnsi="Arial" w:eastAsia="宋体" w:cs="Arial"/>
                <w:bCs/>
                <w:color w:val="auto"/>
                <w:szCs w:val="21"/>
                <w:highlight w:val="none"/>
              </w:rPr>
              <w:t>（一）免费保修期</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（二）售后服务要求</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（三）合同签订时间</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（四）交货期及地点</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（五）付款方式</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hint="eastAsia" w:ascii="Arial" w:hAnsi="Arial" w:eastAsia="宋体" w:cs="Arial"/>
                <w:color w:val="auto"/>
                <w:highlight w:val="none"/>
              </w:rPr>
              <w:t>......</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bl>
    <w:p>
      <w:pPr>
        <w:pStyle w:val="13"/>
        <w:spacing w:line="340" w:lineRule="exact"/>
        <w:rPr>
          <w:rFonts w:ascii="Arial" w:hAnsi="Arial" w:cs="Arial"/>
          <w:b/>
          <w:color w:val="auto"/>
          <w:sz w:val="28"/>
          <w:szCs w:val="28"/>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pStyle w:val="13"/>
        <w:spacing w:line="340" w:lineRule="exact"/>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（三）其它有效证明材料目录</w:t>
      </w:r>
    </w:p>
    <w:p>
      <w:pPr>
        <w:tabs>
          <w:tab w:val="left" w:pos="1305"/>
        </w:tabs>
        <w:spacing w:line="440" w:lineRule="exact"/>
        <w:ind w:firstLine="420" w:firstLineChars="200"/>
        <w:rPr>
          <w:rFonts w:ascii="Arial" w:hAnsi="Arial" w:eastAsia="宋体" w:cs="Arial"/>
          <w:color w:val="auto"/>
          <w:szCs w:val="21"/>
          <w:highlight w:val="none"/>
        </w:rPr>
      </w:pP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1.项目实施人员一览表【如有，请提供，并一起提供由县级以上（含县级）社会养老保险经办机构出具的供应商为项目实施人员交纳社保证明复印件】；</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2.供应商具有同类产品的销售业绩的相关证明材料（无不良记录，以中标、成交通知书或签订的销售合同为准，并能清晰反映所销售的货物名称、种类、金额）（如有，请提供）；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3.供应商相关获奖证书、认证证书等复印件（如有，请提供）；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4.节能方面的资质证书复印件（如有，请提供）；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5.环保方面的资质证书复印件（如有，请提供）；</w:t>
      </w:r>
    </w:p>
    <w:p>
      <w:pPr>
        <w:tabs>
          <w:tab w:val="left" w:pos="1305"/>
        </w:tabs>
        <w:spacing w:line="520" w:lineRule="exact"/>
        <w:ind w:firstLine="720" w:firstLineChars="300"/>
        <w:rPr>
          <w:rFonts w:hint="eastAsia" w:ascii="Arial" w:hAnsi="Arial" w:eastAsia="宋体" w:cs="Arial"/>
          <w:color w:val="auto"/>
          <w:sz w:val="24"/>
          <w:highlight w:val="none"/>
        </w:rPr>
      </w:pPr>
      <w:r>
        <w:rPr>
          <w:rFonts w:hint="eastAsia" w:ascii="Arial" w:hAnsi="Arial" w:eastAsia="宋体" w:cs="Arial"/>
          <w:color w:val="auto"/>
          <w:sz w:val="24"/>
          <w:highlight w:val="none"/>
        </w:rPr>
        <w:t>6.落实政府采购政策需满足的资格要求（如有，请提供）；</w:t>
      </w:r>
    </w:p>
    <w:p>
      <w:pPr>
        <w:tabs>
          <w:tab w:val="left" w:pos="1305"/>
        </w:tabs>
        <w:spacing w:line="520" w:lineRule="exact"/>
        <w:ind w:firstLine="720" w:firstLineChars="300"/>
        <w:rPr>
          <w:rFonts w:ascii="Arial" w:hAnsi="Arial" w:eastAsia="宋体" w:cs="Arial"/>
          <w:color w:val="auto"/>
          <w:sz w:val="24"/>
          <w:highlight w:val="none"/>
        </w:rPr>
      </w:pPr>
      <w:r>
        <w:rPr>
          <w:rFonts w:hint="eastAsia" w:ascii="Arial" w:hAnsi="Arial" w:eastAsia="宋体" w:cs="Arial"/>
          <w:color w:val="auto"/>
          <w:sz w:val="24"/>
          <w:highlight w:val="none"/>
        </w:rPr>
        <w:t>7</w:t>
      </w:r>
      <w:r>
        <w:rPr>
          <w:rFonts w:ascii="Arial" w:hAnsi="Arial" w:eastAsia="宋体" w:cs="Arial"/>
          <w:color w:val="auto"/>
          <w:sz w:val="24"/>
          <w:highlight w:val="none"/>
        </w:rPr>
        <w:t>.供应商可结合本项目自身情况自行提交其它相关证明材料（如有，请提供）。</w:t>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br w:type="page"/>
      </w:r>
      <w:r>
        <w:rPr>
          <w:rFonts w:ascii="Arial" w:hAnsi="Arial" w:cs="Arial"/>
          <w:b/>
          <w:color w:val="auto"/>
          <w:sz w:val="28"/>
          <w:szCs w:val="28"/>
          <w:highlight w:val="none"/>
        </w:rPr>
        <w:t>1.项目实施人员一览表 【如有，请提供，并一起提供由县级以上（含县级）社会养老保险经办机构出具的供应商为项目实施人员交纳社保证明复印件】</w:t>
      </w:r>
    </w:p>
    <w:p>
      <w:pPr>
        <w:pStyle w:val="13"/>
        <w:rPr>
          <w:rFonts w:ascii="Arial" w:hAnsi="Arial" w:cs="Arial"/>
          <w:b/>
          <w:bCs/>
          <w:color w:val="auto"/>
          <w:sz w:val="32"/>
          <w:szCs w:val="32"/>
          <w:highlight w:val="none"/>
        </w:rPr>
      </w:pPr>
    </w:p>
    <w:p>
      <w:pPr>
        <w:pStyle w:val="13"/>
        <w:ind w:firstLine="472" w:firstLineChars="147"/>
        <w:rPr>
          <w:rFonts w:ascii="Arial" w:hAnsi="Arial" w:cs="Arial"/>
          <w:b/>
          <w:color w:val="auto"/>
          <w:szCs w:val="21"/>
          <w:highlight w:val="none"/>
        </w:rPr>
      </w:pPr>
      <w:bookmarkStart w:id="56" w:name="_Toc31480"/>
      <w:bookmarkStart w:id="57" w:name="_Toc9810"/>
      <w:bookmarkStart w:id="58" w:name="_Toc2025"/>
      <w:r>
        <w:rPr>
          <w:rFonts w:ascii="Arial" w:hAnsi="Arial" w:cs="Arial"/>
          <w:b/>
          <w:color w:val="auto"/>
          <w:sz w:val="32"/>
          <w:szCs w:val="32"/>
          <w:highlight w:val="none"/>
        </w:rPr>
        <w:t>附件：</w:t>
      </w:r>
      <w:bookmarkEnd w:id="56"/>
      <w:bookmarkEnd w:id="57"/>
      <w:bookmarkEnd w:id="58"/>
      <w:r>
        <w:rPr>
          <w:rFonts w:ascii="Arial" w:hAnsi="Arial" w:cs="Arial"/>
          <w:b/>
          <w:color w:val="auto"/>
          <w:sz w:val="32"/>
          <w:szCs w:val="32"/>
          <w:highlight w:val="none"/>
        </w:rPr>
        <w:t xml:space="preserve">       </w:t>
      </w:r>
      <w:r>
        <w:rPr>
          <w:rFonts w:ascii="Arial" w:hAnsi="Arial" w:cs="Arial"/>
          <w:b/>
          <w:color w:val="auto"/>
          <w:szCs w:val="21"/>
          <w:highlight w:val="none"/>
        </w:rPr>
        <w:t xml:space="preserve">                     </w:t>
      </w:r>
    </w:p>
    <w:p>
      <w:pPr>
        <w:pStyle w:val="13"/>
        <w:ind w:firstLine="472" w:firstLineChars="147"/>
        <w:jc w:val="center"/>
        <w:rPr>
          <w:rFonts w:ascii="Arial" w:hAnsi="Arial" w:cs="Arial"/>
          <w:b/>
          <w:bCs/>
          <w:color w:val="auto"/>
          <w:sz w:val="32"/>
          <w:szCs w:val="32"/>
          <w:highlight w:val="none"/>
        </w:rPr>
      </w:pPr>
      <w:r>
        <w:rPr>
          <w:rFonts w:ascii="Arial" w:hAnsi="Arial" w:cs="Arial"/>
          <w:b/>
          <w:bCs/>
          <w:color w:val="auto"/>
          <w:sz w:val="32"/>
          <w:szCs w:val="32"/>
          <w:highlight w:val="none"/>
        </w:rPr>
        <w:t>项目实施人员一览表（格式）</w:t>
      </w:r>
    </w:p>
    <w:p>
      <w:pPr>
        <w:ind w:firstLine="435"/>
        <w:rPr>
          <w:rFonts w:ascii="Arial" w:hAnsi="Arial" w:eastAsia="宋体" w:cs="Arial"/>
          <w:color w:val="auto"/>
          <w:szCs w:val="21"/>
          <w:highlight w:val="none"/>
        </w:rPr>
      </w:pP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姓 名</w:t>
            </w:r>
          </w:p>
        </w:tc>
        <w:tc>
          <w:tcPr>
            <w:tcW w:w="806"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职务</w:t>
            </w:r>
          </w:p>
        </w:tc>
        <w:tc>
          <w:tcPr>
            <w:tcW w:w="1537"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专业技术资格</w:t>
            </w:r>
          </w:p>
        </w:tc>
        <w:tc>
          <w:tcPr>
            <w:tcW w:w="1371"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证书编号</w:t>
            </w:r>
          </w:p>
        </w:tc>
        <w:tc>
          <w:tcPr>
            <w:tcW w:w="2163"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参加本单位</w:t>
            </w:r>
          </w:p>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工作时间</w:t>
            </w:r>
          </w:p>
        </w:tc>
        <w:tc>
          <w:tcPr>
            <w:tcW w:w="2000"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ascii="Arial" w:hAnsi="Arial" w:eastAsia="宋体" w:cs="Arial"/>
                <w:color w:val="auto"/>
                <w:szCs w:val="21"/>
                <w:highlight w:val="none"/>
              </w:rPr>
            </w:pPr>
          </w:p>
        </w:tc>
        <w:tc>
          <w:tcPr>
            <w:tcW w:w="806" w:type="dxa"/>
            <w:noWrap w:val="0"/>
            <w:vAlign w:val="top"/>
          </w:tcPr>
          <w:p>
            <w:pPr>
              <w:spacing w:line="400" w:lineRule="exact"/>
              <w:rPr>
                <w:rFonts w:ascii="Arial" w:hAnsi="Arial" w:eastAsia="宋体" w:cs="Arial"/>
                <w:color w:val="auto"/>
                <w:szCs w:val="21"/>
                <w:highlight w:val="none"/>
              </w:rPr>
            </w:pPr>
          </w:p>
        </w:tc>
        <w:tc>
          <w:tcPr>
            <w:tcW w:w="1537" w:type="dxa"/>
            <w:noWrap w:val="0"/>
            <w:vAlign w:val="top"/>
          </w:tcPr>
          <w:p>
            <w:pPr>
              <w:spacing w:line="400" w:lineRule="exact"/>
              <w:rPr>
                <w:rFonts w:ascii="Arial" w:hAnsi="Arial" w:eastAsia="宋体" w:cs="Arial"/>
                <w:color w:val="auto"/>
                <w:szCs w:val="21"/>
                <w:highlight w:val="none"/>
              </w:rPr>
            </w:pPr>
          </w:p>
        </w:tc>
        <w:tc>
          <w:tcPr>
            <w:tcW w:w="1371" w:type="dxa"/>
            <w:noWrap w:val="0"/>
            <w:vAlign w:val="top"/>
          </w:tcPr>
          <w:p>
            <w:pPr>
              <w:spacing w:line="400" w:lineRule="exact"/>
              <w:rPr>
                <w:rFonts w:ascii="Arial" w:hAnsi="Arial" w:eastAsia="宋体" w:cs="Arial"/>
                <w:color w:val="auto"/>
                <w:szCs w:val="21"/>
                <w:highlight w:val="none"/>
              </w:rPr>
            </w:pPr>
          </w:p>
        </w:tc>
        <w:tc>
          <w:tcPr>
            <w:tcW w:w="2163" w:type="dxa"/>
            <w:noWrap w:val="0"/>
            <w:vAlign w:val="top"/>
          </w:tcPr>
          <w:p>
            <w:pPr>
              <w:spacing w:line="400" w:lineRule="exact"/>
              <w:rPr>
                <w:rFonts w:ascii="Arial" w:hAnsi="Arial" w:eastAsia="宋体" w:cs="Arial"/>
                <w:color w:val="auto"/>
                <w:szCs w:val="21"/>
                <w:highlight w:val="none"/>
              </w:rPr>
            </w:pPr>
          </w:p>
        </w:tc>
        <w:tc>
          <w:tcPr>
            <w:tcW w:w="2000" w:type="dxa"/>
            <w:noWrap w:val="0"/>
            <w:vAlign w:val="top"/>
          </w:tcPr>
          <w:p>
            <w:pPr>
              <w:spacing w:line="400" w:lineRule="exact"/>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ascii="Arial" w:hAnsi="Arial" w:eastAsia="宋体" w:cs="Arial"/>
                <w:color w:val="auto"/>
                <w:szCs w:val="21"/>
                <w:highlight w:val="none"/>
              </w:rPr>
            </w:pPr>
          </w:p>
        </w:tc>
        <w:tc>
          <w:tcPr>
            <w:tcW w:w="806" w:type="dxa"/>
            <w:noWrap w:val="0"/>
            <w:vAlign w:val="top"/>
          </w:tcPr>
          <w:p>
            <w:pPr>
              <w:spacing w:line="400" w:lineRule="exact"/>
              <w:rPr>
                <w:rFonts w:ascii="Arial" w:hAnsi="Arial" w:eastAsia="宋体" w:cs="Arial"/>
                <w:color w:val="auto"/>
                <w:szCs w:val="21"/>
                <w:highlight w:val="none"/>
              </w:rPr>
            </w:pPr>
          </w:p>
        </w:tc>
        <w:tc>
          <w:tcPr>
            <w:tcW w:w="1537" w:type="dxa"/>
            <w:noWrap w:val="0"/>
            <w:vAlign w:val="top"/>
          </w:tcPr>
          <w:p>
            <w:pPr>
              <w:spacing w:line="400" w:lineRule="exact"/>
              <w:rPr>
                <w:rFonts w:ascii="Arial" w:hAnsi="Arial" w:eastAsia="宋体" w:cs="Arial"/>
                <w:color w:val="auto"/>
                <w:szCs w:val="21"/>
                <w:highlight w:val="none"/>
              </w:rPr>
            </w:pPr>
          </w:p>
        </w:tc>
        <w:tc>
          <w:tcPr>
            <w:tcW w:w="1371" w:type="dxa"/>
            <w:noWrap w:val="0"/>
            <w:vAlign w:val="top"/>
          </w:tcPr>
          <w:p>
            <w:pPr>
              <w:spacing w:line="400" w:lineRule="exact"/>
              <w:rPr>
                <w:rFonts w:ascii="Arial" w:hAnsi="Arial" w:eastAsia="宋体" w:cs="Arial"/>
                <w:color w:val="auto"/>
                <w:szCs w:val="21"/>
                <w:highlight w:val="none"/>
              </w:rPr>
            </w:pPr>
          </w:p>
        </w:tc>
        <w:tc>
          <w:tcPr>
            <w:tcW w:w="2163" w:type="dxa"/>
            <w:noWrap w:val="0"/>
            <w:vAlign w:val="top"/>
          </w:tcPr>
          <w:p>
            <w:pPr>
              <w:spacing w:line="400" w:lineRule="exact"/>
              <w:rPr>
                <w:rFonts w:ascii="Arial" w:hAnsi="Arial" w:eastAsia="宋体" w:cs="Arial"/>
                <w:color w:val="auto"/>
                <w:szCs w:val="21"/>
                <w:highlight w:val="none"/>
              </w:rPr>
            </w:pPr>
          </w:p>
        </w:tc>
        <w:tc>
          <w:tcPr>
            <w:tcW w:w="2000" w:type="dxa"/>
            <w:noWrap w:val="0"/>
            <w:vAlign w:val="top"/>
          </w:tcPr>
          <w:p>
            <w:pPr>
              <w:spacing w:line="400" w:lineRule="exact"/>
              <w:rPr>
                <w:rFonts w:ascii="Arial" w:hAnsi="Arial" w:eastAsia="宋体" w:cs="Arial"/>
                <w:color w:val="auto"/>
                <w:szCs w:val="21"/>
                <w:highlight w:val="none"/>
              </w:rPr>
            </w:pPr>
          </w:p>
        </w:tc>
      </w:tr>
    </w:tbl>
    <w:p>
      <w:pPr>
        <w:spacing w:line="400" w:lineRule="exact"/>
        <w:rPr>
          <w:rFonts w:ascii="Arial" w:hAnsi="Arial" w:eastAsia="宋体" w:cs="Arial"/>
          <w:color w:val="auto"/>
          <w:szCs w:val="21"/>
          <w:highlight w:val="none"/>
        </w:rPr>
      </w:pP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注：1.在填写时，如本表格不适合供应商的实际情况，可根据本表格式自行制表填写。</w:t>
      </w:r>
    </w:p>
    <w:p>
      <w:pPr>
        <w:spacing w:line="40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2.项目实施人员一览表须由法定代表人或相应的委托代理人签字并加盖供应商公章。</w:t>
      </w:r>
    </w:p>
    <w:p>
      <w:pPr>
        <w:spacing w:line="400" w:lineRule="exact"/>
        <w:rPr>
          <w:rFonts w:ascii="Arial" w:hAnsi="Arial" w:eastAsia="宋体" w:cs="Arial"/>
          <w:color w:val="auto"/>
          <w:szCs w:val="21"/>
          <w:highlight w:val="none"/>
        </w:rPr>
      </w:pPr>
    </w:p>
    <w:p>
      <w:pPr>
        <w:pStyle w:val="13"/>
        <w:spacing w:line="400" w:lineRule="exact"/>
        <w:ind w:firstLine="3255" w:firstLineChars="1550"/>
        <w:rPr>
          <w:rFonts w:ascii="Arial" w:hAnsi="Arial" w:cs="Arial"/>
          <w:color w:val="auto"/>
          <w:highlight w:val="none"/>
        </w:rPr>
      </w:pPr>
      <w:r>
        <w:rPr>
          <w:rFonts w:ascii="Arial" w:hAnsi="Arial" w:cs="Arial"/>
          <w:color w:val="auto"/>
          <w:highlight w:val="none"/>
        </w:rPr>
        <w:t xml:space="preserve">   </w:t>
      </w:r>
    </w:p>
    <w:p>
      <w:pPr>
        <w:pStyle w:val="13"/>
        <w:spacing w:line="400" w:lineRule="exact"/>
        <w:ind w:firstLine="3255" w:firstLineChars="1550"/>
        <w:rPr>
          <w:rFonts w:ascii="Arial" w:hAnsi="Arial" w:cs="Arial"/>
          <w:color w:val="auto"/>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2.供应商具有同类产品的销售业绩的相关证明材料（无不良记录，以中标、成交通知书或签订的销售合同为准，并能清晰反映所销售的货物名称、种类、金额）（如有，请提供）；</w:t>
      </w:r>
    </w:p>
    <w:p>
      <w:pPr>
        <w:pStyle w:val="13"/>
        <w:spacing w:line="340" w:lineRule="exact"/>
        <w:rPr>
          <w:rFonts w:ascii="Arial" w:hAnsi="Arial" w:cs="Arial"/>
          <w:b/>
          <w:color w:val="auto"/>
          <w:sz w:val="28"/>
          <w:szCs w:val="28"/>
          <w:highlight w:val="none"/>
        </w:rPr>
      </w:pPr>
    </w:p>
    <w:p>
      <w:pPr>
        <w:tabs>
          <w:tab w:val="left" w:pos="1305"/>
        </w:tabs>
        <w:spacing w:line="520" w:lineRule="exact"/>
        <w:rPr>
          <w:rFonts w:ascii="Arial" w:hAnsi="Arial" w:eastAsia="宋体" w:cs="Arial"/>
          <w:b/>
          <w:color w:val="auto"/>
          <w:sz w:val="28"/>
          <w:szCs w:val="28"/>
          <w:highlight w:val="none"/>
        </w:rPr>
      </w:pPr>
    </w:p>
    <w:p>
      <w:pPr>
        <w:tabs>
          <w:tab w:val="left" w:pos="1305"/>
        </w:tabs>
        <w:spacing w:line="52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3.供应商相关获奖证书、认证证书等复印件（如有，请提供）；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4.节能方面的资质证书复印件（如有，请提供）</w:t>
      </w:r>
    </w:p>
    <w:p>
      <w:pPr>
        <w:pStyle w:val="13"/>
        <w:spacing w:line="400" w:lineRule="exact"/>
        <w:rPr>
          <w:rFonts w:ascii="Arial" w:hAnsi="Arial" w:cs="Arial"/>
          <w:b/>
          <w:color w:val="auto"/>
          <w:sz w:val="28"/>
          <w:szCs w:val="28"/>
          <w:highlight w:val="none"/>
        </w:rPr>
      </w:pPr>
    </w:p>
    <w:p>
      <w:pPr>
        <w:pStyle w:val="13"/>
        <w:spacing w:line="400" w:lineRule="exact"/>
        <w:rPr>
          <w:rFonts w:ascii="Arial" w:hAnsi="Arial" w:cs="Arial"/>
          <w:b/>
          <w:color w:val="auto"/>
          <w:sz w:val="28"/>
          <w:szCs w:val="28"/>
          <w:highlight w:val="none"/>
        </w:rPr>
      </w:pPr>
    </w:p>
    <w:p>
      <w:pPr>
        <w:pStyle w:val="13"/>
        <w:spacing w:line="400" w:lineRule="exact"/>
        <w:rPr>
          <w:rFonts w:ascii="Arial" w:hAnsi="Arial" w:cs="Arial"/>
          <w:color w:val="auto"/>
          <w:highlight w:val="none"/>
          <w:u w:val="single"/>
        </w:rPr>
      </w:pPr>
      <w:r>
        <w:rPr>
          <w:rFonts w:ascii="Arial" w:hAnsi="Arial" w:cs="Arial"/>
          <w:b/>
          <w:color w:val="auto"/>
          <w:sz w:val="28"/>
          <w:szCs w:val="28"/>
          <w:highlight w:val="none"/>
        </w:rPr>
        <w:t>5.环保方面的资质证书复印件（如有，请提供）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6</w:t>
      </w:r>
      <w:r>
        <w:rPr>
          <w:rFonts w:ascii="Arial" w:hAnsi="Arial" w:cs="Arial"/>
          <w:b/>
          <w:color w:val="auto"/>
          <w:sz w:val="28"/>
          <w:szCs w:val="28"/>
          <w:highlight w:val="none"/>
        </w:rPr>
        <w:t>.</w:t>
      </w:r>
      <w:r>
        <w:rPr>
          <w:rFonts w:hint="eastAsia" w:ascii="Arial" w:hAnsi="Arial" w:cs="Arial"/>
          <w:b/>
          <w:color w:val="auto"/>
          <w:sz w:val="28"/>
          <w:szCs w:val="28"/>
          <w:highlight w:val="none"/>
        </w:rPr>
        <w:t>落实政府采购政策需满足的资格要求（如有，请提供）</w:t>
      </w:r>
    </w:p>
    <w:p>
      <w:pPr>
        <w:pStyle w:val="13"/>
        <w:spacing w:line="340" w:lineRule="exact"/>
        <w:rPr>
          <w:rFonts w:ascii="Arial" w:hAnsi="Arial" w:cs="Arial"/>
          <w:b/>
          <w:color w:val="auto"/>
          <w:sz w:val="28"/>
          <w:szCs w:val="28"/>
          <w:highlight w:val="none"/>
        </w:rPr>
      </w:pPr>
    </w:p>
    <w:p>
      <w:pPr>
        <w:rPr>
          <w:rFonts w:ascii="Arial" w:hAnsi="Arial" w:eastAsia="宋体" w:cs="Arial"/>
          <w:color w:val="auto"/>
          <w:sz w:val="28"/>
          <w:szCs w:val="28"/>
          <w:highlight w:val="none"/>
        </w:rPr>
      </w:pPr>
      <w:r>
        <w:rPr>
          <w:rFonts w:hint="eastAsia" w:ascii="Arial" w:hAnsi="Arial" w:eastAsia="宋体" w:cs="Arial"/>
          <w:b/>
          <w:color w:val="auto"/>
          <w:sz w:val="28"/>
          <w:szCs w:val="28"/>
          <w:highlight w:val="none"/>
        </w:rPr>
        <w:t>①</w:t>
      </w:r>
      <w:r>
        <w:rPr>
          <w:rFonts w:ascii="Arial" w:hAnsi="Arial" w:eastAsia="宋体" w:cs="Arial"/>
          <w:b/>
          <w:color w:val="auto"/>
          <w:sz w:val="28"/>
          <w:szCs w:val="28"/>
          <w:highlight w:val="none"/>
        </w:rPr>
        <w:t>附件：</w:t>
      </w:r>
    </w:p>
    <w:p>
      <w:pPr>
        <w:rPr>
          <w:rFonts w:ascii="Arial" w:hAnsi="Arial" w:eastAsia="宋体" w:cs="Arial"/>
          <w:b/>
          <w:color w:val="auto"/>
          <w:szCs w:val="21"/>
          <w:highlight w:val="none"/>
        </w:rPr>
      </w:pPr>
      <w:r>
        <w:rPr>
          <w:rFonts w:ascii="Arial" w:hAnsi="Arial" w:eastAsia="宋体" w:cs="Arial"/>
          <w:color w:val="auto"/>
          <w:szCs w:val="21"/>
          <w:highlight w:val="none"/>
        </w:rPr>
        <w:t>1</w:t>
      </w:r>
      <w:r>
        <w:rPr>
          <w:rFonts w:ascii="Arial" w:hAnsi="Arial" w:eastAsia="宋体" w:cs="Arial"/>
          <w:bCs/>
          <w:color w:val="auto"/>
          <w:szCs w:val="21"/>
          <w:highlight w:val="none"/>
        </w:rPr>
        <w:t>中小企业声明函</w:t>
      </w:r>
      <w:r>
        <w:rPr>
          <w:rFonts w:ascii="Arial" w:hAnsi="Arial" w:eastAsia="宋体" w:cs="Arial"/>
          <w:color w:val="auto"/>
          <w:szCs w:val="21"/>
          <w:highlight w:val="none"/>
        </w:rPr>
        <w:t>。</w:t>
      </w:r>
      <w:bookmarkStart w:id="59" w:name="_Hlk60651253"/>
    </w:p>
    <w:bookmarkEnd w:id="59"/>
    <w:p>
      <w:pPr>
        <w:spacing w:line="360" w:lineRule="auto"/>
        <w:ind w:firstLine="3584" w:firstLineChars="1700"/>
        <w:rPr>
          <w:rFonts w:ascii="Arial" w:hAnsi="Arial" w:eastAsia="宋体" w:cs="Arial"/>
          <w:b/>
          <w:color w:val="auto"/>
          <w:szCs w:val="21"/>
          <w:highlight w:val="none"/>
        </w:rPr>
      </w:pPr>
      <w:bookmarkStart w:id="60" w:name="_Hlk60653683"/>
      <w:bookmarkStart w:id="61" w:name="_Hlk60649458"/>
      <w:r>
        <w:rPr>
          <w:rFonts w:ascii="Arial" w:hAnsi="Arial" w:eastAsia="宋体" w:cs="Arial"/>
          <w:b/>
          <w:color w:val="auto"/>
          <w:szCs w:val="21"/>
          <w:highlight w:val="none"/>
        </w:rPr>
        <w:t>中小企业声明函（货物）</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本公司（联合体）郑重声明，根据《政府采购促进中小企业发展管理办法》（财库﹝2020﹞46 号）的规定，本公司（联合体）参加</w:t>
      </w:r>
      <w:r>
        <w:rPr>
          <w:rFonts w:ascii="Arial" w:hAnsi="Arial" w:eastAsia="宋体" w:cs="Arial"/>
          <w:bCs/>
          <w:color w:val="auto"/>
          <w:szCs w:val="21"/>
          <w:highlight w:val="none"/>
          <w:u w:val="single"/>
        </w:rPr>
        <w:t>（单位名称）</w:t>
      </w:r>
      <w:r>
        <w:rPr>
          <w:rFonts w:ascii="Arial" w:hAnsi="Arial" w:eastAsia="宋体" w:cs="Arial"/>
          <w:bCs/>
          <w:color w:val="auto"/>
          <w:szCs w:val="21"/>
          <w:highlight w:val="none"/>
        </w:rPr>
        <w:t>的</w:t>
      </w:r>
      <w:r>
        <w:rPr>
          <w:rFonts w:ascii="Arial" w:hAnsi="Arial" w:eastAsia="宋体" w:cs="Arial"/>
          <w:bCs/>
          <w:color w:val="auto"/>
          <w:szCs w:val="21"/>
          <w:highlight w:val="none"/>
          <w:u w:val="single"/>
        </w:rPr>
        <w:t>（项目名称）</w:t>
      </w:r>
      <w:r>
        <w:rPr>
          <w:rFonts w:ascii="Arial" w:hAnsi="Arial" w:eastAsia="宋体" w:cs="Arial"/>
          <w:bCs/>
          <w:color w:val="auto"/>
          <w:szCs w:val="21"/>
          <w:highlight w:val="none"/>
        </w:rPr>
        <w:t>采购活动，提供的货物全部由符合政策要求的中小企业制造。相关企业（含联合体中的中小企业、签订分包意向协议的中小企业） 的具体情况如下：</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1.</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采购文件</w:t>
      </w:r>
      <w:r>
        <w:rPr>
          <w:rFonts w:ascii="Arial" w:hAnsi="Arial" w:eastAsia="宋体" w:cs="Arial"/>
          <w:bCs/>
          <w:color w:val="auto"/>
          <w:szCs w:val="21"/>
          <w:highlight w:val="none"/>
          <w:u w:val="single"/>
        </w:rPr>
        <w:t>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2.</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采购文件</w:t>
      </w:r>
      <w:r>
        <w:rPr>
          <w:rFonts w:ascii="Arial" w:hAnsi="Arial" w:eastAsia="宋体" w:cs="Arial"/>
          <w:bCs/>
          <w:color w:val="auto"/>
          <w:szCs w:val="21"/>
          <w:highlight w:val="none"/>
          <w:u w:val="single"/>
        </w:rPr>
        <w:t>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以上企业，不属于大企业的分支机构，不存在控股股东为大企业的情形，也不存在与大企业的负责人为同一人的情形。</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本企业对上述声明内容的真实性负责。如有虚假，将依法承担相应责任。</w:t>
      </w:r>
    </w:p>
    <w:p>
      <w:pPr>
        <w:spacing w:line="360" w:lineRule="auto"/>
        <w:ind w:firstLine="3150" w:firstLineChars="1500"/>
        <w:rPr>
          <w:rFonts w:ascii="Arial" w:hAnsi="Arial" w:eastAsia="宋体" w:cs="Arial"/>
          <w:bCs/>
          <w:color w:val="auto"/>
          <w:szCs w:val="21"/>
          <w:highlight w:val="none"/>
        </w:rPr>
      </w:pPr>
      <w:r>
        <w:rPr>
          <w:rFonts w:ascii="Arial" w:hAnsi="Arial" w:eastAsia="宋体" w:cs="Arial"/>
          <w:bCs/>
          <w:color w:val="auto"/>
          <w:szCs w:val="21"/>
          <w:highlight w:val="none"/>
        </w:rPr>
        <w:t>企业名称</w:t>
      </w:r>
      <w:r>
        <w:rPr>
          <w:rFonts w:ascii="Arial" w:hAnsi="Arial" w:eastAsia="宋体" w:cs="Arial"/>
          <w:color w:val="auto"/>
          <w:szCs w:val="21"/>
          <w:highlight w:val="none"/>
        </w:rPr>
        <w:t xml:space="preserve"> (电子签章)</w:t>
      </w:r>
      <w:r>
        <w:rPr>
          <w:rFonts w:ascii="Arial" w:hAnsi="Arial" w:eastAsia="宋体" w:cs="Arial"/>
          <w:bCs/>
          <w:color w:val="auto"/>
          <w:szCs w:val="21"/>
          <w:highlight w:val="none"/>
        </w:rPr>
        <w:t>：    日期：</w:t>
      </w:r>
    </w:p>
    <w:p>
      <w:pPr>
        <w:spacing w:line="360" w:lineRule="auto"/>
        <w:jc w:val="left"/>
        <w:rPr>
          <w:rFonts w:ascii="Arial" w:hAnsi="Arial" w:eastAsia="宋体" w:cs="Arial"/>
          <w:bCs/>
          <w:color w:val="auto"/>
          <w:szCs w:val="21"/>
          <w:highlight w:val="none"/>
        </w:rPr>
      </w:pPr>
      <w:bookmarkStart w:id="62" w:name="_Hlk65852026"/>
      <w:r>
        <w:rPr>
          <w:rFonts w:ascii="Arial" w:hAnsi="Arial" w:eastAsia="宋体" w:cs="Arial"/>
          <w:bCs/>
          <w:color w:val="auto"/>
          <w:szCs w:val="21"/>
          <w:highlight w:val="none"/>
        </w:rPr>
        <w:t>注：</w:t>
      </w:r>
    </w:p>
    <w:bookmarkEnd w:id="60"/>
    <w:bookmarkEnd w:id="61"/>
    <w:bookmarkEnd w:id="62"/>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（1）标的名称按照第三章</w:t>
      </w:r>
      <w:r>
        <w:rPr>
          <w:rFonts w:hint="eastAsia" w:ascii="Arial" w:hAnsi="Arial" w:eastAsia="宋体" w:cs="Arial"/>
          <w:bCs/>
          <w:color w:val="auto"/>
          <w:szCs w:val="21"/>
          <w:highlight w:val="none"/>
        </w:rPr>
        <w:t>货物</w:t>
      </w:r>
      <w:r>
        <w:rPr>
          <w:rFonts w:ascii="Arial" w:hAnsi="Arial" w:eastAsia="宋体" w:cs="Arial"/>
          <w:bCs/>
          <w:color w:val="auto"/>
          <w:szCs w:val="21"/>
          <w:highlight w:val="none"/>
        </w:rPr>
        <w:t>采购需求中的货物名称填写，</w:t>
      </w:r>
      <w:r>
        <w:rPr>
          <w:rFonts w:ascii="Arial" w:hAnsi="Arial" w:eastAsia="宋体" w:cs="Arial"/>
          <w:color w:val="auto"/>
          <w:szCs w:val="21"/>
          <w:highlight w:val="none"/>
        </w:rPr>
        <w:t>所属行业标明“/”的</w:t>
      </w:r>
      <w:r>
        <w:rPr>
          <w:rFonts w:ascii="Arial" w:hAnsi="Arial" w:eastAsia="宋体" w:cs="Arial"/>
          <w:bCs/>
          <w:color w:val="auto"/>
          <w:szCs w:val="21"/>
          <w:highlight w:val="none"/>
        </w:rPr>
        <w:t>，无需在上表填写。</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（2）如供应商为联合体或分包的，声明函中“项目名称”应填写联合体中小微企业承担的具体内容或者小微企业具体分包内容。</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（6）本声明函由供应商填写，供应商应按中小企业划分标准《关于印发中小企业划型标准规定的通知》（工信部联企业〔2011〕300号</w:t>
      </w:r>
      <w:r>
        <w:rPr>
          <w:rFonts w:ascii="Arial" w:hAnsi="Arial" w:eastAsia="宋体" w:cs="Arial"/>
          <w:color w:val="auto"/>
          <w:szCs w:val="21"/>
          <w:highlight w:val="none"/>
        </w:rPr>
        <w:t>以及《金融业企业划型标准规定》（银发〔2015〕309号）</w:t>
      </w:r>
      <w:r>
        <w:rPr>
          <w:rFonts w:ascii="Arial" w:hAnsi="Arial" w:eastAsia="宋体" w:cs="Arial"/>
          <w:bCs/>
          <w:color w:val="auto"/>
          <w:szCs w:val="21"/>
          <w:highlight w:val="none"/>
        </w:rPr>
        <w:t>）判断是否为中小企业。</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（7）供应商对《中小企业声明函》的真实性负责，如有虚假则需承担不利后果。依法享受中小企业优惠政策的，采购人或采购代理机构在公告</w:t>
      </w:r>
      <w:r>
        <w:rPr>
          <w:rFonts w:hint="eastAsia" w:ascii="Arial" w:hAnsi="Arial" w:eastAsia="宋体" w:cs="Arial"/>
          <w:bCs/>
          <w:color w:val="auto"/>
          <w:szCs w:val="21"/>
          <w:highlight w:val="none"/>
        </w:rPr>
        <w:t>成交结果</w:t>
      </w:r>
      <w:r>
        <w:rPr>
          <w:rFonts w:ascii="Arial" w:hAnsi="Arial" w:eastAsia="宋体" w:cs="Arial"/>
          <w:bCs/>
          <w:color w:val="auto"/>
          <w:szCs w:val="21"/>
          <w:highlight w:val="none"/>
        </w:rPr>
        <w:t>时，同时公告其《中小企业声明函》，接受社会监督。</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（8）上述企业属于大企业的分支机构或控股股东为大企业或与大企业的负责人为同一人的，不</w:t>
      </w:r>
      <w:r>
        <w:rPr>
          <w:rFonts w:hint="eastAsia" w:ascii="Arial" w:hAnsi="Arial" w:eastAsia="宋体" w:cs="Arial"/>
          <w:bCs/>
          <w:color w:val="auto"/>
          <w:szCs w:val="21"/>
          <w:highlight w:val="none"/>
        </w:rPr>
        <w:t>符合上述要求</w:t>
      </w:r>
      <w:r>
        <w:rPr>
          <w:rFonts w:ascii="Arial" w:hAnsi="Arial" w:eastAsia="宋体" w:cs="Arial"/>
          <w:bCs/>
          <w:color w:val="auto"/>
          <w:szCs w:val="21"/>
          <w:highlight w:val="none"/>
        </w:rPr>
        <w:t>。</w:t>
      </w:r>
    </w:p>
    <w:p>
      <w:pPr>
        <w:snapToGrid w:val="0"/>
        <w:spacing w:before="50" w:after="156" w:afterLines="50"/>
        <w:jc w:val="left"/>
        <w:rPr>
          <w:rFonts w:ascii="Arial" w:hAnsi="Arial" w:eastAsia="宋体" w:cs="Arial"/>
          <w:color w:val="auto"/>
          <w:szCs w:val="21"/>
          <w:highlight w:val="none"/>
        </w:rPr>
      </w:pPr>
      <w:r>
        <w:rPr>
          <w:rFonts w:ascii="Arial" w:hAnsi="Arial" w:eastAsia="宋体" w:cs="Arial"/>
          <w:color w:val="auto"/>
          <w:szCs w:val="21"/>
          <w:highlight w:val="none"/>
        </w:rPr>
        <w:t>②监狱企业须提供最新一期《XX省监狱企业产品目录》或其他监狱企业证明材料。</w:t>
      </w:r>
    </w:p>
    <w:p>
      <w:pPr>
        <w:snapToGrid w:val="0"/>
        <w:spacing w:before="50" w:after="156" w:afterLines="50"/>
        <w:jc w:val="left"/>
        <w:rPr>
          <w:rFonts w:ascii="Arial" w:hAnsi="Arial" w:eastAsia="宋体" w:cs="Arial"/>
          <w:color w:val="auto"/>
          <w:szCs w:val="21"/>
          <w:highlight w:val="none"/>
        </w:rPr>
      </w:pPr>
    </w:p>
    <w:p>
      <w:pPr>
        <w:spacing w:line="360" w:lineRule="auto"/>
        <w:jc w:val="left"/>
        <w:rPr>
          <w:rFonts w:ascii="Arial" w:hAnsi="Arial" w:eastAsia="宋体" w:cs="Arial"/>
          <w:bCs/>
          <w:color w:val="auto"/>
          <w:szCs w:val="21"/>
          <w:highlight w:val="none"/>
        </w:rPr>
      </w:pPr>
      <w:bookmarkStart w:id="63" w:name="OLE_LINK14"/>
      <w:bookmarkStart w:id="64" w:name="OLE_LINK13"/>
      <w:r>
        <w:rPr>
          <w:rFonts w:ascii="Arial" w:hAnsi="Arial" w:eastAsia="宋体" w:cs="Arial"/>
          <w:bCs/>
          <w:color w:val="auto"/>
          <w:szCs w:val="21"/>
          <w:highlight w:val="none"/>
        </w:rPr>
        <w:t>③符合条件的残疾人福利性单位在参加政府采购活动时，应当提供《残疾人福利性单位声明函》，并对声明的真实性负责</w:t>
      </w:r>
    </w:p>
    <w:p>
      <w:pPr>
        <w:spacing w:line="360" w:lineRule="auto"/>
        <w:jc w:val="center"/>
        <w:rPr>
          <w:rFonts w:ascii="Arial" w:hAnsi="Arial" w:eastAsia="宋体" w:cs="Arial"/>
          <w:b/>
          <w:color w:val="auto"/>
          <w:szCs w:val="21"/>
          <w:highlight w:val="none"/>
        </w:rPr>
      </w:pPr>
      <w:r>
        <w:rPr>
          <w:rFonts w:ascii="Arial" w:hAnsi="Arial" w:eastAsia="宋体" w:cs="Arial"/>
          <w:b/>
          <w:color w:val="auto"/>
          <w:szCs w:val="21"/>
          <w:highlight w:val="none"/>
        </w:rPr>
        <w:t>残疾人福利性单位声明函</w:t>
      </w:r>
      <w:bookmarkEnd w:id="63"/>
      <w:bookmarkEnd w:id="64"/>
    </w:p>
    <w:p>
      <w:pPr>
        <w:spacing w:line="360" w:lineRule="auto"/>
        <w:ind w:firstLine="420"/>
        <w:jc w:val="left"/>
        <w:rPr>
          <w:rFonts w:ascii="Arial" w:hAnsi="Arial" w:eastAsia="宋体" w:cs="Arial"/>
          <w:color w:val="auto"/>
          <w:szCs w:val="21"/>
          <w:highlight w:val="none"/>
        </w:rPr>
      </w:pPr>
      <w:r>
        <w:rPr>
          <w:rFonts w:ascii="Arial" w:hAnsi="Arial" w:eastAsia="宋体"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单位的</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eastAsia="宋体" w:cs="Arial"/>
          <w:color w:val="auto"/>
          <w:szCs w:val="21"/>
          <w:highlight w:val="none"/>
        </w:rPr>
      </w:pPr>
      <w:r>
        <w:rPr>
          <w:rFonts w:ascii="Arial" w:hAnsi="Arial" w:eastAsia="宋体" w:cs="Arial"/>
          <w:color w:val="auto"/>
          <w:szCs w:val="21"/>
          <w:highlight w:val="none"/>
        </w:rPr>
        <w:t>本单位对上述声明的真实性负责。如有虚假，将依法承担相应责任。</w:t>
      </w:r>
    </w:p>
    <w:p>
      <w:pPr>
        <w:spacing w:line="360" w:lineRule="auto"/>
        <w:ind w:firstLine="420"/>
        <w:jc w:val="right"/>
        <w:rPr>
          <w:rFonts w:ascii="Arial" w:hAnsi="Arial" w:eastAsia="宋体" w:cs="Arial"/>
          <w:color w:val="auto"/>
          <w:spacing w:val="6"/>
          <w:szCs w:val="21"/>
          <w:highlight w:val="none"/>
        </w:rPr>
      </w:pPr>
      <w:r>
        <w:rPr>
          <w:rFonts w:ascii="Arial" w:hAnsi="Arial" w:eastAsia="宋体" w:cs="Arial"/>
          <w:color w:val="auto"/>
          <w:spacing w:val="6"/>
          <w:sz w:val="30"/>
          <w:szCs w:val="30"/>
          <w:highlight w:val="none"/>
        </w:rPr>
        <w:t xml:space="preserve"> </w:t>
      </w:r>
      <w:r>
        <w:rPr>
          <w:rFonts w:ascii="Arial" w:hAnsi="Arial" w:eastAsia="宋体" w:cs="Arial"/>
          <w:color w:val="auto"/>
          <w:spacing w:val="6"/>
          <w:szCs w:val="21"/>
          <w:highlight w:val="none"/>
        </w:rPr>
        <w:t xml:space="preserve">                                             单位名称</w:t>
      </w:r>
      <w:r>
        <w:rPr>
          <w:rFonts w:ascii="Arial" w:hAnsi="Arial" w:eastAsia="宋体" w:cs="Arial"/>
          <w:color w:val="auto"/>
          <w:szCs w:val="21"/>
          <w:highlight w:val="none"/>
        </w:rPr>
        <w:t>(电子签章)</w:t>
      </w:r>
      <w:r>
        <w:rPr>
          <w:rFonts w:ascii="Arial" w:hAnsi="Arial" w:eastAsia="宋体" w:cs="Arial"/>
          <w:color w:val="auto"/>
          <w:spacing w:val="6"/>
          <w:szCs w:val="21"/>
          <w:highlight w:val="none"/>
        </w:rPr>
        <w:t xml:space="preserve">：          </w:t>
      </w:r>
    </w:p>
    <w:p>
      <w:pPr>
        <w:spacing w:line="360" w:lineRule="auto"/>
        <w:ind w:firstLine="420"/>
        <w:jc w:val="right"/>
        <w:rPr>
          <w:rFonts w:ascii="Arial" w:hAnsi="Arial" w:eastAsia="宋体" w:cs="Arial"/>
          <w:color w:val="auto"/>
          <w:spacing w:val="6"/>
          <w:szCs w:val="21"/>
          <w:highlight w:val="none"/>
        </w:rPr>
      </w:pPr>
      <w:r>
        <w:rPr>
          <w:rFonts w:ascii="Arial" w:hAnsi="Arial" w:eastAsia="宋体" w:cs="Arial"/>
          <w:color w:val="auto"/>
          <w:spacing w:val="6"/>
          <w:szCs w:val="21"/>
          <w:highlight w:val="none"/>
        </w:rPr>
        <w:t xml:space="preserve">                                                       日  期：</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7.</w:t>
      </w:r>
      <w:r>
        <w:rPr>
          <w:rFonts w:ascii="Arial" w:hAnsi="Arial" w:cs="Arial"/>
          <w:b/>
          <w:color w:val="auto"/>
          <w:sz w:val="28"/>
          <w:szCs w:val="28"/>
          <w:highlight w:val="none"/>
        </w:rPr>
        <w:t>供应商可结合本项目自身情况自行提交其它相关证明材料（如有，请提供）</w:t>
      </w:r>
    </w:p>
    <w:p>
      <w:pPr>
        <w:pStyle w:val="16"/>
        <w:rPr>
          <w:color w:val="auto"/>
          <w:highlight w:val="none"/>
        </w:rPr>
      </w:pPr>
    </w:p>
    <w:sectPr>
      <w:footerReference r:id="rId11"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0325" cy="154940"/>
              <wp:effectExtent l="0" t="0" r="0" b="0"/>
              <wp:wrapNone/>
              <wp:docPr id="3"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8240;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qNJ8jRAAAAAgEAAA8AAAAAAAAAAQAgAAAAIgAAAGRycy9kb3du&#10;cmV2LnhtbFBLAQIUABQAAAAIAIdO4kDF5ztGzQEAAJYDAAAOAAAAAAAAAAEAIAAAACABAABkcnMv&#10;ZTJvRG9jLnhtbFBLBQYAAAAABgAGAFkBAABf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p>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4"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o0nyNEAAAACAQAADwAAAAAAAAABACAAAAAiAAAAZHJzL2Rv&#10;d25yZXYueG1sUEsBAhQAFAAAAAgAh07iQCVxY2jPAQAAlgMAAA4AAAAAAAAAAQAgAAAAIAEAAGRy&#10;cy9lMm9Eb2MueG1sUEsFBgAAAAAGAAYAWQEAAGE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6"/>
                            </w:rPr>
                          </w:pPr>
                          <w:r>
                            <w:fldChar w:fldCharType="begin"/>
                          </w:r>
                          <w:r>
                            <w:rPr>
                              <w:rStyle w:val="26"/>
                            </w:rPr>
                            <w:instrText xml:space="preserve">PAGE  </w:instrText>
                          </w:r>
                          <w:r>
                            <w:fldChar w:fldCharType="separate"/>
                          </w:r>
                          <w:r>
                            <w:rPr>
                              <w:rStyle w:val="26"/>
                            </w:rPr>
                            <w:t>72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v:fill on="f" focussize="0,0"/>
              <v:stroke on="f"/>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rPr>
                              <w:rStyle w:val="26"/>
                            </w:rPr>
                            <w:instrText xml:space="preserve"> PAGE </w:instrText>
                          </w:r>
                          <w:r>
                            <w:fldChar w:fldCharType="separate"/>
                          </w:r>
                          <w:r>
                            <w:rPr>
                              <w:rStyle w:val="26"/>
                            </w:rPr>
                            <w:t>80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PyH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Th2xy0O/Pzzx/nXn/Pv7+Q6&#10;y9MHqDHrIWBeGj74AZdm9gM6M+tBRZu/yIdgHMU9XcSVQyIiP1otV6sKQwJj8wXx2ePzECF9lN6S&#10;bDQ04vSKqPx4B2lMnVNyNedvtTFlgsb950DM7GG597HHbKVhN0yEdr49IZ8eB99Qh3tOifnkUNe8&#10;I7MRZ2M3G4cQ9b4rS5TrQXh/SNhE6S1XGGGnwjixwm7arrwS/95L1uMf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D8h/IAQAAmQMAAA4AAAAAAAAAAQAgAAAAHgEAAGRycy9lMm9Eb2Mu&#10;eG1sUEsFBgAAAAAGAAYAWQEAAFgFAAAAAA==&#10;">
              <v:fill on="f" focussize="0,0"/>
              <v:stroke on="f"/>
              <v:imagedata o:title=""/>
              <o:lock v:ext="edit" aspectratio="f"/>
              <v:textbox inset="0mm,0mm,0mm,0mm" style="mso-fit-shape-to-text:t;">
                <w:txbxContent>
                  <w:p>
                    <w:pPr>
                      <w:pStyle w:val="16"/>
                      <w:jc w:val="center"/>
                    </w:pPr>
                    <w:r>
                      <w:fldChar w:fldCharType="begin"/>
                    </w:r>
                    <w:r>
                      <w:rPr>
                        <w:rStyle w:val="26"/>
                      </w:rPr>
                      <w:instrText xml:space="preserve"> PAGE </w:instrText>
                    </w:r>
                    <w:r>
                      <w:fldChar w:fldCharType="separate"/>
                    </w:r>
                    <w:r>
                      <w:rPr>
                        <w:rStyle w:val="26"/>
                      </w:rP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s>
  <w:rsids>
    <w:rsidRoot w:val="00172A27"/>
    <w:rsid w:val="00000735"/>
    <w:rsid w:val="00000B7B"/>
    <w:rsid w:val="000011ED"/>
    <w:rsid w:val="00002003"/>
    <w:rsid w:val="0000200F"/>
    <w:rsid w:val="000029FA"/>
    <w:rsid w:val="00002B62"/>
    <w:rsid w:val="000034A6"/>
    <w:rsid w:val="0000390F"/>
    <w:rsid w:val="0000393D"/>
    <w:rsid w:val="00003B4C"/>
    <w:rsid w:val="00003D30"/>
    <w:rsid w:val="00003D90"/>
    <w:rsid w:val="000040FD"/>
    <w:rsid w:val="0000477B"/>
    <w:rsid w:val="00004CC8"/>
    <w:rsid w:val="00004F9B"/>
    <w:rsid w:val="00005143"/>
    <w:rsid w:val="00005950"/>
    <w:rsid w:val="0000607D"/>
    <w:rsid w:val="00006352"/>
    <w:rsid w:val="00006F69"/>
    <w:rsid w:val="0000722A"/>
    <w:rsid w:val="0000775B"/>
    <w:rsid w:val="00007E83"/>
    <w:rsid w:val="00007F96"/>
    <w:rsid w:val="0001073E"/>
    <w:rsid w:val="00010FC0"/>
    <w:rsid w:val="00011006"/>
    <w:rsid w:val="00011968"/>
    <w:rsid w:val="000127AC"/>
    <w:rsid w:val="0001284A"/>
    <w:rsid w:val="00012E2A"/>
    <w:rsid w:val="0001357A"/>
    <w:rsid w:val="000139C8"/>
    <w:rsid w:val="000139E0"/>
    <w:rsid w:val="00013C2B"/>
    <w:rsid w:val="00013EBB"/>
    <w:rsid w:val="00013F2B"/>
    <w:rsid w:val="00014B3F"/>
    <w:rsid w:val="00014F96"/>
    <w:rsid w:val="00015001"/>
    <w:rsid w:val="00015ADA"/>
    <w:rsid w:val="00016778"/>
    <w:rsid w:val="000173F5"/>
    <w:rsid w:val="00017DA1"/>
    <w:rsid w:val="0002073E"/>
    <w:rsid w:val="00021F89"/>
    <w:rsid w:val="00022A04"/>
    <w:rsid w:val="00022A8E"/>
    <w:rsid w:val="00022F6B"/>
    <w:rsid w:val="00023406"/>
    <w:rsid w:val="000236CF"/>
    <w:rsid w:val="00023CCC"/>
    <w:rsid w:val="000247AB"/>
    <w:rsid w:val="000247AF"/>
    <w:rsid w:val="00024F8B"/>
    <w:rsid w:val="000250E7"/>
    <w:rsid w:val="000253B5"/>
    <w:rsid w:val="000257E8"/>
    <w:rsid w:val="0002714F"/>
    <w:rsid w:val="000300C9"/>
    <w:rsid w:val="00030708"/>
    <w:rsid w:val="00030994"/>
    <w:rsid w:val="00030C53"/>
    <w:rsid w:val="00031552"/>
    <w:rsid w:val="00031D39"/>
    <w:rsid w:val="000320EE"/>
    <w:rsid w:val="000325F4"/>
    <w:rsid w:val="00032678"/>
    <w:rsid w:val="00033313"/>
    <w:rsid w:val="00033D61"/>
    <w:rsid w:val="00033DAF"/>
    <w:rsid w:val="0003439C"/>
    <w:rsid w:val="000343BC"/>
    <w:rsid w:val="00034A7A"/>
    <w:rsid w:val="00034B68"/>
    <w:rsid w:val="000350F3"/>
    <w:rsid w:val="000351B3"/>
    <w:rsid w:val="000352CA"/>
    <w:rsid w:val="000356DA"/>
    <w:rsid w:val="00035820"/>
    <w:rsid w:val="00035834"/>
    <w:rsid w:val="00035910"/>
    <w:rsid w:val="00035DF7"/>
    <w:rsid w:val="000377B0"/>
    <w:rsid w:val="00040940"/>
    <w:rsid w:val="00041076"/>
    <w:rsid w:val="000411E2"/>
    <w:rsid w:val="0004167F"/>
    <w:rsid w:val="000416EF"/>
    <w:rsid w:val="0004179F"/>
    <w:rsid w:val="00041BEF"/>
    <w:rsid w:val="00042132"/>
    <w:rsid w:val="000426E2"/>
    <w:rsid w:val="000427AB"/>
    <w:rsid w:val="0004314D"/>
    <w:rsid w:val="00043329"/>
    <w:rsid w:val="000435BB"/>
    <w:rsid w:val="00043BC9"/>
    <w:rsid w:val="00044975"/>
    <w:rsid w:val="00044B95"/>
    <w:rsid w:val="00044E5F"/>
    <w:rsid w:val="0004528E"/>
    <w:rsid w:val="00045A41"/>
    <w:rsid w:val="00045B84"/>
    <w:rsid w:val="00045F82"/>
    <w:rsid w:val="0004674C"/>
    <w:rsid w:val="000475AF"/>
    <w:rsid w:val="00047DE1"/>
    <w:rsid w:val="00047DE2"/>
    <w:rsid w:val="00047EB0"/>
    <w:rsid w:val="00050027"/>
    <w:rsid w:val="00050052"/>
    <w:rsid w:val="000504DA"/>
    <w:rsid w:val="000506B3"/>
    <w:rsid w:val="00050C94"/>
    <w:rsid w:val="00050EC4"/>
    <w:rsid w:val="00052011"/>
    <w:rsid w:val="00052DA6"/>
    <w:rsid w:val="00052DC5"/>
    <w:rsid w:val="00053080"/>
    <w:rsid w:val="000530AB"/>
    <w:rsid w:val="00054905"/>
    <w:rsid w:val="00054966"/>
    <w:rsid w:val="00054C38"/>
    <w:rsid w:val="00055318"/>
    <w:rsid w:val="00055BF1"/>
    <w:rsid w:val="00055E73"/>
    <w:rsid w:val="00055F83"/>
    <w:rsid w:val="00056190"/>
    <w:rsid w:val="00056AB7"/>
    <w:rsid w:val="00057B1A"/>
    <w:rsid w:val="00057CC9"/>
    <w:rsid w:val="000606D6"/>
    <w:rsid w:val="0006077A"/>
    <w:rsid w:val="00060AED"/>
    <w:rsid w:val="00060B78"/>
    <w:rsid w:val="00061151"/>
    <w:rsid w:val="0006188A"/>
    <w:rsid w:val="0006209C"/>
    <w:rsid w:val="0006269C"/>
    <w:rsid w:val="00062F9E"/>
    <w:rsid w:val="0006472E"/>
    <w:rsid w:val="00065639"/>
    <w:rsid w:val="00065A4D"/>
    <w:rsid w:val="00065C46"/>
    <w:rsid w:val="000665E4"/>
    <w:rsid w:val="000670BB"/>
    <w:rsid w:val="000675B5"/>
    <w:rsid w:val="00071885"/>
    <w:rsid w:val="00071A6A"/>
    <w:rsid w:val="00071B5D"/>
    <w:rsid w:val="000723E2"/>
    <w:rsid w:val="00072628"/>
    <w:rsid w:val="00072883"/>
    <w:rsid w:val="000738B6"/>
    <w:rsid w:val="00073FC7"/>
    <w:rsid w:val="00074224"/>
    <w:rsid w:val="00074AB7"/>
    <w:rsid w:val="00074DC6"/>
    <w:rsid w:val="00074DD4"/>
    <w:rsid w:val="0007565A"/>
    <w:rsid w:val="000760D2"/>
    <w:rsid w:val="00076294"/>
    <w:rsid w:val="000762BD"/>
    <w:rsid w:val="00076C31"/>
    <w:rsid w:val="0007704A"/>
    <w:rsid w:val="000775E8"/>
    <w:rsid w:val="0007788B"/>
    <w:rsid w:val="000779EA"/>
    <w:rsid w:val="00080059"/>
    <w:rsid w:val="0008020F"/>
    <w:rsid w:val="00080266"/>
    <w:rsid w:val="0008063A"/>
    <w:rsid w:val="00080CE3"/>
    <w:rsid w:val="00081346"/>
    <w:rsid w:val="000815D9"/>
    <w:rsid w:val="000820F8"/>
    <w:rsid w:val="00082431"/>
    <w:rsid w:val="00082451"/>
    <w:rsid w:val="000834F3"/>
    <w:rsid w:val="00084489"/>
    <w:rsid w:val="0008527D"/>
    <w:rsid w:val="00085C7F"/>
    <w:rsid w:val="000861D8"/>
    <w:rsid w:val="00086674"/>
    <w:rsid w:val="000875D7"/>
    <w:rsid w:val="00087A27"/>
    <w:rsid w:val="00090879"/>
    <w:rsid w:val="0009099E"/>
    <w:rsid w:val="00090D96"/>
    <w:rsid w:val="00090E17"/>
    <w:rsid w:val="00091299"/>
    <w:rsid w:val="00091791"/>
    <w:rsid w:val="00092868"/>
    <w:rsid w:val="0009290A"/>
    <w:rsid w:val="00093C28"/>
    <w:rsid w:val="00093E84"/>
    <w:rsid w:val="00094425"/>
    <w:rsid w:val="000945EF"/>
    <w:rsid w:val="000946E7"/>
    <w:rsid w:val="00095305"/>
    <w:rsid w:val="000965CD"/>
    <w:rsid w:val="00096861"/>
    <w:rsid w:val="00096AD2"/>
    <w:rsid w:val="00096CEF"/>
    <w:rsid w:val="00097655"/>
    <w:rsid w:val="000A00F5"/>
    <w:rsid w:val="000A046A"/>
    <w:rsid w:val="000A04BC"/>
    <w:rsid w:val="000A0FD6"/>
    <w:rsid w:val="000A1C45"/>
    <w:rsid w:val="000A2AA0"/>
    <w:rsid w:val="000A2FB4"/>
    <w:rsid w:val="000A3187"/>
    <w:rsid w:val="000A3E17"/>
    <w:rsid w:val="000A4F3B"/>
    <w:rsid w:val="000A5169"/>
    <w:rsid w:val="000A5C45"/>
    <w:rsid w:val="000A5E5D"/>
    <w:rsid w:val="000A60A3"/>
    <w:rsid w:val="000A6465"/>
    <w:rsid w:val="000A6CD2"/>
    <w:rsid w:val="000A7625"/>
    <w:rsid w:val="000B010C"/>
    <w:rsid w:val="000B1226"/>
    <w:rsid w:val="000B1865"/>
    <w:rsid w:val="000B2456"/>
    <w:rsid w:val="000B2579"/>
    <w:rsid w:val="000B2980"/>
    <w:rsid w:val="000B2B66"/>
    <w:rsid w:val="000B38C7"/>
    <w:rsid w:val="000B414E"/>
    <w:rsid w:val="000B4180"/>
    <w:rsid w:val="000B48B6"/>
    <w:rsid w:val="000B5531"/>
    <w:rsid w:val="000B5ACF"/>
    <w:rsid w:val="000B5F21"/>
    <w:rsid w:val="000B62C2"/>
    <w:rsid w:val="000B647B"/>
    <w:rsid w:val="000B6631"/>
    <w:rsid w:val="000B7939"/>
    <w:rsid w:val="000B7A97"/>
    <w:rsid w:val="000B7B41"/>
    <w:rsid w:val="000B7D9B"/>
    <w:rsid w:val="000B7FF1"/>
    <w:rsid w:val="000C018F"/>
    <w:rsid w:val="000C0364"/>
    <w:rsid w:val="000C0406"/>
    <w:rsid w:val="000C093A"/>
    <w:rsid w:val="000C1270"/>
    <w:rsid w:val="000C1576"/>
    <w:rsid w:val="000C16C7"/>
    <w:rsid w:val="000C18B9"/>
    <w:rsid w:val="000C1C13"/>
    <w:rsid w:val="000C2478"/>
    <w:rsid w:val="000C2C4E"/>
    <w:rsid w:val="000C301E"/>
    <w:rsid w:val="000C31E4"/>
    <w:rsid w:val="000C3379"/>
    <w:rsid w:val="000C3502"/>
    <w:rsid w:val="000C3585"/>
    <w:rsid w:val="000C4565"/>
    <w:rsid w:val="000C566C"/>
    <w:rsid w:val="000C6144"/>
    <w:rsid w:val="000C6905"/>
    <w:rsid w:val="000C699F"/>
    <w:rsid w:val="000C7705"/>
    <w:rsid w:val="000C7DC0"/>
    <w:rsid w:val="000D0321"/>
    <w:rsid w:val="000D06C8"/>
    <w:rsid w:val="000D093D"/>
    <w:rsid w:val="000D0CE0"/>
    <w:rsid w:val="000D0DAA"/>
    <w:rsid w:val="000D11A7"/>
    <w:rsid w:val="000D1B37"/>
    <w:rsid w:val="000D1C99"/>
    <w:rsid w:val="000D3A93"/>
    <w:rsid w:val="000D4995"/>
    <w:rsid w:val="000D519C"/>
    <w:rsid w:val="000D55BE"/>
    <w:rsid w:val="000D5BC2"/>
    <w:rsid w:val="000D6062"/>
    <w:rsid w:val="000D60A5"/>
    <w:rsid w:val="000D6D5C"/>
    <w:rsid w:val="000D6E30"/>
    <w:rsid w:val="000D6F1A"/>
    <w:rsid w:val="000E00A8"/>
    <w:rsid w:val="000E0204"/>
    <w:rsid w:val="000E1051"/>
    <w:rsid w:val="000E12EE"/>
    <w:rsid w:val="000E157C"/>
    <w:rsid w:val="000E1EA9"/>
    <w:rsid w:val="000E1ECA"/>
    <w:rsid w:val="000E3274"/>
    <w:rsid w:val="000E3298"/>
    <w:rsid w:val="000E3594"/>
    <w:rsid w:val="000E3877"/>
    <w:rsid w:val="000E3A19"/>
    <w:rsid w:val="000E3CB7"/>
    <w:rsid w:val="000E3E4D"/>
    <w:rsid w:val="000E4F78"/>
    <w:rsid w:val="000E5069"/>
    <w:rsid w:val="000E5BD7"/>
    <w:rsid w:val="000E5CD5"/>
    <w:rsid w:val="000E5FAA"/>
    <w:rsid w:val="000E5FB4"/>
    <w:rsid w:val="000E7700"/>
    <w:rsid w:val="000E7AEE"/>
    <w:rsid w:val="000E7D2D"/>
    <w:rsid w:val="000F0191"/>
    <w:rsid w:val="000F0D36"/>
    <w:rsid w:val="000F0F13"/>
    <w:rsid w:val="000F1327"/>
    <w:rsid w:val="000F2296"/>
    <w:rsid w:val="000F38F8"/>
    <w:rsid w:val="000F3C3B"/>
    <w:rsid w:val="000F3D0D"/>
    <w:rsid w:val="000F5E9E"/>
    <w:rsid w:val="000F61C1"/>
    <w:rsid w:val="000F6817"/>
    <w:rsid w:val="000F77E7"/>
    <w:rsid w:val="000F77F5"/>
    <w:rsid w:val="00100145"/>
    <w:rsid w:val="00100632"/>
    <w:rsid w:val="00100D7E"/>
    <w:rsid w:val="001012FC"/>
    <w:rsid w:val="0010195A"/>
    <w:rsid w:val="00102187"/>
    <w:rsid w:val="0010254A"/>
    <w:rsid w:val="00102A52"/>
    <w:rsid w:val="00102C70"/>
    <w:rsid w:val="0010305F"/>
    <w:rsid w:val="0010326D"/>
    <w:rsid w:val="00103CFF"/>
    <w:rsid w:val="00103E2A"/>
    <w:rsid w:val="00103F5F"/>
    <w:rsid w:val="0010558B"/>
    <w:rsid w:val="001058BC"/>
    <w:rsid w:val="00105CF9"/>
    <w:rsid w:val="00105E54"/>
    <w:rsid w:val="00106D8F"/>
    <w:rsid w:val="00107149"/>
    <w:rsid w:val="00107ACD"/>
    <w:rsid w:val="00107DBE"/>
    <w:rsid w:val="0011002D"/>
    <w:rsid w:val="001104D5"/>
    <w:rsid w:val="001112F3"/>
    <w:rsid w:val="0011141A"/>
    <w:rsid w:val="00111A2D"/>
    <w:rsid w:val="00112099"/>
    <w:rsid w:val="00112160"/>
    <w:rsid w:val="00112386"/>
    <w:rsid w:val="0011273F"/>
    <w:rsid w:val="00112B2A"/>
    <w:rsid w:val="00112F5B"/>
    <w:rsid w:val="00113733"/>
    <w:rsid w:val="0011375A"/>
    <w:rsid w:val="00113956"/>
    <w:rsid w:val="0011430E"/>
    <w:rsid w:val="00114B86"/>
    <w:rsid w:val="00114BAC"/>
    <w:rsid w:val="00114C29"/>
    <w:rsid w:val="00115383"/>
    <w:rsid w:val="001158E8"/>
    <w:rsid w:val="0011594D"/>
    <w:rsid w:val="00116607"/>
    <w:rsid w:val="00116744"/>
    <w:rsid w:val="00117097"/>
    <w:rsid w:val="00117824"/>
    <w:rsid w:val="0012019E"/>
    <w:rsid w:val="00120802"/>
    <w:rsid w:val="0012135D"/>
    <w:rsid w:val="001214BE"/>
    <w:rsid w:val="0012211E"/>
    <w:rsid w:val="001227F7"/>
    <w:rsid w:val="001234A8"/>
    <w:rsid w:val="00123502"/>
    <w:rsid w:val="00125B41"/>
    <w:rsid w:val="00125CB3"/>
    <w:rsid w:val="00126A9D"/>
    <w:rsid w:val="00127500"/>
    <w:rsid w:val="00127CFA"/>
    <w:rsid w:val="001302F3"/>
    <w:rsid w:val="00130436"/>
    <w:rsid w:val="00130918"/>
    <w:rsid w:val="00130EFA"/>
    <w:rsid w:val="00131596"/>
    <w:rsid w:val="001315FD"/>
    <w:rsid w:val="00131B68"/>
    <w:rsid w:val="00131C0B"/>
    <w:rsid w:val="00131C76"/>
    <w:rsid w:val="0013205C"/>
    <w:rsid w:val="00132A4F"/>
    <w:rsid w:val="00132ABE"/>
    <w:rsid w:val="00133A8A"/>
    <w:rsid w:val="001340B7"/>
    <w:rsid w:val="00134B6E"/>
    <w:rsid w:val="00134C8D"/>
    <w:rsid w:val="00135DD0"/>
    <w:rsid w:val="00135FC6"/>
    <w:rsid w:val="0013633F"/>
    <w:rsid w:val="00136862"/>
    <w:rsid w:val="00136C57"/>
    <w:rsid w:val="00137163"/>
    <w:rsid w:val="0013721A"/>
    <w:rsid w:val="00137254"/>
    <w:rsid w:val="001373DE"/>
    <w:rsid w:val="0013793C"/>
    <w:rsid w:val="00137BD4"/>
    <w:rsid w:val="001404BC"/>
    <w:rsid w:val="00140802"/>
    <w:rsid w:val="00140E6D"/>
    <w:rsid w:val="00140FCC"/>
    <w:rsid w:val="001418DC"/>
    <w:rsid w:val="001419A5"/>
    <w:rsid w:val="00141B28"/>
    <w:rsid w:val="00142C55"/>
    <w:rsid w:val="001435BC"/>
    <w:rsid w:val="00143961"/>
    <w:rsid w:val="00145252"/>
    <w:rsid w:val="00145C6E"/>
    <w:rsid w:val="00146959"/>
    <w:rsid w:val="00146B51"/>
    <w:rsid w:val="001500A3"/>
    <w:rsid w:val="00150283"/>
    <w:rsid w:val="0015052B"/>
    <w:rsid w:val="00150583"/>
    <w:rsid w:val="00150737"/>
    <w:rsid w:val="00150D45"/>
    <w:rsid w:val="00150E00"/>
    <w:rsid w:val="00150E78"/>
    <w:rsid w:val="00151760"/>
    <w:rsid w:val="001518A6"/>
    <w:rsid w:val="00151C92"/>
    <w:rsid w:val="00151D76"/>
    <w:rsid w:val="00151E1C"/>
    <w:rsid w:val="00152325"/>
    <w:rsid w:val="00152580"/>
    <w:rsid w:val="00152F32"/>
    <w:rsid w:val="001546EE"/>
    <w:rsid w:val="001552FB"/>
    <w:rsid w:val="00155E4D"/>
    <w:rsid w:val="001563CA"/>
    <w:rsid w:val="00156A8D"/>
    <w:rsid w:val="00157CF4"/>
    <w:rsid w:val="00157D40"/>
    <w:rsid w:val="00160B58"/>
    <w:rsid w:val="001614DE"/>
    <w:rsid w:val="001615FE"/>
    <w:rsid w:val="001620C7"/>
    <w:rsid w:val="00162359"/>
    <w:rsid w:val="00163267"/>
    <w:rsid w:val="001632FA"/>
    <w:rsid w:val="001634AE"/>
    <w:rsid w:val="001635EC"/>
    <w:rsid w:val="001639BC"/>
    <w:rsid w:val="00163AF5"/>
    <w:rsid w:val="00164A32"/>
    <w:rsid w:val="00164AEE"/>
    <w:rsid w:val="0016522F"/>
    <w:rsid w:val="00165908"/>
    <w:rsid w:val="001659D3"/>
    <w:rsid w:val="00165B0F"/>
    <w:rsid w:val="00165FF2"/>
    <w:rsid w:val="00166155"/>
    <w:rsid w:val="0016644F"/>
    <w:rsid w:val="00166459"/>
    <w:rsid w:val="001666A4"/>
    <w:rsid w:val="00166DF1"/>
    <w:rsid w:val="001670FE"/>
    <w:rsid w:val="001671D1"/>
    <w:rsid w:val="00170B3B"/>
    <w:rsid w:val="00170C93"/>
    <w:rsid w:val="00170E6F"/>
    <w:rsid w:val="00171E9E"/>
    <w:rsid w:val="0017230F"/>
    <w:rsid w:val="00172886"/>
    <w:rsid w:val="00172DD5"/>
    <w:rsid w:val="00172FB9"/>
    <w:rsid w:val="001730B1"/>
    <w:rsid w:val="0017330B"/>
    <w:rsid w:val="00173523"/>
    <w:rsid w:val="00173EF6"/>
    <w:rsid w:val="0017420B"/>
    <w:rsid w:val="0017446B"/>
    <w:rsid w:val="00174579"/>
    <w:rsid w:val="00174DC5"/>
    <w:rsid w:val="001757E9"/>
    <w:rsid w:val="00175FAB"/>
    <w:rsid w:val="001767EA"/>
    <w:rsid w:val="00176A0F"/>
    <w:rsid w:val="00176EAE"/>
    <w:rsid w:val="00177137"/>
    <w:rsid w:val="0017717B"/>
    <w:rsid w:val="00177C81"/>
    <w:rsid w:val="00177EC5"/>
    <w:rsid w:val="00177FE6"/>
    <w:rsid w:val="00180BEC"/>
    <w:rsid w:val="00180F65"/>
    <w:rsid w:val="00181258"/>
    <w:rsid w:val="00181CCB"/>
    <w:rsid w:val="00182805"/>
    <w:rsid w:val="00182C8C"/>
    <w:rsid w:val="00183BC4"/>
    <w:rsid w:val="00183BCC"/>
    <w:rsid w:val="00184BEB"/>
    <w:rsid w:val="00184D91"/>
    <w:rsid w:val="00185033"/>
    <w:rsid w:val="00185173"/>
    <w:rsid w:val="00186411"/>
    <w:rsid w:val="00186C3F"/>
    <w:rsid w:val="001875C3"/>
    <w:rsid w:val="00187DCA"/>
    <w:rsid w:val="001902E5"/>
    <w:rsid w:val="0019071A"/>
    <w:rsid w:val="001907E1"/>
    <w:rsid w:val="001910FC"/>
    <w:rsid w:val="0019110D"/>
    <w:rsid w:val="001917AC"/>
    <w:rsid w:val="00191864"/>
    <w:rsid w:val="00192720"/>
    <w:rsid w:val="00192B99"/>
    <w:rsid w:val="00193724"/>
    <w:rsid w:val="00193C73"/>
    <w:rsid w:val="0019442F"/>
    <w:rsid w:val="00194DB9"/>
    <w:rsid w:val="001952C0"/>
    <w:rsid w:val="00195E14"/>
    <w:rsid w:val="00195EC8"/>
    <w:rsid w:val="0019621C"/>
    <w:rsid w:val="00196416"/>
    <w:rsid w:val="00196BC2"/>
    <w:rsid w:val="00196CD1"/>
    <w:rsid w:val="00197043"/>
    <w:rsid w:val="00197505"/>
    <w:rsid w:val="001978D4"/>
    <w:rsid w:val="00197B0B"/>
    <w:rsid w:val="001A0202"/>
    <w:rsid w:val="001A0C8D"/>
    <w:rsid w:val="001A162C"/>
    <w:rsid w:val="001A16C1"/>
    <w:rsid w:val="001A1766"/>
    <w:rsid w:val="001A1F39"/>
    <w:rsid w:val="001A223B"/>
    <w:rsid w:val="001A2572"/>
    <w:rsid w:val="001A3AEF"/>
    <w:rsid w:val="001A3FAA"/>
    <w:rsid w:val="001A493C"/>
    <w:rsid w:val="001A50C7"/>
    <w:rsid w:val="001A55F6"/>
    <w:rsid w:val="001A639D"/>
    <w:rsid w:val="001A6669"/>
    <w:rsid w:val="001A69BB"/>
    <w:rsid w:val="001A7007"/>
    <w:rsid w:val="001A750D"/>
    <w:rsid w:val="001A7557"/>
    <w:rsid w:val="001A7949"/>
    <w:rsid w:val="001A7A26"/>
    <w:rsid w:val="001B02A1"/>
    <w:rsid w:val="001B0531"/>
    <w:rsid w:val="001B07BA"/>
    <w:rsid w:val="001B0E49"/>
    <w:rsid w:val="001B0E82"/>
    <w:rsid w:val="001B2000"/>
    <w:rsid w:val="001B2025"/>
    <w:rsid w:val="001B22C7"/>
    <w:rsid w:val="001B276A"/>
    <w:rsid w:val="001B29D5"/>
    <w:rsid w:val="001B321D"/>
    <w:rsid w:val="001B3A22"/>
    <w:rsid w:val="001B41B3"/>
    <w:rsid w:val="001B4326"/>
    <w:rsid w:val="001B4367"/>
    <w:rsid w:val="001B4823"/>
    <w:rsid w:val="001B49CB"/>
    <w:rsid w:val="001B536B"/>
    <w:rsid w:val="001B59AE"/>
    <w:rsid w:val="001B674A"/>
    <w:rsid w:val="001B6E60"/>
    <w:rsid w:val="001B6E90"/>
    <w:rsid w:val="001B718C"/>
    <w:rsid w:val="001B7C3C"/>
    <w:rsid w:val="001B7E82"/>
    <w:rsid w:val="001B7FBB"/>
    <w:rsid w:val="001C0C11"/>
    <w:rsid w:val="001C150B"/>
    <w:rsid w:val="001C23AC"/>
    <w:rsid w:val="001C261A"/>
    <w:rsid w:val="001C2BB8"/>
    <w:rsid w:val="001C2C88"/>
    <w:rsid w:val="001C3764"/>
    <w:rsid w:val="001C3D12"/>
    <w:rsid w:val="001C4F29"/>
    <w:rsid w:val="001C50CF"/>
    <w:rsid w:val="001C5609"/>
    <w:rsid w:val="001C5817"/>
    <w:rsid w:val="001C5851"/>
    <w:rsid w:val="001C701F"/>
    <w:rsid w:val="001C72C5"/>
    <w:rsid w:val="001C743F"/>
    <w:rsid w:val="001C745C"/>
    <w:rsid w:val="001C750F"/>
    <w:rsid w:val="001C77CF"/>
    <w:rsid w:val="001C77EE"/>
    <w:rsid w:val="001C7893"/>
    <w:rsid w:val="001C78AD"/>
    <w:rsid w:val="001C79B7"/>
    <w:rsid w:val="001D027B"/>
    <w:rsid w:val="001D0660"/>
    <w:rsid w:val="001D1074"/>
    <w:rsid w:val="001D17FB"/>
    <w:rsid w:val="001D1A40"/>
    <w:rsid w:val="001D1BD9"/>
    <w:rsid w:val="001D2AE1"/>
    <w:rsid w:val="001D3726"/>
    <w:rsid w:val="001D4107"/>
    <w:rsid w:val="001D4CDA"/>
    <w:rsid w:val="001D53BE"/>
    <w:rsid w:val="001D5C2F"/>
    <w:rsid w:val="001D5EEB"/>
    <w:rsid w:val="001D6108"/>
    <w:rsid w:val="001D6933"/>
    <w:rsid w:val="001D6F26"/>
    <w:rsid w:val="001D6FBD"/>
    <w:rsid w:val="001D7145"/>
    <w:rsid w:val="001D7916"/>
    <w:rsid w:val="001E001B"/>
    <w:rsid w:val="001E0319"/>
    <w:rsid w:val="001E07BC"/>
    <w:rsid w:val="001E0862"/>
    <w:rsid w:val="001E12B7"/>
    <w:rsid w:val="001E148F"/>
    <w:rsid w:val="001E14C3"/>
    <w:rsid w:val="001E1882"/>
    <w:rsid w:val="001E1A98"/>
    <w:rsid w:val="001E23BF"/>
    <w:rsid w:val="001E275B"/>
    <w:rsid w:val="001E2DE6"/>
    <w:rsid w:val="001E3609"/>
    <w:rsid w:val="001E3693"/>
    <w:rsid w:val="001E3A6C"/>
    <w:rsid w:val="001E53BE"/>
    <w:rsid w:val="001E5B2B"/>
    <w:rsid w:val="001E696A"/>
    <w:rsid w:val="001E6D2F"/>
    <w:rsid w:val="001E74BB"/>
    <w:rsid w:val="001E781B"/>
    <w:rsid w:val="001E7AD7"/>
    <w:rsid w:val="001E7AE6"/>
    <w:rsid w:val="001E7E7A"/>
    <w:rsid w:val="001F1412"/>
    <w:rsid w:val="001F1440"/>
    <w:rsid w:val="001F1853"/>
    <w:rsid w:val="001F1B67"/>
    <w:rsid w:val="001F2716"/>
    <w:rsid w:val="001F2976"/>
    <w:rsid w:val="001F3A64"/>
    <w:rsid w:val="001F3AD9"/>
    <w:rsid w:val="001F3DAC"/>
    <w:rsid w:val="001F3E76"/>
    <w:rsid w:val="001F46E0"/>
    <w:rsid w:val="001F4931"/>
    <w:rsid w:val="001F5596"/>
    <w:rsid w:val="001F5981"/>
    <w:rsid w:val="001F5AA1"/>
    <w:rsid w:val="001F5C11"/>
    <w:rsid w:val="001F641A"/>
    <w:rsid w:val="001F65D9"/>
    <w:rsid w:val="001F662E"/>
    <w:rsid w:val="001F664B"/>
    <w:rsid w:val="001F732F"/>
    <w:rsid w:val="001F7340"/>
    <w:rsid w:val="001F7F8D"/>
    <w:rsid w:val="00200316"/>
    <w:rsid w:val="0020050E"/>
    <w:rsid w:val="00200B3A"/>
    <w:rsid w:val="0020195A"/>
    <w:rsid w:val="00201D5E"/>
    <w:rsid w:val="00202768"/>
    <w:rsid w:val="00202C8B"/>
    <w:rsid w:val="00202ED7"/>
    <w:rsid w:val="002032BD"/>
    <w:rsid w:val="00203753"/>
    <w:rsid w:val="002039AE"/>
    <w:rsid w:val="00203EF9"/>
    <w:rsid w:val="00204664"/>
    <w:rsid w:val="0020466C"/>
    <w:rsid w:val="00206225"/>
    <w:rsid w:val="00206396"/>
    <w:rsid w:val="002077AB"/>
    <w:rsid w:val="0020795D"/>
    <w:rsid w:val="00207C8F"/>
    <w:rsid w:val="0021056F"/>
    <w:rsid w:val="0021125C"/>
    <w:rsid w:val="002114BA"/>
    <w:rsid w:val="00211C13"/>
    <w:rsid w:val="00212626"/>
    <w:rsid w:val="00212D38"/>
    <w:rsid w:val="002138FE"/>
    <w:rsid w:val="0021399E"/>
    <w:rsid w:val="0021404A"/>
    <w:rsid w:val="00214CC2"/>
    <w:rsid w:val="00215408"/>
    <w:rsid w:val="002155F1"/>
    <w:rsid w:val="00215F2B"/>
    <w:rsid w:val="00216AEA"/>
    <w:rsid w:val="0021774E"/>
    <w:rsid w:val="00217A72"/>
    <w:rsid w:val="00217AE5"/>
    <w:rsid w:val="00217CA7"/>
    <w:rsid w:val="00220E32"/>
    <w:rsid w:val="00221495"/>
    <w:rsid w:val="00221888"/>
    <w:rsid w:val="00222708"/>
    <w:rsid w:val="0022560E"/>
    <w:rsid w:val="00225B4E"/>
    <w:rsid w:val="002261F8"/>
    <w:rsid w:val="00226478"/>
    <w:rsid w:val="00226680"/>
    <w:rsid w:val="0022785B"/>
    <w:rsid w:val="002278CE"/>
    <w:rsid w:val="00227CED"/>
    <w:rsid w:val="00230448"/>
    <w:rsid w:val="00230CF5"/>
    <w:rsid w:val="0023141E"/>
    <w:rsid w:val="00231667"/>
    <w:rsid w:val="002322AC"/>
    <w:rsid w:val="002325AE"/>
    <w:rsid w:val="002326F2"/>
    <w:rsid w:val="0023295A"/>
    <w:rsid w:val="00232CC9"/>
    <w:rsid w:val="00232EBF"/>
    <w:rsid w:val="00233BE7"/>
    <w:rsid w:val="00234641"/>
    <w:rsid w:val="002350F8"/>
    <w:rsid w:val="002359C3"/>
    <w:rsid w:val="00235F89"/>
    <w:rsid w:val="00236BD8"/>
    <w:rsid w:val="00236F91"/>
    <w:rsid w:val="0024074A"/>
    <w:rsid w:val="0024096E"/>
    <w:rsid w:val="00240AB0"/>
    <w:rsid w:val="00241033"/>
    <w:rsid w:val="00241A5C"/>
    <w:rsid w:val="00241B87"/>
    <w:rsid w:val="0024232F"/>
    <w:rsid w:val="00242A3D"/>
    <w:rsid w:val="00242C00"/>
    <w:rsid w:val="00242CD7"/>
    <w:rsid w:val="00243041"/>
    <w:rsid w:val="00243321"/>
    <w:rsid w:val="00243541"/>
    <w:rsid w:val="002438F1"/>
    <w:rsid w:val="00243931"/>
    <w:rsid w:val="002439A1"/>
    <w:rsid w:val="00243F0E"/>
    <w:rsid w:val="00243FF7"/>
    <w:rsid w:val="002441BE"/>
    <w:rsid w:val="0024532F"/>
    <w:rsid w:val="0024557C"/>
    <w:rsid w:val="002456C7"/>
    <w:rsid w:val="00245F84"/>
    <w:rsid w:val="00246B1C"/>
    <w:rsid w:val="002472AA"/>
    <w:rsid w:val="002473EC"/>
    <w:rsid w:val="002479E7"/>
    <w:rsid w:val="00247D80"/>
    <w:rsid w:val="00250102"/>
    <w:rsid w:val="00251040"/>
    <w:rsid w:val="002517A2"/>
    <w:rsid w:val="00251E7B"/>
    <w:rsid w:val="002528CC"/>
    <w:rsid w:val="00252F05"/>
    <w:rsid w:val="002540AA"/>
    <w:rsid w:val="002540FA"/>
    <w:rsid w:val="002544BE"/>
    <w:rsid w:val="0025461F"/>
    <w:rsid w:val="002549A9"/>
    <w:rsid w:val="00255A2B"/>
    <w:rsid w:val="002561FE"/>
    <w:rsid w:val="0025620E"/>
    <w:rsid w:val="002567CD"/>
    <w:rsid w:val="002567EF"/>
    <w:rsid w:val="00260359"/>
    <w:rsid w:val="00260361"/>
    <w:rsid w:val="00260586"/>
    <w:rsid w:val="0026067E"/>
    <w:rsid w:val="00261358"/>
    <w:rsid w:val="00261387"/>
    <w:rsid w:val="00261D25"/>
    <w:rsid w:val="00262C08"/>
    <w:rsid w:val="0026326B"/>
    <w:rsid w:val="002644C8"/>
    <w:rsid w:val="00264601"/>
    <w:rsid w:val="0026476F"/>
    <w:rsid w:val="002647A2"/>
    <w:rsid w:val="00264D86"/>
    <w:rsid w:val="0026510C"/>
    <w:rsid w:val="00265323"/>
    <w:rsid w:val="00265494"/>
    <w:rsid w:val="00265F65"/>
    <w:rsid w:val="00266A44"/>
    <w:rsid w:val="00266D2B"/>
    <w:rsid w:val="002675D9"/>
    <w:rsid w:val="0027022E"/>
    <w:rsid w:val="002704FB"/>
    <w:rsid w:val="00272F0B"/>
    <w:rsid w:val="00273044"/>
    <w:rsid w:val="00273278"/>
    <w:rsid w:val="002735AA"/>
    <w:rsid w:val="00273BF0"/>
    <w:rsid w:val="00273F3C"/>
    <w:rsid w:val="002748B6"/>
    <w:rsid w:val="00275551"/>
    <w:rsid w:val="00275602"/>
    <w:rsid w:val="00275CD6"/>
    <w:rsid w:val="00275DBE"/>
    <w:rsid w:val="00275EA2"/>
    <w:rsid w:val="00276424"/>
    <w:rsid w:val="0027652D"/>
    <w:rsid w:val="00276589"/>
    <w:rsid w:val="00276828"/>
    <w:rsid w:val="00276F15"/>
    <w:rsid w:val="00277E96"/>
    <w:rsid w:val="00277F33"/>
    <w:rsid w:val="00280012"/>
    <w:rsid w:val="00280A83"/>
    <w:rsid w:val="00280EB0"/>
    <w:rsid w:val="00280FD4"/>
    <w:rsid w:val="00281382"/>
    <w:rsid w:val="002814A0"/>
    <w:rsid w:val="00281DD3"/>
    <w:rsid w:val="00281F76"/>
    <w:rsid w:val="00282775"/>
    <w:rsid w:val="00282B2A"/>
    <w:rsid w:val="00283084"/>
    <w:rsid w:val="002838D5"/>
    <w:rsid w:val="0028443A"/>
    <w:rsid w:val="002846FC"/>
    <w:rsid w:val="00284870"/>
    <w:rsid w:val="00284C41"/>
    <w:rsid w:val="00284C49"/>
    <w:rsid w:val="00284D2F"/>
    <w:rsid w:val="00285210"/>
    <w:rsid w:val="00285367"/>
    <w:rsid w:val="0028551E"/>
    <w:rsid w:val="0028552C"/>
    <w:rsid w:val="002858A4"/>
    <w:rsid w:val="00285B1F"/>
    <w:rsid w:val="00285C28"/>
    <w:rsid w:val="00285FD5"/>
    <w:rsid w:val="00286F7B"/>
    <w:rsid w:val="002903F9"/>
    <w:rsid w:val="00291373"/>
    <w:rsid w:val="002914AC"/>
    <w:rsid w:val="002914B9"/>
    <w:rsid w:val="002918D2"/>
    <w:rsid w:val="00291B3C"/>
    <w:rsid w:val="00291DB8"/>
    <w:rsid w:val="002920EB"/>
    <w:rsid w:val="002922EE"/>
    <w:rsid w:val="0029241D"/>
    <w:rsid w:val="002937B6"/>
    <w:rsid w:val="0029395E"/>
    <w:rsid w:val="00293D04"/>
    <w:rsid w:val="00293F3A"/>
    <w:rsid w:val="00293F6E"/>
    <w:rsid w:val="002941BC"/>
    <w:rsid w:val="0029420C"/>
    <w:rsid w:val="00294CF1"/>
    <w:rsid w:val="00294D40"/>
    <w:rsid w:val="00294D8B"/>
    <w:rsid w:val="00295953"/>
    <w:rsid w:val="00295A96"/>
    <w:rsid w:val="00295DBE"/>
    <w:rsid w:val="00296C8E"/>
    <w:rsid w:val="00296F26"/>
    <w:rsid w:val="002A0408"/>
    <w:rsid w:val="002A0425"/>
    <w:rsid w:val="002A0A25"/>
    <w:rsid w:val="002A0B6A"/>
    <w:rsid w:val="002A1103"/>
    <w:rsid w:val="002A115D"/>
    <w:rsid w:val="002A19C5"/>
    <w:rsid w:val="002A1F35"/>
    <w:rsid w:val="002A2251"/>
    <w:rsid w:val="002A25A4"/>
    <w:rsid w:val="002A2BE8"/>
    <w:rsid w:val="002A33B3"/>
    <w:rsid w:val="002A4149"/>
    <w:rsid w:val="002A432D"/>
    <w:rsid w:val="002A49D8"/>
    <w:rsid w:val="002A5A84"/>
    <w:rsid w:val="002A6046"/>
    <w:rsid w:val="002A610A"/>
    <w:rsid w:val="002A685E"/>
    <w:rsid w:val="002A6A6B"/>
    <w:rsid w:val="002A6CE9"/>
    <w:rsid w:val="002A725F"/>
    <w:rsid w:val="002B00FA"/>
    <w:rsid w:val="002B04A2"/>
    <w:rsid w:val="002B04BF"/>
    <w:rsid w:val="002B055D"/>
    <w:rsid w:val="002B08D1"/>
    <w:rsid w:val="002B0D00"/>
    <w:rsid w:val="002B0E55"/>
    <w:rsid w:val="002B10E6"/>
    <w:rsid w:val="002B14B7"/>
    <w:rsid w:val="002B1778"/>
    <w:rsid w:val="002B18C0"/>
    <w:rsid w:val="002B1ACF"/>
    <w:rsid w:val="002B1B61"/>
    <w:rsid w:val="002B2940"/>
    <w:rsid w:val="002B2C26"/>
    <w:rsid w:val="002B300C"/>
    <w:rsid w:val="002B45EE"/>
    <w:rsid w:val="002B4887"/>
    <w:rsid w:val="002B4889"/>
    <w:rsid w:val="002B4E25"/>
    <w:rsid w:val="002B4E94"/>
    <w:rsid w:val="002B52D5"/>
    <w:rsid w:val="002B583A"/>
    <w:rsid w:val="002B587F"/>
    <w:rsid w:val="002B594C"/>
    <w:rsid w:val="002B5ADA"/>
    <w:rsid w:val="002B619A"/>
    <w:rsid w:val="002B6695"/>
    <w:rsid w:val="002B6864"/>
    <w:rsid w:val="002B6C1E"/>
    <w:rsid w:val="002B75F1"/>
    <w:rsid w:val="002C050A"/>
    <w:rsid w:val="002C0666"/>
    <w:rsid w:val="002C1042"/>
    <w:rsid w:val="002C13B0"/>
    <w:rsid w:val="002C1AA2"/>
    <w:rsid w:val="002C1D85"/>
    <w:rsid w:val="002C2D35"/>
    <w:rsid w:val="002C311E"/>
    <w:rsid w:val="002C3FD0"/>
    <w:rsid w:val="002C58FC"/>
    <w:rsid w:val="002C6330"/>
    <w:rsid w:val="002C6E6B"/>
    <w:rsid w:val="002C70DC"/>
    <w:rsid w:val="002C7150"/>
    <w:rsid w:val="002C7464"/>
    <w:rsid w:val="002C7528"/>
    <w:rsid w:val="002C79DC"/>
    <w:rsid w:val="002D025E"/>
    <w:rsid w:val="002D03D5"/>
    <w:rsid w:val="002D0417"/>
    <w:rsid w:val="002D0694"/>
    <w:rsid w:val="002D06DE"/>
    <w:rsid w:val="002D0BB6"/>
    <w:rsid w:val="002D0E66"/>
    <w:rsid w:val="002D0E6F"/>
    <w:rsid w:val="002D140F"/>
    <w:rsid w:val="002D21F9"/>
    <w:rsid w:val="002D294C"/>
    <w:rsid w:val="002D2C44"/>
    <w:rsid w:val="002D2DF2"/>
    <w:rsid w:val="002D2E7E"/>
    <w:rsid w:val="002D2EC2"/>
    <w:rsid w:val="002D308D"/>
    <w:rsid w:val="002D3977"/>
    <w:rsid w:val="002D492C"/>
    <w:rsid w:val="002D4EE5"/>
    <w:rsid w:val="002D4F40"/>
    <w:rsid w:val="002D51D8"/>
    <w:rsid w:val="002D5EBE"/>
    <w:rsid w:val="002D5F8F"/>
    <w:rsid w:val="002D62EC"/>
    <w:rsid w:val="002D6CAE"/>
    <w:rsid w:val="002D6EFB"/>
    <w:rsid w:val="002D7409"/>
    <w:rsid w:val="002D752F"/>
    <w:rsid w:val="002D7D56"/>
    <w:rsid w:val="002E0047"/>
    <w:rsid w:val="002E058E"/>
    <w:rsid w:val="002E0DA4"/>
    <w:rsid w:val="002E120D"/>
    <w:rsid w:val="002E161B"/>
    <w:rsid w:val="002E1ACC"/>
    <w:rsid w:val="002E1BB9"/>
    <w:rsid w:val="002E28E7"/>
    <w:rsid w:val="002E30DE"/>
    <w:rsid w:val="002E3871"/>
    <w:rsid w:val="002E54DC"/>
    <w:rsid w:val="002E5B93"/>
    <w:rsid w:val="002E5BE6"/>
    <w:rsid w:val="002E626C"/>
    <w:rsid w:val="002E6298"/>
    <w:rsid w:val="002E6457"/>
    <w:rsid w:val="002E7BC4"/>
    <w:rsid w:val="002F0582"/>
    <w:rsid w:val="002F094F"/>
    <w:rsid w:val="002F103F"/>
    <w:rsid w:val="002F106F"/>
    <w:rsid w:val="002F13FB"/>
    <w:rsid w:val="002F148C"/>
    <w:rsid w:val="002F2007"/>
    <w:rsid w:val="002F2D4F"/>
    <w:rsid w:val="002F334E"/>
    <w:rsid w:val="002F338D"/>
    <w:rsid w:val="002F3892"/>
    <w:rsid w:val="002F4A6E"/>
    <w:rsid w:val="002F4F02"/>
    <w:rsid w:val="002F558C"/>
    <w:rsid w:val="002F579C"/>
    <w:rsid w:val="002F5A67"/>
    <w:rsid w:val="002F62AC"/>
    <w:rsid w:val="002F6949"/>
    <w:rsid w:val="002F6F79"/>
    <w:rsid w:val="002F7096"/>
    <w:rsid w:val="002F7800"/>
    <w:rsid w:val="002F7D3C"/>
    <w:rsid w:val="002F7EAD"/>
    <w:rsid w:val="003002E1"/>
    <w:rsid w:val="00300361"/>
    <w:rsid w:val="003010D5"/>
    <w:rsid w:val="003012D1"/>
    <w:rsid w:val="00301A92"/>
    <w:rsid w:val="00301EF9"/>
    <w:rsid w:val="00301F57"/>
    <w:rsid w:val="0030227A"/>
    <w:rsid w:val="00302447"/>
    <w:rsid w:val="0030260D"/>
    <w:rsid w:val="00302A8E"/>
    <w:rsid w:val="0030326B"/>
    <w:rsid w:val="00303390"/>
    <w:rsid w:val="00304E68"/>
    <w:rsid w:val="003056FA"/>
    <w:rsid w:val="0030577F"/>
    <w:rsid w:val="003061C1"/>
    <w:rsid w:val="003067E7"/>
    <w:rsid w:val="003069B8"/>
    <w:rsid w:val="00306B9D"/>
    <w:rsid w:val="003071E5"/>
    <w:rsid w:val="003071FC"/>
    <w:rsid w:val="00307877"/>
    <w:rsid w:val="00307E0A"/>
    <w:rsid w:val="00310AB1"/>
    <w:rsid w:val="00312ABC"/>
    <w:rsid w:val="00313827"/>
    <w:rsid w:val="0031417D"/>
    <w:rsid w:val="003146F7"/>
    <w:rsid w:val="00314A6A"/>
    <w:rsid w:val="00315648"/>
    <w:rsid w:val="00315F77"/>
    <w:rsid w:val="00317092"/>
    <w:rsid w:val="003173BE"/>
    <w:rsid w:val="003174FF"/>
    <w:rsid w:val="00317A07"/>
    <w:rsid w:val="00317C29"/>
    <w:rsid w:val="00317EE0"/>
    <w:rsid w:val="00317FCA"/>
    <w:rsid w:val="0032058C"/>
    <w:rsid w:val="00320669"/>
    <w:rsid w:val="00321001"/>
    <w:rsid w:val="00321313"/>
    <w:rsid w:val="003213A1"/>
    <w:rsid w:val="00321555"/>
    <w:rsid w:val="00322111"/>
    <w:rsid w:val="003223DB"/>
    <w:rsid w:val="00322E7E"/>
    <w:rsid w:val="0032395A"/>
    <w:rsid w:val="00323F4D"/>
    <w:rsid w:val="00323F97"/>
    <w:rsid w:val="003244B1"/>
    <w:rsid w:val="003245FB"/>
    <w:rsid w:val="003248ED"/>
    <w:rsid w:val="003254B9"/>
    <w:rsid w:val="00325EB2"/>
    <w:rsid w:val="003276EA"/>
    <w:rsid w:val="0033068B"/>
    <w:rsid w:val="003311BA"/>
    <w:rsid w:val="0033227C"/>
    <w:rsid w:val="003324E1"/>
    <w:rsid w:val="003328AE"/>
    <w:rsid w:val="0033291B"/>
    <w:rsid w:val="0033292A"/>
    <w:rsid w:val="00332D9F"/>
    <w:rsid w:val="003347F7"/>
    <w:rsid w:val="00334DB9"/>
    <w:rsid w:val="003355D8"/>
    <w:rsid w:val="00335C04"/>
    <w:rsid w:val="003360B0"/>
    <w:rsid w:val="003367E2"/>
    <w:rsid w:val="003377CD"/>
    <w:rsid w:val="0034001F"/>
    <w:rsid w:val="00340505"/>
    <w:rsid w:val="00340EE8"/>
    <w:rsid w:val="00341769"/>
    <w:rsid w:val="00343499"/>
    <w:rsid w:val="0034382F"/>
    <w:rsid w:val="00343A60"/>
    <w:rsid w:val="00343BE3"/>
    <w:rsid w:val="00343DE8"/>
    <w:rsid w:val="00344FAF"/>
    <w:rsid w:val="00345AB4"/>
    <w:rsid w:val="00345B3B"/>
    <w:rsid w:val="00346989"/>
    <w:rsid w:val="00346C0D"/>
    <w:rsid w:val="0034705C"/>
    <w:rsid w:val="00347266"/>
    <w:rsid w:val="00347F84"/>
    <w:rsid w:val="003505ED"/>
    <w:rsid w:val="00350CB8"/>
    <w:rsid w:val="00350E34"/>
    <w:rsid w:val="00351383"/>
    <w:rsid w:val="0035184A"/>
    <w:rsid w:val="003526FB"/>
    <w:rsid w:val="003529F2"/>
    <w:rsid w:val="00352F87"/>
    <w:rsid w:val="0035352F"/>
    <w:rsid w:val="00354041"/>
    <w:rsid w:val="00354144"/>
    <w:rsid w:val="00354A81"/>
    <w:rsid w:val="00354DE4"/>
    <w:rsid w:val="00354F5A"/>
    <w:rsid w:val="0035535E"/>
    <w:rsid w:val="00355773"/>
    <w:rsid w:val="003564D1"/>
    <w:rsid w:val="0035664E"/>
    <w:rsid w:val="00356693"/>
    <w:rsid w:val="00356F60"/>
    <w:rsid w:val="0035719F"/>
    <w:rsid w:val="00357667"/>
    <w:rsid w:val="00357C89"/>
    <w:rsid w:val="00357E73"/>
    <w:rsid w:val="00360227"/>
    <w:rsid w:val="00360AC2"/>
    <w:rsid w:val="00361DE7"/>
    <w:rsid w:val="003621AD"/>
    <w:rsid w:val="0036262E"/>
    <w:rsid w:val="00362C30"/>
    <w:rsid w:val="00362EDB"/>
    <w:rsid w:val="0036300A"/>
    <w:rsid w:val="00363545"/>
    <w:rsid w:val="00363C48"/>
    <w:rsid w:val="0036421E"/>
    <w:rsid w:val="00364955"/>
    <w:rsid w:val="003653BF"/>
    <w:rsid w:val="00365CE6"/>
    <w:rsid w:val="00365F4C"/>
    <w:rsid w:val="00366433"/>
    <w:rsid w:val="0036670C"/>
    <w:rsid w:val="00366C27"/>
    <w:rsid w:val="00366FEC"/>
    <w:rsid w:val="0036777B"/>
    <w:rsid w:val="0036791C"/>
    <w:rsid w:val="00367CFF"/>
    <w:rsid w:val="00367DA8"/>
    <w:rsid w:val="00367EBB"/>
    <w:rsid w:val="00370510"/>
    <w:rsid w:val="00370FC8"/>
    <w:rsid w:val="00371701"/>
    <w:rsid w:val="003721E4"/>
    <w:rsid w:val="003722AD"/>
    <w:rsid w:val="00373063"/>
    <w:rsid w:val="00373290"/>
    <w:rsid w:val="003736CA"/>
    <w:rsid w:val="003738CD"/>
    <w:rsid w:val="00373911"/>
    <w:rsid w:val="00373FCA"/>
    <w:rsid w:val="00374260"/>
    <w:rsid w:val="00374671"/>
    <w:rsid w:val="00374A67"/>
    <w:rsid w:val="00374ABB"/>
    <w:rsid w:val="00374F7D"/>
    <w:rsid w:val="003753EF"/>
    <w:rsid w:val="00375F18"/>
    <w:rsid w:val="003766BD"/>
    <w:rsid w:val="0037780B"/>
    <w:rsid w:val="0037785F"/>
    <w:rsid w:val="00377D54"/>
    <w:rsid w:val="00380537"/>
    <w:rsid w:val="00380B28"/>
    <w:rsid w:val="00380F35"/>
    <w:rsid w:val="00380F81"/>
    <w:rsid w:val="003817C0"/>
    <w:rsid w:val="0038253C"/>
    <w:rsid w:val="00382976"/>
    <w:rsid w:val="00383485"/>
    <w:rsid w:val="00383551"/>
    <w:rsid w:val="00383B7B"/>
    <w:rsid w:val="00383E61"/>
    <w:rsid w:val="00384272"/>
    <w:rsid w:val="00384337"/>
    <w:rsid w:val="00384D75"/>
    <w:rsid w:val="00385142"/>
    <w:rsid w:val="00385542"/>
    <w:rsid w:val="0038567A"/>
    <w:rsid w:val="00385913"/>
    <w:rsid w:val="003859FB"/>
    <w:rsid w:val="003860B0"/>
    <w:rsid w:val="0038691F"/>
    <w:rsid w:val="00387233"/>
    <w:rsid w:val="00390924"/>
    <w:rsid w:val="0039172E"/>
    <w:rsid w:val="003917DE"/>
    <w:rsid w:val="00391DB7"/>
    <w:rsid w:val="00392B00"/>
    <w:rsid w:val="00392B47"/>
    <w:rsid w:val="00393FFE"/>
    <w:rsid w:val="003941C9"/>
    <w:rsid w:val="003944C7"/>
    <w:rsid w:val="0039477B"/>
    <w:rsid w:val="003953A6"/>
    <w:rsid w:val="00395754"/>
    <w:rsid w:val="003958A7"/>
    <w:rsid w:val="003965CC"/>
    <w:rsid w:val="003969BA"/>
    <w:rsid w:val="00396D1A"/>
    <w:rsid w:val="003973EA"/>
    <w:rsid w:val="00397909"/>
    <w:rsid w:val="00397949"/>
    <w:rsid w:val="003A0A89"/>
    <w:rsid w:val="003A12FD"/>
    <w:rsid w:val="003A14D6"/>
    <w:rsid w:val="003A27B2"/>
    <w:rsid w:val="003A2831"/>
    <w:rsid w:val="003A2EF8"/>
    <w:rsid w:val="003A30E9"/>
    <w:rsid w:val="003A326F"/>
    <w:rsid w:val="003A3EA1"/>
    <w:rsid w:val="003A42A7"/>
    <w:rsid w:val="003A45DC"/>
    <w:rsid w:val="003A4B51"/>
    <w:rsid w:val="003A5A3F"/>
    <w:rsid w:val="003A5C0B"/>
    <w:rsid w:val="003A7263"/>
    <w:rsid w:val="003B0477"/>
    <w:rsid w:val="003B1FA4"/>
    <w:rsid w:val="003B22E9"/>
    <w:rsid w:val="003B2996"/>
    <w:rsid w:val="003B29BB"/>
    <w:rsid w:val="003B3311"/>
    <w:rsid w:val="003B3482"/>
    <w:rsid w:val="003B3819"/>
    <w:rsid w:val="003B3A2A"/>
    <w:rsid w:val="003B3DF5"/>
    <w:rsid w:val="003B4796"/>
    <w:rsid w:val="003B4932"/>
    <w:rsid w:val="003B4D71"/>
    <w:rsid w:val="003B4F2D"/>
    <w:rsid w:val="003B5022"/>
    <w:rsid w:val="003B52C9"/>
    <w:rsid w:val="003B5CE1"/>
    <w:rsid w:val="003B620F"/>
    <w:rsid w:val="003B672A"/>
    <w:rsid w:val="003B714B"/>
    <w:rsid w:val="003B73F6"/>
    <w:rsid w:val="003B7549"/>
    <w:rsid w:val="003B76CD"/>
    <w:rsid w:val="003C0899"/>
    <w:rsid w:val="003C0B2D"/>
    <w:rsid w:val="003C1D54"/>
    <w:rsid w:val="003C1FC2"/>
    <w:rsid w:val="003C2144"/>
    <w:rsid w:val="003C23EC"/>
    <w:rsid w:val="003C25EB"/>
    <w:rsid w:val="003C271D"/>
    <w:rsid w:val="003C342E"/>
    <w:rsid w:val="003C37A0"/>
    <w:rsid w:val="003C398C"/>
    <w:rsid w:val="003C3E6A"/>
    <w:rsid w:val="003C4F4F"/>
    <w:rsid w:val="003C5CB3"/>
    <w:rsid w:val="003C64B9"/>
    <w:rsid w:val="003C696D"/>
    <w:rsid w:val="003C6FDC"/>
    <w:rsid w:val="003C72D8"/>
    <w:rsid w:val="003C7902"/>
    <w:rsid w:val="003C7A95"/>
    <w:rsid w:val="003D050F"/>
    <w:rsid w:val="003D06F5"/>
    <w:rsid w:val="003D0D7D"/>
    <w:rsid w:val="003D1188"/>
    <w:rsid w:val="003D1AAE"/>
    <w:rsid w:val="003D1F87"/>
    <w:rsid w:val="003D2AE9"/>
    <w:rsid w:val="003D2BCA"/>
    <w:rsid w:val="003D3C2D"/>
    <w:rsid w:val="003D449A"/>
    <w:rsid w:val="003D48D5"/>
    <w:rsid w:val="003D4AF8"/>
    <w:rsid w:val="003D5A8E"/>
    <w:rsid w:val="003D5B0E"/>
    <w:rsid w:val="003D63A3"/>
    <w:rsid w:val="003D7129"/>
    <w:rsid w:val="003D7200"/>
    <w:rsid w:val="003D7856"/>
    <w:rsid w:val="003D7E78"/>
    <w:rsid w:val="003E0099"/>
    <w:rsid w:val="003E0168"/>
    <w:rsid w:val="003E11EA"/>
    <w:rsid w:val="003E143A"/>
    <w:rsid w:val="003E1766"/>
    <w:rsid w:val="003E2231"/>
    <w:rsid w:val="003E255E"/>
    <w:rsid w:val="003E2978"/>
    <w:rsid w:val="003E4483"/>
    <w:rsid w:val="003E4DB8"/>
    <w:rsid w:val="003E4FFB"/>
    <w:rsid w:val="003E570D"/>
    <w:rsid w:val="003E59EA"/>
    <w:rsid w:val="003E600F"/>
    <w:rsid w:val="003E6AD5"/>
    <w:rsid w:val="003E6AF8"/>
    <w:rsid w:val="003E6E0C"/>
    <w:rsid w:val="003E7FE0"/>
    <w:rsid w:val="003F0370"/>
    <w:rsid w:val="003F0606"/>
    <w:rsid w:val="003F0675"/>
    <w:rsid w:val="003F0A8B"/>
    <w:rsid w:val="003F0D7E"/>
    <w:rsid w:val="003F100F"/>
    <w:rsid w:val="003F28F0"/>
    <w:rsid w:val="003F2D75"/>
    <w:rsid w:val="003F2D85"/>
    <w:rsid w:val="003F2FD6"/>
    <w:rsid w:val="003F35FB"/>
    <w:rsid w:val="003F3900"/>
    <w:rsid w:val="003F3ADB"/>
    <w:rsid w:val="003F4DC2"/>
    <w:rsid w:val="003F50C2"/>
    <w:rsid w:val="003F5B91"/>
    <w:rsid w:val="003F669B"/>
    <w:rsid w:val="003F6ADD"/>
    <w:rsid w:val="003F747F"/>
    <w:rsid w:val="003F7D08"/>
    <w:rsid w:val="004002DC"/>
    <w:rsid w:val="00400CAC"/>
    <w:rsid w:val="00400EAC"/>
    <w:rsid w:val="004010C2"/>
    <w:rsid w:val="004016BB"/>
    <w:rsid w:val="00401857"/>
    <w:rsid w:val="004018BA"/>
    <w:rsid w:val="00401DB0"/>
    <w:rsid w:val="004026D7"/>
    <w:rsid w:val="00402AC1"/>
    <w:rsid w:val="00403081"/>
    <w:rsid w:val="00403474"/>
    <w:rsid w:val="00403F22"/>
    <w:rsid w:val="004043BA"/>
    <w:rsid w:val="0040446F"/>
    <w:rsid w:val="004047D7"/>
    <w:rsid w:val="004047E5"/>
    <w:rsid w:val="004048E1"/>
    <w:rsid w:val="00404959"/>
    <w:rsid w:val="00404DE6"/>
    <w:rsid w:val="00405F9B"/>
    <w:rsid w:val="004064FA"/>
    <w:rsid w:val="004068FF"/>
    <w:rsid w:val="00406DD4"/>
    <w:rsid w:val="004070C1"/>
    <w:rsid w:val="00407407"/>
    <w:rsid w:val="00407867"/>
    <w:rsid w:val="00407F83"/>
    <w:rsid w:val="0041110A"/>
    <w:rsid w:val="004111C5"/>
    <w:rsid w:val="00411502"/>
    <w:rsid w:val="00412CCD"/>
    <w:rsid w:val="004130E1"/>
    <w:rsid w:val="00414F06"/>
    <w:rsid w:val="00415291"/>
    <w:rsid w:val="00415B54"/>
    <w:rsid w:val="004165C0"/>
    <w:rsid w:val="0041723E"/>
    <w:rsid w:val="004172AF"/>
    <w:rsid w:val="00417425"/>
    <w:rsid w:val="00420FA3"/>
    <w:rsid w:val="00420FD3"/>
    <w:rsid w:val="00421F9F"/>
    <w:rsid w:val="0042204B"/>
    <w:rsid w:val="004221B7"/>
    <w:rsid w:val="0042253A"/>
    <w:rsid w:val="004228CC"/>
    <w:rsid w:val="004230C3"/>
    <w:rsid w:val="004232C9"/>
    <w:rsid w:val="004240AD"/>
    <w:rsid w:val="0042418D"/>
    <w:rsid w:val="0042472C"/>
    <w:rsid w:val="004253DE"/>
    <w:rsid w:val="00425895"/>
    <w:rsid w:val="00425BF2"/>
    <w:rsid w:val="00425C3E"/>
    <w:rsid w:val="00426E24"/>
    <w:rsid w:val="004277D4"/>
    <w:rsid w:val="00430624"/>
    <w:rsid w:val="004309C8"/>
    <w:rsid w:val="00430A3C"/>
    <w:rsid w:val="00431139"/>
    <w:rsid w:val="004311BF"/>
    <w:rsid w:val="00431B4B"/>
    <w:rsid w:val="00431E9B"/>
    <w:rsid w:val="00431F3B"/>
    <w:rsid w:val="004323FE"/>
    <w:rsid w:val="004326D6"/>
    <w:rsid w:val="0043288A"/>
    <w:rsid w:val="00432E0C"/>
    <w:rsid w:val="00433281"/>
    <w:rsid w:val="00433529"/>
    <w:rsid w:val="0043389B"/>
    <w:rsid w:val="00433A4E"/>
    <w:rsid w:val="00433ECD"/>
    <w:rsid w:val="0043415B"/>
    <w:rsid w:val="004344C0"/>
    <w:rsid w:val="00434615"/>
    <w:rsid w:val="00434719"/>
    <w:rsid w:val="004350BA"/>
    <w:rsid w:val="0043563E"/>
    <w:rsid w:val="00435993"/>
    <w:rsid w:val="00435B52"/>
    <w:rsid w:val="00435C20"/>
    <w:rsid w:val="0043601E"/>
    <w:rsid w:val="00437DF8"/>
    <w:rsid w:val="00440022"/>
    <w:rsid w:val="00440062"/>
    <w:rsid w:val="00440B84"/>
    <w:rsid w:val="00441316"/>
    <w:rsid w:val="0044146C"/>
    <w:rsid w:val="004414EA"/>
    <w:rsid w:val="004418E3"/>
    <w:rsid w:val="00441AFA"/>
    <w:rsid w:val="00442192"/>
    <w:rsid w:val="00442AC3"/>
    <w:rsid w:val="00442EF9"/>
    <w:rsid w:val="00442FC0"/>
    <w:rsid w:val="00443102"/>
    <w:rsid w:val="00443189"/>
    <w:rsid w:val="00444396"/>
    <w:rsid w:val="0044479E"/>
    <w:rsid w:val="00444B3E"/>
    <w:rsid w:val="004450A9"/>
    <w:rsid w:val="004450F0"/>
    <w:rsid w:val="004453CB"/>
    <w:rsid w:val="004463FF"/>
    <w:rsid w:val="004466E0"/>
    <w:rsid w:val="00447099"/>
    <w:rsid w:val="0044747B"/>
    <w:rsid w:val="00447606"/>
    <w:rsid w:val="00447951"/>
    <w:rsid w:val="00447AC1"/>
    <w:rsid w:val="00447F91"/>
    <w:rsid w:val="004504FB"/>
    <w:rsid w:val="00450651"/>
    <w:rsid w:val="00450EC3"/>
    <w:rsid w:val="00451106"/>
    <w:rsid w:val="00452523"/>
    <w:rsid w:val="004528CD"/>
    <w:rsid w:val="00452ED5"/>
    <w:rsid w:val="00452F0B"/>
    <w:rsid w:val="0045429C"/>
    <w:rsid w:val="00454347"/>
    <w:rsid w:val="00454507"/>
    <w:rsid w:val="00454520"/>
    <w:rsid w:val="0045554E"/>
    <w:rsid w:val="004556E6"/>
    <w:rsid w:val="00455D02"/>
    <w:rsid w:val="0045611F"/>
    <w:rsid w:val="00456428"/>
    <w:rsid w:val="00457095"/>
    <w:rsid w:val="0045742A"/>
    <w:rsid w:val="004578AC"/>
    <w:rsid w:val="00460321"/>
    <w:rsid w:val="004605CA"/>
    <w:rsid w:val="004609C0"/>
    <w:rsid w:val="00460BF0"/>
    <w:rsid w:val="004613DA"/>
    <w:rsid w:val="00461FB1"/>
    <w:rsid w:val="0046298E"/>
    <w:rsid w:val="004629F9"/>
    <w:rsid w:val="0046301F"/>
    <w:rsid w:val="00463289"/>
    <w:rsid w:val="00463DAD"/>
    <w:rsid w:val="00463DD3"/>
    <w:rsid w:val="00463E53"/>
    <w:rsid w:val="00463F67"/>
    <w:rsid w:val="00463FD6"/>
    <w:rsid w:val="0046402B"/>
    <w:rsid w:val="00464531"/>
    <w:rsid w:val="00464764"/>
    <w:rsid w:val="00464BC4"/>
    <w:rsid w:val="00465194"/>
    <w:rsid w:val="00465241"/>
    <w:rsid w:val="004659A0"/>
    <w:rsid w:val="004662BE"/>
    <w:rsid w:val="00466C01"/>
    <w:rsid w:val="00466F16"/>
    <w:rsid w:val="0046715D"/>
    <w:rsid w:val="00467468"/>
    <w:rsid w:val="0046768B"/>
    <w:rsid w:val="00467CCB"/>
    <w:rsid w:val="004703AA"/>
    <w:rsid w:val="004707E6"/>
    <w:rsid w:val="004707EA"/>
    <w:rsid w:val="00470AB7"/>
    <w:rsid w:val="00470BC7"/>
    <w:rsid w:val="00470D10"/>
    <w:rsid w:val="004711AA"/>
    <w:rsid w:val="0047162A"/>
    <w:rsid w:val="0047181B"/>
    <w:rsid w:val="00471A93"/>
    <w:rsid w:val="00471D1E"/>
    <w:rsid w:val="00471DCD"/>
    <w:rsid w:val="00471F8F"/>
    <w:rsid w:val="00472DF4"/>
    <w:rsid w:val="00473C47"/>
    <w:rsid w:val="00473F40"/>
    <w:rsid w:val="0047402B"/>
    <w:rsid w:val="00474110"/>
    <w:rsid w:val="0047419D"/>
    <w:rsid w:val="00474350"/>
    <w:rsid w:val="004743F3"/>
    <w:rsid w:val="004748CF"/>
    <w:rsid w:val="004750D4"/>
    <w:rsid w:val="00475346"/>
    <w:rsid w:val="00475495"/>
    <w:rsid w:val="004754F6"/>
    <w:rsid w:val="004757D7"/>
    <w:rsid w:val="00475D12"/>
    <w:rsid w:val="00476469"/>
    <w:rsid w:val="00476A0C"/>
    <w:rsid w:val="00477108"/>
    <w:rsid w:val="00477688"/>
    <w:rsid w:val="00477A6B"/>
    <w:rsid w:val="00477CD6"/>
    <w:rsid w:val="00477F44"/>
    <w:rsid w:val="0048054C"/>
    <w:rsid w:val="00480692"/>
    <w:rsid w:val="00481660"/>
    <w:rsid w:val="00481836"/>
    <w:rsid w:val="00481B47"/>
    <w:rsid w:val="00482CC1"/>
    <w:rsid w:val="00482D78"/>
    <w:rsid w:val="00483302"/>
    <w:rsid w:val="004836CF"/>
    <w:rsid w:val="00483812"/>
    <w:rsid w:val="00483BA6"/>
    <w:rsid w:val="004847DC"/>
    <w:rsid w:val="00484AE4"/>
    <w:rsid w:val="004853B5"/>
    <w:rsid w:val="00485530"/>
    <w:rsid w:val="00485D15"/>
    <w:rsid w:val="00485DFD"/>
    <w:rsid w:val="00485E6C"/>
    <w:rsid w:val="00486031"/>
    <w:rsid w:val="004860BF"/>
    <w:rsid w:val="00486213"/>
    <w:rsid w:val="00486272"/>
    <w:rsid w:val="00486F79"/>
    <w:rsid w:val="00487425"/>
    <w:rsid w:val="004874EF"/>
    <w:rsid w:val="0048778E"/>
    <w:rsid w:val="0049044A"/>
    <w:rsid w:val="00490BC9"/>
    <w:rsid w:val="0049118C"/>
    <w:rsid w:val="00491986"/>
    <w:rsid w:val="00491AA2"/>
    <w:rsid w:val="00492CB6"/>
    <w:rsid w:val="0049317F"/>
    <w:rsid w:val="004944AF"/>
    <w:rsid w:val="0049512F"/>
    <w:rsid w:val="00495306"/>
    <w:rsid w:val="00495870"/>
    <w:rsid w:val="0049709A"/>
    <w:rsid w:val="004974BB"/>
    <w:rsid w:val="00497584"/>
    <w:rsid w:val="00497D26"/>
    <w:rsid w:val="004A0015"/>
    <w:rsid w:val="004A03A9"/>
    <w:rsid w:val="004A059F"/>
    <w:rsid w:val="004A0703"/>
    <w:rsid w:val="004A099B"/>
    <w:rsid w:val="004A0E06"/>
    <w:rsid w:val="004A0F6D"/>
    <w:rsid w:val="004A2483"/>
    <w:rsid w:val="004A28D1"/>
    <w:rsid w:val="004A2B52"/>
    <w:rsid w:val="004A33EF"/>
    <w:rsid w:val="004A38B3"/>
    <w:rsid w:val="004A3C30"/>
    <w:rsid w:val="004A3CEA"/>
    <w:rsid w:val="004A414B"/>
    <w:rsid w:val="004A42BF"/>
    <w:rsid w:val="004A4A67"/>
    <w:rsid w:val="004A4C27"/>
    <w:rsid w:val="004A4CC0"/>
    <w:rsid w:val="004A5452"/>
    <w:rsid w:val="004A601F"/>
    <w:rsid w:val="004A626F"/>
    <w:rsid w:val="004A630F"/>
    <w:rsid w:val="004A639C"/>
    <w:rsid w:val="004A6D62"/>
    <w:rsid w:val="004A7053"/>
    <w:rsid w:val="004A75FA"/>
    <w:rsid w:val="004A7AA6"/>
    <w:rsid w:val="004B0376"/>
    <w:rsid w:val="004B0609"/>
    <w:rsid w:val="004B063A"/>
    <w:rsid w:val="004B07D9"/>
    <w:rsid w:val="004B111D"/>
    <w:rsid w:val="004B1535"/>
    <w:rsid w:val="004B20D1"/>
    <w:rsid w:val="004B2236"/>
    <w:rsid w:val="004B25E8"/>
    <w:rsid w:val="004B269C"/>
    <w:rsid w:val="004B2783"/>
    <w:rsid w:val="004B36E7"/>
    <w:rsid w:val="004B421C"/>
    <w:rsid w:val="004B42AA"/>
    <w:rsid w:val="004B438B"/>
    <w:rsid w:val="004B5623"/>
    <w:rsid w:val="004B5690"/>
    <w:rsid w:val="004B6031"/>
    <w:rsid w:val="004B67EA"/>
    <w:rsid w:val="004B6FE8"/>
    <w:rsid w:val="004C0538"/>
    <w:rsid w:val="004C1AF2"/>
    <w:rsid w:val="004C1F78"/>
    <w:rsid w:val="004C2720"/>
    <w:rsid w:val="004C287D"/>
    <w:rsid w:val="004C2B86"/>
    <w:rsid w:val="004C2E81"/>
    <w:rsid w:val="004C3147"/>
    <w:rsid w:val="004C3CAB"/>
    <w:rsid w:val="004C3DC1"/>
    <w:rsid w:val="004C40AC"/>
    <w:rsid w:val="004C412D"/>
    <w:rsid w:val="004C4576"/>
    <w:rsid w:val="004C5196"/>
    <w:rsid w:val="004C524F"/>
    <w:rsid w:val="004C657B"/>
    <w:rsid w:val="004C69B0"/>
    <w:rsid w:val="004C6DF5"/>
    <w:rsid w:val="004D00E2"/>
    <w:rsid w:val="004D0650"/>
    <w:rsid w:val="004D0D46"/>
    <w:rsid w:val="004D1B79"/>
    <w:rsid w:val="004D1DE4"/>
    <w:rsid w:val="004D1F3B"/>
    <w:rsid w:val="004D26B2"/>
    <w:rsid w:val="004D2E38"/>
    <w:rsid w:val="004D2E45"/>
    <w:rsid w:val="004D4192"/>
    <w:rsid w:val="004D42B9"/>
    <w:rsid w:val="004D5F44"/>
    <w:rsid w:val="004D7B32"/>
    <w:rsid w:val="004D7F6E"/>
    <w:rsid w:val="004E0623"/>
    <w:rsid w:val="004E0BF4"/>
    <w:rsid w:val="004E0EA0"/>
    <w:rsid w:val="004E0EB0"/>
    <w:rsid w:val="004E1338"/>
    <w:rsid w:val="004E13C6"/>
    <w:rsid w:val="004E1590"/>
    <w:rsid w:val="004E166F"/>
    <w:rsid w:val="004E1865"/>
    <w:rsid w:val="004E1A6A"/>
    <w:rsid w:val="004E1B66"/>
    <w:rsid w:val="004E1CE9"/>
    <w:rsid w:val="004E26E2"/>
    <w:rsid w:val="004E2CCD"/>
    <w:rsid w:val="004E2D83"/>
    <w:rsid w:val="004E3A1A"/>
    <w:rsid w:val="004E481E"/>
    <w:rsid w:val="004E4893"/>
    <w:rsid w:val="004E4CD5"/>
    <w:rsid w:val="004E4F3B"/>
    <w:rsid w:val="004E54D1"/>
    <w:rsid w:val="004E5F92"/>
    <w:rsid w:val="004E678D"/>
    <w:rsid w:val="004E6BFC"/>
    <w:rsid w:val="004E755D"/>
    <w:rsid w:val="004E7985"/>
    <w:rsid w:val="004F019E"/>
    <w:rsid w:val="004F0596"/>
    <w:rsid w:val="004F08E7"/>
    <w:rsid w:val="004F0A79"/>
    <w:rsid w:val="004F141D"/>
    <w:rsid w:val="004F16D1"/>
    <w:rsid w:val="004F1F2E"/>
    <w:rsid w:val="004F280E"/>
    <w:rsid w:val="004F2BDA"/>
    <w:rsid w:val="004F38B0"/>
    <w:rsid w:val="004F3B01"/>
    <w:rsid w:val="004F4518"/>
    <w:rsid w:val="004F475A"/>
    <w:rsid w:val="004F4B56"/>
    <w:rsid w:val="004F5E43"/>
    <w:rsid w:val="004F6934"/>
    <w:rsid w:val="004F6941"/>
    <w:rsid w:val="004F6A0E"/>
    <w:rsid w:val="004F6A46"/>
    <w:rsid w:val="004F7159"/>
    <w:rsid w:val="004F7D70"/>
    <w:rsid w:val="0050003D"/>
    <w:rsid w:val="0050008D"/>
    <w:rsid w:val="00500F34"/>
    <w:rsid w:val="00501300"/>
    <w:rsid w:val="00501E51"/>
    <w:rsid w:val="00502852"/>
    <w:rsid w:val="00502D9A"/>
    <w:rsid w:val="00503420"/>
    <w:rsid w:val="0050354F"/>
    <w:rsid w:val="00503B6C"/>
    <w:rsid w:val="00503D75"/>
    <w:rsid w:val="005040B1"/>
    <w:rsid w:val="00506A8E"/>
    <w:rsid w:val="00506B82"/>
    <w:rsid w:val="00506CC3"/>
    <w:rsid w:val="00507C30"/>
    <w:rsid w:val="005102F7"/>
    <w:rsid w:val="00510386"/>
    <w:rsid w:val="005104AC"/>
    <w:rsid w:val="00510B7C"/>
    <w:rsid w:val="005112CA"/>
    <w:rsid w:val="00511AA3"/>
    <w:rsid w:val="0051209A"/>
    <w:rsid w:val="0051250D"/>
    <w:rsid w:val="00515842"/>
    <w:rsid w:val="00515A68"/>
    <w:rsid w:val="00515F2A"/>
    <w:rsid w:val="0051653A"/>
    <w:rsid w:val="005173DA"/>
    <w:rsid w:val="00517654"/>
    <w:rsid w:val="00517718"/>
    <w:rsid w:val="005207D7"/>
    <w:rsid w:val="00521419"/>
    <w:rsid w:val="00521A27"/>
    <w:rsid w:val="0052284E"/>
    <w:rsid w:val="00522E56"/>
    <w:rsid w:val="00523469"/>
    <w:rsid w:val="00523A8D"/>
    <w:rsid w:val="00523AF4"/>
    <w:rsid w:val="00523FA1"/>
    <w:rsid w:val="00525283"/>
    <w:rsid w:val="00525980"/>
    <w:rsid w:val="00525B49"/>
    <w:rsid w:val="005267EE"/>
    <w:rsid w:val="00527E88"/>
    <w:rsid w:val="0053000B"/>
    <w:rsid w:val="005300EC"/>
    <w:rsid w:val="00530671"/>
    <w:rsid w:val="0053096F"/>
    <w:rsid w:val="00531087"/>
    <w:rsid w:val="00532075"/>
    <w:rsid w:val="00532F0E"/>
    <w:rsid w:val="005331A5"/>
    <w:rsid w:val="00533572"/>
    <w:rsid w:val="00533911"/>
    <w:rsid w:val="00533C83"/>
    <w:rsid w:val="00533CE5"/>
    <w:rsid w:val="00533DA2"/>
    <w:rsid w:val="005345B6"/>
    <w:rsid w:val="0053477E"/>
    <w:rsid w:val="00534AC5"/>
    <w:rsid w:val="00534F38"/>
    <w:rsid w:val="00535170"/>
    <w:rsid w:val="0053569F"/>
    <w:rsid w:val="005369A1"/>
    <w:rsid w:val="00536BBB"/>
    <w:rsid w:val="00536F06"/>
    <w:rsid w:val="00537244"/>
    <w:rsid w:val="0053771F"/>
    <w:rsid w:val="005378B6"/>
    <w:rsid w:val="00537E40"/>
    <w:rsid w:val="00540175"/>
    <w:rsid w:val="00541000"/>
    <w:rsid w:val="00541D98"/>
    <w:rsid w:val="00542395"/>
    <w:rsid w:val="005424D0"/>
    <w:rsid w:val="00542ECA"/>
    <w:rsid w:val="00543C57"/>
    <w:rsid w:val="00544AC1"/>
    <w:rsid w:val="00544AF8"/>
    <w:rsid w:val="00544B0A"/>
    <w:rsid w:val="0054538D"/>
    <w:rsid w:val="00545A48"/>
    <w:rsid w:val="00545A9D"/>
    <w:rsid w:val="00545C05"/>
    <w:rsid w:val="005461E5"/>
    <w:rsid w:val="005462E9"/>
    <w:rsid w:val="00546C1C"/>
    <w:rsid w:val="00546F9D"/>
    <w:rsid w:val="005472B9"/>
    <w:rsid w:val="005477D2"/>
    <w:rsid w:val="005478A3"/>
    <w:rsid w:val="00550C2D"/>
    <w:rsid w:val="00550CB8"/>
    <w:rsid w:val="00551A1F"/>
    <w:rsid w:val="005525D8"/>
    <w:rsid w:val="005527DB"/>
    <w:rsid w:val="00553502"/>
    <w:rsid w:val="00553F68"/>
    <w:rsid w:val="00554091"/>
    <w:rsid w:val="0055476F"/>
    <w:rsid w:val="005547F8"/>
    <w:rsid w:val="00555043"/>
    <w:rsid w:val="0055516F"/>
    <w:rsid w:val="005557BA"/>
    <w:rsid w:val="00555C94"/>
    <w:rsid w:val="00556736"/>
    <w:rsid w:val="00556B24"/>
    <w:rsid w:val="005571DC"/>
    <w:rsid w:val="00557494"/>
    <w:rsid w:val="005574F9"/>
    <w:rsid w:val="0055793B"/>
    <w:rsid w:val="00557C70"/>
    <w:rsid w:val="00557CCA"/>
    <w:rsid w:val="00560374"/>
    <w:rsid w:val="00560AD6"/>
    <w:rsid w:val="00560B28"/>
    <w:rsid w:val="00561526"/>
    <w:rsid w:val="00561AFD"/>
    <w:rsid w:val="00561B3B"/>
    <w:rsid w:val="005630A2"/>
    <w:rsid w:val="005636D9"/>
    <w:rsid w:val="00563ADF"/>
    <w:rsid w:val="00563D56"/>
    <w:rsid w:val="0056413B"/>
    <w:rsid w:val="00564A34"/>
    <w:rsid w:val="00564A58"/>
    <w:rsid w:val="00564DAC"/>
    <w:rsid w:val="00565622"/>
    <w:rsid w:val="005661A7"/>
    <w:rsid w:val="0056685A"/>
    <w:rsid w:val="00566F00"/>
    <w:rsid w:val="0056730F"/>
    <w:rsid w:val="00567539"/>
    <w:rsid w:val="00567885"/>
    <w:rsid w:val="00567C8C"/>
    <w:rsid w:val="00567E4B"/>
    <w:rsid w:val="00567E91"/>
    <w:rsid w:val="00567F9E"/>
    <w:rsid w:val="0057070E"/>
    <w:rsid w:val="00570AFB"/>
    <w:rsid w:val="00570B7E"/>
    <w:rsid w:val="005712C2"/>
    <w:rsid w:val="0057147F"/>
    <w:rsid w:val="00571815"/>
    <w:rsid w:val="005718DE"/>
    <w:rsid w:val="0057249C"/>
    <w:rsid w:val="00572672"/>
    <w:rsid w:val="005734AA"/>
    <w:rsid w:val="005743BB"/>
    <w:rsid w:val="00574A52"/>
    <w:rsid w:val="005755EF"/>
    <w:rsid w:val="00576449"/>
    <w:rsid w:val="00576B85"/>
    <w:rsid w:val="00576E08"/>
    <w:rsid w:val="00577003"/>
    <w:rsid w:val="00577323"/>
    <w:rsid w:val="0057768B"/>
    <w:rsid w:val="005778ED"/>
    <w:rsid w:val="0058037F"/>
    <w:rsid w:val="0058106A"/>
    <w:rsid w:val="005811CD"/>
    <w:rsid w:val="0058158D"/>
    <w:rsid w:val="00581BE8"/>
    <w:rsid w:val="00581D29"/>
    <w:rsid w:val="00581FC6"/>
    <w:rsid w:val="0058202B"/>
    <w:rsid w:val="005828EE"/>
    <w:rsid w:val="00582CAE"/>
    <w:rsid w:val="00583A51"/>
    <w:rsid w:val="00584487"/>
    <w:rsid w:val="00584684"/>
    <w:rsid w:val="0058626F"/>
    <w:rsid w:val="00586389"/>
    <w:rsid w:val="00586DC2"/>
    <w:rsid w:val="00586EAB"/>
    <w:rsid w:val="00590755"/>
    <w:rsid w:val="00590B18"/>
    <w:rsid w:val="00590EAA"/>
    <w:rsid w:val="0059141F"/>
    <w:rsid w:val="00591E32"/>
    <w:rsid w:val="005920AD"/>
    <w:rsid w:val="005924CD"/>
    <w:rsid w:val="0059337D"/>
    <w:rsid w:val="005935FF"/>
    <w:rsid w:val="005937EA"/>
    <w:rsid w:val="00593FED"/>
    <w:rsid w:val="0059453B"/>
    <w:rsid w:val="00594D30"/>
    <w:rsid w:val="005954A7"/>
    <w:rsid w:val="00595999"/>
    <w:rsid w:val="005963B8"/>
    <w:rsid w:val="00596B02"/>
    <w:rsid w:val="00597363"/>
    <w:rsid w:val="0059798D"/>
    <w:rsid w:val="00597EFE"/>
    <w:rsid w:val="005A0291"/>
    <w:rsid w:val="005A0479"/>
    <w:rsid w:val="005A0759"/>
    <w:rsid w:val="005A11C1"/>
    <w:rsid w:val="005A32DD"/>
    <w:rsid w:val="005A371A"/>
    <w:rsid w:val="005A3D63"/>
    <w:rsid w:val="005A3E1E"/>
    <w:rsid w:val="005A3E75"/>
    <w:rsid w:val="005A3EF8"/>
    <w:rsid w:val="005A3FF5"/>
    <w:rsid w:val="005A4DC1"/>
    <w:rsid w:val="005A611F"/>
    <w:rsid w:val="005A6607"/>
    <w:rsid w:val="005A6982"/>
    <w:rsid w:val="005A7CBF"/>
    <w:rsid w:val="005B017E"/>
    <w:rsid w:val="005B0382"/>
    <w:rsid w:val="005B04AD"/>
    <w:rsid w:val="005B0CAC"/>
    <w:rsid w:val="005B1050"/>
    <w:rsid w:val="005B1267"/>
    <w:rsid w:val="005B1333"/>
    <w:rsid w:val="005B1D61"/>
    <w:rsid w:val="005B219D"/>
    <w:rsid w:val="005B2238"/>
    <w:rsid w:val="005B2487"/>
    <w:rsid w:val="005B2700"/>
    <w:rsid w:val="005B2956"/>
    <w:rsid w:val="005B2AB9"/>
    <w:rsid w:val="005B2D23"/>
    <w:rsid w:val="005B3011"/>
    <w:rsid w:val="005B339F"/>
    <w:rsid w:val="005B37CE"/>
    <w:rsid w:val="005B3C27"/>
    <w:rsid w:val="005B444F"/>
    <w:rsid w:val="005B4B97"/>
    <w:rsid w:val="005B5063"/>
    <w:rsid w:val="005B526C"/>
    <w:rsid w:val="005B5DD1"/>
    <w:rsid w:val="005B668C"/>
    <w:rsid w:val="005B6BA3"/>
    <w:rsid w:val="005B6D32"/>
    <w:rsid w:val="005B6E8F"/>
    <w:rsid w:val="005B7B44"/>
    <w:rsid w:val="005C02A4"/>
    <w:rsid w:val="005C08AA"/>
    <w:rsid w:val="005C1C5B"/>
    <w:rsid w:val="005C1D94"/>
    <w:rsid w:val="005C1DED"/>
    <w:rsid w:val="005C22BC"/>
    <w:rsid w:val="005C22C5"/>
    <w:rsid w:val="005C2936"/>
    <w:rsid w:val="005C2FB0"/>
    <w:rsid w:val="005C3AC8"/>
    <w:rsid w:val="005C3FBD"/>
    <w:rsid w:val="005C418F"/>
    <w:rsid w:val="005C494D"/>
    <w:rsid w:val="005C4C84"/>
    <w:rsid w:val="005C5350"/>
    <w:rsid w:val="005C53CF"/>
    <w:rsid w:val="005C5DB7"/>
    <w:rsid w:val="005C64A0"/>
    <w:rsid w:val="005C69E7"/>
    <w:rsid w:val="005C6C53"/>
    <w:rsid w:val="005C6EF6"/>
    <w:rsid w:val="005C70DB"/>
    <w:rsid w:val="005C72B8"/>
    <w:rsid w:val="005C76CA"/>
    <w:rsid w:val="005C76DF"/>
    <w:rsid w:val="005C7959"/>
    <w:rsid w:val="005C7A73"/>
    <w:rsid w:val="005D0DEC"/>
    <w:rsid w:val="005D259C"/>
    <w:rsid w:val="005D2A02"/>
    <w:rsid w:val="005D2B24"/>
    <w:rsid w:val="005D2CAB"/>
    <w:rsid w:val="005D332D"/>
    <w:rsid w:val="005D33EA"/>
    <w:rsid w:val="005D350D"/>
    <w:rsid w:val="005D3E04"/>
    <w:rsid w:val="005D3FDC"/>
    <w:rsid w:val="005D4222"/>
    <w:rsid w:val="005D4DA3"/>
    <w:rsid w:val="005D5037"/>
    <w:rsid w:val="005D5855"/>
    <w:rsid w:val="005D588B"/>
    <w:rsid w:val="005D5D1D"/>
    <w:rsid w:val="005D6A0C"/>
    <w:rsid w:val="005D6DF3"/>
    <w:rsid w:val="005D7036"/>
    <w:rsid w:val="005D7C90"/>
    <w:rsid w:val="005E0A15"/>
    <w:rsid w:val="005E16F3"/>
    <w:rsid w:val="005E1AF1"/>
    <w:rsid w:val="005E245A"/>
    <w:rsid w:val="005E2B22"/>
    <w:rsid w:val="005E3306"/>
    <w:rsid w:val="005E3C27"/>
    <w:rsid w:val="005E3C8B"/>
    <w:rsid w:val="005E3DF9"/>
    <w:rsid w:val="005E40B6"/>
    <w:rsid w:val="005E40F4"/>
    <w:rsid w:val="005E4A51"/>
    <w:rsid w:val="005E4BBC"/>
    <w:rsid w:val="005E4EED"/>
    <w:rsid w:val="005E51D4"/>
    <w:rsid w:val="005E54EA"/>
    <w:rsid w:val="005E5978"/>
    <w:rsid w:val="005E62B7"/>
    <w:rsid w:val="005E6326"/>
    <w:rsid w:val="005E69C6"/>
    <w:rsid w:val="005E71C3"/>
    <w:rsid w:val="005E722C"/>
    <w:rsid w:val="005E7D65"/>
    <w:rsid w:val="005E7F95"/>
    <w:rsid w:val="005F0BC8"/>
    <w:rsid w:val="005F183E"/>
    <w:rsid w:val="005F2164"/>
    <w:rsid w:val="005F3952"/>
    <w:rsid w:val="005F3C29"/>
    <w:rsid w:val="005F40C0"/>
    <w:rsid w:val="005F41DD"/>
    <w:rsid w:val="005F4450"/>
    <w:rsid w:val="005F4658"/>
    <w:rsid w:val="005F4783"/>
    <w:rsid w:val="005F48FC"/>
    <w:rsid w:val="005F58A2"/>
    <w:rsid w:val="005F5C54"/>
    <w:rsid w:val="005F6301"/>
    <w:rsid w:val="005F697D"/>
    <w:rsid w:val="005F7016"/>
    <w:rsid w:val="005F72C7"/>
    <w:rsid w:val="005F782D"/>
    <w:rsid w:val="005F7896"/>
    <w:rsid w:val="005F7B0C"/>
    <w:rsid w:val="0060020D"/>
    <w:rsid w:val="006006CE"/>
    <w:rsid w:val="00600D0F"/>
    <w:rsid w:val="006012A1"/>
    <w:rsid w:val="00601674"/>
    <w:rsid w:val="006020EF"/>
    <w:rsid w:val="00602DBD"/>
    <w:rsid w:val="00603115"/>
    <w:rsid w:val="00603300"/>
    <w:rsid w:val="00603D87"/>
    <w:rsid w:val="006049FC"/>
    <w:rsid w:val="006055BC"/>
    <w:rsid w:val="006069CF"/>
    <w:rsid w:val="00606BBE"/>
    <w:rsid w:val="006077B3"/>
    <w:rsid w:val="0061005E"/>
    <w:rsid w:val="00610B42"/>
    <w:rsid w:val="00611D92"/>
    <w:rsid w:val="00611DC5"/>
    <w:rsid w:val="00612001"/>
    <w:rsid w:val="006121BB"/>
    <w:rsid w:val="006122A8"/>
    <w:rsid w:val="0061277D"/>
    <w:rsid w:val="006127A3"/>
    <w:rsid w:val="00612C36"/>
    <w:rsid w:val="00612CE3"/>
    <w:rsid w:val="00612EA4"/>
    <w:rsid w:val="00612F83"/>
    <w:rsid w:val="0061300F"/>
    <w:rsid w:val="006143EF"/>
    <w:rsid w:val="0061452F"/>
    <w:rsid w:val="00614CF9"/>
    <w:rsid w:val="0061534C"/>
    <w:rsid w:val="0061565E"/>
    <w:rsid w:val="00615769"/>
    <w:rsid w:val="00615E87"/>
    <w:rsid w:val="00615F40"/>
    <w:rsid w:val="006160CB"/>
    <w:rsid w:val="00616175"/>
    <w:rsid w:val="00616806"/>
    <w:rsid w:val="00616B0B"/>
    <w:rsid w:val="00616F53"/>
    <w:rsid w:val="00617108"/>
    <w:rsid w:val="00617D5C"/>
    <w:rsid w:val="00617E5D"/>
    <w:rsid w:val="006203C0"/>
    <w:rsid w:val="0062072D"/>
    <w:rsid w:val="0062078F"/>
    <w:rsid w:val="00620811"/>
    <w:rsid w:val="0062086B"/>
    <w:rsid w:val="00620C07"/>
    <w:rsid w:val="00621505"/>
    <w:rsid w:val="006216EB"/>
    <w:rsid w:val="00621831"/>
    <w:rsid w:val="00621AB5"/>
    <w:rsid w:val="00621F2D"/>
    <w:rsid w:val="0062206A"/>
    <w:rsid w:val="00622692"/>
    <w:rsid w:val="00622F56"/>
    <w:rsid w:val="00623035"/>
    <w:rsid w:val="00623450"/>
    <w:rsid w:val="006235AB"/>
    <w:rsid w:val="0062398D"/>
    <w:rsid w:val="00623DAA"/>
    <w:rsid w:val="0062469F"/>
    <w:rsid w:val="0062512C"/>
    <w:rsid w:val="0062525D"/>
    <w:rsid w:val="00625885"/>
    <w:rsid w:val="0062728E"/>
    <w:rsid w:val="00627868"/>
    <w:rsid w:val="006278F2"/>
    <w:rsid w:val="00627BAA"/>
    <w:rsid w:val="00630AB7"/>
    <w:rsid w:val="00630EE2"/>
    <w:rsid w:val="006321BE"/>
    <w:rsid w:val="0063228B"/>
    <w:rsid w:val="00632450"/>
    <w:rsid w:val="00632639"/>
    <w:rsid w:val="00632C80"/>
    <w:rsid w:val="00632D60"/>
    <w:rsid w:val="00632E98"/>
    <w:rsid w:val="0063329F"/>
    <w:rsid w:val="00633A23"/>
    <w:rsid w:val="00634583"/>
    <w:rsid w:val="00634ABD"/>
    <w:rsid w:val="00634E7E"/>
    <w:rsid w:val="00634E9E"/>
    <w:rsid w:val="006364AE"/>
    <w:rsid w:val="0063658B"/>
    <w:rsid w:val="00636860"/>
    <w:rsid w:val="00636CDB"/>
    <w:rsid w:val="00636DBA"/>
    <w:rsid w:val="006373AC"/>
    <w:rsid w:val="00640610"/>
    <w:rsid w:val="006409B0"/>
    <w:rsid w:val="006427E0"/>
    <w:rsid w:val="00643571"/>
    <w:rsid w:val="006435A3"/>
    <w:rsid w:val="00643BEB"/>
    <w:rsid w:val="0064490B"/>
    <w:rsid w:val="00645244"/>
    <w:rsid w:val="00645579"/>
    <w:rsid w:val="00646E62"/>
    <w:rsid w:val="00647421"/>
    <w:rsid w:val="006474EC"/>
    <w:rsid w:val="00647BE5"/>
    <w:rsid w:val="006504D9"/>
    <w:rsid w:val="00650AD1"/>
    <w:rsid w:val="00651104"/>
    <w:rsid w:val="00651A7F"/>
    <w:rsid w:val="006528F8"/>
    <w:rsid w:val="006530E7"/>
    <w:rsid w:val="00653713"/>
    <w:rsid w:val="0065390C"/>
    <w:rsid w:val="00653CD8"/>
    <w:rsid w:val="006542AF"/>
    <w:rsid w:val="006542BE"/>
    <w:rsid w:val="00654520"/>
    <w:rsid w:val="00654B7B"/>
    <w:rsid w:val="00655B5F"/>
    <w:rsid w:val="00655DE1"/>
    <w:rsid w:val="00655E4B"/>
    <w:rsid w:val="006568A4"/>
    <w:rsid w:val="00656FD9"/>
    <w:rsid w:val="0065702E"/>
    <w:rsid w:val="00657124"/>
    <w:rsid w:val="00657A71"/>
    <w:rsid w:val="00657D56"/>
    <w:rsid w:val="00660077"/>
    <w:rsid w:val="00660FCE"/>
    <w:rsid w:val="0066198E"/>
    <w:rsid w:val="00661BDC"/>
    <w:rsid w:val="00661CD4"/>
    <w:rsid w:val="00662715"/>
    <w:rsid w:val="00662AF7"/>
    <w:rsid w:val="00662CD1"/>
    <w:rsid w:val="00662D25"/>
    <w:rsid w:val="006635F1"/>
    <w:rsid w:val="0066369A"/>
    <w:rsid w:val="006636DF"/>
    <w:rsid w:val="0066408D"/>
    <w:rsid w:val="0066451C"/>
    <w:rsid w:val="00664D87"/>
    <w:rsid w:val="00666031"/>
    <w:rsid w:val="006665EB"/>
    <w:rsid w:val="00666B21"/>
    <w:rsid w:val="00667069"/>
    <w:rsid w:val="00667275"/>
    <w:rsid w:val="0066764B"/>
    <w:rsid w:val="00667704"/>
    <w:rsid w:val="00667B73"/>
    <w:rsid w:val="00667BA1"/>
    <w:rsid w:val="006703FA"/>
    <w:rsid w:val="00671021"/>
    <w:rsid w:val="00671734"/>
    <w:rsid w:val="006720F0"/>
    <w:rsid w:val="00672A65"/>
    <w:rsid w:val="0067329F"/>
    <w:rsid w:val="0067394F"/>
    <w:rsid w:val="006742F1"/>
    <w:rsid w:val="0067467E"/>
    <w:rsid w:val="006749DF"/>
    <w:rsid w:val="00675239"/>
    <w:rsid w:val="00675867"/>
    <w:rsid w:val="00676DC2"/>
    <w:rsid w:val="0067728D"/>
    <w:rsid w:val="0067764C"/>
    <w:rsid w:val="006800DE"/>
    <w:rsid w:val="006810DF"/>
    <w:rsid w:val="006817D9"/>
    <w:rsid w:val="006819EC"/>
    <w:rsid w:val="006820EA"/>
    <w:rsid w:val="00682250"/>
    <w:rsid w:val="00682E1E"/>
    <w:rsid w:val="0068304B"/>
    <w:rsid w:val="0068386E"/>
    <w:rsid w:val="00683B65"/>
    <w:rsid w:val="00683FFD"/>
    <w:rsid w:val="006844FB"/>
    <w:rsid w:val="00684591"/>
    <w:rsid w:val="006845F7"/>
    <w:rsid w:val="006856E6"/>
    <w:rsid w:val="00686797"/>
    <w:rsid w:val="0068689C"/>
    <w:rsid w:val="006870C5"/>
    <w:rsid w:val="006872CE"/>
    <w:rsid w:val="0068769C"/>
    <w:rsid w:val="006876B7"/>
    <w:rsid w:val="00687FC4"/>
    <w:rsid w:val="0069096E"/>
    <w:rsid w:val="00690D91"/>
    <w:rsid w:val="006911E8"/>
    <w:rsid w:val="0069147B"/>
    <w:rsid w:val="0069159E"/>
    <w:rsid w:val="00692843"/>
    <w:rsid w:val="006928FB"/>
    <w:rsid w:val="0069301B"/>
    <w:rsid w:val="006933AA"/>
    <w:rsid w:val="006933EE"/>
    <w:rsid w:val="00694090"/>
    <w:rsid w:val="00694778"/>
    <w:rsid w:val="006949A7"/>
    <w:rsid w:val="00694F6D"/>
    <w:rsid w:val="00695C2A"/>
    <w:rsid w:val="006965AF"/>
    <w:rsid w:val="00696831"/>
    <w:rsid w:val="00696A25"/>
    <w:rsid w:val="00696F4A"/>
    <w:rsid w:val="00696F70"/>
    <w:rsid w:val="006972B4"/>
    <w:rsid w:val="00697516"/>
    <w:rsid w:val="006978B7"/>
    <w:rsid w:val="00697B87"/>
    <w:rsid w:val="006A0B48"/>
    <w:rsid w:val="006A20A8"/>
    <w:rsid w:val="006A260F"/>
    <w:rsid w:val="006A27C0"/>
    <w:rsid w:val="006A2C8E"/>
    <w:rsid w:val="006A307D"/>
    <w:rsid w:val="006A4276"/>
    <w:rsid w:val="006A4393"/>
    <w:rsid w:val="006A4FAF"/>
    <w:rsid w:val="006A5571"/>
    <w:rsid w:val="006A5F96"/>
    <w:rsid w:val="006A64D1"/>
    <w:rsid w:val="006A774B"/>
    <w:rsid w:val="006A7DE1"/>
    <w:rsid w:val="006B0172"/>
    <w:rsid w:val="006B03F3"/>
    <w:rsid w:val="006B0475"/>
    <w:rsid w:val="006B07D8"/>
    <w:rsid w:val="006B0976"/>
    <w:rsid w:val="006B0E4F"/>
    <w:rsid w:val="006B0EED"/>
    <w:rsid w:val="006B1255"/>
    <w:rsid w:val="006B1371"/>
    <w:rsid w:val="006B1563"/>
    <w:rsid w:val="006B18BD"/>
    <w:rsid w:val="006B28B7"/>
    <w:rsid w:val="006B2D69"/>
    <w:rsid w:val="006B38AA"/>
    <w:rsid w:val="006B3AD6"/>
    <w:rsid w:val="006B41A6"/>
    <w:rsid w:val="006B4898"/>
    <w:rsid w:val="006B4B55"/>
    <w:rsid w:val="006B4BCF"/>
    <w:rsid w:val="006B5BDD"/>
    <w:rsid w:val="006B6027"/>
    <w:rsid w:val="006B6724"/>
    <w:rsid w:val="006B678E"/>
    <w:rsid w:val="006B6836"/>
    <w:rsid w:val="006B6DDF"/>
    <w:rsid w:val="006B71C8"/>
    <w:rsid w:val="006B7EEA"/>
    <w:rsid w:val="006B7F89"/>
    <w:rsid w:val="006C01CE"/>
    <w:rsid w:val="006C0277"/>
    <w:rsid w:val="006C0324"/>
    <w:rsid w:val="006C041A"/>
    <w:rsid w:val="006C046E"/>
    <w:rsid w:val="006C080E"/>
    <w:rsid w:val="006C0B96"/>
    <w:rsid w:val="006C11A1"/>
    <w:rsid w:val="006C1434"/>
    <w:rsid w:val="006C145D"/>
    <w:rsid w:val="006C193F"/>
    <w:rsid w:val="006C29F1"/>
    <w:rsid w:val="006C2CB1"/>
    <w:rsid w:val="006C3921"/>
    <w:rsid w:val="006C3B1D"/>
    <w:rsid w:val="006C4067"/>
    <w:rsid w:val="006C449E"/>
    <w:rsid w:val="006C467C"/>
    <w:rsid w:val="006C4BCA"/>
    <w:rsid w:val="006C4CBD"/>
    <w:rsid w:val="006C5494"/>
    <w:rsid w:val="006C56DD"/>
    <w:rsid w:val="006C5869"/>
    <w:rsid w:val="006C592F"/>
    <w:rsid w:val="006C5CC1"/>
    <w:rsid w:val="006C5D48"/>
    <w:rsid w:val="006C63D8"/>
    <w:rsid w:val="006C7198"/>
    <w:rsid w:val="006C7462"/>
    <w:rsid w:val="006C78D3"/>
    <w:rsid w:val="006C7D46"/>
    <w:rsid w:val="006C7EE5"/>
    <w:rsid w:val="006D0401"/>
    <w:rsid w:val="006D0C27"/>
    <w:rsid w:val="006D2114"/>
    <w:rsid w:val="006D292A"/>
    <w:rsid w:val="006D29BA"/>
    <w:rsid w:val="006D2A2A"/>
    <w:rsid w:val="006D2B62"/>
    <w:rsid w:val="006D2C49"/>
    <w:rsid w:val="006D2D13"/>
    <w:rsid w:val="006D30FB"/>
    <w:rsid w:val="006D337A"/>
    <w:rsid w:val="006D3EDB"/>
    <w:rsid w:val="006D4BA5"/>
    <w:rsid w:val="006D5342"/>
    <w:rsid w:val="006D54AF"/>
    <w:rsid w:val="006D6622"/>
    <w:rsid w:val="006D6D82"/>
    <w:rsid w:val="006D7148"/>
    <w:rsid w:val="006D7F93"/>
    <w:rsid w:val="006E04F7"/>
    <w:rsid w:val="006E0AAD"/>
    <w:rsid w:val="006E0BF1"/>
    <w:rsid w:val="006E0C45"/>
    <w:rsid w:val="006E0D97"/>
    <w:rsid w:val="006E11DE"/>
    <w:rsid w:val="006E16F1"/>
    <w:rsid w:val="006E1CA6"/>
    <w:rsid w:val="006E1D41"/>
    <w:rsid w:val="006E2228"/>
    <w:rsid w:val="006E26D1"/>
    <w:rsid w:val="006E28C9"/>
    <w:rsid w:val="006E3293"/>
    <w:rsid w:val="006E33D2"/>
    <w:rsid w:val="006E410A"/>
    <w:rsid w:val="006E6022"/>
    <w:rsid w:val="006E60A3"/>
    <w:rsid w:val="006E6423"/>
    <w:rsid w:val="006E660D"/>
    <w:rsid w:val="006E6D3F"/>
    <w:rsid w:val="006F1B7B"/>
    <w:rsid w:val="006F1C20"/>
    <w:rsid w:val="006F1C9C"/>
    <w:rsid w:val="006F279B"/>
    <w:rsid w:val="006F2E8D"/>
    <w:rsid w:val="006F2FB4"/>
    <w:rsid w:val="006F30DB"/>
    <w:rsid w:val="006F330A"/>
    <w:rsid w:val="006F354A"/>
    <w:rsid w:val="006F3755"/>
    <w:rsid w:val="006F3A1C"/>
    <w:rsid w:val="006F3AD5"/>
    <w:rsid w:val="006F3C6D"/>
    <w:rsid w:val="006F4ED1"/>
    <w:rsid w:val="006F53C0"/>
    <w:rsid w:val="006F55C0"/>
    <w:rsid w:val="006F5E90"/>
    <w:rsid w:val="006F646B"/>
    <w:rsid w:val="006F754B"/>
    <w:rsid w:val="006F783B"/>
    <w:rsid w:val="006F7B02"/>
    <w:rsid w:val="0070024E"/>
    <w:rsid w:val="007004AC"/>
    <w:rsid w:val="007009B6"/>
    <w:rsid w:val="0070101D"/>
    <w:rsid w:val="0070139F"/>
    <w:rsid w:val="00701AFE"/>
    <w:rsid w:val="00702731"/>
    <w:rsid w:val="00702A3B"/>
    <w:rsid w:val="00702AB3"/>
    <w:rsid w:val="00702AB7"/>
    <w:rsid w:val="007035DC"/>
    <w:rsid w:val="0070387F"/>
    <w:rsid w:val="00703F25"/>
    <w:rsid w:val="007044D3"/>
    <w:rsid w:val="00705B67"/>
    <w:rsid w:val="00705D69"/>
    <w:rsid w:val="00706664"/>
    <w:rsid w:val="0070724D"/>
    <w:rsid w:val="00707ADB"/>
    <w:rsid w:val="007100BC"/>
    <w:rsid w:val="00710566"/>
    <w:rsid w:val="00710773"/>
    <w:rsid w:val="00710C9D"/>
    <w:rsid w:val="00711114"/>
    <w:rsid w:val="007111B8"/>
    <w:rsid w:val="007114A6"/>
    <w:rsid w:val="00711E04"/>
    <w:rsid w:val="00712CCD"/>
    <w:rsid w:val="007130D2"/>
    <w:rsid w:val="00713BD7"/>
    <w:rsid w:val="00713D16"/>
    <w:rsid w:val="00714105"/>
    <w:rsid w:val="0071433A"/>
    <w:rsid w:val="007150C2"/>
    <w:rsid w:val="007157D0"/>
    <w:rsid w:val="0071587A"/>
    <w:rsid w:val="00716494"/>
    <w:rsid w:val="00716958"/>
    <w:rsid w:val="00716D92"/>
    <w:rsid w:val="00717F73"/>
    <w:rsid w:val="0072071B"/>
    <w:rsid w:val="00720975"/>
    <w:rsid w:val="00720A27"/>
    <w:rsid w:val="00720A49"/>
    <w:rsid w:val="00721192"/>
    <w:rsid w:val="007211D4"/>
    <w:rsid w:val="007219A3"/>
    <w:rsid w:val="00722071"/>
    <w:rsid w:val="00722336"/>
    <w:rsid w:val="0072257E"/>
    <w:rsid w:val="00722A3A"/>
    <w:rsid w:val="00722C27"/>
    <w:rsid w:val="007232FE"/>
    <w:rsid w:val="007238C1"/>
    <w:rsid w:val="0072472B"/>
    <w:rsid w:val="00724EF5"/>
    <w:rsid w:val="00725328"/>
    <w:rsid w:val="007257CC"/>
    <w:rsid w:val="00725842"/>
    <w:rsid w:val="007267EC"/>
    <w:rsid w:val="00726F75"/>
    <w:rsid w:val="0072703C"/>
    <w:rsid w:val="007272EF"/>
    <w:rsid w:val="007276E6"/>
    <w:rsid w:val="007303D9"/>
    <w:rsid w:val="00730C29"/>
    <w:rsid w:val="00730F34"/>
    <w:rsid w:val="00732236"/>
    <w:rsid w:val="00732394"/>
    <w:rsid w:val="00732AE4"/>
    <w:rsid w:val="00732F3C"/>
    <w:rsid w:val="0073321A"/>
    <w:rsid w:val="007332CA"/>
    <w:rsid w:val="007341A4"/>
    <w:rsid w:val="007345F9"/>
    <w:rsid w:val="0073473B"/>
    <w:rsid w:val="00734ACE"/>
    <w:rsid w:val="007351D8"/>
    <w:rsid w:val="00735483"/>
    <w:rsid w:val="00735853"/>
    <w:rsid w:val="00736507"/>
    <w:rsid w:val="00736BC9"/>
    <w:rsid w:val="00737FEF"/>
    <w:rsid w:val="00740169"/>
    <w:rsid w:val="007402FF"/>
    <w:rsid w:val="007403DA"/>
    <w:rsid w:val="0074050B"/>
    <w:rsid w:val="007409AF"/>
    <w:rsid w:val="007415F1"/>
    <w:rsid w:val="00741B0D"/>
    <w:rsid w:val="00741B28"/>
    <w:rsid w:val="00742115"/>
    <w:rsid w:val="00742D93"/>
    <w:rsid w:val="00742FAF"/>
    <w:rsid w:val="00743182"/>
    <w:rsid w:val="00743A9C"/>
    <w:rsid w:val="00743D7A"/>
    <w:rsid w:val="00744269"/>
    <w:rsid w:val="00744F98"/>
    <w:rsid w:val="00745AF6"/>
    <w:rsid w:val="00745EFA"/>
    <w:rsid w:val="00746401"/>
    <w:rsid w:val="0074692D"/>
    <w:rsid w:val="007474BA"/>
    <w:rsid w:val="0074792A"/>
    <w:rsid w:val="0074799E"/>
    <w:rsid w:val="00750076"/>
    <w:rsid w:val="00750BE0"/>
    <w:rsid w:val="00751CCD"/>
    <w:rsid w:val="00751F83"/>
    <w:rsid w:val="007520D4"/>
    <w:rsid w:val="00752554"/>
    <w:rsid w:val="007525B3"/>
    <w:rsid w:val="0075290F"/>
    <w:rsid w:val="0075328F"/>
    <w:rsid w:val="00753338"/>
    <w:rsid w:val="00753449"/>
    <w:rsid w:val="00753F23"/>
    <w:rsid w:val="007544C9"/>
    <w:rsid w:val="00754D20"/>
    <w:rsid w:val="0075512F"/>
    <w:rsid w:val="0075553B"/>
    <w:rsid w:val="00755CDE"/>
    <w:rsid w:val="007560A0"/>
    <w:rsid w:val="00756253"/>
    <w:rsid w:val="00756C82"/>
    <w:rsid w:val="00756F3B"/>
    <w:rsid w:val="00756FDD"/>
    <w:rsid w:val="00757103"/>
    <w:rsid w:val="00760B87"/>
    <w:rsid w:val="00760D65"/>
    <w:rsid w:val="00761040"/>
    <w:rsid w:val="007616A7"/>
    <w:rsid w:val="00761AD5"/>
    <w:rsid w:val="00761CCA"/>
    <w:rsid w:val="00761CF1"/>
    <w:rsid w:val="0076235A"/>
    <w:rsid w:val="007627AF"/>
    <w:rsid w:val="00762842"/>
    <w:rsid w:val="00762E01"/>
    <w:rsid w:val="00763185"/>
    <w:rsid w:val="00763604"/>
    <w:rsid w:val="00763DCB"/>
    <w:rsid w:val="00763E1E"/>
    <w:rsid w:val="00764B15"/>
    <w:rsid w:val="00764F49"/>
    <w:rsid w:val="00765B4D"/>
    <w:rsid w:val="00765F8F"/>
    <w:rsid w:val="007660A2"/>
    <w:rsid w:val="0076783A"/>
    <w:rsid w:val="00767BF9"/>
    <w:rsid w:val="00767E8D"/>
    <w:rsid w:val="00767EC8"/>
    <w:rsid w:val="00770B8F"/>
    <w:rsid w:val="00770C3B"/>
    <w:rsid w:val="00770E74"/>
    <w:rsid w:val="0077143E"/>
    <w:rsid w:val="007714CD"/>
    <w:rsid w:val="00771A62"/>
    <w:rsid w:val="00771B64"/>
    <w:rsid w:val="007721AB"/>
    <w:rsid w:val="00772335"/>
    <w:rsid w:val="00772A94"/>
    <w:rsid w:val="00772CF4"/>
    <w:rsid w:val="00772E0A"/>
    <w:rsid w:val="0077335E"/>
    <w:rsid w:val="007733FB"/>
    <w:rsid w:val="00773AB6"/>
    <w:rsid w:val="007740E1"/>
    <w:rsid w:val="00775492"/>
    <w:rsid w:val="00776695"/>
    <w:rsid w:val="00776741"/>
    <w:rsid w:val="007773CD"/>
    <w:rsid w:val="00777755"/>
    <w:rsid w:val="00777B3E"/>
    <w:rsid w:val="00780CB9"/>
    <w:rsid w:val="007810CA"/>
    <w:rsid w:val="007814DD"/>
    <w:rsid w:val="00782310"/>
    <w:rsid w:val="007828DB"/>
    <w:rsid w:val="00782942"/>
    <w:rsid w:val="00784E5E"/>
    <w:rsid w:val="007851BF"/>
    <w:rsid w:val="007853A8"/>
    <w:rsid w:val="00785A97"/>
    <w:rsid w:val="00786711"/>
    <w:rsid w:val="0078684A"/>
    <w:rsid w:val="0078765F"/>
    <w:rsid w:val="00787716"/>
    <w:rsid w:val="00787A4B"/>
    <w:rsid w:val="00787E59"/>
    <w:rsid w:val="007900F0"/>
    <w:rsid w:val="0079012B"/>
    <w:rsid w:val="00790241"/>
    <w:rsid w:val="00790CA3"/>
    <w:rsid w:val="00790D37"/>
    <w:rsid w:val="00790DB0"/>
    <w:rsid w:val="00791390"/>
    <w:rsid w:val="00791996"/>
    <w:rsid w:val="00792123"/>
    <w:rsid w:val="00792185"/>
    <w:rsid w:val="00792361"/>
    <w:rsid w:val="00792655"/>
    <w:rsid w:val="0079343F"/>
    <w:rsid w:val="00793868"/>
    <w:rsid w:val="00793979"/>
    <w:rsid w:val="007941C7"/>
    <w:rsid w:val="0079426F"/>
    <w:rsid w:val="007947B6"/>
    <w:rsid w:val="00794827"/>
    <w:rsid w:val="007954CD"/>
    <w:rsid w:val="00795964"/>
    <w:rsid w:val="00795D07"/>
    <w:rsid w:val="007961D2"/>
    <w:rsid w:val="00796648"/>
    <w:rsid w:val="00796B98"/>
    <w:rsid w:val="0079708F"/>
    <w:rsid w:val="007970DA"/>
    <w:rsid w:val="007970E5"/>
    <w:rsid w:val="007975F8"/>
    <w:rsid w:val="00797C32"/>
    <w:rsid w:val="00797F01"/>
    <w:rsid w:val="007A014B"/>
    <w:rsid w:val="007A0994"/>
    <w:rsid w:val="007A0E8A"/>
    <w:rsid w:val="007A1653"/>
    <w:rsid w:val="007A1874"/>
    <w:rsid w:val="007A2C62"/>
    <w:rsid w:val="007A2C8B"/>
    <w:rsid w:val="007A2E5B"/>
    <w:rsid w:val="007A30FB"/>
    <w:rsid w:val="007A341C"/>
    <w:rsid w:val="007A38EE"/>
    <w:rsid w:val="007A3CE6"/>
    <w:rsid w:val="007A4B2F"/>
    <w:rsid w:val="007A4B82"/>
    <w:rsid w:val="007A4C0C"/>
    <w:rsid w:val="007A5820"/>
    <w:rsid w:val="007A5875"/>
    <w:rsid w:val="007A58E2"/>
    <w:rsid w:val="007A708C"/>
    <w:rsid w:val="007A7262"/>
    <w:rsid w:val="007A75A3"/>
    <w:rsid w:val="007A79D6"/>
    <w:rsid w:val="007A7D17"/>
    <w:rsid w:val="007B073A"/>
    <w:rsid w:val="007B112C"/>
    <w:rsid w:val="007B199B"/>
    <w:rsid w:val="007B2AE4"/>
    <w:rsid w:val="007B4F42"/>
    <w:rsid w:val="007B5023"/>
    <w:rsid w:val="007B574A"/>
    <w:rsid w:val="007B6036"/>
    <w:rsid w:val="007B65D9"/>
    <w:rsid w:val="007B6ADD"/>
    <w:rsid w:val="007B6B52"/>
    <w:rsid w:val="007B7227"/>
    <w:rsid w:val="007B74D5"/>
    <w:rsid w:val="007B75B6"/>
    <w:rsid w:val="007B76F3"/>
    <w:rsid w:val="007B78B6"/>
    <w:rsid w:val="007B7CE2"/>
    <w:rsid w:val="007C01A1"/>
    <w:rsid w:val="007C02DE"/>
    <w:rsid w:val="007C11D9"/>
    <w:rsid w:val="007C171A"/>
    <w:rsid w:val="007C1F36"/>
    <w:rsid w:val="007C2BC1"/>
    <w:rsid w:val="007C2E58"/>
    <w:rsid w:val="007C3277"/>
    <w:rsid w:val="007C3612"/>
    <w:rsid w:val="007C3A61"/>
    <w:rsid w:val="007C4493"/>
    <w:rsid w:val="007C463A"/>
    <w:rsid w:val="007C51D4"/>
    <w:rsid w:val="007C53E0"/>
    <w:rsid w:val="007C5F1F"/>
    <w:rsid w:val="007C60FE"/>
    <w:rsid w:val="007C66B2"/>
    <w:rsid w:val="007C730C"/>
    <w:rsid w:val="007C755C"/>
    <w:rsid w:val="007C7A81"/>
    <w:rsid w:val="007C7BB0"/>
    <w:rsid w:val="007D057D"/>
    <w:rsid w:val="007D09AE"/>
    <w:rsid w:val="007D1403"/>
    <w:rsid w:val="007D17E3"/>
    <w:rsid w:val="007D2712"/>
    <w:rsid w:val="007D2AD6"/>
    <w:rsid w:val="007D2B19"/>
    <w:rsid w:val="007D3150"/>
    <w:rsid w:val="007D3515"/>
    <w:rsid w:val="007D3C09"/>
    <w:rsid w:val="007D42BB"/>
    <w:rsid w:val="007D45D4"/>
    <w:rsid w:val="007D58D3"/>
    <w:rsid w:val="007D58D4"/>
    <w:rsid w:val="007D6159"/>
    <w:rsid w:val="007D63A4"/>
    <w:rsid w:val="007D6A68"/>
    <w:rsid w:val="007D6C87"/>
    <w:rsid w:val="007D7063"/>
    <w:rsid w:val="007D7892"/>
    <w:rsid w:val="007E00BA"/>
    <w:rsid w:val="007E00F7"/>
    <w:rsid w:val="007E13B0"/>
    <w:rsid w:val="007E16A2"/>
    <w:rsid w:val="007E174D"/>
    <w:rsid w:val="007E1F55"/>
    <w:rsid w:val="007E2097"/>
    <w:rsid w:val="007E2517"/>
    <w:rsid w:val="007E263D"/>
    <w:rsid w:val="007E2C0E"/>
    <w:rsid w:val="007E2FAB"/>
    <w:rsid w:val="007E33D0"/>
    <w:rsid w:val="007E351E"/>
    <w:rsid w:val="007E3A09"/>
    <w:rsid w:val="007E422B"/>
    <w:rsid w:val="007E487B"/>
    <w:rsid w:val="007E5275"/>
    <w:rsid w:val="007E54B6"/>
    <w:rsid w:val="007E6444"/>
    <w:rsid w:val="007E64D8"/>
    <w:rsid w:val="007E6AB5"/>
    <w:rsid w:val="007E77A0"/>
    <w:rsid w:val="007E7C24"/>
    <w:rsid w:val="007F07C1"/>
    <w:rsid w:val="007F1032"/>
    <w:rsid w:val="007F12E3"/>
    <w:rsid w:val="007F1C96"/>
    <w:rsid w:val="007F228A"/>
    <w:rsid w:val="007F275D"/>
    <w:rsid w:val="007F3270"/>
    <w:rsid w:val="007F3519"/>
    <w:rsid w:val="007F39B8"/>
    <w:rsid w:val="007F4787"/>
    <w:rsid w:val="007F4A2E"/>
    <w:rsid w:val="007F5F6B"/>
    <w:rsid w:val="007F6329"/>
    <w:rsid w:val="007F6A23"/>
    <w:rsid w:val="007F6A7D"/>
    <w:rsid w:val="007F719C"/>
    <w:rsid w:val="0080053C"/>
    <w:rsid w:val="00801351"/>
    <w:rsid w:val="008016A8"/>
    <w:rsid w:val="00802B20"/>
    <w:rsid w:val="00802E52"/>
    <w:rsid w:val="00803117"/>
    <w:rsid w:val="008033C9"/>
    <w:rsid w:val="008049CB"/>
    <w:rsid w:val="008049D5"/>
    <w:rsid w:val="00804C30"/>
    <w:rsid w:val="0080505D"/>
    <w:rsid w:val="0080576C"/>
    <w:rsid w:val="008057ED"/>
    <w:rsid w:val="00805870"/>
    <w:rsid w:val="008073BA"/>
    <w:rsid w:val="00807873"/>
    <w:rsid w:val="00807903"/>
    <w:rsid w:val="0081086F"/>
    <w:rsid w:val="00811033"/>
    <w:rsid w:val="008111B1"/>
    <w:rsid w:val="00811EAE"/>
    <w:rsid w:val="00812CF9"/>
    <w:rsid w:val="00812F30"/>
    <w:rsid w:val="00813770"/>
    <w:rsid w:val="008142E0"/>
    <w:rsid w:val="008149D4"/>
    <w:rsid w:val="00814FA1"/>
    <w:rsid w:val="0081598F"/>
    <w:rsid w:val="0081600C"/>
    <w:rsid w:val="0081627B"/>
    <w:rsid w:val="00816634"/>
    <w:rsid w:val="00816A4E"/>
    <w:rsid w:val="00816D5E"/>
    <w:rsid w:val="00816FDE"/>
    <w:rsid w:val="00817410"/>
    <w:rsid w:val="008175CC"/>
    <w:rsid w:val="008201F2"/>
    <w:rsid w:val="00820371"/>
    <w:rsid w:val="0082172C"/>
    <w:rsid w:val="00821F1B"/>
    <w:rsid w:val="0082263D"/>
    <w:rsid w:val="00822FA2"/>
    <w:rsid w:val="00823100"/>
    <w:rsid w:val="008238D2"/>
    <w:rsid w:val="008239B5"/>
    <w:rsid w:val="00824340"/>
    <w:rsid w:val="008243E5"/>
    <w:rsid w:val="00824428"/>
    <w:rsid w:val="00824482"/>
    <w:rsid w:val="0082493A"/>
    <w:rsid w:val="00824FF2"/>
    <w:rsid w:val="00825849"/>
    <w:rsid w:val="00825FFA"/>
    <w:rsid w:val="008268E2"/>
    <w:rsid w:val="00827D5E"/>
    <w:rsid w:val="00830949"/>
    <w:rsid w:val="00830E59"/>
    <w:rsid w:val="00831386"/>
    <w:rsid w:val="00832546"/>
    <w:rsid w:val="00832C2B"/>
    <w:rsid w:val="00833B3A"/>
    <w:rsid w:val="00833B7F"/>
    <w:rsid w:val="00833C2C"/>
    <w:rsid w:val="00833FE7"/>
    <w:rsid w:val="008341C4"/>
    <w:rsid w:val="00834579"/>
    <w:rsid w:val="00834714"/>
    <w:rsid w:val="00835373"/>
    <w:rsid w:val="0083573D"/>
    <w:rsid w:val="00836097"/>
    <w:rsid w:val="00836195"/>
    <w:rsid w:val="00836FD7"/>
    <w:rsid w:val="0083722C"/>
    <w:rsid w:val="008374B7"/>
    <w:rsid w:val="008374EB"/>
    <w:rsid w:val="00837802"/>
    <w:rsid w:val="00837A75"/>
    <w:rsid w:val="00837CA8"/>
    <w:rsid w:val="0084015A"/>
    <w:rsid w:val="00840A4B"/>
    <w:rsid w:val="008418D2"/>
    <w:rsid w:val="00841E2F"/>
    <w:rsid w:val="0084234F"/>
    <w:rsid w:val="0084266D"/>
    <w:rsid w:val="008428DD"/>
    <w:rsid w:val="00843529"/>
    <w:rsid w:val="00843DEA"/>
    <w:rsid w:val="00844536"/>
    <w:rsid w:val="00844682"/>
    <w:rsid w:val="00845EC4"/>
    <w:rsid w:val="0084601E"/>
    <w:rsid w:val="0084618E"/>
    <w:rsid w:val="008466E0"/>
    <w:rsid w:val="008470ED"/>
    <w:rsid w:val="00847157"/>
    <w:rsid w:val="00847919"/>
    <w:rsid w:val="00850140"/>
    <w:rsid w:val="00850C9F"/>
    <w:rsid w:val="00850DEC"/>
    <w:rsid w:val="00851B01"/>
    <w:rsid w:val="00852180"/>
    <w:rsid w:val="008525ED"/>
    <w:rsid w:val="00852824"/>
    <w:rsid w:val="008537E4"/>
    <w:rsid w:val="00853BF0"/>
    <w:rsid w:val="00853CED"/>
    <w:rsid w:val="00853D62"/>
    <w:rsid w:val="0085449D"/>
    <w:rsid w:val="008546E3"/>
    <w:rsid w:val="008548D7"/>
    <w:rsid w:val="00856499"/>
    <w:rsid w:val="008577EA"/>
    <w:rsid w:val="00860423"/>
    <w:rsid w:val="008608AF"/>
    <w:rsid w:val="00861A5B"/>
    <w:rsid w:val="00861F0E"/>
    <w:rsid w:val="00862012"/>
    <w:rsid w:val="00862098"/>
    <w:rsid w:val="008624C9"/>
    <w:rsid w:val="00862A9E"/>
    <w:rsid w:val="00863DB9"/>
    <w:rsid w:val="0086488D"/>
    <w:rsid w:val="00864970"/>
    <w:rsid w:val="00864F08"/>
    <w:rsid w:val="00865967"/>
    <w:rsid w:val="00865BC1"/>
    <w:rsid w:val="00865FCF"/>
    <w:rsid w:val="00865FD4"/>
    <w:rsid w:val="008663D3"/>
    <w:rsid w:val="00866920"/>
    <w:rsid w:val="00866953"/>
    <w:rsid w:val="00866A32"/>
    <w:rsid w:val="0086700E"/>
    <w:rsid w:val="00867754"/>
    <w:rsid w:val="008677A0"/>
    <w:rsid w:val="008677E9"/>
    <w:rsid w:val="00867CFE"/>
    <w:rsid w:val="00870123"/>
    <w:rsid w:val="0087075C"/>
    <w:rsid w:val="008709F1"/>
    <w:rsid w:val="00870BFD"/>
    <w:rsid w:val="00870D0A"/>
    <w:rsid w:val="00871008"/>
    <w:rsid w:val="00871031"/>
    <w:rsid w:val="0087134E"/>
    <w:rsid w:val="00871BE5"/>
    <w:rsid w:val="00871D8E"/>
    <w:rsid w:val="008724C3"/>
    <w:rsid w:val="00872CE8"/>
    <w:rsid w:val="00872ED3"/>
    <w:rsid w:val="00873735"/>
    <w:rsid w:val="00874D7A"/>
    <w:rsid w:val="00874FBE"/>
    <w:rsid w:val="008754F3"/>
    <w:rsid w:val="00876D07"/>
    <w:rsid w:val="008775C6"/>
    <w:rsid w:val="00877C1F"/>
    <w:rsid w:val="008803FD"/>
    <w:rsid w:val="008807A7"/>
    <w:rsid w:val="008818CD"/>
    <w:rsid w:val="00881C8F"/>
    <w:rsid w:val="0088263C"/>
    <w:rsid w:val="00883149"/>
    <w:rsid w:val="00883364"/>
    <w:rsid w:val="0088365F"/>
    <w:rsid w:val="0088367B"/>
    <w:rsid w:val="00884500"/>
    <w:rsid w:val="008854AD"/>
    <w:rsid w:val="00885BA3"/>
    <w:rsid w:val="00885C25"/>
    <w:rsid w:val="00885CC0"/>
    <w:rsid w:val="00886500"/>
    <w:rsid w:val="00886985"/>
    <w:rsid w:val="008869AA"/>
    <w:rsid w:val="00886B1B"/>
    <w:rsid w:val="0088701A"/>
    <w:rsid w:val="008873C8"/>
    <w:rsid w:val="00887C73"/>
    <w:rsid w:val="00890BBD"/>
    <w:rsid w:val="00890E65"/>
    <w:rsid w:val="008910BB"/>
    <w:rsid w:val="00891159"/>
    <w:rsid w:val="00891444"/>
    <w:rsid w:val="0089190B"/>
    <w:rsid w:val="00892EB0"/>
    <w:rsid w:val="008931EE"/>
    <w:rsid w:val="00893759"/>
    <w:rsid w:val="008941FD"/>
    <w:rsid w:val="00894482"/>
    <w:rsid w:val="00894A88"/>
    <w:rsid w:val="008950BD"/>
    <w:rsid w:val="00896033"/>
    <w:rsid w:val="008963EB"/>
    <w:rsid w:val="00896613"/>
    <w:rsid w:val="008967DC"/>
    <w:rsid w:val="00896868"/>
    <w:rsid w:val="00896CB5"/>
    <w:rsid w:val="00896E39"/>
    <w:rsid w:val="00896E96"/>
    <w:rsid w:val="008972DB"/>
    <w:rsid w:val="00897D74"/>
    <w:rsid w:val="00897DAA"/>
    <w:rsid w:val="008A06F9"/>
    <w:rsid w:val="008A0ADF"/>
    <w:rsid w:val="008A0FC1"/>
    <w:rsid w:val="008A184F"/>
    <w:rsid w:val="008A1BA2"/>
    <w:rsid w:val="008A1DE0"/>
    <w:rsid w:val="008A1FF6"/>
    <w:rsid w:val="008A2252"/>
    <w:rsid w:val="008A3466"/>
    <w:rsid w:val="008A347B"/>
    <w:rsid w:val="008A3F16"/>
    <w:rsid w:val="008A40C4"/>
    <w:rsid w:val="008A4668"/>
    <w:rsid w:val="008A4F09"/>
    <w:rsid w:val="008A5507"/>
    <w:rsid w:val="008A59DD"/>
    <w:rsid w:val="008A5BE5"/>
    <w:rsid w:val="008A5D65"/>
    <w:rsid w:val="008A61DF"/>
    <w:rsid w:val="008A6DFF"/>
    <w:rsid w:val="008A6F5B"/>
    <w:rsid w:val="008A7427"/>
    <w:rsid w:val="008B1986"/>
    <w:rsid w:val="008B1A45"/>
    <w:rsid w:val="008B2426"/>
    <w:rsid w:val="008B25A8"/>
    <w:rsid w:val="008B30FE"/>
    <w:rsid w:val="008B4E82"/>
    <w:rsid w:val="008B68F1"/>
    <w:rsid w:val="008B797A"/>
    <w:rsid w:val="008B7E64"/>
    <w:rsid w:val="008C075B"/>
    <w:rsid w:val="008C085A"/>
    <w:rsid w:val="008C0BC7"/>
    <w:rsid w:val="008C0E3B"/>
    <w:rsid w:val="008C0F3E"/>
    <w:rsid w:val="008C12D3"/>
    <w:rsid w:val="008C1E61"/>
    <w:rsid w:val="008C2827"/>
    <w:rsid w:val="008C291E"/>
    <w:rsid w:val="008C2CD3"/>
    <w:rsid w:val="008C3098"/>
    <w:rsid w:val="008C31B1"/>
    <w:rsid w:val="008C33E2"/>
    <w:rsid w:val="008C34C1"/>
    <w:rsid w:val="008C37BB"/>
    <w:rsid w:val="008C3A25"/>
    <w:rsid w:val="008C3B44"/>
    <w:rsid w:val="008C4DA6"/>
    <w:rsid w:val="008C51C3"/>
    <w:rsid w:val="008C53D5"/>
    <w:rsid w:val="008C5502"/>
    <w:rsid w:val="008C5B22"/>
    <w:rsid w:val="008C5CDC"/>
    <w:rsid w:val="008C74BE"/>
    <w:rsid w:val="008C76BB"/>
    <w:rsid w:val="008C77C3"/>
    <w:rsid w:val="008C7A5E"/>
    <w:rsid w:val="008D0290"/>
    <w:rsid w:val="008D0765"/>
    <w:rsid w:val="008D0849"/>
    <w:rsid w:val="008D15B5"/>
    <w:rsid w:val="008D19B0"/>
    <w:rsid w:val="008D1F63"/>
    <w:rsid w:val="008D34D2"/>
    <w:rsid w:val="008D37B8"/>
    <w:rsid w:val="008D39B7"/>
    <w:rsid w:val="008D5799"/>
    <w:rsid w:val="008D616B"/>
    <w:rsid w:val="008D6298"/>
    <w:rsid w:val="008D668D"/>
    <w:rsid w:val="008D6BEA"/>
    <w:rsid w:val="008D71A2"/>
    <w:rsid w:val="008D7670"/>
    <w:rsid w:val="008D78B7"/>
    <w:rsid w:val="008D7B5F"/>
    <w:rsid w:val="008E18A2"/>
    <w:rsid w:val="008E1F41"/>
    <w:rsid w:val="008E1F9B"/>
    <w:rsid w:val="008E2243"/>
    <w:rsid w:val="008E236F"/>
    <w:rsid w:val="008E3205"/>
    <w:rsid w:val="008E32A5"/>
    <w:rsid w:val="008E3F40"/>
    <w:rsid w:val="008E49C1"/>
    <w:rsid w:val="008E4F9D"/>
    <w:rsid w:val="008E5297"/>
    <w:rsid w:val="008E6789"/>
    <w:rsid w:val="008E68CF"/>
    <w:rsid w:val="008E6924"/>
    <w:rsid w:val="008E6ECE"/>
    <w:rsid w:val="008E7AB6"/>
    <w:rsid w:val="008E7B2C"/>
    <w:rsid w:val="008F047C"/>
    <w:rsid w:val="008F0700"/>
    <w:rsid w:val="008F0855"/>
    <w:rsid w:val="008F13AA"/>
    <w:rsid w:val="008F15DE"/>
    <w:rsid w:val="008F197F"/>
    <w:rsid w:val="008F19BE"/>
    <w:rsid w:val="008F1C0B"/>
    <w:rsid w:val="008F1FDE"/>
    <w:rsid w:val="008F2303"/>
    <w:rsid w:val="008F23F2"/>
    <w:rsid w:val="008F39C0"/>
    <w:rsid w:val="008F3B36"/>
    <w:rsid w:val="008F3BE0"/>
    <w:rsid w:val="008F4869"/>
    <w:rsid w:val="008F4BC0"/>
    <w:rsid w:val="008F50FC"/>
    <w:rsid w:val="008F5DCC"/>
    <w:rsid w:val="008F61E2"/>
    <w:rsid w:val="008F6345"/>
    <w:rsid w:val="008F7A1C"/>
    <w:rsid w:val="009009C1"/>
    <w:rsid w:val="00900E00"/>
    <w:rsid w:val="0090186C"/>
    <w:rsid w:val="0090195B"/>
    <w:rsid w:val="0090224A"/>
    <w:rsid w:val="00902722"/>
    <w:rsid w:val="009032B3"/>
    <w:rsid w:val="00903798"/>
    <w:rsid w:val="009037BE"/>
    <w:rsid w:val="00904233"/>
    <w:rsid w:val="009046C3"/>
    <w:rsid w:val="00904B20"/>
    <w:rsid w:val="00904E20"/>
    <w:rsid w:val="00904EE6"/>
    <w:rsid w:val="009060A0"/>
    <w:rsid w:val="00906460"/>
    <w:rsid w:val="009065E7"/>
    <w:rsid w:val="009067DC"/>
    <w:rsid w:val="00906C63"/>
    <w:rsid w:val="00906EC4"/>
    <w:rsid w:val="009074C8"/>
    <w:rsid w:val="00907D68"/>
    <w:rsid w:val="00910498"/>
    <w:rsid w:val="009107C2"/>
    <w:rsid w:val="00910BE7"/>
    <w:rsid w:val="009114FA"/>
    <w:rsid w:val="0091229D"/>
    <w:rsid w:val="00912677"/>
    <w:rsid w:val="00912BC5"/>
    <w:rsid w:val="00912F79"/>
    <w:rsid w:val="00913084"/>
    <w:rsid w:val="0091420F"/>
    <w:rsid w:val="00914478"/>
    <w:rsid w:val="00914A02"/>
    <w:rsid w:val="00914F85"/>
    <w:rsid w:val="009150CD"/>
    <w:rsid w:val="00915235"/>
    <w:rsid w:val="0091560E"/>
    <w:rsid w:val="00915E2C"/>
    <w:rsid w:val="00915FAE"/>
    <w:rsid w:val="00916792"/>
    <w:rsid w:val="00916CDC"/>
    <w:rsid w:val="0091764C"/>
    <w:rsid w:val="009179D8"/>
    <w:rsid w:val="009206BA"/>
    <w:rsid w:val="00920862"/>
    <w:rsid w:val="00920D58"/>
    <w:rsid w:val="00921250"/>
    <w:rsid w:val="00921626"/>
    <w:rsid w:val="00921905"/>
    <w:rsid w:val="00921F84"/>
    <w:rsid w:val="00922363"/>
    <w:rsid w:val="009226F9"/>
    <w:rsid w:val="0092296D"/>
    <w:rsid w:val="00922C3D"/>
    <w:rsid w:val="0092398B"/>
    <w:rsid w:val="00923C76"/>
    <w:rsid w:val="00923D70"/>
    <w:rsid w:val="0092403A"/>
    <w:rsid w:val="00924B82"/>
    <w:rsid w:val="00924BC2"/>
    <w:rsid w:val="00925E7A"/>
    <w:rsid w:val="009266F3"/>
    <w:rsid w:val="00926E9E"/>
    <w:rsid w:val="00927726"/>
    <w:rsid w:val="009277F7"/>
    <w:rsid w:val="00927F64"/>
    <w:rsid w:val="00930AC9"/>
    <w:rsid w:val="00930DA7"/>
    <w:rsid w:val="00931CA4"/>
    <w:rsid w:val="00931D3F"/>
    <w:rsid w:val="00931F56"/>
    <w:rsid w:val="00932EB6"/>
    <w:rsid w:val="00932F72"/>
    <w:rsid w:val="0093314F"/>
    <w:rsid w:val="009332E1"/>
    <w:rsid w:val="009337D6"/>
    <w:rsid w:val="00934489"/>
    <w:rsid w:val="0093558E"/>
    <w:rsid w:val="0093611E"/>
    <w:rsid w:val="009366BF"/>
    <w:rsid w:val="00936DA9"/>
    <w:rsid w:val="00937A1A"/>
    <w:rsid w:val="00937A77"/>
    <w:rsid w:val="009405AF"/>
    <w:rsid w:val="00940CA7"/>
    <w:rsid w:val="00940DD7"/>
    <w:rsid w:val="00941196"/>
    <w:rsid w:val="0094129C"/>
    <w:rsid w:val="0094161D"/>
    <w:rsid w:val="00941C48"/>
    <w:rsid w:val="00942426"/>
    <w:rsid w:val="009427E5"/>
    <w:rsid w:val="00942A20"/>
    <w:rsid w:val="00943707"/>
    <w:rsid w:val="00943ED7"/>
    <w:rsid w:val="009447CF"/>
    <w:rsid w:val="00944CA8"/>
    <w:rsid w:val="00944DE9"/>
    <w:rsid w:val="0094537C"/>
    <w:rsid w:val="009456D4"/>
    <w:rsid w:val="00945D26"/>
    <w:rsid w:val="00947212"/>
    <w:rsid w:val="00947AEE"/>
    <w:rsid w:val="00950551"/>
    <w:rsid w:val="009511AA"/>
    <w:rsid w:val="00951884"/>
    <w:rsid w:val="00953137"/>
    <w:rsid w:val="009541C6"/>
    <w:rsid w:val="009544BE"/>
    <w:rsid w:val="009551C9"/>
    <w:rsid w:val="009551F6"/>
    <w:rsid w:val="00955771"/>
    <w:rsid w:val="009559D4"/>
    <w:rsid w:val="00955F48"/>
    <w:rsid w:val="009566E5"/>
    <w:rsid w:val="00956FB7"/>
    <w:rsid w:val="009573D0"/>
    <w:rsid w:val="00957E9B"/>
    <w:rsid w:val="0096066E"/>
    <w:rsid w:val="009608E6"/>
    <w:rsid w:val="00960FA3"/>
    <w:rsid w:val="009610E8"/>
    <w:rsid w:val="0096167B"/>
    <w:rsid w:val="00961E59"/>
    <w:rsid w:val="00961FCA"/>
    <w:rsid w:val="009620A6"/>
    <w:rsid w:val="009625AA"/>
    <w:rsid w:val="009627E1"/>
    <w:rsid w:val="009628D1"/>
    <w:rsid w:val="00963BD2"/>
    <w:rsid w:val="009647F1"/>
    <w:rsid w:val="00964946"/>
    <w:rsid w:val="00964C08"/>
    <w:rsid w:val="00964CB2"/>
    <w:rsid w:val="00965ED6"/>
    <w:rsid w:val="00966645"/>
    <w:rsid w:val="009671FF"/>
    <w:rsid w:val="00967B96"/>
    <w:rsid w:val="00970339"/>
    <w:rsid w:val="00970518"/>
    <w:rsid w:val="009705F6"/>
    <w:rsid w:val="00970A2A"/>
    <w:rsid w:val="009718A7"/>
    <w:rsid w:val="009719F1"/>
    <w:rsid w:val="00971A53"/>
    <w:rsid w:val="009722D7"/>
    <w:rsid w:val="009723DD"/>
    <w:rsid w:val="009725E8"/>
    <w:rsid w:val="00972812"/>
    <w:rsid w:val="0097306A"/>
    <w:rsid w:val="00973B34"/>
    <w:rsid w:val="00973C85"/>
    <w:rsid w:val="009759B5"/>
    <w:rsid w:val="00975C8B"/>
    <w:rsid w:val="0097749A"/>
    <w:rsid w:val="009776B7"/>
    <w:rsid w:val="009804B7"/>
    <w:rsid w:val="0098083C"/>
    <w:rsid w:val="00980D55"/>
    <w:rsid w:val="00981829"/>
    <w:rsid w:val="009819DA"/>
    <w:rsid w:val="00981E97"/>
    <w:rsid w:val="00982743"/>
    <w:rsid w:val="00982EC7"/>
    <w:rsid w:val="00983314"/>
    <w:rsid w:val="00983A02"/>
    <w:rsid w:val="00983CBD"/>
    <w:rsid w:val="0098593B"/>
    <w:rsid w:val="00986F26"/>
    <w:rsid w:val="0099050F"/>
    <w:rsid w:val="00990577"/>
    <w:rsid w:val="0099079F"/>
    <w:rsid w:val="0099103F"/>
    <w:rsid w:val="00991726"/>
    <w:rsid w:val="00991A81"/>
    <w:rsid w:val="00991E57"/>
    <w:rsid w:val="00992586"/>
    <w:rsid w:val="00992596"/>
    <w:rsid w:val="0099271B"/>
    <w:rsid w:val="009928DB"/>
    <w:rsid w:val="00992DA4"/>
    <w:rsid w:val="00992E8D"/>
    <w:rsid w:val="00992FD2"/>
    <w:rsid w:val="009937D7"/>
    <w:rsid w:val="00993955"/>
    <w:rsid w:val="00993DDA"/>
    <w:rsid w:val="00993F96"/>
    <w:rsid w:val="00994D44"/>
    <w:rsid w:val="009952F2"/>
    <w:rsid w:val="00995B50"/>
    <w:rsid w:val="00995C73"/>
    <w:rsid w:val="00995DFD"/>
    <w:rsid w:val="00996231"/>
    <w:rsid w:val="009962A7"/>
    <w:rsid w:val="00996C83"/>
    <w:rsid w:val="0099792D"/>
    <w:rsid w:val="009A008F"/>
    <w:rsid w:val="009A01C4"/>
    <w:rsid w:val="009A1918"/>
    <w:rsid w:val="009A191E"/>
    <w:rsid w:val="009A1EC2"/>
    <w:rsid w:val="009A200C"/>
    <w:rsid w:val="009A23AA"/>
    <w:rsid w:val="009A2CCA"/>
    <w:rsid w:val="009A2E47"/>
    <w:rsid w:val="009A2ED6"/>
    <w:rsid w:val="009A368D"/>
    <w:rsid w:val="009A36CB"/>
    <w:rsid w:val="009A3762"/>
    <w:rsid w:val="009A4265"/>
    <w:rsid w:val="009A4338"/>
    <w:rsid w:val="009A4EC6"/>
    <w:rsid w:val="009A4FDE"/>
    <w:rsid w:val="009A50E8"/>
    <w:rsid w:val="009A5218"/>
    <w:rsid w:val="009A538E"/>
    <w:rsid w:val="009A59FB"/>
    <w:rsid w:val="009A623F"/>
    <w:rsid w:val="009A640A"/>
    <w:rsid w:val="009A6492"/>
    <w:rsid w:val="009A64EB"/>
    <w:rsid w:val="009A65B9"/>
    <w:rsid w:val="009A79E6"/>
    <w:rsid w:val="009A7C7C"/>
    <w:rsid w:val="009B0A5A"/>
    <w:rsid w:val="009B1B04"/>
    <w:rsid w:val="009B2732"/>
    <w:rsid w:val="009B2C20"/>
    <w:rsid w:val="009B3306"/>
    <w:rsid w:val="009B5165"/>
    <w:rsid w:val="009B6333"/>
    <w:rsid w:val="009B696D"/>
    <w:rsid w:val="009B737A"/>
    <w:rsid w:val="009B748E"/>
    <w:rsid w:val="009B755A"/>
    <w:rsid w:val="009B78F5"/>
    <w:rsid w:val="009C07D5"/>
    <w:rsid w:val="009C0FC5"/>
    <w:rsid w:val="009C14A0"/>
    <w:rsid w:val="009C16F2"/>
    <w:rsid w:val="009C2138"/>
    <w:rsid w:val="009C277E"/>
    <w:rsid w:val="009C36AB"/>
    <w:rsid w:val="009C3B19"/>
    <w:rsid w:val="009C4015"/>
    <w:rsid w:val="009C4106"/>
    <w:rsid w:val="009C4AD0"/>
    <w:rsid w:val="009C51B3"/>
    <w:rsid w:val="009C7398"/>
    <w:rsid w:val="009C782A"/>
    <w:rsid w:val="009C7D5B"/>
    <w:rsid w:val="009D079B"/>
    <w:rsid w:val="009D0DFF"/>
    <w:rsid w:val="009D1C5F"/>
    <w:rsid w:val="009D2199"/>
    <w:rsid w:val="009D2C72"/>
    <w:rsid w:val="009D3234"/>
    <w:rsid w:val="009D3E41"/>
    <w:rsid w:val="009D487B"/>
    <w:rsid w:val="009D4A5E"/>
    <w:rsid w:val="009D4DD5"/>
    <w:rsid w:val="009D508E"/>
    <w:rsid w:val="009D57C7"/>
    <w:rsid w:val="009D5A89"/>
    <w:rsid w:val="009D5E85"/>
    <w:rsid w:val="009D5E89"/>
    <w:rsid w:val="009D643B"/>
    <w:rsid w:val="009D644C"/>
    <w:rsid w:val="009D6AB4"/>
    <w:rsid w:val="009D6AF2"/>
    <w:rsid w:val="009D7498"/>
    <w:rsid w:val="009D7C8D"/>
    <w:rsid w:val="009D7F0E"/>
    <w:rsid w:val="009E037D"/>
    <w:rsid w:val="009E07A1"/>
    <w:rsid w:val="009E08D1"/>
    <w:rsid w:val="009E13BD"/>
    <w:rsid w:val="009E1538"/>
    <w:rsid w:val="009E1851"/>
    <w:rsid w:val="009E1C82"/>
    <w:rsid w:val="009E1F5C"/>
    <w:rsid w:val="009E3920"/>
    <w:rsid w:val="009E3BA9"/>
    <w:rsid w:val="009E3C13"/>
    <w:rsid w:val="009E3D3C"/>
    <w:rsid w:val="009E4544"/>
    <w:rsid w:val="009E479C"/>
    <w:rsid w:val="009E5621"/>
    <w:rsid w:val="009E6279"/>
    <w:rsid w:val="009F01F6"/>
    <w:rsid w:val="009F0548"/>
    <w:rsid w:val="009F0D78"/>
    <w:rsid w:val="009F2127"/>
    <w:rsid w:val="009F2409"/>
    <w:rsid w:val="009F24D3"/>
    <w:rsid w:val="009F2EB8"/>
    <w:rsid w:val="009F34ED"/>
    <w:rsid w:val="009F3BF0"/>
    <w:rsid w:val="009F3D05"/>
    <w:rsid w:val="009F4FEA"/>
    <w:rsid w:val="009F5185"/>
    <w:rsid w:val="009F54B7"/>
    <w:rsid w:val="009F6047"/>
    <w:rsid w:val="009F6FEF"/>
    <w:rsid w:val="009F7637"/>
    <w:rsid w:val="009F767E"/>
    <w:rsid w:val="00A0026E"/>
    <w:rsid w:val="00A00352"/>
    <w:rsid w:val="00A02783"/>
    <w:rsid w:val="00A02CE4"/>
    <w:rsid w:val="00A02D23"/>
    <w:rsid w:val="00A02F67"/>
    <w:rsid w:val="00A02FD5"/>
    <w:rsid w:val="00A038B3"/>
    <w:rsid w:val="00A04105"/>
    <w:rsid w:val="00A04210"/>
    <w:rsid w:val="00A04B06"/>
    <w:rsid w:val="00A04BE6"/>
    <w:rsid w:val="00A04F3A"/>
    <w:rsid w:val="00A06A7F"/>
    <w:rsid w:val="00A06E34"/>
    <w:rsid w:val="00A07112"/>
    <w:rsid w:val="00A077A9"/>
    <w:rsid w:val="00A104F8"/>
    <w:rsid w:val="00A10649"/>
    <w:rsid w:val="00A115E7"/>
    <w:rsid w:val="00A1162C"/>
    <w:rsid w:val="00A12694"/>
    <w:rsid w:val="00A12C70"/>
    <w:rsid w:val="00A12ED7"/>
    <w:rsid w:val="00A134C7"/>
    <w:rsid w:val="00A13FCF"/>
    <w:rsid w:val="00A14669"/>
    <w:rsid w:val="00A14C98"/>
    <w:rsid w:val="00A1534D"/>
    <w:rsid w:val="00A17693"/>
    <w:rsid w:val="00A2186F"/>
    <w:rsid w:val="00A21990"/>
    <w:rsid w:val="00A21A94"/>
    <w:rsid w:val="00A224DC"/>
    <w:rsid w:val="00A22950"/>
    <w:rsid w:val="00A23167"/>
    <w:rsid w:val="00A231CC"/>
    <w:rsid w:val="00A2357F"/>
    <w:rsid w:val="00A255EC"/>
    <w:rsid w:val="00A25C70"/>
    <w:rsid w:val="00A26028"/>
    <w:rsid w:val="00A26097"/>
    <w:rsid w:val="00A2728C"/>
    <w:rsid w:val="00A277CF"/>
    <w:rsid w:val="00A30CDB"/>
    <w:rsid w:val="00A30E85"/>
    <w:rsid w:val="00A32112"/>
    <w:rsid w:val="00A32422"/>
    <w:rsid w:val="00A3273F"/>
    <w:rsid w:val="00A32B8E"/>
    <w:rsid w:val="00A339AB"/>
    <w:rsid w:val="00A33EBB"/>
    <w:rsid w:val="00A34025"/>
    <w:rsid w:val="00A34032"/>
    <w:rsid w:val="00A34AD5"/>
    <w:rsid w:val="00A34F6C"/>
    <w:rsid w:val="00A35211"/>
    <w:rsid w:val="00A3542C"/>
    <w:rsid w:val="00A36A6D"/>
    <w:rsid w:val="00A36F9F"/>
    <w:rsid w:val="00A37979"/>
    <w:rsid w:val="00A407DF"/>
    <w:rsid w:val="00A4121C"/>
    <w:rsid w:val="00A41259"/>
    <w:rsid w:val="00A41A55"/>
    <w:rsid w:val="00A422B1"/>
    <w:rsid w:val="00A424BD"/>
    <w:rsid w:val="00A42822"/>
    <w:rsid w:val="00A429EA"/>
    <w:rsid w:val="00A42CEC"/>
    <w:rsid w:val="00A43ECC"/>
    <w:rsid w:val="00A4417C"/>
    <w:rsid w:val="00A44A87"/>
    <w:rsid w:val="00A45530"/>
    <w:rsid w:val="00A455A7"/>
    <w:rsid w:val="00A4592C"/>
    <w:rsid w:val="00A46B03"/>
    <w:rsid w:val="00A470D3"/>
    <w:rsid w:val="00A47579"/>
    <w:rsid w:val="00A47781"/>
    <w:rsid w:val="00A477CB"/>
    <w:rsid w:val="00A477CC"/>
    <w:rsid w:val="00A47E13"/>
    <w:rsid w:val="00A500CA"/>
    <w:rsid w:val="00A503BD"/>
    <w:rsid w:val="00A50658"/>
    <w:rsid w:val="00A51002"/>
    <w:rsid w:val="00A51669"/>
    <w:rsid w:val="00A516CE"/>
    <w:rsid w:val="00A5173F"/>
    <w:rsid w:val="00A51A9A"/>
    <w:rsid w:val="00A53C02"/>
    <w:rsid w:val="00A54148"/>
    <w:rsid w:val="00A5516B"/>
    <w:rsid w:val="00A5545D"/>
    <w:rsid w:val="00A570E4"/>
    <w:rsid w:val="00A57342"/>
    <w:rsid w:val="00A573B8"/>
    <w:rsid w:val="00A576A6"/>
    <w:rsid w:val="00A601E0"/>
    <w:rsid w:val="00A60DE4"/>
    <w:rsid w:val="00A610C5"/>
    <w:rsid w:val="00A615A1"/>
    <w:rsid w:val="00A6274B"/>
    <w:rsid w:val="00A62C74"/>
    <w:rsid w:val="00A62CAF"/>
    <w:rsid w:val="00A62CEB"/>
    <w:rsid w:val="00A638D7"/>
    <w:rsid w:val="00A6390B"/>
    <w:rsid w:val="00A63D0D"/>
    <w:rsid w:val="00A6498F"/>
    <w:rsid w:val="00A65C52"/>
    <w:rsid w:val="00A65DB0"/>
    <w:rsid w:val="00A65E6B"/>
    <w:rsid w:val="00A65E87"/>
    <w:rsid w:val="00A66244"/>
    <w:rsid w:val="00A6710F"/>
    <w:rsid w:val="00A678B2"/>
    <w:rsid w:val="00A701C5"/>
    <w:rsid w:val="00A70D09"/>
    <w:rsid w:val="00A71C01"/>
    <w:rsid w:val="00A71E8A"/>
    <w:rsid w:val="00A71EEA"/>
    <w:rsid w:val="00A72B21"/>
    <w:rsid w:val="00A72CF8"/>
    <w:rsid w:val="00A73A7B"/>
    <w:rsid w:val="00A7425A"/>
    <w:rsid w:val="00A747CA"/>
    <w:rsid w:val="00A7515D"/>
    <w:rsid w:val="00A752A7"/>
    <w:rsid w:val="00A75536"/>
    <w:rsid w:val="00A75723"/>
    <w:rsid w:val="00A75FBB"/>
    <w:rsid w:val="00A765BC"/>
    <w:rsid w:val="00A76EDD"/>
    <w:rsid w:val="00A76FF4"/>
    <w:rsid w:val="00A77015"/>
    <w:rsid w:val="00A778D7"/>
    <w:rsid w:val="00A77A7A"/>
    <w:rsid w:val="00A80A7C"/>
    <w:rsid w:val="00A80F92"/>
    <w:rsid w:val="00A81075"/>
    <w:rsid w:val="00A8142B"/>
    <w:rsid w:val="00A81C9D"/>
    <w:rsid w:val="00A81F57"/>
    <w:rsid w:val="00A82308"/>
    <w:rsid w:val="00A83E63"/>
    <w:rsid w:val="00A84084"/>
    <w:rsid w:val="00A8422D"/>
    <w:rsid w:val="00A84344"/>
    <w:rsid w:val="00A854BF"/>
    <w:rsid w:val="00A85694"/>
    <w:rsid w:val="00A85AE8"/>
    <w:rsid w:val="00A85FAE"/>
    <w:rsid w:val="00A86C57"/>
    <w:rsid w:val="00A86CC5"/>
    <w:rsid w:val="00A87FE3"/>
    <w:rsid w:val="00A9001B"/>
    <w:rsid w:val="00A9045D"/>
    <w:rsid w:val="00A9080A"/>
    <w:rsid w:val="00A909F2"/>
    <w:rsid w:val="00A90E7A"/>
    <w:rsid w:val="00A91233"/>
    <w:rsid w:val="00A91CBB"/>
    <w:rsid w:val="00A9290F"/>
    <w:rsid w:val="00A93471"/>
    <w:rsid w:val="00A944FA"/>
    <w:rsid w:val="00A94694"/>
    <w:rsid w:val="00A95A7B"/>
    <w:rsid w:val="00A95E4B"/>
    <w:rsid w:val="00A95E7F"/>
    <w:rsid w:val="00A96486"/>
    <w:rsid w:val="00A96767"/>
    <w:rsid w:val="00A9681E"/>
    <w:rsid w:val="00A97864"/>
    <w:rsid w:val="00AA0FBC"/>
    <w:rsid w:val="00AA0FDF"/>
    <w:rsid w:val="00AA2411"/>
    <w:rsid w:val="00AA2653"/>
    <w:rsid w:val="00AA2D5A"/>
    <w:rsid w:val="00AA2F1B"/>
    <w:rsid w:val="00AA3300"/>
    <w:rsid w:val="00AA36D5"/>
    <w:rsid w:val="00AA47CF"/>
    <w:rsid w:val="00AA4B70"/>
    <w:rsid w:val="00AA4F3B"/>
    <w:rsid w:val="00AA62ED"/>
    <w:rsid w:val="00AA63D2"/>
    <w:rsid w:val="00AA6F19"/>
    <w:rsid w:val="00AA72D6"/>
    <w:rsid w:val="00AA7490"/>
    <w:rsid w:val="00AB0413"/>
    <w:rsid w:val="00AB06D9"/>
    <w:rsid w:val="00AB09DB"/>
    <w:rsid w:val="00AB0B38"/>
    <w:rsid w:val="00AB0D9F"/>
    <w:rsid w:val="00AB16D4"/>
    <w:rsid w:val="00AB19B2"/>
    <w:rsid w:val="00AB29F9"/>
    <w:rsid w:val="00AB2FF9"/>
    <w:rsid w:val="00AB3014"/>
    <w:rsid w:val="00AB3EE3"/>
    <w:rsid w:val="00AB5648"/>
    <w:rsid w:val="00AB6855"/>
    <w:rsid w:val="00AB7B9F"/>
    <w:rsid w:val="00AB7EBB"/>
    <w:rsid w:val="00AC1135"/>
    <w:rsid w:val="00AC114C"/>
    <w:rsid w:val="00AC18FA"/>
    <w:rsid w:val="00AC2440"/>
    <w:rsid w:val="00AC26ED"/>
    <w:rsid w:val="00AC2759"/>
    <w:rsid w:val="00AC2A64"/>
    <w:rsid w:val="00AC2FB2"/>
    <w:rsid w:val="00AC314D"/>
    <w:rsid w:val="00AC39A3"/>
    <w:rsid w:val="00AC3DB2"/>
    <w:rsid w:val="00AC3E1E"/>
    <w:rsid w:val="00AC52A3"/>
    <w:rsid w:val="00AC5A17"/>
    <w:rsid w:val="00AC5E19"/>
    <w:rsid w:val="00AC6FD6"/>
    <w:rsid w:val="00AC769D"/>
    <w:rsid w:val="00AC79F1"/>
    <w:rsid w:val="00AC7A69"/>
    <w:rsid w:val="00AC7BFD"/>
    <w:rsid w:val="00AC7F04"/>
    <w:rsid w:val="00AC7F24"/>
    <w:rsid w:val="00AD027D"/>
    <w:rsid w:val="00AD03B9"/>
    <w:rsid w:val="00AD04D8"/>
    <w:rsid w:val="00AD0512"/>
    <w:rsid w:val="00AD0D8D"/>
    <w:rsid w:val="00AD0EAF"/>
    <w:rsid w:val="00AD0F3B"/>
    <w:rsid w:val="00AD13CB"/>
    <w:rsid w:val="00AD16F9"/>
    <w:rsid w:val="00AD1D2C"/>
    <w:rsid w:val="00AD25F0"/>
    <w:rsid w:val="00AD2C60"/>
    <w:rsid w:val="00AD2CA8"/>
    <w:rsid w:val="00AD44C9"/>
    <w:rsid w:val="00AD48F8"/>
    <w:rsid w:val="00AD5178"/>
    <w:rsid w:val="00AD5329"/>
    <w:rsid w:val="00AD5359"/>
    <w:rsid w:val="00AD5770"/>
    <w:rsid w:val="00AD5912"/>
    <w:rsid w:val="00AD6B2F"/>
    <w:rsid w:val="00AD6D99"/>
    <w:rsid w:val="00AD6F66"/>
    <w:rsid w:val="00AD721D"/>
    <w:rsid w:val="00AD78BB"/>
    <w:rsid w:val="00AD7A15"/>
    <w:rsid w:val="00AE0ABF"/>
    <w:rsid w:val="00AE0C69"/>
    <w:rsid w:val="00AE0CE8"/>
    <w:rsid w:val="00AE13A6"/>
    <w:rsid w:val="00AE1594"/>
    <w:rsid w:val="00AE27C7"/>
    <w:rsid w:val="00AE28AA"/>
    <w:rsid w:val="00AE2BB4"/>
    <w:rsid w:val="00AE49AD"/>
    <w:rsid w:val="00AE5403"/>
    <w:rsid w:val="00AE5638"/>
    <w:rsid w:val="00AE5EF4"/>
    <w:rsid w:val="00AE6400"/>
    <w:rsid w:val="00AF06FD"/>
    <w:rsid w:val="00AF0DA0"/>
    <w:rsid w:val="00AF120E"/>
    <w:rsid w:val="00AF1517"/>
    <w:rsid w:val="00AF157A"/>
    <w:rsid w:val="00AF16DA"/>
    <w:rsid w:val="00AF16EE"/>
    <w:rsid w:val="00AF1DB1"/>
    <w:rsid w:val="00AF23B5"/>
    <w:rsid w:val="00AF2468"/>
    <w:rsid w:val="00AF30E1"/>
    <w:rsid w:val="00AF41DA"/>
    <w:rsid w:val="00AF4B40"/>
    <w:rsid w:val="00AF50D5"/>
    <w:rsid w:val="00AF5DD8"/>
    <w:rsid w:val="00AF625A"/>
    <w:rsid w:val="00AF6262"/>
    <w:rsid w:val="00AF6D0C"/>
    <w:rsid w:val="00AF7BD3"/>
    <w:rsid w:val="00AF7CCE"/>
    <w:rsid w:val="00B00071"/>
    <w:rsid w:val="00B00956"/>
    <w:rsid w:val="00B00E80"/>
    <w:rsid w:val="00B015D1"/>
    <w:rsid w:val="00B01607"/>
    <w:rsid w:val="00B016E7"/>
    <w:rsid w:val="00B019F1"/>
    <w:rsid w:val="00B019F6"/>
    <w:rsid w:val="00B01B2C"/>
    <w:rsid w:val="00B0378E"/>
    <w:rsid w:val="00B03C44"/>
    <w:rsid w:val="00B03F8F"/>
    <w:rsid w:val="00B04E6C"/>
    <w:rsid w:val="00B05B4F"/>
    <w:rsid w:val="00B05F21"/>
    <w:rsid w:val="00B061AB"/>
    <w:rsid w:val="00B06587"/>
    <w:rsid w:val="00B0677E"/>
    <w:rsid w:val="00B067F5"/>
    <w:rsid w:val="00B06A20"/>
    <w:rsid w:val="00B06D0B"/>
    <w:rsid w:val="00B07011"/>
    <w:rsid w:val="00B070E4"/>
    <w:rsid w:val="00B07556"/>
    <w:rsid w:val="00B076BD"/>
    <w:rsid w:val="00B111B6"/>
    <w:rsid w:val="00B11708"/>
    <w:rsid w:val="00B11DB6"/>
    <w:rsid w:val="00B1207F"/>
    <w:rsid w:val="00B122FA"/>
    <w:rsid w:val="00B1247D"/>
    <w:rsid w:val="00B12B5A"/>
    <w:rsid w:val="00B1301E"/>
    <w:rsid w:val="00B131B3"/>
    <w:rsid w:val="00B13283"/>
    <w:rsid w:val="00B133A7"/>
    <w:rsid w:val="00B136A8"/>
    <w:rsid w:val="00B13788"/>
    <w:rsid w:val="00B13811"/>
    <w:rsid w:val="00B1399D"/>
    <w:rsid w:val="00B13E9C"/>
    <w:rsid w:val="00B14361"/>
    <w:rsid w:val="00B16ABE"/>
    <w:rsid w:val="00B17D66"/>
    <w:rsid w:val="00B204BB"/>
    <w:rsid w:val="00B20536"/>
    <w:rsid w:val="00B2094B"/>
    <w:rsid w:val="00B2124D"/>
    <w:rsid w:val="00B21F72"/>
    <w:rsid w:val="00B226B8"/>
    <w:rsid w:val="00B22CAF"/>
    <w:rsid w:val="00B22EBE"/>
    <w:rsid w:val="00B23957"/>
    <w:rsid w:val="00B24440"/>
    <w:rsid w:val="00B2548C"/>
    <w:rsid w:val="00B2578A"/>
    <w:rsid w:val="00B25858"/>
    <w:rsid w:val="00B25FEF"/>
    <w:rsid w:val="00B268C1"/>
    <w:rsid w:val="00B269E4"/>
    <w:rsid w:val="00B26BB0"/>
    <w:rsid w:val="00B26C6B"/>
    <w:rsid w:val="00B26D04"/>
    <w:rsid w:val="00B2713F"/>
    <w:rsid w:val="00B2748D"/>
    <w:rsid w:val="00B279FA"/>
    <w:rsid w:val="00B311E0"/>
    <w:rsid w:val="00B3132D"/>
    <w:rsid w:val="00B3152E"/>
    <w:rsid w:val="00B31B63"/>
    <w:rsid w:val="00B321C1"/>
    <w:rsid w:val="00B32586"/>
    <w:rsid w:val="00B32E18"/>
    <w:rsid w:val="00B32EA4"/>
    <w:rsid w:val="00B3409B"/>
    <w:rsid w:val="00B34407"/>
    <w:rsid w:val="00B34411"/>
    <w:rsid w:val="00B34A76"/>
    <w:rsid w:val="00B35A2A"/>
    <w:rsid w:val="00B36700"/>
    <w:rsid w:val="00B379CB"/>
    <w:rsid w:val="00B37F31"/>
    <w:rsid w:val="00B4083A"/>
    <w:rsid w:val="00B408EA"/>
    <w:rsid w:val="00B408FC"/>
    <w:rsid w:val="00B41C63"/>
    <w:rsid w:val="00B42291"/>
    <w:rsid w:val="00B42449"/>
    <w:rsid w:val="00B42B9B"/>
    <w:rsid w:val="00B42D20"/>
    <w:rsid w:val="00B434D1"/>
    <w:rsid w:val="00B435DF"/>
    <w:rsid w:val="00B439CA"/>
    <w:rsid w:val="00B44223"/>
    <w:rsid w:val="00B447A1"/>
    <w:rsid w:val="00B44AFD"/>
    <w:rsid w:val="00B4512E"/>
    <w:rsid w:val="00B45A20"/>
    <w:rsid w:val="00B45E8D"/>
    <w:rsid w:val="00B461F3"/>
    <w:rsid w:val="00B4671F"/>
    <w:rsid w:val="00B46C8B"/>
    <w:rsid w:val="00B476D3"/>
    <w:rsid w:val="00B4795C"/>
    <w:rsid w:val="00B509CB"/>
    <w:rsid w:val="00B51847"/>
    <w:rsid w:val="00B51A9D"/>
    <w:rsid w:val="00B51C9A"/>
    <w:rsid w:val="00B51E45"/>
    <w:rsid w:val="00B5225E"/>
    <w:rsid w:val="00B52661"/>
    <w:rsid w:val="00B535D9"/>
    <w:rsid w:val="00B53913"/>
    <w:rsid w:val="00B541BF"/>
    <w:rsid w:val="00B544DD"/>
    <w:rsid w:val="00B55928"/>
    <w:rsid w:val="00B568A9"/>
    <w:rsid w:val="00B608B4"/>
    <w:rsid w:val="00B61ECD"/>
    <w:rsid w:val="00B61FA3"/>
    <w:rsid w:val="00B62000"/>
    <w:rsid w:val="00B62695"/>
    <w:rsid w:val="00B6286D"/>
    <w:rsid w:val="00B6325F"/>
    <w:rsid w:val="00B636CC"/>
    <w:rsid w:val="00B63C18"/>
    <w:rsid w:val="00B645D3"/>
    <w:rsid w:val="00B64B29"/>
    <w:rsid w:val="00B64C6D"/>
    <w:rsid w:val="00B6571D"/>
    <w:rsid w:val="00B65B60"/>
    <w:rsid w:val="00B65F9D"/>
    <w:rsid w:val="00B66447"/>
    <w:rsid w:val="00B66DE0"/>
    <w:rsid w:val="00B6756C"/>
    <w:rsid w:val="00B678B1"/>
    <w:rsid w:val="00B67C31"/>
    <w:rsid w:val="00B70A0A"/>
    <w:rsid w:val="00B70A14"/>
    <w:rsid w:val="00B71308"/>
    <w:rsid w:val="00B71892"/>
    <w:rsid w:val="00B73B25"/>
    <w:rsid w:val="00B747F0"/>
    <w:rsid w:val="00B747F4"/>
    <w:rsid w:val="00B74FD2"/>
    <w:rsid w:val="00B750F3"/>
    <w:rsid w:val="00B75A2B"/>
    <w:rsid w:val="00B75BA4"/>
    <w:rsid w:val="00B75D0D"/>
    <w:rsid w:val="00B76085"/>
    <w:rsid w:val="00B7624D"/>
    <w:rsid w:val="00B76700"/>
    <w:rsid w:val="00B7675B"/>
    <w:rsid w:val="00B768E6"/>
    <w:rsid w:val="00B775EC"/>
    <w:rsid w:val="00B77A22"/>
    <w:rsid w:val="00B77B44"/>
    <w:rsid w:val="00B80014"/>
    <w:rsid w:val="00B80138"/>
    <w:rsid w:val="00B801E6"/>
    <w:rsid w:val="00B80705"/>
    <w:rsid w:val="00B80D5E"/>
    <w:rsid w:val="00B82380"/>
    <w:rsid w:val="00B82399"/>
    <w:rsid w:val="00B8312B"/>
    <w:rsid w:val="00B84195"/>
    <w:rsid w:val="00B84206"/>
    <w:rsid w:val="00B84584"/>
    <w:rsid w:val="00B8519F"/>
    <w:rsid w:val="00B858AF"/>
    <w:rsid w:val="00B8631F"/>
    <w:rsid w:val="00B8646D"/>
    <w:rsid w:val="00B8686A"/>
    <w:rsid w:val="00B86CAA"/>
    <w:rsid w:val="00B90554"/>
    <w:rsid w:val="00B908B1"/>
    <w:rsid w:val="00B91C3A"/>
    <w:rsid w:val="00B91D78"/>
    <w:rsid w:val="00B923B5"/>
    <w:rsid w:val="00B92CDC"/>
    <w:rsid w:val="00B933FE"/>
    <w:rsid w:val="00B93ADB"/>
    <w:rsid w:val="00B93DB3"/>
    <w:rsid w:val="00B95EA9"/>
    <w:rsid w:val="00B95F95"/>
    <w:rsid w:val="00B962D0"/>
    <w:rsid w:val="00B969FB"/>
    <w:rsid w:val="00B96D54"/>
    <w:rsid w:val="00B9741C"/>
    <w:rsid w:val="00B97597"/>
    <w:rsid w:val="00B977CE"/>
    <w:rsid w:val="00B979F9"/>
    <w:rsid w:val="00BA0657"/>
    <w:rsid w:val="00BA0A9E"/>
    <w:rsid w:val="00BA10E3"/>
    <w:rsid w:val="00BA1CD2"/>
    <w:rsid w:val="00BA246F"/>
    <w:rsid w:val="00BA3295"/>
    <w:rsid w:val="00BA3BEB"/>
    <w:rsid w:val="00BA3C13"/>
    <w:rsid w:val="00BA3D2F"/>
    <w:rsid w:val="00BA4730"/>
    <w:rsid w:val="00BA49AA"/>
    <w:rsid w:val="00BA4C01"/>
    <w:rsid w:val="00BA55AF"/>
    <w:rsid w:val="00BA5805"/>
    <w:rsid w:val="00BA5BF3"/>
    <w:rsid w:val="00BA63E5"/>
    <w:rsid w:val="00BA688F"/>
    <w:rsid w:val="00BA6A7F"/>
    <w:rsid w:val="00BA7349"/>
    <w:rsid w:val="00BA74E2"/>
    <w:rsid w:val="00BA7AEF"/>
    <w:rsid w:val="00BB08B1"/>
    <w:rsid w:val="00BB09CB"/>
    <w:rsid w:val="00BB0CE9"/>
    <w:rsid w:val="00BB10F2"/>
    <w:rsid w:val="00BB1411"/>
    <w:rsid w:val="00BB146D"/>
    <w:rsid w:val="00BB171C"/>
    <w:rsid w:val="00BB1CF3"/>
    <w:rsid w:val="00BB229A"/>
    <w:rsid w:val="00BB280F"/>
    <w:rsid w:val="00BB2C66"/>
    <w:rsid w:val="00BB2E70"/>
    <w:rsid w:val="00BB3506"/>
    <w:rsid w:val="00BB3780"/>
    <w:rsid w:val="00BB38FF"/>
    <w:rsid w:val="00BB3DD4"/>
    <w:rsid w:val="00BB4117"/>
    <w:rsid w:val="00BB4368"/>
    <w:rsid w:val="00BB437D"/>
    <w:rsid w:val="00BB4685"/>
    <w:rsid w:val="00BB5540"/>
    <w:rsid w:val="00BB6175"/>
    <w:rsid w:val="00BB6E92"/>
    <w:rsid w:val="00BB6FC8"/>
    <w:rsid w:val="00BB71E0"/>
    <w:rsid w:val="00BB748D"/>
    <w:rsid w:val="00BB7B0E"/>
    <w:rsid w:val="00BC05F3"/>
    <w:rsid w:val="00BC15CF"/>
    <w:rsid w:val="00BC25B7"/>
    <w:rsid w:val="00BC2BD4"/>
    <w:rsid w:val="00BC2CD3"/>
    <w:rsid w:val="00BC3050"/>
    <w:rsid w:val="00BC3242"/>
    <w:rsid w:val="00BC3399"/>
    <w:rsid w:val="00BC33F6"/>
    <w:rsid w:val="00BC46C4"/>
    <w:rsid w:val="00BC4744"/>
    <w:rsid w:val="00BC4C6B"/>
    <w:rsid w:val="00BC4D0A"/>
    <w:rsid w:val="00BC6C92"/>
    <w:rsid w:val="00BC6DF6"/>
    <w:rsid w:val="00BC6EF0"/>
    <w:rsid w:val="00BC7153"/>
    <w:rsid w:val="00BD0362"/>
    <w:rsid w:val="00BD047E"/>
    <w:rsid w:val="00BD0590"/>
    <w:rsid w:val="00BD061B"/>
    <w:rsid w:val="00BD0F61"/>
    <w:rsid w:val="00BD1202"/>
    <w:rsid w:val="00BD133B"/>
    <w:rsid w:val="00BD13C8"/>
    <w:rsid w:val="00BD1A60"/>
    <w:rsid w:val="00BD1CBB"/>
    <w:rsid w:val="00BD221B"/>
    <w:rsid w:val="00BD2720"/>
    <w:rsid w:val="00BD2CD8"/>
    <w:rsid w:val="00BD2D00"/>
    <w:rsid w:val="00BD2D26"/>
    <w:rsid w:val="00BD3400"/>
    <w:rsid w:val="00BD3568"/>
    <w:rsid w:val="00BD36DB"/>
    <w:rsid w:val="00BD3A28"/>
    <w:rsid w:val="00BD4049"/>
    <w:rsid w:val="00BD42AF"/>
    <w:rsid w:val="00BD4CCA"/>
    <w:rsid w:val="00BD4CF3"/>
    <w:rsid w:val="00BD4FC2"/>
    <w:rsid w:val="00BD59BF"/>
    <w:rsid w:val="00BD59E7"/>
    <w:rsid w:val="00BD5FEE"/>
    <w:rsid w:val="00BD612D"/>
    <w:rsid w:val="00BD615D"/>
    <w:rsid w:val="00BD7538"/>
    <w:rsid w:val="00BD79CF"/>
    <w:rsid w:val="00BD7AAA"/>
    <w:rsid w:val="00BD7B13"/>
    <w:rsid w:val="00BD7E98"/>
    <w:rsid w:val="00BE0011"/>
    <w:rsid w:val="00BE0227"/>
    <w:rsid w:val="00BE034E"/>
    <w:rsid w:val="00BE08FD"/>
    <w:rsid w:val="00BE0AF4"/>
    <w:rsid w:val="00BE11EF"/>
    <w:rsid w:val="00BE16E3"/>
    <w:rsid w:val="00BE288A"/>
    <w:rsid w:val="00BE2D44"/>
    <w:rsid w:val="00BE2DAA"/>
    <w:rsid w:val="00BE2ED4"/>
    <w:rsid w:val="00BE3141"/>
    <w:rsid w:val="00BE31AF"/>
    <w:rsid w:val="00BE346F"/>
    <w:rsid w:val="00BE36D3"/>
    <w:rsid w:val="00BE3F8B"/>
    <w:rsid w:val="00BE4281"/>
    <w:rsid w:val="00BE4599"/>
    <w:rsid w:val="00BE59A4"/>
    <w:rsid w:val="00BE5AF8"/>
    <w:rsid w:val="00BE5BBC"/>
    <w:rsid w:val="00BE5DFF"/>
    <w:rsid w:val="00BE6232"/>
    <w:rsid w:val="00BE6F97"/>
    <w:rsid w:val="00BE702F"/>
    <w:rsid w:val="00BE7CA1"/>
    <w:rsid w:val="00BF0D46"/>
    <w:rsid w:val="00BF0F8C"/>
    <w:rsid w:val="00BF12D0"/>
    <w:rsid w:val="00BF156B"/>
    <w:rsid w:val="00BF227C"/>
    <w:rsid w:val="00BF27E1"/>
    <w:rsid w:val="00BF3D2F"/>
    <w:rsid w:val="00BF42CA"/>
    <w:rsid w:val="00BF43DF"/>
    <w:rsid w:val="00BF4DB6"/>
    <w:rsid w:val="00BF4E36"/>
    <w:rsid w:val="00BF4E55"/>
    <w:rsid w:val="00BF50C0"/>
    <w:rsid w:val="00BF6382"/>
    <w:rsid w:val="00BF667C"/>
    <w:rsid w:val="00BF69F0"/>
    <w:rsid w:val="00C0061B"/>
    <w:rsid w:val="00C011CA"/>
    <w:rsid w:val="00C01D59"/>
    <w:rsid w:val="00C01E72"/>
    <w:rsid w:val="00C0205E"/>
    <w:rsid w:val="00C02166"/>
    <w:rsid w:val="00C02552"/>
    <w:rsid w:val="00C02748"/>
    <w:rsid w:val="00C02DD4"/>
    <w:rsid w:val="00C03BC5"/>
    <w:rsid w:val="00C03DF6"/>
    <w:rsid w:val="00C040A5"/>
    <w:rsid w:val="00C04111"/>
    <w:rsid w:val="00C041ED"/>
    <w:rsid w:val="00C045C0"/>
    <w:rsid w:val="00C04690"/>
    <w:rsid w:val="00C0475F"/>
    <w:rsid w:val="00C04BF9"/>
    <w:rsid w:val="00C05032"/>
    <w:rsid w:val="00C05093"/>
    <w:rsid w:val="00C0515E"/>
    <w:rsid w:val="00C0572A"/>
    <w:rsid w:val="00C057C2"/>
    <w:rsid w:val="00C05ED7"/>
    <w:rsid w:val="00C0617A"/>
    <w:rsid w:val="00C07280"/>
    <w:rsid w:val="00C07BA7"/>
    <w:rsid w:val="00C1054F"/>
    <w:rsid w:val="00C10825"/>
    <w:rsid w:val="00C10977"/>
    <w:rsid w:val="00C10D8D"/>
    <w:rsid w:val="00C12018"/>
    <w:rsid w:val="00C13FF4"/>
    <w:rsid w:val="00C14CCF"/>
    <w:rsid w:val="00C15004"/>
    <w:rsid w:val="00C1515D"/>
    <w:rsid w:val="00C15CF2"/>
    <w:rsid w:val="00C15D7A"/>
    <w:rsid w:val="00C15E2D"/>
    <w:rsid w:val="00C15EC7"/>
    <w:rsid w:val="00C1636B"/>
    <w:rsid w:val="00C16F04"/>
    <w:rsid w:val="00C17438"/>
    <w:rsid w:val="00C174D3"/>
    <w:rsid w:val="00C17825"/>
    <w:rsid w:val="00C17C0F"/>
    <w:rsid w:val="00C17F40"/>
    <w:rsid w:val="00C20459"/>
    <w:rsid w:val="00C20539"/>
    <w:rsid w:val="00C20E1C"/>
    <w:rsid w:val="00C20E42"/>
    <w:rsid w:val="00C20EFA"/>
    <w:rsid w:val="00C210C7"/>
    <w:rsid w:val="00C21D63"/>
    <w:rsid w:val="00C21E0B"/>
    <w:rsid w:val="00C223B7"/>
    <w:rsid w:val="00C22635"/>
    <w:rsid w:val="00C226FE"/>
    <w:rsid w:val="00C22757"/>
    <w:rsid w:val="00C228D8"/>
    <w:rsid w:val="00C22D04"/>
    <w:rsid w:val="00C22EC8"/>
    <w:rsid w:val="00C22FB1"/>
    <w:rsid w:val="00C2322B"/>
    <w:rsid w:val="00C239EE"/>
    <w:rsid w:val="00C24D1A"/>
    <w:rsid w:val="00C2510E"/>
    <w:rsid w:val="00C2514C"/>
    <w:rsid w:val="00C262A2"/>
    <w:rsid w:val="00C2736C"/>
    <w:rsid w:val="00C27E2B"/>
    <w:rsid w:val="00C27F59"/>
    <w:rsid w:val="00C30064"/>
    <w:rsid w:val="00C326D0"/>
    <w:rsid w:val="00C32EB5"/>
    <w:rsid w:val="00C33B3A"/>
    <w:rsid w:val="00C34566"/>
    <w:rsid w:val="00C34957"/>
    <w:rsid w:val="00C34A16"/>
    <w:rsid w:val="00C34A71"/>
    <w:rsid w:val="00C35248"/>
    <w:rsid w:val="00C357A2"/>
    <w:rsid w:val="00C361A3"/>
    <w:rsid w:val="00C367D3"/>
    <w:rsid w:val="00C36CBC"/>
    <w:rsid w:val="00C37727"/>
    <w:rsid w:val="00C379E8"/>
    <w:rsid w:val="00C37E0F"/>
    <w:rsid w:val="00C37FE0"/>
    <w:rsid w:val="00C4061D"/>
    <w:rsid w:val="00C4250C"/>
    <w:rsid w:val="00C42DEE"/>
    <w:rsid w:val="00C434A3"/>
    <w:rsid w:val="00C44027"/>
    <w:rsid w:val="00C44CE5"/>
    <w:rsid w:val="00C455AD"/>
    <w:rsid w:val="00C45A01"/>
    <w:rsid w:val="00C45F0C"/>
    <w:rsid w:val="00C45F25"/>
    <w:rsid w:val="00C4695B"/>
    <w:rsid w:val="00C46A46"/>
    <w:rsid w:val="00C472A8"/>
    <w:rsid w:val="00C472D1"/>
    <w:rsid w:val="00C47455"/>
    <w:rsid w:val="00C47725"/>
    <w:rsid w:val="00C4787C"/>
    <w:rsid w:val="00C47C39"/>
    <w:rsid w:val="00C47F22"/>
    <w:rsid w:val="00C47F58"/>
    <w:rsid w:val="00C50175"/>
    <w:rsid w:val="00C50903"/>
    <w:rsid w:val="00C50CAC"/>
    <w:rsid w:val="00C51052"/>
    <w:rsid w:val="00C51326"/>
    <w:rsid w:val="00C51FEA"/>
    <w:rsid w:val="00C52748"/>
    <w:rsid w:val="00C52E49"/>
    <w:rsid w:val="00C539B5"/>
    <w:rsid w:val="00C53D12"/>
    <w:rsid w:val="00C54E86"/>
    <w:rsid w:val="00C54EC4"/>
    <w:rsid w:val="00C55511"/>
    <w:rsid w:val="00C55DD1"/>
    <w:rsid w:val="00C61AD4"/>
    <w:rsid w:val="00C61C6F"/>
    <w:rsid w:val="00C61F4A"/>
    <w:rsid w:val="00C624DC"/>
    <w:rsid w:val="00C62508"/>
    <w:rsid w:val="00C630D0"/>
    <w:rsid w:val="00C63443"/>
    <w:rsid w:val="00C637D8"/>
    <w:rsid w:val="00C63BA0"/>
    <w:rsid w:val="00C64240"/>
    <w:rsid w:val="00C6437C"/>
    <w:rsid w:val="00C64C9F"/>
    <w:rsid w:val="00C64D43"/>
    <w:rsid w:val="00C64F11"/>
    <w:rsid w:val="00C65961"/>
    <w:rsid w:val="00C65DE7"/>
    <w:rsid w:val="00C6601D"/>
    <w:rsid w:val="00C66763"/>
    <w:rsid w:val="00C66822"/>
    <w:rsid w:val="00C66A6C"/>
    <w:rsid w:val="00C671A3"/>
    <w:rsid w:val="00C67CFA"/>
    <w:rsid w:val="00C701DA"/>
    <w:rsid w:val="00C705AD"/>
    <w:rsid w:val="00C70C7B"/>
    <w:rsid w:val="00C70E2A"/>
    <w:rsid w:val="00C71281"/>
    <w:rsid w:val="00C714C2"/>
    <w:rsid w:val="00C71782"/>
    <w:rsid w:val="00C718E1"/>
    <w:rsid w:val="00C7205D"/>
    <w:rsid w:val="00C723E1"/>
    <w:rsid w:val="00C72A68"/>
    <w:rsid w:val="00C72BE4"/>
    <w:rsid w:val="00C72EC3"/>
    <w:rsid w:val="00C730C1"/>
    <w:rsid w:val="00C7357C"/>
    <w:rsid w:val="00C73E72"/>
    <w:rsid w:val="00C7422E"/>
    <w:rsid w:val="00C749CB"/>
    <w:rsid w:val="00C752B8"/>
    <w:rsid w:val="00C75F7D"/>
    <w:rsid w:val="00C76AB9"/>
    <w:rsid w:val="00C76E8D"/>
    <w:rsid w:val="00C770D3"/>
    <w:rsid w:val="00C772AE"/>
    <w:rsid w:val="00C77524"/>
    <w:rsid w:val="00C776BB"/>
    <w:rsid w:val="00C77B9D"/>
    <w:rsid w:val="00C80165"/>
    <w:rsid w:val="00C801E5"/>
    <w:rsid w:val="00C807F1"/>
    <w:rsid w:val="00C80FC8"/>
    <w:rsid w:val="00C81E89"/>
    <w:rsid w:val="00C82AAC"/>
    <w:rsid w:val="00C8329C"/>
    <w:rsid w:val="00C84056"/>
    <w:rsid w:val="00C84D2E"/>
    <w:rsid w:val="00C85181"/>
    <w:rsid w:val="00C85A82"/>
    <w:rsid w:val="00C86638"/>
    <w:rsid w:val="00C869FA"/>
    <w:rsid w:val="00C86A43"/>
    <w:rsid w:val="00C86FC1"/>
    <w:rsid w:val="00C87AA2"/>
    <w:rsid w:val="00C913FD"/>
    <w:rsid w:val="00C91449"/>
    <w:rsid w:val="00C91C0D"/>
    <w:rsid w:val="00C921EF"/>
    <w:rsid w:val="00C9221A"/>
    <w:rsid w:val="00C92963"/>
    <w:rsid w:val="00C9296F"/>
    <w:rsid w:val="00C9314B"/>
    <w:rsid w:val="00C935EA"/>
    <w:rsid w:val="00C936D4"/>
    <w:rsid w:val="00C93D32"/>
    <w:rsid w:val="00C9417F"/>
    <w:rsid w:val="00C941FF"/>
    <w:rsid w:val="00C94C2B"/>
    <w:rsid w:val="00C95107"/>
    <w:rsid w:val="00C9518A"/>
    <w:rsid w:val="00C95439"/>
    <w:rsid w:val="00C95ACC"/>
    <w:rsid w:val="00C95E23"/>
    <w:rsid w:val="00C95ECB"/>
    <w:rsid w:val="00C96802"/>
    <w:rsid w:val="00C96CEA"/>
    <w:rsid w:val="00C97119"/>
    <w:rsid w:val="00C9712E"/>
    <w:rsid w:val="00C97FF1"/>
    <w:rsid w:val="00CA076B"/>
    <w:rsid w:val="00CA07BD"/>
    <w:rsid w:val="00CA086C"/>
    <w:rsid w:val="00CA1DEC"/>
    <w:rsid w:val="00CA2C5C"/>
    <w:rsid w:val="00CA2D5C"/>
    <w:rsid w:val="00CA2D98"/>
    <w:rsid w:val="00CA360E"/>
    <w:rsid w:val="00CA3679"/>
    <w:rsid w:val="00CA3E92"/>
    <w:rsid w:val="00CA3F51"/>
    <w:rsid w:val="00CA493D"/>
    <w:rsid w:val="00CA4CDC"/>
    <w:rsid w:val="00CA61FB"/>
    <w:rsid w:val="00CA6470"/>
    <w:rsid w:val="00CA6570"/>
    <w:rsid w:val="00CA6920"/>
    <w:rsid w:val="00CA6B97"/>
    <w:rsid w:val="00CA6CDE"/>
    <w:rsid w:val="00CA78D8"/>
    <w:rsid w:val="00CA7BD4"/>
    <w:rsid w:val="00CB0270"/>
    <w:rsid w:val="00CB0924"/>
    <w:rsid w:val="00CB0E3A"/>
    <w:rsid w:val="00CB1685"/>
    <w:rsid w:val="00CB1AD6"/>
    <w:rsid w:val="00CB1F59"/>
    <w:rsid w:val="00CB2F9A"/>
    <w:rsid w:val="00CB3318"/>
    <w:rsid w:val="00CB340F"/>
    <w:rsid w:val="00CB36F6"/>
    <w:rsid w:val="00CB3B3F"/>
    <w:rsid w:val="00CB3FA0"/>
    <w:rsid w:val="00CB41DD"/>
    <w:rsid w:val="00CB4B70"/>
    <w:rsid w:val="00CB4EBB"/>
    <w:rsid w:val="00CB5C05"/>
    <w:rsid w:val="00CB5D44"/>
    <w:rsid w:val="00CB68AA"/>
    <w:rsid w:val="00CB7C33"/>
    <w:rsid w:val="00CC01BD"/>
    <w:rsid w:val="00CC0A90"/>
    <w:rsid w:val="00CC1425"/>
    <w:rsid w:val="00CC1B59"/>
    <w:rsid w:val="00CC2401"/>
    <w:rsid w:val="00CC259A"/>
    <w:rsid w:val="00CC2648"/>
    <w:rsid w:val="00CC2C55"/>
    <w:rsid w:val="00CC3001"/>
    <w:rsid w:val="00CC37FC"/>
    <w:rsid w:val="00CC4D38"/>
    <w:rsid w:val="00CC5364"/>
    <w:rsid w:val="00CC6361"/>
    <w:rsid w:val="00CC70EB"/>
    <w:rsid w:val="00CC7562"/>
    <w:rsid w:val="00CD0836"/>
    <w:rsid w:val="00CD0A1C"/>
    <w:rsid w:val="00CD0D96"/>
    <w:rsid w:val="00CD0F03"/>
    <w:rsid w:val="00CD1318"/>
    <w:rsid w:val="00CD1B16"/>
    <w:rsid w:val="00CD1FAC"/>
    <w:rsid w:val="00CD2182"/>
    <w:rsid w:val="00CD2698"/>
    <w:rsid w:val="00CD2771"/>
    <w:rsid w:val="00CD2C8F"/>
    <w:rsid w:val="00CD2D30"/>
    <w:rsid w:val="00CD3705"/>
    <w:rsid w:val="00CD3F57"/>
    <w:rsid w:val="00CD40AB"/>
    <w:rsid w:val="00CD4D2F"/>
    <w:rsid w:val="00CD4F2A"/>
    <w:rsid w:val="00CD5136"/>
    <w:rsid w:val="00CD5D7A"/>
    <w:rsid w:val="00CD622C"/>
    <w:rsid w:val="00CD6611"/>
    <w:rsid w:val="00CD6666"/>
    <w:rsid w:val="00CD6AA8"/>
    <w:rsid w:val="00CD6AB0"/>
    <w:rsid w:val="00CD6EFC"/>
    <w:rsid w:val="00CD76B1"/>
    <w:rsid w:val="00CE0955"/>
    <w:rsid w:val="00CE0FC2"/>
    <w:rsid w:val="00CE101E"/>
    <w:rsid w:val="00CE1251"/>
    <w:rsid w:val="00CE1533"/>
    <w:rsid w:val="00CE161A"/>
    <w:rsid w:val="00CE1BC3"/>
    <w:rsid w:val="00CE1D1C"/>
    <w:rsid w:val="00CE1F19"/>
    <w:rsid w:val="00CE2D21"/>
    <w:rsid w:val="00CE321B"/>
    <w:rsid w:val="00CE32C8"/>
    <w:rsid w:val="00CE34AB"/>
    <w:rsid w:val="00CE361F"/>
    <w:rsid w:val="00CE3771"/>
    <w:rsid w:val="00CE37EC"/>
    <w:rsid w:val="00CE4523"/>
    <w:rsid w:val="00CE494B"/>
    <w:rsid w:val="00CE5250"/>
    <w:rsid w:val="00CE575C"/>
    <w:rsid w:val="00CE5E48"/>
    <w:rsid w:val="00CE7B96"/>
    <w:rsid w:val="00CF065B"/>
    <w:rsid w:val="00CF08DE"/>
    <w:rsid w:val="00CF0E32"/>
    <w:rsid w:val="00CF0EF0"/>
    <w:rsid w:val="00CF1191"/>
    <w:rsid w:val="00CF16D3"/>
    <w:rsid w:val="00CF2334"/>
    <w:rsid w:val="00CF369B"/>
    <w:rsid w:val="00CF3779"/>
    <w:rsid w:val="00CF4339"/>
    <w:rsid w:val="00CF43F4"/>
    <w:rsid w:val="00CF4412"/>
    <w:rsid w:val="00CF5166"/>
    <w:rsid w:val="00CF54DC"/>
    <w:rsid w:val="00CF59CF"/>
    <w:rsid w:val="00CF5D1A"/>
    <w:rsid w:val="00CF5E56"/>
    <w:rsid w:val="00CF65EC"/>
    <w:rsid w:val="00CF66A6"/>
    <w:rsid w:val="00CF690C"/>
    <w:rsid w:val="00CF72A4"/>
    <w:rsid w:val="00CF770E"/>
    <w:rsid w:val="00CF7F40"/>
    <w:rsid w:val="00D01029"/>
    <w:rsid w:val="00D025CC"/>
    <w:rsid w:val="00D02659"/>
    <w:rsid w:val="00D02C42"/>
    <w:rsid w:val="00D02FC8"/>
    <w:rsid w:val="00D03D6C"/>
    <w:rsid w:val="00D047FF"/>
    <w:rsid w:val="00D05257"/>
    <w:rsid w:val="00D05335"/>
    <w:rsid w:val="00D05AC6"/>
    <w:rsid w:val="00D06355"/>
    <w:rsid w:val="00D06653"/>
    <w:rsid w:val="00D067D5"/>
    <w:rsid w:val="00D06CBC"/>
    <w:rsid w:val="00D06F17"/>
    <w:rsid w:val="00D06FD7"/>
    <w:rsid w:val="00D071E2"/>
    <w:rsid w:val="00D073E6"/>
    <w:rsid w:val="00D1054C"/>
    <w:rsid w:val="00D1060D"/>
    <w:rsid w:val="00D1087A"/>
    <w:rsid w:val="00D1155C"/>
    <w:rsid w:val="00D12A92"/>
    <w:rsid w:val="00D12AA5"/>
    <w:rsid w:val="00D12B56"/>
    <w:rsid w:val="00D12E84"/>
    <w:rsid w:val="00D132D2"/>
    <w:rsid w:val="00D1339B"/>
    <w:rsid w:val="00D1367C"/>
    <w:rsid w:val="00D146F3"/>
    <w:rsid w:val="00D14762"/>
    <w:rsid w:val="00D15A4E"/>
    <w:rsid w:val="00D15D57"/>
    <w:rsid w:val="00D15E74"/>
    <w:rsid w:val="00D177BB"/>
    <w:rsid w:val="00D21272"/>
    <w:rsid w:val="00D216DD"/>
    <w:rsid w:val="00D21DBE"/>
    <w:rsid w:val="00D2254D"/>
    <w:rsid w:val="00D244E6"/>
    <w:rsid w:val="00D24708"/>
    <w:rsid w:val="00D248E4"/>
    <w:rsid w:val="00D2497E"/>
    <w:rsid w:val="00D24C61"/>
    <w:rsid w:val="00D24D3F"/>
    <w:rsid w:val="00D26687"/>
    <w:rsid w:val="00D26897"/>
    <w:rsid w:val="00D26B77"/>
    <w:rsid w:val="00D27019"/>
    <w:rsid w:val="00D27F5B"/>
    <w:rsid w:val="00D30536"/>
    <w:rsid w:val="00D31FD4"/>
    <w:rsid w:val="00D330BC"/>
    <w:rsid w:val="00D33916"/>
    <w:rsid w:val="00D33A23"/>
    <w:rsid w:val="00D33A7B"/>
    <w:rsid w:val="00D34056"/>
    <w:rsid w:val="00D341E1"/>
    <w:rsid w:val="00D349C3"/>
    <w:rsid w:val="00D34BEA"/>
    <w:rsid w:val="00D35D02"/>
    <w:rsid w:val="00D35EE0"/>
    <w:rsid w:val="00D3603D"/>
    <w:rsid w:val="00D361D3"/>
    <w:rsid w:val="00D36873"/>
    <w:rsid w:val="00D36ADA"/>
    <w:rsid w:val="00D36E0F"/>
    <w:rsid w:val="00D374CA"/>
    <w:rsid w:val="00D37E58"/>
    <w:rsid w:val="00D4006C"/>
    <w:rsid w:val="00D402AD"/>
    <w:rsid w:val="00D40351"/>
    <w:rsid w:val="00D407F2"/>
    <w:rsid w:val="00D407F3"/>
    <w:rsid w:val="00D4093B"/>
    <w:rsid w:val="00D40EEA"/>
    <w:rsid w:val="00D4136D"/>
    <w:rsid w:val="00D41609"/>
    <w:rsid w:val="00D41781"/>
    <w:rsid w:val="00D417B4"/>
    <w:rsid w:val="00D4182F"/>
    <w:rsid w:val="00D43547"/>
    <w:rsid w:val="00D44054"/>
    <w:rsid w:val="00D440E7"/>
    <w:rsid w:val="00D44163"/>
    <w:rsid w:val="00D44661"/>
    <w:rsid w:val="00D4471F"/>
    <w:rsid w:val="00D457A7"/>
    <w:rsid w:val="00D458E5"/>
    <w:rsid w:val="00D4622E"/>
    <w:rsid w:val="00D46DB4"/>
    <w:rsid w:val="00D504EE"/>
    <w:rsid w:val="00D508DB"/>
    <w:rsid w:val="00D50CD9"/>
    <w:rsid w:val="00D50DFA"/>
    <w:rsid w:val="00D51A2D"/>
    <w:rsid w:val="00D51E1B"/>
    <w:rsid w:val="00D51ED9"/>
    <w:rsid w:val="00D5224A"/>
    <w:rsid w:val="00D524E6"/>
    <w:rsid w:val="00D524ED"/>
    <w:rsid w:val="00D52CC7"/>
    <w:rsid w:val="00D52D40"/>
    <w:rsid w:val="00D531CE"/>
    <w:rsid w:val="00D53E43"/>
    <w:rsid w:val="00D54055"/>
    <w:rsid w:val="00D54179"/>
    <w:rsid w:val="00D54BDE"/>
    <w:rsid w:val="00D552CE"/>
    <w:rsid w:val="00D558C8"/>
    <w:rsid w:val="00D55FB0"/>
    <w:rsid w:val="00D5628E"/>
    <w:rsid w:val="00D566E5"/>
    <w:rsid w:val="00D569F5"/>
    <w:rsid w:val="00D56FB8"/>
    <w:rsid w:val="00D571DB"/>
    <w:rsid w:val="00D57483"/>
    <w:rsid w:val="00D579B9"/>
    <w:rsid w:val="00D57B19"/>
    <w:rsid w:val="00D57CF5"/>
    <w:rsid w:val="00D57D47"/>
    <w:rsid w:val="00D60F64"/>
    <w:rsid w:val="00D6145F"/>
    <w:rsid w:val="00D6148F"/>
    <w:rsid w:val="00D61C53"/>
    <w:rsid w:val="00D6244F"/>
    <w:rsid w:val="00D62897"/>
    <w:rsid w:val="00D629CE"/>
    <w:rsid w:val="00D62B91"/>
    <w:rsid w:val="00D630CF"/>
    <w:rsid w:val="00D63642"/>
    <w:rsid w:val="00D63D52"/>
    <w:rsid w:val="00D63DFD"/>
    <w:rsid w:val="00D63F2A"/>
    <w:rsid w:val="00D63FF7"/>
    <w:rsid w:val="00D6436A"/>
    <w:rsid w:val="00D657CF"/>
    <w:rsid w:val="00D65B63"/>
    <w:rsid w:val="00D664A5"/>
    <w:rsid w:val="00D6694F"/>
    <w:rsid w:val="00D6720F"/>
    <w:rsid w:val="00D676F4"/>
    <w:rsid w:val="00D715BE"/>
    <w:rsid w:val="00D71CF1"/>
    <w:rsid w:val="00D7203C"/>
    <w:rsid w:val="00D72508"/>
    <w:rsid w:val="00D72AC4"/>
    <w:rsid w:val="00D73053"/>
    <w:rsid w:val="00D73749"/>
    <w:rsid w:val="00D737B0"/>
    <w:rsid w:val="00D737C3"/>
    <w:rsid w:val="00D73896"/>
    <w:rsid w:val="00D73E82"/>
    <w:rsid w:val="00D73EBB"/>
    <w:rsid w:val="00D74424"/>
    <w:rsid w:val="00D74E48"/>
    <w:rsid w:val="00D74F57"/>
    <w:rsid w:val="00D75440"/>
    <w:rsid w:val="00D75BA1"/>
    <w:rsid w:val="00D75F64"/>
    <w:rsid w:val="00D76821"/>
    <w:rsid w:val="00D76E97"/>
    <w:rsid w:val="00D77639"/>
    <w:rsid w:val="00D778FA"/>
    <w:rsid w:val="00D77D94"/>
    <w:rsid w:val="00D80075"/>
    <w:rsid w:val="00D80157"/>
    <w:rsid w:val="00D80596"/>
    <w:rsid w:val="00D81144"/>
    <w:rsid w:val="00D81461"/>
    <w:rsid w:val="00D81976"/>
    <w:rsid w:val="00D8202A"/>
    <w:rsid w:val="00D821FD"/>
    <w:rsid w:val="00D825B4"/>
    <w:rsid w:val="00D8264D"/>
    <w:rsid w:val="00D82AF6"/>
    <w:rsid w:val="00D83260"/>
    <w:rsid w:val="00D834FC"/>
    <w:rsid w:val="00D83FB9"/>
    <w:rsid w:val="00D83FFC"/>
    <w:rsid w:val="00D84054"/>
    <w:rsid w:val="00D843A4"/>
    <w:rsid w:val="00D86A64"/>
    <w:rsid w:val="00D8716F"/>
    <w:rsid w:val="00D874D3"/>
    <w:rsid w:val="00D875B3"/>
    <w:rsid w:val="00D87DBA"/>
    <w:rsid w:val="00D87E05"/>
    <w:rsid w:val="00D87F7C"/>
    <w:rsid w:val="00D9004C"/>
    <w:rsid w:val="00D9153A"/>
    <w:rsid w:val="00D916CE"/>
    <w:rsid w:val="00D92992"/>
    <w:rsid w:val="00D9300A"/>
    <w:rsid w:val="00D931F2"/>
    <w:rsid w:val="00D93641"/>
    <w:rsid w:val="00D939F5"/>
    <w:rsid w:val="00D93BF5"/>
    <w:rsid w:val="00D94434"/>
    <w:rsid w:val="00D94509"/>
    <w:rsid w:val="00D94C4E"/>
    <w:rsid w:val="00D94C7A"/>
    <w:rsid w:val="00D94E74"/>
    <w:rsid w:val="00D94FA1"/>
    <w:rsid w:val="00D95328"/>
    <w:rsid w:val="00D95E37"/>
    <w:rsid w:val="00D969C3"/>
    <w:rsid w:val="00D97083"/>
    <w:rsid w:val="00D97F77"/>
    <w:rsid w:val="00D97FC6"/>
    <w:rsid w:val="00DA0390"/>
    <w:rsid w:val="00DA0457"/>
    <w:rsid w:val="00DA0E89"/>
    <w:rsid w:val="00DA12BA"/>
    <w:rsid w:val="00DA1884"/>
    <w:rsid w:val="00DA2195"/>
    <w:rsid w:val="00DA2DF1"/>
    <w:rsid w:val="00DA448E"/>
    <w:rsid w:val="00DA4BA6"/>
    <w:rsid w:val="00DA52C8"/>
    <w:rsid w:val="00DA5C32"/>
    <w:rsid w:val="00DA78EC"/>
    <w:rsid w:val="00DA7A12"/>
    <w:rsid w:val="00DB084E"/>
    <w:rsid w:val="00DB1A1C"/>
    <w:rsid w:val="00DB22D0"/>
    <w:rsid w:val="00DB261E"/>
    <w:rsid w:val="00DB2954"/>
    <w:rsid w:val="00DB3302"/>
    <w:rsid w:val="00DB3B07"/>
    <w:rsid w:val="00DB480E"/>
    <w:rsid w:val="00DB6725"/>
    <w:rsid w:val="00DB6944"/>
    <w:rsid w:val="00DB6C8D"/>
    <w:rsid w:val="00DB7960"/>
    <w:rsid w:val="00DB7C3B"/>
    <w:rsid w:val="00DB7C4B"/>
    <w:rsid w:val="00DC0823"/>
    <w:rsid w:val="00DC0B79"/>
    <w:rsid w:val="00DC111B"/>
    <w:rsid w:val="00DC130C"/>
    <w:rsid w:val="00DC16F4"/>
    <w:rsid w:val="00DC2469"/>
    <w:rsid w:val="00DC305D"/>
    <w:rsid w:val="00DC3D0C"/>
    <w:rsid w:val="00DC3DA9"/>
    <w:rsid w:val="00DC41CE"/>
    <w:rsid w:val="00DC49F4"/>
    <w:rsid w:val="00DC4AC0"/>
    <w:rsid w:val="00DC4D5C"/>
    <w:rsid w:val="00DC759F"/>
    <w:rsid w:val="00DC7738"/>
    <w:rsid w:val="00DC7993"/>
    <w:rsid w:val="00DC7DCB"/>
    <w:rsid w:val="00DD0473"/>
    <w:rsid w:val="00DD0729"/>
    <w:rsid w:val="00DD0914"/>
    <w:rsid w:val="00DD152C"/>
    <w:rsid w:val="00DD1B46"/>
    <w:rsid w:val="00DD2DEE"/>
    <w:rsid w:val="00DD32F3"/>
    <w:rsid w:val="00DD3666"/>
    <w:rsid w:val="00DD3961"/>
    <w:rsid w:val="00DD43DA"/>
    <w:rsid w:val="00DD60E4"/>
    <w:rsid w:val="00DD6129"/>
    <w:rsid w:val="00DD6247"/>
    <w:rsid w:val="00DD6383"/>
    <w:rsid w:val="00DD65FC"/>
    <w:rsid w:val="00DD6782"/>
    <w:rsid w:val="00DD6CE5"/>
    <w:rsid w:val="00DD6DC1"/>
    <w:rsid w:val="00DD73DB"/>
    <w:rsid w:val="00DD7597"/>
    <w:rsid w:val="00DD775E"/>
    <w:rsid w:val="00DD7FC7"/>
    <w:rsid w:val="00DE05AF"/>
    <w:rsid w:val="00DE0834"/>
    <w:rsid w:val="00DE0EC0"/>
    <w:rsid w:val="00DE0F5E"/>
    <w:rsid w:val="00DE288A"/>
    <w:rsid w:val="00DE2F71"/>
    <w:rsid w:val="00DE4FE7"/>
    <w:rsid w:val="00DE5262"/>
    <w:rsid w:val="00DE5721"/>
    <w:rsid w:val="00DE59FC"/>
    <w:rsid w:val="00DE6452"/>
    <w:rsid w:val="00DE66D1"/>
    <w:rsid w:val="00DF00FA"/>
    <w:rsid w:val="00DF0982"/>
    <w:rsid w:val="00DF0ED4"/>
    <w:rsid w:val="00DF1167"/>
    <w:rsid w:val="00DF1250"/>
    <w:rsid w:val="00DF1348"/>
    <w:rsid w:val="00DF13C7"/>
    <w:rsid w:val="00DF17AE"/>
    <w:rsid w:val="00DF1C82"/>
    <w:rsid w:val="00DF248A"/>
    <w:rsid w:val="00DF2F6E"/>
    <w:rsid w:val="00DF3438"/>
    <w:rsid w:val="00DF3D67"/>
    <w:rsid w:val="00DF3E04"/>
    <w:rsid w:val="00DF4094"/>
    <w:rsid w:val="00DF412D"/>
    <w:rsid w:val="00DF4B28"/>
    <w:rsid w:val="00DF4BDC"/>
    <w:rsid w:val="00DF4FA3"/>
    <w:rsid w:val="00DF5120"/>
    <w:rsid w:val="00DF515D"/>
    <w:rsid w:val="00DF57CA"/>
    <w:rsid w:val="00DF5A95"/>
    <w:rsid w:val="00DF6142"/>
    <w:rsid w:val="00DF62CE"/>
    <w:rsid w:val="00DF6BFD"/>
    <w:rsid w:val="00DF7185"/>
    <w:rsid w:val="00DF7A33"/>
    <w:rsid w:val="00E0005A"/>
    <w:rsid w:val="00E0048A"/>
    <w:rsid w:val="00E004A7"/>
    <w:rsid w:val="00E00EA8"/>
    <w:rsid w:val="00E01700"/>
    <w:rsid w:val="00E017E0"/>
    <w:rsid w:val="00E01C0F"/>
    <w:rsid w:val="00E01ED0"/>
    <w:rsid w:val="00E01F8F"/>
    <w:rsid w:val="00E02A28"/>
    <w:rsid w:val="00E02BC7"/>
    <w:rsid w:val="00E02D06"/>
    <w:rsid w:val="00E02E75"/>
    <w:rsid w:val="00E033B0"/>
    <w:rsid w:val="00E03B05"/>
    <w:rsid w:val="00E03B77"/>
    <w:rsid w:val="00E04155"/>
    <w:rsid w:val="00E04638"/>
    <w:rsid w:val="00E046E4"/>
    <w:rsid w:val="00E04A24"/>
    <w:rsid w:val="00E055CB"/>
    <w:rsid w:val="00E05CE9"/>
    <w:rsid w:val="00E06A1E"/>
    <w:rsid w:val="00E06C7D"/>
    <w:rsid w:val="00E0706C"/>
    <w:rsid w:val="00E07071"/>
    <w:rsid w:val="00E070E7"/>
    <w:rsid w:val="00E07224"/>
    <w:rsid w:val="00E0748D"/>
    <w:rsid w:val="00E07873"/>
    <w:rsid w:val="00E07C73"/>
    <w:rsid w:val="00E105C6"/>
    <w:rsid w:val="00E11EDB"/>
    <w:rsid w:val="00E11F44"/>
    <w:rsid w:val="00E12599"/>
    <w:rsid w:val="00E12F8D"/>
    <w:rsid w:val="00E13425"/>
    <w:rsid w:val="00E14339"/>
    <w:rsid w:val="00E146C6"/>
    <w:rsid w:val="00E1472B"/>
    <w:rsid w:val="00E148C1"/>
    <w:rsid w:val="00E14918"/>
    <w:rsid w:val="00E15A12"/>
    <w:rsid w:val="00E15BA8"/>
    <w:rsid w:val="00E15D40"/>
    <w:rsid w:val="00E16366"/>
    <w:rsid w:val="00E1640A"/>
    <w:rsid w:val="00E16660"/>
    <w:rsid w:val="00E16ABF"/>
    <w:rsid w:val="00E16B64"/>
    <w:rsid w:val="00E16C23"/>
    <w:rsid w:val="00E20A32"/>
    <w:rsid w:val="00E20C6A"/>
    <w:rsid w:val="00E20E74"/>
    <w:rsid w:val="00E214F0"/>
    <w:rsid w:val="00E22045"/>
    <w:rsid w:val="00E225C2"/>
    <w:rsid w:val="00E22EA7"/>
    <w:rsid w:val="00E23072"/>
    <w:rsid w:val="00E230DB"/>
    <w:rsid w:val="00E238E9"/>
    <w:rsid w:val="00E24425"/>
    <w:rsid w:val="00E24D40"/>
    <w:rsid w:val="00E25484"/>
    <w:rsid w:val="00E2549B"/>
    <w:rsid w:val="00E25C3C"/>
    <w:rsid w:val="00E25EFD"/>
    <w:rsid w:val="00E25FAE"/>
    <w:rsid w:val="00E26148"/>
    <w:rsid w:val="00E267A0"/>
    <w:rsid w:val="00E26973"/>
    <w:rsid w:val="00E26AE6"/>
    <w:rsid w:val="00E26EB8"/>
    <w:rsid w:val="00E27C5C"/>
    <w:rsid w:val="00E27CBB"/>
    <w:rsid w:val="00E27F5F"/>
    <w:rsid w:val="00E30267"/>
    <w:rsid w:val="00E304C8"/>
    <w:rsid w:val="00E30CA2"/>
    <w:rsid w:val="00E31193"/>
    <w:rsid w:val="00E31525"/>
    <w:rsid w:val="00E317FE"/>
    <w:rsid w:val="00E31956"/>
    <w:rsid w:val="00E3221E"/>
    <w:rsid w:val="00E32284"/>
    <w:rsid w:val="00E3296D"/>
    <w:rsid w:val="00E33435"/>
    <w:rsid w:val="00E33895"/>
    <w:rsid w:val="00E34613"/>
    <w:rsid w:val="00E3510B"/>
    <w:rsid w:val="00E356B0"/>
    <w:rsid w:val="00E35A3F"/>
    <w:rsid w:val="00E35ABC"/>
    <w:rsid w:val="00E35AC4"/>
    <w:rsid w:val="00E364EA"/>
    <w:rsid w:val="00E3657E"/>
    <w:rsid w:val="00E365D0"/>
    <w:rsid w:val="00E36E73"/>
    <w:rsid w:val="00E37632"/>
    <w:rsid w:val="00E4009D"/>
    <w:rsid w:val="00E42027"/>
    <w:rsid w:val="00E428A9"/>
    <w:rsid w:val="00E42AE0"/>
    <w:rsid w:val="00E42FEB"/>
    <w:rsid w:val="00E4316D"/>
    <w:rsid w:val="00E446E9"/>
    <w:rsid w:val="00E449B2"/>
    <w:rsid w:val="00E45ACB"/>
    <w:rsid w:val="00E45DC1"/>
    <w:rsid w:val="00E4611A"/>
    <w:rsid w:val="00E47D0A"/>
    <w:rsid w:val="00E47DD2"/>
    <w:rsid w:val="00E50E6C"/>
    <w:rsid w:val="00E516E5"/>
    <w:rsid w:val="00E51F16"/>
    <w:rsid w:val="00E52860"/>
    <w:rsid w:val="00E52BEF"/>
    <w:rsid w:val="00E53386"/>
    <w:rsid w:val="00E5410E"/>
    <w:rsid w:val="00E5499F"/>
    <w:rsid w:val="00E54C0E"/>
    <w:rsid w:val="00E553E2"/>
    <w:rsid w:val="00E55EA9"/>
    <w:rsid w:val="00E562B6"/>
    <w:rsid w:val="00E5633A"/>
    <w:rsid w:val="00E5719F"/>
    <w:rsid w:val="00E57832"/>
    <w:rsid w:val="00E578DD"/>
    <w:rsid w:val="00E602D2"/>
    <w:rsid w:val="00E60ABF"/>
    <w:rsid w:val="00E610CE"/>
    <w:rsid w:val="00E611EF"/>
    <w:rsid w:val="00E61265"/>
    <w:rsid w:val="00E6186E"/>
    <w:rsid w:val="00E61B62"/>
    <w:rsid w:val="00E61D0D"/>
    <w:rsid w:val="00E62736"/>
    <w:rsid w:val="00E62EC8"/>
    <w:rsid w:val="00E63248"/>
    <w:rsid w:val="00E635C7"/>
    <w:rsid w:val="00E649AC"/>
    <w:rsid w:val="00E64A03"/>
    <w:rsid w:val="00E64A59"/>
    <w:rsid w:val="00E64CC5"/>
    <w:rsid w:val="00E6558F"/>
    <w:rsid w:val="00E65B53"/>
    <w:rsid w:val="00E662CA"/>
    <w:rsid w:val="00E667D6"/>
    <w:rsid w:val="00E672AC"/>
    <w:rsid w:val="00E6762B"/>
    <w:rsid w:val="00E678B6"/>
    <w:rsid w:val="00E6799E"/>
    <w:rsid w:val="00E67BA5"/>
    <w:rsid w:val="00E67DD6"/>
    <w:rsid w:val="00E70719"/>
    <w:rsid w:val="00E7171F"/>
    <w:rsid w:val="00E71A82"/>
    <w:rsid w:val="00E72FE8"/>
    <w:rsid w:val="00E74541"/>
    <w:rsid w:val="00E74D1C"/>
    <w:rsid w:val="00E74E45"/>
    <w:rsid w:val="00E753E2"/>
    <w:rsid w:val="00E75868"/>
    <w:rsid w:val="00E75952"/>
    <w:rsid w:val="00E75E4F"/>
    <w:rsid w:val="00E765B9"/>
    <w:rsid w:val="00E7675B"/>
    <w:rsid w:val="00E76F7C"/>
    <w:rsid w:val="00E77C64"/>
    <w:rsid w:val="00E77CB0"/>
    <w:rsid w:val="00E77DD7"/>
    <w:rsid w:val="00E815D8"/>
    <w:rsid w:val="00E81C55"/>
    <w:rsid w:val="00E81FC9"/>
    <w:rsid w:val="00E82F6A"/>
    <w:rsid w:val="00E8326B"/>
    <w:rsid w:val="00E8331D"/>
    <w:rsid w:val="00E836DD"/>
    <w:rsid w:val="00E839AF"/>
    <w:rsid w:val="00E8448C"/>
    <w:rsid w:val="00E8490E"/>
    <w:rsid w:val="00E84F90"/>
    <w:rsid w:val="00E853DE"/>
    <w:rsid w:val="00E855E1"/>
    <w:rsid w:val="00E862D3"/>
    <w:rsid w:val="00E875E0"/>
    <w:rsid w:val="00E90186"/>
    <w:rsid w:val="00E901AC"/>
    <w:rsid w:val="00E904C7"/>
    <w:rsid w:val="00E909F6"/>
    <w:rsid w:val="00E90C6E"/>
    <w:rsid w:val="00E90D73"/>
    <w:rsid w:val="00E91863"/>
    <w:rsid w:val="00E92004"/>
    <w:rsid w:val="00E92101"/>
    <w:rsid w:val="00E92296"/>
    <w:rsid w:val="00E928AC"/>
    <w:rsid w:val="00E93090"/>
    <w:rsid w:val="00E93B34"/>
    <w:rsid w:val="00E94030"/>
    <w:rsid w:val="00E94301"/>
    <w:rsid w:val="00E9461E"/>
    <w:rsid w:val="00E953D1"/>
    <w:rsid w:val="00E95A24"/>
    <w:rsid w:val="00E95B6A"/>
    <w:rsid w:val="00E95D81"/>
    <w:rsid w:val="00E96602"/>
    <w:rsid w:val="00E977BC"/>
    <w:rsid w:val="00E97A36"/>
    <w:rsid w:val="00EA01F5"/>
    <w:rsid w:val="00EA0E17"/>
    <w:rsid w:val="00EA1173"/>
    <w:rsid w:val="00EA130E"/>
    <w:rsid w:val="00EA1391"/>
    <w:rsid w:val="00EA2B9D"/>
    <w:rsid w:val="00EA2DD7"/>
    <w:rsid w:val="00EA2E61"/>
    <w:rsid w:val="00EA3359"/>
    <w:rsid w:val="00EA3360"/>
    <w:rsid w:val="00EA3916"/>
    <w:rsid w:val="00EA3966"/>
    <w:rsid w:val="00EA3AAD"/>
    <w:rsid w:val="00EA3C14"/>
    <w:rsid w:val="00EA3CB2"/>
    <w:rsid w:val="00EA3E31"/>
    <w:rsid w:val="00EA4041"/>
    <w:rsid w:val="00EA57CD"/>
    <w:rsid w:val="00EB00CA"/>
    <w:rsid w:val="00EB06D9"/>
    <w:rsid w:val="00EB0E4B"/>
    <w:rsid w:val="00EB19A5"/>
    <w:rsid w:val="00EB2053"/>
    <w:rsid w:val="00EB2661"/>
    <w:rsid w:val="00EB2BEF"/>
    <w:rsid w:val="00EB2C22"/>
    <w:rsid w:val="00EB319F"/>
    <w:rsid w:val="00EB32C1"/>
    <w:rsid w:val="00EB3A37"/>
    <w:rsid w:val="00EB3DBF"/>
    <w:rsid w:val="00EB4B12"/>
    <w:rsid w:val="00EB4D18"/>
    <w:rsid w:val="00EB4F2F"/>
    <w:rsid w:val="00EB5DF7"/>
    <w:rsid w:val="00EB60AB"/>
    <w:rsid w:val="00EB628E"/>
    <w:rsid w:val="00EB72B7"/>
    <w:rsid w:val="00EC0212"/>
    <w:rsid w:val="00EC03A8"/>
    <w:rsid w:val="00EC03BC"/>
    <w:rsid w:val="00EC04D2"/>
    <w:rsid w:val="00EC0921"/>
    <w:rsid w:val="00EC1089"/>
    <w:rsid w:val="00EC141A"/>
    <w:rsid w:val="00EC1F74"/>
    <w:rsid w:val="00EC2295"/>
    <w:rsid w:val="00EC270E"/>
    <w:rsid w:val="00EC29D6"/>
    <w:rsid w:val="00EC2FC0"/>
    <w:rsid w:val="00EC3023"/>
    <w:rsid w:val="00EC34A2"/>
    <w:rsid w:val="00EC3BF5"/>
    <w:rsid w:val="00EC3DD3"/>
    <w:rsid w:val="00EC516C"/>
    <w:rsid w:val="00EC51C6"/>
    <w:rsid w:val="00EC53C8"/>
    <w:rsid w:val="00EC5815"/>
    <w:rsid w:val="00EC58EF"/>
    <w:rsid w:val="00EC5EB9"/>
    <w:rsid w:val="00EC6529"/>
    <w:rsid w:val="00EC663D"/>
    <w:rsid w:val="00EC6BD0"/>
    <w:rsid w:val="00EC6BED"/>
    <w:rsid w:val="00EC6C9C"/>
    <w:rsid w:val="00EC6E71"/>
    <w:rsid w:val="00ED0625"/>
    <w:rsid w:val="00ED0D6D"/>
    <w:rsid w:val="00ED1019"/>
    <w:rsid w:val="00ED1761"/>
    <w:rsid w:val="00ED24BF"/>
    <w:rsid w:val="00ED2874"/>
    <w:rsid w:val="00ED2AC6"/>
    <w:rsid w:val="00ED2B4D"/>
    <w:rsid w:val="00ED2BF1"/>
    <w:rsid w:val="00ED2DF5"/>
    <w:rsid w:val="00ED33F4"/>
    <w:rsid w:val="00ED4546"/>
    <w:rsid w:val="00ED4782"/>
    <w:rsid w:val="00ED503D"/>
    <w:rsid w:val="00ED5A0B"/>
    <w:rsid w:val="00ED5BAB"/>
    <w:rsid w:val="00ED631C"/>
    <w:rsid w:val="00ED6459"/>
    <w:rsid w:val="00ED6742"/>
    <w:rsid w:val="00ED73DE"/>
    <w:rsid w:val="00ED742E"/>
    <w:rsid w:val="00ED7C57"/>
    <w:rsid w:val="00EE0266"/>
    <w:rsid w:val="00EE0320"/>
    <w:rsid w:val="00EE0412"/>
    <w:rsid w:val="00EE1066"/>
    <w:rsid w:val="00EE1551"/>
    <w:rsid w:val="00EE20F2"/>
    <w:rsid w:val="00EE2296"/>
    <w:rsid w:val="00EE23CA"/>
    <w:rsid w:val="00EE2C89"/>
    <w:rsid w:val="00EE3560"/>
    <w:rsid w:val="00EE3726"/>
    <w:rsid w:val="00EE4D67"/>
    <w:rsid w:val="00EE5DD3"/>
    <w:rsid w:val="00EE6208"/>
    <w:rsid w:val="00EE6678"/>
    <w:rsid w:val="00EE6A80"/>
    <w:rsid w:val="00EE6E65"/>
    <w:rsid w:val="00EE6FCF"/>
    <w:rsid w:val="00EE7157"/>
    <w:rsid w:val="00EE743F"/>
    <w:rsid w:val="00EE7A2D"/>
    <w:rsid w:val="00EF099E"/>
    <w:rsid w:val="00EF0D91"/>
    <w:rsid w:val="00EF109C"/>
    <w:rsid w:val="00EF11F7"/>
    <w:rsid w:val="00EF1628"/>
    <w:rsid w:val="00EF21E9"/>
    <w:rsid w:val="00EF2FFA"/>
    <w:rsid w:val="00EF3375"/>
    <w:rsid w:val="00EF364A"/>
    <w:rsid w:val="00EF3DC6"/>
    <w:rsid w:val="00EF4018"/>
    <w:rsid w:val="00EF413E"/>
    <w:rsid w:val="00EF4A4B"/>
    <w:rsid w:val="00EF4C69"/>
    <w:rsid w:val="00EF4EFB"/>
    <w:rsid w:val="00EF54D7"/>
    <w:rsid w:val="00EF583B"/>
    <w:rsid w:val="00EF5B1C"/>
    <w:rsid w:val="00EF6480"/>
    <w:rsid w:val="00EF6919"/>
    <w:rsid w:val="00EF6E6E"/>
    <w:rsid w:val="00EF7ED6"/>
    <w:rsid w:val="00F00419"/>
    <w:rsid w:val="00F00BD2"/>
    <w:rsid w:val="00F01522"/>
    <w:rsid w:val="00F01589"/>
    <w:rsid w:val="00F01D30"/>
    <w:rsid w:val="00F02653"/>
    <w:rsid w:val="00F03306"/>
    <w:rsid w:val="00F03368"/>
    <w:rsid w:val="00F03EB4"/>
    <w:rsid w:val="00F0441B"/>
    <w:rsid w:val="00F0463E"/>
    <w:rsid w:val="00F0494C"/>
    <w:rsid w:val="00F04AAA"/>
    <w:rsid w:val="00F04FA2"/>
    <w:rsid w:val="00F054C0"/>
    <w:rsid w:val="00F05513"/>
    <w:rsid w:val="00F06590"/>
    <w:rsid w:val="00F065BF"/>
    <w:rsid w:val="00F065D3"/>
    <w:rsid w:val="00F0678B"/>
    <w:rsid w:val="00F0681F"/>
    <w:rsid w:val="00F0714E"/>
    <w:rsid w:val="00F074B6"/>
    <w:rsid w:val="00F0753F"/>
    <w:rsid w:val="00F10941"/>
    <w:rsid w:val="00F10C14"/>
    <w:rsid w:val="00F10FCE"/>
    <w:rsid w:val="00F1199D"/>
    <w:rsid w:val="00F12435"/>
    <w:rsid w:val="00F12DF9"/>
    <w:rsid w:val="00F1361C"/>
    <w:rsid w:val="00F14284"/>
    <w:rsid w:val="00F144B8"/>
    <w:rsid w:val="00F153B2"/>
    <w:rsid w:val="00F15970"/>
    <w:rsid w:val="00F16141"/>
    <w:rsid w:val="00F16A38"/>
    <w:rsid w:val="00F16D3F"/>
    <w:rsid w:val="00F16E1C"/>
    <w:rsid w:val="00F170E3"/>
    <w:rsid w:val="00F1741E"/>
    <w:rsid w:val="00F17C5A"/>
    <w:rsid w:val="00F20170"/>
    <w:rsid w:val="00F20293"/>
    <w:rsid w:val="00F20323"/>
    <w:rsid w:val="00F203E2"/>
    <w:rsid w:val="00F206E1"/>
    <w:rsid w:val="00F2080B"/>
    <w:rsid w:val="00F2147C"/>
    <w:rsid w:val="00F21956"/>
    <w:rsid w:val="00F21FD9"/>
    <w:rsid w:val="00F2234C"/>
    <w:rsid w:val="00F223C3"/>
    <w:rsid w:val="00F22669"/>
    <w:rsid w:val="00F23316"/>
    <w:rsid w:val="00F23350"/>
    <w:rsid w:val="00F23763"/>
    <w:rsid w:val="00F240A1"/>
    <w:rsid w:val="00F246C4"/>
    <w:rsid w:val="00F24B3D"/>
    <w:rsid w:val="00F24C76"/>
    <w:rsid w:val="00F24E7F"/>
    <w:rsid w:val="00F24F41"/>
    <w:rsid w:val="00F24FBA"/>
    <w:rsid w:val="00F251CB"/>
    <w:rsid w:val="00F257C0"/>
    <w:rsid w:val="00F25AE4"/>
    <w:rsid w:val="00F25B61"/>
    <w:rsid w:val="00F25FC6"/>
    <w:rsid w:val="00F2641D"/>
    <w:rsid w:val="00F26915"/>
    <w:rsid w:val="00F26DD7"/>
    <w:rsid w:val="00F274FA"/>
    <w:rsid w:val="00F2776B"/>
    <w:rsid w:val="00F27C1E"/>
    <w:rsid w:val="00F300A5"/>
    <w:rsid w:val="00F30464"/>
    <w:rsid w:val="00F308E6"/>
    <w:rsid w:val="00F30CBF"/>
    <w:rsid w:val="00F30FF0"/>
    <w:rsid w:val="00F312CC"/>
    <w:rsid w:val="00F31E15"/>
    <w:rsid w:val="00F3304D"/>
    <w:rsid w:val="00F333A5"/>
    <w:rsid w:val="00F33BC6"/>
    <w:rsid w:val="00F34028"/>
    <w:rsid w:val="00F3405F"/>
    <w:rsid w:val="00F3410F"/>
    <w:rsid w:val="00F3457B"/>
    <w:rsid w:val="00F3463D"/>
    <w:rsid w:val="00F34709"/>
    <w:rsid w:val="00F350A9"/>
    <w:rsid w:val="00F36531"/>
    <w:rsid w:val="00F372C9"/>
    <w:rsid w:val="00F4005E"/>
    <w:rsid w:val="00F403F4"/>
    <w:rsid w:val="00F4042F"/>
    <w:rsid w:val="00F40D47"/>
    <w:rsid w:val="00F410E5"/>
    <w:rsid w:val="00F410FB"/>
    <w:rsid w:val="00F41621"/>
    <w:rsid w:val="00F4187B"/>
    <w:rsid w:val="00F42447"/>
    <w:rsid w:val="00F427E8"/>
    <w:rsid w:val="00F428F2"/>
    <w:rsid w:val="00F42DFA"/>
    <w:rsid w:val="00F431D1"/>
    <w:rsid w:val="00F43AD0"/>
    <w:rsid w:val="00F43ADF"/>
    <w:rsid w:val="00F44C6C"/>
    <w:rsid w:val="00F44CB8"/>
    <w:rsid w:val="00F44EE9"/>
    <w:rsid w:val="00F44FE7"/>
    <w:rsid w:val="00F45025"/>
    <w:rsid w:val="00F4531A"/>
    <w:rsid w:val="00F45B3F"/>
    <w:rsid w:val="00F45CE7"/>
    <w:rsid w:val="00F45D1A"/>
    <w:rsid w:val="00F467B1"/>
    <w:rsid w:val="00F46F35"/>
    <w:rsid w:val="00F46FDB"/>
    <w:rsid w:val="00F47195"/>
    <w:rsid w:val="00F471AB"/>
    <w:rsid w:val="00F5008F"/>
    <w:rsid w:val="00F5025C"/>
    <w:rsid w:val="00F50784"/>
    <w:rsid w:val="00F5146F"/>
    <w:rsid w:val="00F51BB8"/>
    <w:rsid w:val="00F523DA"/>
    <w:rsid w:val="00F525B3"/>
    <w:rsid w:val="00F52CDF"/>
    <w:rsid w:val="00F52DA7"/>
    <w:rsid w:val="00F531CC"/>
    <w:rsid w:val="00F53E1A"/>
    <w:rsid w:val="00F554B3"/>
    <w:rsid w:val="00F56387"/>
    <w:rsid w:val="00F5642E"/>
    <w:rsid w:val="00F56D15"/>
    <w:rsid w:val="00F572B6"/>
    <w:rsid w:val="00F57A16"/>
    <w:rsid w:val="00F600F3"/>
    <w:rsid w:val="00F6022E"/>
    <w:rsid w:val="00F60E80"/>
    <w:rsid w:val="00F610D7"/>
    <w:rsid w:val="00F6124A"/>
    <w:rsid w:val="00F6126D"/>
    <w:rsid w:val="00F61272"/>
    <w:rsid w:val="00F61ACD"/>
    <w:rsid w:val="00F61B48"/>
    <w:rsid w:val="00F627FF"/>
    <w:rsid w:val="00F62C75"/>
    <w:rsid w:val="00F62CEE"/>
    <w:rsid w:val="00F62F0B"/>
    <w:rsid w:val="00F6417D"/>
    <w:rsid w:val="00F643F0"/>
    <w:rsid w:val="00F645BB"/>
    <w:rsid w:val="00F6464B"/>
    <w:rsid w:val="00F64E62"/>
    <w:rsid w:val="00F65C45"/>
    <w:rsid w:val="00F664D6"/>
    <w:rsid w:val="00F671F5"/>
    <w:rsid w:val="00F67797"/>
    <w:rsid w:val="00F67B05"/>
    <w:rsid w:val="00F67C0C"/>
    <w:rsid w:val="00F703A1"/>
    <w:rsid w:val="00F7064C"/>
    <w:rsid w:val="00F7161D"/>
    <w:rsid w:val="00F717BD"/>
    <w:rsid w:val="00F71D8B"/>
    <w:rsid w:val="00F724E6"/>
    <w:rsid w:val="00F73979"/>
    <w:rsid w:val="00F73D17"/>
    <w:rsid w:val="00F75055"/>
    <w:rsid w:val="00F75405"/>
    <w:rsid w:val="00F7548A"/>
    <w:rsid w:val="00F75594"/>
    <w:rsid w:val="00F76339"/>
    <w:rsid w:val="00F76B79"/>
    <w:rsid w:val="00F7730F"/>
    <w:rsid w:val="00F776A4"/>
    <w:rsid w:val="00F77F38"/>
    <w:rsid w:val="00F8080C"/>
    <w:rsid w:val="00F80868"/>
    <w:rsid w:val="00F80FAD"/>
    <w:rsid w:val="00F8130A"/>
    <w:rsid w:val="00F8138E"/>
    <w:rsid w:val="00F81DAF"/>
    <w:rsid w:val="00F820BF"/>
    <w:rsid w:val="00F824FF"/>
    <w:rsid w:val="00F8273B"/>
    <w:rsid w:val="00F82BF9"/>
    <w:rsid w:val="00F82CBE"/>
    <w:rsid w:val="00F83FCA"/>
    <w:rsid w:val="00F8419D"/>
    <w:rsid w:val="00F844F8"/>
    <w:rsid w:val="00F84753"/>
    <w:rsid w:val="00F84B93"/>
    <w:rsid w:val="00F855B3"/>
    <w:rsid w:val="00F85662"/>
    <w:rsid w:val="00F85BB6"/>
    <w:rsid w:val="00F85C20"/>
    <w:rsid w:val="00F85C73"/>
    <w:rsid w:val="00F86245"/>
    <w:rsid w:val="00F86686"/>
    <w:rsid w:val="00F86F4F"/>
    <w:rsid w:val="00F8775F"/>
    <w:rsid w:val="00F877D0"/>
    <w:rsid w:val="00F87BBF"/>
    <w:rsid w:val="00F905CB"/>
    <w:rsid w:val="00F908BC"/>
    <w:rsid w:val="00F90CC4"/>
    <w:rsid w:val="00F90E31"/>
    <w:rsid w:val="00F90F4E"/>
    <w:rsid w:val="00F91B02"/>
    <w:rsid w:val="00F91BA5"/>
    <w:rsid w:val="00F91BDC"/>
    <w:rsid w:val="00F91D25"/>
    <w:rsid w:val="00F92138"/>
    <w:rsid w:val="00F9227B"/>
    <w:rsid w:val="00F923BE"/>
    <w:rsid w:val="00F92E19"/>
    <w:rsid w:val="00F93227"/>
    <w:rsid w:val="00F93566"/>
    <w:rsid w:val="00F935DA"/>
    <w:rsid w:val="00F93D7A"/>
    <w:rsid w:val="00F94CBA"/>
    <w:rsid w:val="00F954A0"/>
    <w:rsid w:val="00F95686"/>
    <w:rsid w:val="00F95DA8"/>
    <w:rsid w:val="00F96268"/>
    <w:rsid w:val="00F96994"/>
    <w:rsid w:val="00F972EC"/>
    <w:rsid w:val="00F9734C"/>
    <w:rsid w:val="00F97CC0"/>
    <w:rsid w:val="00FA13C9"/>
    <w:rsid w:val="00FA1466"/>
    <w:rsid w:val="00FA1BBC"/>
    <w:rsid w:val="00FA20D0"/>
    <w:rsid w:val="00FA21D2"/>
    <w:rsid w:val="00FA22CE"/>
    <w:rsid w:val="00FA23DC"/>
    <w:rsid w:val="00FA2ADD"/>
    <w:rsid w:val="00FA2BFB"/>
    <w:rsid w:val="00FA3669"/>
    <w:rsid w:val="00FA3746"/>
    <w:rsid w:val="00FA3A79"/>
    <w:rsid w:val="00FA3C6C"/>
    <w:rsid w:val="00FA3FBC"/>
    <w:rsid w:val="00FA48BF"/>
    <w:rsid w:val="00FA4DB3"/>
    <w:rsid w:val="00FA4E14"/>
    <w:rsid w:val="00FA5518"/>
    <w:rsid w:val="00FA5BFB"/>
    <w:rsid w:val="00FA5DDC"/>
    <w:rsid w:val="00FA600C"/>
    <w:rsid w:val="00FA613E"/>
    <w:rsid w:val="00FA616E"/>
    <w:rsid w:val="00FA6E44"/>
    <w:rsid w:val="00FA6F56"/>
    <w:rsid w:val="00FA719B"/>
    <w:rsid w:val="00FA7547"/>
    <w:rsid w:val="00FA7D12"/>
    <w:rsid w:val="00FB0424"/>
    <w:rsid w:val="00FB094C"/>
    <w:rsid w:val="00FB12B9"/>
    <w:rsid w:val="00FB2A69"/>
    <w:rsid w:val="00FB3B24"/>
    <w:rsid w:val="00FB41DF"/>
    <w:rsid w:val="00FB45A7"/>
    <w:rsid w:val="00FB46AB"/>
    <w:rsid w:val="00FB4906"/>
    <w:rsid w:val="00FB4A0C"/>
    <w:rsid w:val="00FB5C66"/>
    <w:rsid w:val="00FB60A7"/>
    <w:rsid w:val="00FB668A"/>
    <w:rsid w:val="00FB75AB"/>
    <w:rsid w:val="00FB7674"/>
    <w:rsid w:val="00FC0E03"/>
    <w:rsid w:val="00FC10E5"/>
    <w:rsid w:val="00FC118E"/>
    <w:rsid w:val="00FC17B1"/>
    <w:rsid w:val="00FC1F26"/>
    <w:rsid w:val="00FC2140"/>
    <w:rsid w:val="00FC21BC"/>
    <w:rsid w:val="00FC2469"/>
    <w:rsid w:val="00FC2F12"/>
    <w:rsid w:val="00FC343C"/>
    <w:rsid w:val="00FC3942"/>
    <w:rsid w:val="00FC3A6F"/>
    <w:rsid w:val="00FC3ADE"/>
    <w:rsid w:val="00FC426A"/>
    <w:rsid w:val="00FC4950"/>
    <w:rsid w:val="00FC4B3D"/>
    <w:rsid w:val="00FC4E5D"/>
    <w:rsid w:val="00FC5507"/>
    <w:rsid w:val="00FC60A7"/>
    <w:rsid w:val="00FC622A"/>
    <w:rsid w:val="00FC6F49"/>
    <w:rsid w:val="00FC6FD8"/>
    <w:rsid w:val="00FC7727"/>
    <w:rsid w:val="00FD0546"/>
    <w:rsid w:val="00FD0628"/>
    <w:rsid w:val="00FD0926"/>
    <w:rsid w:val="00FD1554"/>
    <w:rsid w:val="00FD19CE"/>
    <w:rsid w:val="00FD1FDF"/>
    <w:rsid w:val="00FD2ABB"/>
    <w:rsid w:val="00FD2D65"/>
    <w:rsid w:val="00FD2EC7"/>
    <w:rsid w:val="00FD35AB"/>
    <w:rsid w:val="00FD3657"/>
    <w:rsid w:val="00FD49C1"/>
    <w:rsid w:val="00FD63F3"/>
    <w:rsid w:val="00FD66CD"/>
    <w:rsid w:val="00FD6752"/>
    <w:rsid w:val="00FD684D"/>
    <w:rsid w:val="00FD732C"/>
    <w:rsid w:val="00FD79D9"/>
    <w:rsid w:val="00FD7BE8"/>
    <w:rsid w:val="00FE0E43"/>
    <w:rsid w:val="00FE1073"/>
    <w:rsid w:val="00FE1475"/>
    <w:rsid w:val="00FE1FD5"/>
    <w:rsid w:val="00FE211B"/>
    <w:rsid w:val="00FE2A06"/>
    <w:rsid w:val="00FE32D6"/>
    <w:rsid w:val="00FE4695"/>
    <w:rsid w:val="00FE4B23"/>
    <w:rsid w:val="00FE4CDC"/>
    <w:rsid w:val="00FE524C"/>
    <w:rsid w:val="00FE5578"/>
    <w:rsid w:val="00FE56AC"/>
    <w:rsid w:val="00FE625F"/>
    <w:rsid w:val="00FE64B4"/>
    <w:rsid w:val="00FE7FE8"/>
    <w:rsid w:val="00FF0104"/>
    <w:rsid w:val="00FF1006"/>
    <w:rsid w:val="00FF1193"/>
    <w:rsid w:val="00FF1B34"/>
    <w:rsid w:val="00FF2039"/>
    <w:rsid w:val="00FF2133"/>
    <w:rsid w:val="00FF234E"/>
    <w:rsid w:val="00FF2B1C"/>
    <w:rsid w:val="00FF30C2"/>
    <w:rsid w:val="00FF31BB"/>
    <w:rsid w:val="00FF367E"/>
    <w:rsid w:val="00FF3999"/>
    <w:rsid w:val="00FF3D00"/>
    <w:rsid w:val="00FF3F0A"/>
    <w:rsid w:val="00FF4945"/>
    <w:rsid w:val="00FF590A"/>
    <w:rsid w:val="00FF621B"/>
    <w:rsid w:val="00FF6452"/>
    <w:rsid w:val="00FF6AE1"/>
    <w:rsid w:val="00FF6B0A"/>
    <w:rsid w:val="00FF7159"/>
    <w:rsid w:val="00FF7232"/>
    <w:rsid w:val="00FF7888"/>
    <w:rsid w:val="00FF7ADF"/>
    <w:rsid w:val="01010408"/>
    <w:rsid w:val="01037B03"/>
    <w:rsid w:val="014E1D9C"/>
    <w:rsid w:val="014E74CE"/>
    <w:rsid w:val="018A06B3"/>
    <w:rsid w:val="0192637F"/>
    <w:rsid w:val="01A64DA3"/>
    <w:rsid w:val="01C950CF"/>
    <w:rsid w:val="01CC7994"/>
    <w:rsid w:val="01D0713D"/>
    <w:rsid w:val="01E2096B"/>
    <w:rsid w:val="020403A9"/>
    <w:rsid w:val="020948F0"/>
    <w:rsid w:val="022A41BD"/>
    <w:rsid w:val="022A726D"/>
    <w:rsid w:val="02400466"/>
    <w:rsid w:val="0240076B"/>
    <w:rsid w:val="02592ED3"/>
    <w:rsid w:val="027235C6"/>
    <w:rsid w:val="0285330D"/>
    <w:rsid w:val="028A6A7F"/>
    <w:rsid w:val="02BD5424"/>
    <w:rsid w:val="02E306BB"/>
    <w:rsid w:val="02E91404"/>
    <w:rsid w:val="0376146E"/>
    <w:rsid w:val="03A60678"/>
    <w:rsid w:val="03B15E1D"/>
    <w:rsid w:val="03BF4015"/>
    <w:rsid w:val="03CB4DA1"/>
    <w:rsid w:val="040C02C5"/>
    <w:rsid w:val="0475291D"/>
    <w:rsid w:val="04961737"/>
    <w:rsid w:val="04A266D7"/>
    <w:rsid w:val="04AB79F6"/>
    <w:rsid w:val="04AC3195"/>
    <w:rsid w:val="04F01EE9"/>
    <w:rsid w:val="04F72AA5"/>
    <w:rsid w:val="04FA2030"/>
    <w:rsid w:val="05005AEC"/>
    <w:rsid w:val="053347C7"/>
    <w:rsid w:val="053A45A8"/>
    <w:rsid w:val="053B19B8"/>
    <w:rsid w:val="056F2664"/>
    <w:rsid w:val="05EB2576"/>
    <w:rsid w:val="05FA2136"/>
    <w:rsid w:val="0602632F"/>
    <w:rsid w:val="06645407"/>
    <w:rsid w:val="06B111DE"/>
    <w:rsid w:val="06C13682"/>
    <w:rsid w:val="07190AB8"/>
    <w:rsid w:val="07547E58"/>
    <w:rsid w:val="07683F41"/>
    <w:rsid w:val="0790350F"/>
    <w:rsid w:val="07AC1341"/>
    <w:rsid w:val="07C005F2"/>
    <w:rsid w:val="08015792"/>
    <w:rsid w:val="08210FE4"/>
    <w:rsid w:val="08313CE6"/>
    <w:rsid w:val="084D3193"/>
    <w:rsid w:val="0854278F"/>
    <w:rsid w:val="08DE3A6B"/>
    <w:rsid w:val="09451064"/>
    <w:rsid w:val="094952B9"/>
    <w:rsid w:val="0985356F"/>
    <w:rsid w:val="09A00B00"/>
    <w:rsid w:val="09D22855"/>
    <w:rsid w:val="0A0645AE"/>
    <w:rsid w:val="0A07110A"/>
    <w:rsid w:val="0A181BE2"/>
    <w:rsid w:val="0A380E25"/>
    <w:rsid w:val="0A522CFE"/>
    <w:rsid w:val="0A603438"/>
    <w:rsid w:val="0A6B4AFE"/>
    <w:rsid w:val="0A715EB2"/>
    <w:rsid w:val="0A821284"/>
    <w:rsid w:val="0A871636"/>
    <w:rsid w:val="0A9457B6"/>
    <w:rsid w:val="0A9670A5"/>
    <w:rsid w:val="0ABB6AD4"/>
    <w:rsid w:val="0AC83B84"/>
    <w:rsid w:val="0AD72BEA"/>
    <w:rsid w:val="0B1227DE"/>
    <w:rsid w:val="0B162CAF"/>
    <w:rsid w:val="0B3B5061"/>
    <w:rsid w:val="0B6727D9"/>
    <w:rsid w:val="0B6939EF"/>
    <w:rsid w:val="0B705727"/>
    <w:rsid w:val="0B7802A7"/>
    <w:rsid w:val="0B990439"/>
    <w:rsid w:val="0BDA132E"/>
    <w:rsid w:val="0BE02F1D"/>
    <w:rsid w:val="0BE74AA2"/>
    <w:rsid w:val="0C085D6A"/>
    <w:rsid w:val="0C421E32"/>
    <w:rsid w:val="0C5817D6"/>
    <w:rsid w:val="0C6D2E47"/>
    <w:rsid w:val="0C70680B"/>
    <w:rsid w:val="0C93BDC8"/>
    <w:rsid w:val="0CB645CC"/>
    <w:rsid w:val="0CD13630"/>
    <w:rsid w:val="0D35128D"/>
    <w:rsid w:val="0D502B6A"/>
    <w:rsid w:val="0D5B5533"/>
    <w:rsid w:val="0D630173"/>
    <w:rsid w:val="0DCA0F3F"/>
    <w:rsid w:val="0DD73809"/>
    <w:rsid w:val="0DE2258D"/>
    <w:rsid w:val="0E244B21"/>
    <w:rsid w:val="0E6962CD"/>
    <w:rsid w:val="0E7406FE"/>
    <w:rsid w:val="0E93368C"/>
    <w:rsid w:val="0EC73979"/>
    <w:rsid w:val="0F1344C0"/>
    <w:rsid w:val="0F362943"/>
    <w:rsid w:val="0F3966E9"/>
    <w:rsid w:val="0F3B1476"/>
    <w:rsid w:val="0F46796D"/>
    <w:rsid w:val="0F8B3FA3"/>
    <w:rsid w:val="0F952A90"/>
    <w:rsid w:val="0FAA0772"/>
    <w:rsid w:val="0FDF43EB"/>
    <w:rsid w:val="0FE00754"/>
    <w:rsid w:val="0FEC65BB"/>
    <w:rsid w:val="105A10E7"/>
    <w:rsid w:val="1066352A"/>
    <w:rsid w:val="1093704A"/>
    <w:rsid w:val="109D405D"/>
    <w:rsid w:val="10CE5DDE"/>
    <w:rsid w:val="10DF60E9"/>
    <w:rsid w:val="10E41F09"/>
    <w:rsid w:val="114A4AB8"/>
    <w:rsid w:val="114D480D"/>
    <w:rsid w:val="11640B4C"/>
    <w:rsid w:val="11AA4263"/>
    <w:rsid w:val="11C42F6F"/>
    <w:rsid w:val="120C60CF"/>
    <w:rsid w:val="120D31B9"/>
    <w:rsid w:val="12141777"/>
    <w:rsid w:val="121A2F40"/>
    <w:rsid w:val="12275901"/>
    <w:rsid w:val="126A11B6"/>
    <w:rsid w:val="12A829B4"/>
    <w:rsid w:val="12EE5E3F"/>
    <w:rsid w:val="131D6AF2"/>
    <w:rsid w:val="131E47E0"/>
    <w:rsid w:val="134D3BF6"/>
    <w:rsid w:val="134D624E"/>
    <w:rsid w:val="13557527"/>
    <w:rsid w:val="1378CC6C"/>
    <w:rsid w:val="13795169"/>
    <w:rsid w:val="138826D5"/>
    <w:rsid w:val="1435053F"/>
    <w:rsid w:val="148717FE"/>
    <w:rsid w:val="14FA5A20"/>
    <w:rsid w:val="15216FEE"/>
    <w:rsid w:val="15690351"/>
    <w:rsid w:val="156A01E2"/>
    <w:rsid w:val="158F3C6E"/>
    <w:rsid w:val="158F7CD8"/>
    <w:rsid w:val="15B73A91"/>
    <w:rsid w:val="15E20CFD"/>
    <w:rsid w:val="15E253FC"/>
    <w:rsid w:val="164527A7"/>
    <w:rsid w:val="1648604B"/>
    <w:rsid w:val="16A87EE9"/>
    <w:rsid w:val="16B234A2"/>
    <w:rsid w:val="16BC52A1"/>
    <w:rsid w:val="16DB456B"/>
    <w:rsid w:val="16DE3C9C"/>
    <w:rsid w:val="16F55DB6"/>
    <w:rsid w:val="16F96BFB"/>
    <w:rsid w:val="17232CE2"/>
    <w:rsid w:val="177C6DED"/>
    <w:rsid w:val="178337F7"/>
    <w:rsid w:val="17A24B8B"/>
    <w:rsid w:val="17A92BDF"/>
    <w:rsid w:val="17B80C3F"/>
    <w:rsid w:val="17C0020D"/>
    <w:rsid w:val="17C70888"/>
    <w:rsid w:val="17D02297"/>
    <w:rsid w:val="17DE319F"/>
    <w:rsid w:val="182E6F9C"/>
    <w:rsid w:val="18F949B1"/>
    <w:rsid w:val="19853E9B"/>
    <w:rsid w:val="19AE0964"/>
    <w:rsid w:val="19CE7B20"/>
    <w:rsid w:val="19D4637A"/>
    <w:rsid w:val="19E76F40"/>
    <w:rsid w:val="1A20037A"/>
    <w:rsid w:val="1AAC2C9F"/>
    <w:rsid w:val="1AC75043"/>
    <w:rsid w:val="1AD648C7"/>
    <w:rsid w:val="1B442715"/>
    <w:rsid w:val="1C2E6B5A"/>
    <w:rsid w:val="1C352D96"/>
    <w:rsid w:val="1C501327"/>
    <w:rsid w:val="1C55509B"/>
    <w:rsid w:val="1C9020B1"/>
    <w:rsid w:val="1CA532F6"/>
    <w:rsid w:val="1CBD6724"/>
    <w:rsid w:val="1D212D98"/>
    <w:rsid w:val="1D246E39"/>
    <w:rsid w:val="1D2D401B"/>
    <w:rsid w:val="1D814FD9"/>
    <w:rsid w:val="1DB4658B"/>
    <w:rsid w:val="1DCF2792"/>
    <w:rsid w:val="1DD16229"/>
    <w:rsid w:val="1E0D490E"/>
    <w:rsid w:val="1E575BBA"/>
    <w:rsid w:val="1E601485"/>
    <w:rsid w:val="1E644840"/>
    <w:rsid w:val="1E6C4797"/>
    <w:rsid w:val="1EA13D71"/>
    <w:rsid w:val="1ED20010"/>
    <w:rsid w:val="1ED87E8F"/>
    <w:rsid w:val="1EE81746"/>
    <w:rsid w:val="1F57716E"/>
    <w:rsid w:val="1F9574FA"/>
    <w:rsid w:val="1FB95AF8"/>
    <w:rsid w:val="1FE34919"/>
    <w:rsid w:val="20043A84"/>
    <w:rsid w:val="200F3E0F"/>
    <w:rsid w:val="20487AD4"/>
    <w:rsid w:val="20727A75"/>
    <w:rsid w:val="20C474F0"/>
    <w:rsid w:val="20D23F3B"/>
    <w:rsid w:val="21212036"/>
    <w:rsid w:val="219E6732"/>
    <w:rsid w:val="21C96383"/>
    <w:rsid w:val="21FB6D72"/>
    <w:rsid w:val="21FC1A76"/>
    <w:rsid w:val="222F4291"/>
    <w:rsid w:val="223C0506"/>
    <w:rsid w:val="22A11139"/>
    <w:rsid w:val="22EF0077"/>
    <w:rsid w:val="22FA5EFB"/>
    <w:rsid w:val="23400AFA"/>
    <w:rsid w:val="234843D8"/>
    <w:rsid w:val="234A084D"/>
    <w:rsid w:val="237B40C5"/>
    <w:rsid w:val="23930C89"/>
    <w:rsid w:val="23B26DD4"/>
    <w:rsid w:val="23E15A1D"/>
    <w:rsid w:val="23FF25A4"/>
    <w:rsid w:val="241039AF"/>
    <w:rsid w:val="24270FD7"/>
    <w:rsid w:val="242A538A"/>
    <w:rsid w:val="24417C14"/>
    <w:rsid w:val="245D2542"/>
    <w:rsid w:val="24762EA3"/>
    <w:rsid w:val="24794225"/>
    <w:rsid w:val="24930E00"/>
    <w:rsid w:val="24952EE9"/>
    <w:rsid w:val="24C65EFF"/>
    <w:rsid w:val="24D3509F"/>
    <w:rsid w:val="24D61CD0"/>
    <w:rsid w:val="24FE575D"/>
    <w:rsid w:val="252E2DE9"/>
    <w:rsid w:val="2561060F"/>
    <w:rsid w:val="25883A04"/>
    <w:rsid w:val="2590EC8E"/>
    <w:rsid w:val="25EB4426"/>
    <w:rsid w:val="25F75A5E"/>
    <w:rsid w:val="26144CAD"/>
    <w:rsid w:val="26152DED"/>
    <w:rsid w:val="261F4F4C"/>
    <w:rsid w:val="26292826"/>
    <w:rsid w:val="264C0977"/>
    <w:rsid w:val="264D77BB"/>
    <w:rsid w:val="26D37290"/>
    <w:rsid w:val="273E7AAD"/>
    <w:rsid w:val="2751271F"/>
    <w:rsid w:val="275814D8"/>
    <w:rsid w:val="276A6DDC"/>
    <w:rsid w:val="276E36CF"/>
    <w:rsid w:val="27715902"/>
    <w:rsid w:val="27885F04"/>
    <w:rsid w:val="2851008E"/>
    <w:rsid w:val="287064F9"/>
    <w:rsid w:val="288C4F89"/>
    <w:rsid w:val="28C8E81D"/>
    <w:rsid w:val="290121F2"/>
    <w:rsid w:val="290E2B73"/>
    <w:rsid w:val="291F6159"/>
    <w:rsid w:val="298E5547"/>
    <w:rsid w:val="29A2195A"/>
    <w:rsid w:val="29D18DE8"/>
    <w:rsid w:val="29F44B05"/>
    <w:rsid w:val="2A04662F"/>
    <w:rsid w:val="2A14061E"/>
    <w:rsid w:val="2A140BC1"/>
    <w:rsid w:val="2A157D12"/>
    <w:rsid w:val="2A183790"/>
    <w:rsid w:val="2A1A7143"/>
    <w:rsid w:val="2A226765"/>
    <w:rsid w:val="2A6E1153"/>
    <w:rsid w:val="2A9E76C3"/>
    <w:rsid w:val="2AB117A9"/>
    <w:rsid w:val="2AB92320"/>
    <w:rsid w:val="2B1D49C4"/>
    <w:rsid w:val="2B3C1862"/>
    <w:rsid w:val="2B4265B2"/>
    <w:rsid w:val="2B4C7E26"/>
    <w:rsid w:val="2B602691"/>
    <w:rsid w:val="2B7832F0"/>
    <w:rsid w:val="2BA87956"/>
    <w:rsid w:val="2BAA76C7"/>
    <w:rsid w:val="2C1B330C"/>
    <w:rsid w:val="2C210873"/>
    <w:rsid w:val="2C2B1E5E"/>
    <w:rsid w:val="2C597DA9"/>
    <w:rsid w:val="2C5F0588"/>
    <w:rsid w:val="2C69054A"/>
    <w:rsid w:val="2C6C2C3F"/>
    <w:rsid w:val="2C8E3C12"/>
    <w:rsid w:val="2C94778B"/>
    <w:rsid w:val="2CFB304F"/>
    <w:rsid w:val="2D220523"/>
    <w:rsid w:val="2D335410"/>
    <w:rsid w:val="2D3648E2"/>
    <w:rsid w:val="2D3C0D81"/>
    <w:rsid w:val="2D4841F5"/>
    <w:rsid w:val="2D4A23A1"/>
    <w:rsid w:val="2DC55609"/>
    <w:rsid w:val="2DF75DC8"/>
    <w:rsid w:val="2E3E3891"/>
    <w:rsid w:val="2E5A4960"/>
    <w:rsid w:val="2E6D014D"/>
    <w:rsid w:val="2E701821"/>
    <w:rsid w:val="2E73512F"/>
    <w:rsid w:val="2E795511"/>
    <w:rsid w:val="2E970111"/>
    <w:rsid w:val="2E991530"/>
    <w:rsid w:val="2E9E4BC5"/>
    <w:rsid w:val="2EEE7E52"/>
    <w:rsid w:val="2F205F43"/>
    <w:rsid w:val="2F2F3E7E"/>
    <w:rsid w:val="2F3A04E6"/>
    <w:rsid w:val="2F5C659D"/>
    <w:rsid w:val="2F6A44C2"/>
    <w:rsid w:val="2F7776AF"/>
    <w:rsid w:val="2FA54BEE"/>
    <w:rsid w:val="2FE80D3A"/>
    <w:rsid w:val="2FEA3A3B"/>
    <w:rsid w:val="300B7213"/>
    <w:rsid w:val="300E2888"/>
    <w:rsid w:val="301866A3"/>
    <w:rsid w:val="301F671D"/>
    <w:rsid w:val="306431A0"/>
    <w:rsid w:val="306B0E0D"/>
    <w:rsid w:val="306B6480"/>
    <w:rsid w:val="30E30461"/>
    <w:rsid w:val="316438A0"/>
    <w:rsid w:val="31873FE5"/>
    <w:rsid w:val="31951DC8"/>
    <w:rsid w:val="31BD54CB"/>
    <w:rsid w:val="31C34C37"/>
    <w:rsid w:val="31D41AA5"/>
    <w:rsid w:val="31E81126"/>
    <w:rsid w:val="31EE459A"/>
    <w:rsid w:val="31F97A72"/>
    <w:rsid w:val="320614BC"/>
    <w:rsid w:val="320B2141"/>
    <w:rsid w:val="32406B26"/>
    <w:rsid w:val="32BD7998"/>
    <w:rsid w:val="32D22AAA"/>
    <w:rsid w:val="32D75E53"/>
    <w:rsid w:val="330357FB"/>
    <w:rsid w:val="33157B5A"/>
    <w:rsid w:val="332C15EA"/>
    <w:rsid w:val="332D5A6D"/>
    <w:rsid w:val="333024E1"/>
    <w:rsid w:val="33A801A0"/>
    <w:rsid w:val="33B907A4"/>
    <w:rsid w:val="3400298F"/>
    <w:rsid w:val="340034B9"/>
    <w:rsid w:val="343926B5"/>
    <w:rsid w:val="34450838"/>
    <w:rsid w:val="34646C1D"/>
    <w:rsid w:val="346D235F"/>
    <w:rsid w:val="34AA14EA"/>
    <w:rsid w:val="34F54209"/>
    <w:rsid w:val="350D5FDF"/>
    <w:rsid w:val="35B55C64"/>
    <w:rsid w:val="35B853A4"/>
    <w:rsid w:val="35EB5C2E"/>
    <w:rsid w:val="3622085A"/>
    <w:rsid w:val="36451CB1"/>
    <w:rsid w:val="36544FAC"/>
    <w:rsid w:val="36776E8E"/>
    <w:rsid w:val="367B1666"/>
    <w:rsid w:val="36802507"/>
    <w:rsid w:val="368C0E49"/>
    <w:rsid w:val="37164A43"/>
    <w:rsid w:val="37325EC2"/>
    <w:rsid w:val="374D1667"/>
    <w:rsid w:val="375241BA"/>
    <w:rsid w:val="375D6B3E"/>
    <w:rsid w:val="37702ED0"/>
    <w:rsid w:val="378A674E"/>
    <w:rsid w:val="379FD882"/>
    <w:rsid w:val="37B13CF4"/>
    <w:rsid w:val="37D95811"/>
    <w:rsid w:val="37E10504"/>
    <w:rsid w:val="380648BE"/>
    <w:rsid w:val="382071A0"/>
    <w:rsid w:val="38631B69"/>
    <w:rsid w:val="38957FAE"/>
    <w:rsid w:val="38C05D05"/>
    <w:rsid w:val="38E450B7"/>
    <w:rsid w:val="38E81BC7"/>
    <w:rsid w:val="393B7C70"/>
    <w:rsid w:val="394D4568"/>
    <w:rsid w:val="396633A6"/>
    <w:rsid w:val="39F01A45"/>
    <w:rsid w:val="39F60BE3"/>
    <w:rsid w:val="3A156FDD"/>
    <w:rsid w:val="3A212AF0"/>
    <w:rsid w:val="3A4D7445"/>
    <w:rsid w:val="3A561869"/>
    <w:rsid w:val="3A5B1D66"/>
    <w:rsid w:val="3A7D2FD1"/>
    <w:rsid w:val="3AAD1165"/>
    <w:rsid w:val="3AC40926"/>
    <w:rsid w:val="3B2E3154"/>
    <w:rsid w:val="3B4F411F"/>
    <w:rsid w:val="3B5D177B"/>
    <w:rsid w:val="3B5E07F6"/>
    <w:rsid w:val="3B801765"/>
    <w:rsid w:val="3BAE1E3E"/>
    <w:rsid w:val="3C1D0ED3"/>
    <w:rsid w:val="3C2238EA"/>
    <w:rsid w:val="3C552759"/>
    <w:rsid w:val="3CBB7432"/>
    <w:rsid w:val="3CC25EAD"/>
    <w:rsid w:val="3CF20041"/>
    <w:rsid w:val="3D2C04EF"/>
    <w:rsid w:val="3D630D9B"/>
    <w:rsid w:val="3D9D5126"/>
    <w:rsid w:val="3DE95BB2"/>
    <w:rsid w:val="3E05537C"/>
    <w:rsid w:val="3E230EC5"/>
    <w:rsid w:val="3E483E0D"/>
    <w:rsid w:val="3E6A7128"/>
    <w:rsid w:val="3E6F4D22"/>
    <w:rsid w:val="3E702AE1"/>
    <w:rsid w:val="3E897D02"/>
    <w:rsid w:val="3E9256D1"/>
    <w:rsid w:val="3EE207ED"/>
    <w:rsid w:val="3EF32246"/>
    <w:rsid w:val="3EFA165E"/>
    <w:rsid w:val="3F107813"/>
    <w:rsid w:val="3F6F342F"/>
    <w:rsid w:val="3F7852B0"/>
    <w:rsid w:val="3FC01028"/>
    <w:rsid w:val="3FD24D96"/>
    <w:rsid w:val="4001193E"/>
    <w:rsid w:val="400566FC"/>
    <w:rsid w:val="405A2D7A"/>
    <w:rsid w:val="40AB6887"/>
    <w:rsid w:val="40DB6C9D"/>
    <w:rsid w:val="40EE34C4"/>
    <w:rsid w:val="41073DB4"/>
    <w:rsid w:val="41255B62"/>
    <w:rsid w:val="413D5105"/>
    <w:rsid w:val="413E32CC"/>
    <w:rsid w:val="415C494F"/>
    <w:rsid w:val="417443A9"/>
    <w:rsid w:val="41840D6B"/>
    <w:rsid w:val="41856F3A"/>
    <w:rsid w:val="41865404"/>
    <w:rsid w:val="419F3310"/>
    <w:rsid w:val="420C1254"/>
    <w:rsid w:val="420E4AFC"/>
    <w:rsid w:val="422514B1"/>
    <w:rsid w:val="4252724E"/>
    <w:rsid w:val="42676199"/>
    <w:rsid w:val="42755BCF"/>
    <w:rsid w:val="42991E94"/>
    <w:rsid w:val="429C1214"/>
    <w:rsid w:val="429E5B86"/>
    <w:rsid w:val="42BD10CE"/>
    <w:rsid w:val="42F02111"/>
    <w:rsid w:val="43031CC9"/>
    <w:rsid w:val="43323CDF"/>
    <w:rsid w:val="43555EFA"/>
    <w:rsid w:val="43655275"/>
    <w:rsid w:val="43785A20"/>
    <w:rsid w:val="437B74A7"/>
    <w:rsid w:val="43A00D2C"/>
    <w:rsid w:val="43BF14BB"/>
    <w:rsid w:val="43E225F0"/>
    <w:rsid w:val="43F75B9D"/>
    <w:rsid w:val="43FA1B29"/>
    <w:rsid w:val="44105695"/>
    <w:rsid w:val="44156C3B"/>
    <w:rsid w:val="44624AA1"/>
    <w:rsid w:val="44D76F56"/>
    <w:rsid w:val="44E440AB"/>
    <w:rsid w:val="44EB1C9C"/>
    <w:rsid w:val="45276294"/>
    <w:rsid w:val="452B6A14"/>
    <w:rsid w:val="455C0FBA"/>
    <w:rsid w:val="457C66D7"/>
    <w:rsid w:val="45AF0EAA"/>
    <w:rsid w:val="45BF119E"/>
    <w:rsid w:val="45C33064"/>
    <w:rsid w:val="45E1ACF0"/>
    <w:rsid w:val="45FE74CC"/>
    <w:rsid w:val="46042D87"/>
    <w:rsid w:val="46253BFF"/>
    <w:rsid w:val="46394548"/>
    <w:rsid w:val="464A2B88"/>
    <w:rsid w:val="465B5236"/>
    <w:rsid w:val="466971E8"/>
    <w:rsid w:val="46981909"/>
    <w:rsid w:val="469B7DBF"/>
    <w:rsid w:val="46B15DD6"/>
    <w:rsid w:val="46D5581E"/>
    <w:rsid w:val="47084506"/>
    <w:rsid w:val="47150F41"/>
    <w:rsid w:val="471C4450"/>
    <w:rsid w:val="47877017"/>
    <w:rsid w:val="479F20DF"/>
    <w:rsid w:val="47A2223C"/>
    <w:rsid w:val="47C842D9"/>
    <w:rsid w:val="47CA7BE2"/>
    <w:rsid w:val="47EE7E11"/>
    <w:rsid w:val="480D5F98"/>
    <w:rsid w:val="4857617F"/>
    <w:rsid w:val="487208E8"/>
    <w:rsid w:val="48917B05"/>
    <w:rsid w:val="48A1323B"/>
    <w:rsid w:val="48B43820"/>
    <w:rsid w:val="48E24A2D"/>
    <w:rsid w:val="48E737DC"/>
    <w:rsid w:val="48EE2686"/>
    <w:rsid w:val="49050671"/>
    <w:rsid w:val="495E2713"/>
    <w:rsid w:val="495E69EE"/>
    <w:rsid w:val="495F4CF7"/>
    <w:rsid w:val="4961179E"/>
    <w:rsid w:val="49627253"/>
    <w:rsid w:val="49AA4ED1"/>
    <w:rsid w:val="49D539BF"/>
    <w:rsid w:val="4A517622"/>
    <w:rsid w:val="4AE40761"/>
    <w:rsid w:val="4B044C91"/>
    <w:rsid w:val="4B2020BD"/>
    <w:rsid w:val="4B2041FF"/>
    <w:rsid w:val="4B214630"/>
    <w:rsid w:val="4B5D0F92"/>
    <w:rsid w:val="4B665795"/>
    <w:rsid w:val="4B6C066E"/>
    <w:rsid w:val="4C820041"/>
    <w:rsid w:val="4C8A3F5F"/>
    <w:rsid w:val="4CC6078A"/>
    <w:rsid w:val="4CC75DCD"/>
    <w:rsid w:val="4D197161"/>
    <w:rsid w:val="4D441E7A"/>
    <w:rsid w:val="4D4F4C0B"/>
    <w:rsid w:val="4D68688A"/>
    <w:rsid w:val="4DE335C7"/>
    <w:rsid w:val="4DF1285B"/>
    <w:rsid w:val="4DF8114C"/>
    <w:rsid w:val="4E122F4D"/>
    <w:rsid w:val="4E142D8E"/>
    <w:rsid w:val="4E495A30"/>
    <w:rsid w:val="4E7C2C94"/>
    <w:rsid w:val="4E9C0379"/>
    <w:rsid w:val="4EF47AB5"/>
    <w:rsid w:val="4F3106B2"/>
    <w:rsid w:val="4F3A1542"/>
    <w:rsid w:val="4F461FA6"/>
    <w:rsid w:val="4F770BFB"/>
    <w:rsid w:val="4F780C91"/>
    <w:rsid w:val="4F7F03FE"/>
    <w:rsid w:val="4F9428EE"/>
    <w:rsid w:val="4FA631E9"/>
    <w:rsid w:val="4FE26F31"/>
    <w:rsid w:val="5016761C"/>
    <w:rsid w:val="50232B63"/>
    <w:rsid w:val="50240C16"/>
    <w:rsid w:val="50511C1B"/>
    <w:rsid w:val="5075461D"/>
    <w:rsid w:val="509B2C09"/>
    <w:rsid w:val="50A55B0B"/>
    <w:rsid w:val="50A67B39"/>
    <w:rsid w:val="50A744DD"/>
    <w:rsid w:val="50E420FC"/>
    <w:rsid w:val="50EA6DB9"/>
    <w:rsid w:val="51181D4C"/>
    <w:rsid w:val="51294989"/>
    <w:rsid w:val="52054E78"/>
    <w:rsid w:val="520E2C38"/>
    <w:rsid w:val="521124B9"/>
    <w:rsid w:val="5224116C"/>
    <w:rsid w:val="52587498"/>
    <w:rsid w:val="52B3066E"/>
    <w:rsid w:val="535575A3"/>
    <w:rsid w:val="536B2EAE"/>
    <w:rsid w:val="536E1662"/>
    <w:rsid w:val="539F2CF4"/>
    <w:rsid w:val="53AC3EC7"/>
    <w:rsid w:val="53DF5BDE"/>
    <w:rsid w:val="53E60F1F"/>
    <w:rsid w:val="53E830B3"/>
    <w:rsid w:val="54024997"/>
    <w:rsid w:val="541016C2"/>
    <w:rsid w:val="54186F2E"/>
    <w:rsid w:val="548D4D1E"/>
    <w:rsid w:val="54B35E4E"/>
    <w:rsid w:val="54B40BFC"/>
    <w:rsid w:val="54BD480F"/>
    <w:rsid w:val="54C324AA"/>
    <w:rsid w:val="550E5443"/>
    <w:rsid w:val="55427AE7"/>
    <w:rsid w:val="55721EB7"/>
    <w:rsid w:val="558233A3"/>
    <w:rsid w:val="5589EE14"/>
    <w:rsid w:val="55AD51E0"/>
    <w:rsid w:val="55C33EE3"/>
    <w:rsid w:val="55F062E2"/>
    <w:rsid w:val="560014D7"/>
    <w:rsid w:val="562447C1"/>
    <w:rsid w:val="56262467"/>
    <w:rsid w:val="564B344F"/>
    <w:rsid w:val="568C0A9C"/>
    <w:rsid w:val="56CC2716"/>
    <w:rsid w:val="56EF77B0"/>
    <w:rsid w:val="56F73BF9"/>
    <w:rsid w:val="570227B5"/>
    <w:rsid w:val="571F7CD7"/>
    <w:rsid w:val="57374C02"/>
    <w:rsid w:val="574F3070"/>
    <w:rsid w:val="57AA18CB"/>
    <w:rsid w:val="580207BF"/>
    <w:rsid w:val="58244072"/>
    <w:rsid w:val="58B87AAF"/>
    <w:rsid w:val="58BF260F"/>
    <w:rsid w:val="58BF2F0F"/>
    <w:rsid w:val="58BF44DC"/>
    <w:rsid w:val="58F60867"/>
    <w:rsid w:val="58FA4FC4"/>
    <w:rsid w:val="58FC3680"/>
    <w:rsid w:val="594D1D71"/>
    <w:rsid w:val="596826C0"/>
    <w:rsid w:val="5976519C"/>
    <w:rsid w:val="59771406"/>
    <w:rsid w:val="59A55F1D"/>
    <w:rsid w:val="59D071CA"/>
    <w:rsid w:val="59F32EB2"/>
    <w:rsid w:val="59F94C90"/>
    <w:rsid w:val="5A056863"/>
    <w:rsid w:val="5A65620D"/>
    <w:rsid w:val="5A9B6844"/>
    <w:rsid w:val="5AB47149"/>
    <w:rsid w:val="5AC1789F"/>
    <w:rsid w:val="5AC30F2C"/>
    <w:rsid w:val="5AF515D2"/>
    <w:rsid w:val="5B2818C3"/>
    <w:rsid w:val="5B585235"/>
    <w:rsid w:val="5B5E2753"/>
    <w:rsid w:val="5C0133FF"/>
    <w:rsid w:val="5C127EED"/>
    <w:rsid w:val="5C201049"/>
    <w:rsid w:val="5C2124F6"/>
    <w:rsid w:val="5C431149"/>
    <w:rsid w:val="5C451348"/>
    <w:rsid w:val="5C5C497D"/>
    <w:rsid w:val="5C6013E3"/>
    <w:rsid w:val="5C870BF8"/>
    <w:rsid w:val="5C873C0F"/>
    <w:rsid w:val="5CE648D9"/>
    <w:rsid w:val="5D202A70"/>
    <w:rsid w:val="5D647EF4"/>
    <w:rsid w:val="5D8A1162"/>
    <w:rsid w:val="5DA80048"/>
    <w:rsid w:val="5DD922ED"/>
    <w:rsid w:val="5DF32C77"/>
    <w:rsid w:val="5E9A3B4F"/>
    <w:rsid w:val="5EAB41BF"/>
    <w:rsid w:val="5EF163B7"/>
    <w:rsid w:val="5EFC65A1"/>
    <w:rsid w:val="5F5C3CE8"/>
    <w:rsid w:val="5F8E2530"/>
    <w:rsid w:val="5FA16E94"/>
    <w:rsid w:val="5FB400C2"/>
    <w:rsid w:val="5FC27382"/>
    <w:rsid w:val="5FEF0369"/>
    <w:rsid w:val="5FF6746B"/>
    <w:rsid w:val="60102E03"/>
    <w:rsid w:val="60EC7F79"/>
    <w:rsid w:val="61364320"/>
    <w:rsid w:val="61447E20"/>
    <w:rsid w:val="616F7D4D"/>
    <w:rsid w:val="618C141A"/>
    <w:rsid w:val="61921296"/>
    <w:rsid w:val="61E004E0"/>
    <w:rsid w:val="61E31BE8"/>
    <w:rsid w:val="61F05C05"/>
    <w:rsid w:val="62191EEF"/>
    <w:rsid w:val="621D402A"/>
    <w:rsid w:val="62545E86"/>
    <w:rsid w:val="626968A7"/>
    <w:rsid w:val="626C14C9"/>
    <w:rsid w:val="62AC796E"/>
    <w:rsid w:val="62B16CB7"/>
    <w:rsid w:val="62F52A87"/>
    <w:rsid w:val="63041102"/>
    <w:rsid w:val="63045904"/>
    <w:rsid w:val="634B7515"/>
    <w:rsid w:val="6364343A"/>
    <w:rsid w:val="637165B6"/>
    <w:rsid w:val="63B05CF6"/>
    <w:rsid w:val="63E844B2"/>
    <w:rsid w:val="641B72EC"/>
    <w:rsid w:val="641E5201"/>
    <w:rsid w:val="64276D9A"/>
    <w:rsid w:val="64632A18"/>
    <w:rsid w:val="64A30443"/>
    <w:rsid w:val="64BB0AC7"/>
    <w:rsid w:val="64C969AD"/>
    <w:rsid w:val="64DF7B09"/>
    <w:rsid w:val="653C1ED6"/>
    <w:rsid w:val="65515606"/>
    <w:rsid w:val="65650777"/>
    <w:rsid w:val="65C77B1C"/>
    <w:rsid w:val="65D3415A"/>
    <w:rsid w:val="65F657B4"/>
    <w:rsid w:val="6649138E"/>
    <w:rsid w:val="664C06D6"/>
    <w:rsid w:val="6667FFAC"/>
    <w:rsid w:val="668E1E13"/>
    <w:rsid w:val="66BB3E53"/>
    <w:rsid w:val="66D80EDB"/>
    <w:rsid w:val="67080B5E"/>
    <w:rsid w:val="6718700D"/>
    <w:rsid w:val="671A5B4F"/>
    <w:rsid w:val="671D09A5"/>
    <w:rsid w:val="672B41E9"/>
    <w:rsid w:val="673674EE"/>
    <w:rsid w:val="67F37BEE"/>
    <w:rsid w:val="68083F4C"/>
    <w:rsid w:val="68821D12"/>
    <w:rsid w:val="68880792"/>
    <w:rsid w:val="68AB160D"/>
    <w:rsid w:val="68D1334C"/>
    <w:rsid w:val="68DD7BF4"/>
    <w:rsid w:val="691C1FBE"/>
    <w:rsid w:val="691E0FE5"/>
    <w:rsid w:val="69564F6A"/>
    <w:rsid w:val="695F7D9A"/>
    <w:rsid w:val="69BC26BC"/>
    <w:rsid w:val="6A01600D"/>
    <w:rsid w:val="6A120B5C"/>
    <w:rsid w:val="6A4F788C"/>
    <w:rsid w:val="6A635C78"/>
    <w:rsid w:val="6A6A7EA5"/>
    <w:rsid w:val="6A700689"/>
    <w:rsid w:val="6ACE7CE9"/>
    <w:rsid w:val="6AD5577C"/>
    <w:rsid w:val="6B0D1DFF"/>
    <w:rsid w:val="6B171948"/>
    <w:rsid w:val="6B2C02A3"/>
    <w:rsid w:val="6B510CC5"/>
    <w:rsid w:val="6B771716"/>
    <w:rsid w:val="6BC87A3F"/>
    <w:rsid w:val="6BDD76A5"/>
    <w:rsid w:val="6BDE4237"/>
    <w:rsid w:val="6C0365CF"/>
    <w:rsid w:val="6C197560"/>
    <w:rsid w:val="6C2853AF"/>
    <w:rsid w:val="6C3421D3"/>
    <w:rsid w:val="6C3C4718"/>
    <w:rsid w:val="6C66002A"/>
    <w:rsid w:val="6C686922"/>
    <w:rsid w:val="6C851A48"/>
    <w:rsid w:val="6C933772"/>
    <w:rsid w:val="6C9D70FF"/>
    <w:rsid w:val="6CAA73A6"/>
    <w:rsid w:val="6CDD6BD9"/>
    <w:rsid w:val="6CEE7191"/>
    <w:rsid w:val="6CFB2741"/>
    <w:rsid w:val="6D092BEF"/>
    <w:rsid w:val="6D325318"/>
    <w:rsid w:val="6D4712AC"/>
    <w:rsid w:val="6DEC2B56"/>
    <w:rsid w:val="6E070A16"/>
    <w:rsid w:val="6E3E697C"/>
    <w:rsid w:val="6E8D711F"/>
    <w:rsid w:val="6EA41F28"/>
    <w:rsid w:val="6EAD542B"/>
    <w:rsid w:val="6EB625E4"/>
    <w:rsid w:val="6EB87630"/>
    <w:rsid w:val="6EDA199C"/>
    <w:rsid w:val="6F56219C"/>
    <w:rsid w:val="6F6D3B6C"/>
    <w:rsid w:val="6FA570EE"/>
    <w:rsid w:val="7066078F"/>
    <w:rsid w:val="70664EE0"/>
    <w:rsid w:val="70764A38"/>
    <w:rsid w:val="708A6B17"/>
    <w:rsid w:val="70A93476"/>
    <w:rsid w:val="70D9305F"/>
    <w:rsid w:val="70DB6982"/>
    <w:rsid w:val="70DD2A82"/>
    <w:rsid w:val="70EFEC36"/>
    <w:rsid w:val="70F85EE3"/>
    <w:rsid w:val="712453E4"/>
    <w:rsid w:val="713A6116"/>
    <w:rsid w:val="71566BB9"/>
    <w:rsid w:val="71570BE5"/>
    <w:rsid w:val="71DC03E9"/>
    <w:rsid w:val="71E3250D"/>
    <w:rsid w:val="71F34871"/>
    <w:rsid w:val="721B49B7"/>
    <w:rsid w:val="723B082E"/>
    <w:rsid w:val="72421880"/>
    <w:rsid w:val="72761793"/>
    <w:rsid w:val="729C0FCF"/>
    <w:rsid w:val="729F609B"/>
    <w:rsid w:val="72D169E6"/>
    <w:rsid w:val="72DC1475"/>
    <w:rsid w:val="730333A6"/>
    <w:rsid w:val="73101539"/>
    <w:rsid w:val="73154658"/>
    <w:rsid w:val="736159BC"/>
    <w:rsid w:val="73A633F6"/>
    <w:rsid w:val="73CC4BBF"/>
    <w:rsid w:val="73D27FDB"/>
    <w:rsid w:val="73DB2866"/>
    <w:rsid w:val="73E20A67"/>
    <w:rsid w:val="74063F04"/>
    <w:rsid w:val="74074804"/>
    <w:rsid w:val="740B2562"/>
    <w:rsid w:val="742E2969"/>
    <w:rsid w:val="745A7948"/>
    <w:rsid w:val="748755EA"/>
    <w:rsid w:val="74A12B60"/>
    <w:rsid w:val="74AE7FB7"/>
    <w:rsid w:val="74BB5E85"/>
    <w:rsid w:val="74C1715F"/>
    <w:rsid w:val="74D130D1"/>
    <w:rsid w:val="74D84CD8"/>
    <w:rsid w:val="753F7B6E"/>
    <w:rsid w:val="75595DB8"/>
    <w:rsid w:val="756F55F3"/>
    <w:rsid w:val="757778D4"/>
    <w:rsid w:val="7585333F"/>
    <w:rsid w:val="758844E9"/>
    <w:rsid w:val="75890E2F"/>
    <w:rsid w:val="75893EC8"/>
    <w:rsid w:val="75994017"/>
    <w:rsid w:val="759B0822"/>
    <w:rsid w:val="75AF5EBB"/>
    <w:rsid w:val="75C16065"/>
    <w:rsid w:val="75D72B39"/>
    <w:rsid w:val="75FA674F"/>
    <w:rsid w:val="76147BAB"/>
    <w:rsid w:val="76206595"/>
    <w:rsid w:val="762444B5"/>
    <w:rsid w:val="76513981"/>
    <w:rsid w:val="7665244F"/>
    <w:rsid w:val="767427E4"/>
    <w:rsid w:val="76820D98"/>
    <w:rsid w:val="7709593C"/>
    <w:rsid w:val="77124F24"/>
    <w:rsid w:val="773768E2"/>
    <w:rsid w:val="775956D8"/>
    <w:rsid w:val="77763AC3"/>
    <w:rsid w:val="77BB45DB"/>
    <w:rsid w:val="77C8358B"/>
    <w:rsid w:val="77ED62D4"/>
    <w:rsid w:val="7825156C"/>
    <w:rsid w:val="78255824"/>
    <w:rsid w:val="7833402C"/>
    <w:rsid w:val="786E3D73"/>
    <w:rsid w:val="788D0874"/>
    <w:rsid w:val="78EB44F7"/>
    <w:rsid w:val="79090FEB"/>
    <w:rsid w:val="79201B4B"/>
    <w:rsid w:val="793B3B51"/>
    <w:rsid w:val="7967C116"/>
    <w:rsid w:val="797E4B8A"/>
    <w:rsid w:val="79AE26A0"/>
    <w:rsid w:val="79B37224"/>
    <w:rsid w:val="79B858F5"/>
    <w:rsid w:val="79CF1358"/>
    <w:rsid w:val="7A182BE0"/>
    <w:rsid w:val="7A34E389"/>
    <w:rsid w:val="7A3C5B76"/>
    <w:rsid w:val="7A417A56"/>
    <w:rsid w:val="7A584CD9"/>
    <w:rsid w:val="7A7A5F58"/>
    <w:rsid w:val="7A917AC0"/>
    <w:rsid w:val="7AA711B3"/>
    <w:rsid w:val="7AAD4FBF"/>
    <w:rsid w:val="7ABE2599"/>
    <w:rsid w:val="7AC40EC9"/>
    <w:rsid w:val="7AC953E2"/>
    <w:rsid w:val="7AD42C5B"/>
    <w:rsid w:val="7B0B5639"/>
    <w:rsid w:val="7B186ABA"/>
    <w:rsid w:val="7B2E272E"/>
    <w:rsid w:val="7B99455F"/>
    <w:rsid w:val="7BC72AE7"/>
    <w:rsid w:val="7C0D7C2C"/>
    <w:rsid w:val="7C772FEC"/>
    <w:rsid w:val="7CA53446"/>
    <w:rsid w:val="7CAA0A7F"/>
    <w:rsid w:val="7CB62E7D"/>
    <w:rsid w:val="7CF06D7D"/>
    <w:rsid w:val="7D1E1A15"/>
    <w:rsid w:val="7D913880"/>
    <w:rsid w:val="7D92372B"/>
    <w:rsid w:val="7D9584AD"/>
    <w:rsid w:val="7DA97531"/>
    <w:rsid w:val="7DB77A98"/>
    <w:rsid w:val="7DDD402F"/>
    <w:rsid w:val="7DEC35C1"/>
    <w:rsid w:val="7E0D7765"/>
    <w:rsid w:val="7E1C5F55"/>
    <w:rsid w:val="7E226F48"/>
    <w:rsid w:val="7E2D145A"/>
    <w:rsid w:val="7E576152"/>
    <w:rsid w:val="7EB01594"/>
    <w:rsid w:val="7EE0668C"/>
    <w:rsid w:val="7F0650D6"/>
    <w:rsid w:val="7F547B4C"/>
    <w:rsid w:val="7FEE45D0"/>
    <w:rsid w:val="7FF60A27"/>
    <w:rsid w:val="893B2F8F"/>
    <w:rsid w:val="94814603"/>
    <w:rsid w:val="953887EA"/>
    <w:rsid w:val="9FFE502E"/>
    <w:rsid w:val="B37BDDDD"/>
    <w:rsid w:val="B8D0EF6B"/>
    <w:rsid w:val="BD30389B"/>
    <w:rsid w:val="BD683CE5"/>
    <w:rsid w:val="BE745233"/>
    <w:rsid w:val="C2265495"/>
    <w:rsid w:val="C9FB4B61"/>
    <w:rsid w:val="D19958CD"/>
    <w:rsid w:val="D600A668"/>
    <w:rsid w:val="DC085275"/>
    <w:rsid w:val="E20FCC0D"/>
    <w:rsid w:val="E8128C94"/>
    <w:rsid w:val="EFF1565A"/>
    <w:rsid w:val="FBDFA583"/>
    <w:rsid w:val="FD333AFB"/>
    <w:rsid w:val="FE8C84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2">
    <w:name w:val="heading 2"/>
    <w:basedOn w:val="1"/>
    <w:next w:val="1"/>
    <w:link w:val="44"/>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spacing w:before="280" w:after="290" w:line="376" w:lineRule="auto"/>
      <w:ind w:left="864" w:hanging="864"/>
      <w:outlineLvl w:val="3"/>
    </w:pPr>
    <w:rPr>
      <w:rFonts w:ascii="Cambria" w:hAnsi="Cambria" w:eastAsia="宋体" w:cs="Times New Roman"/>
      <w:b/>
      <w:bCs/>
      <w:kern w:val="0"/>
      <w:sz w:val="28"/>
      <w:szCs w:val="28"/>
    </w:rPr>
  </w:style>
  <w:style w:type="paragraph" w:styleId="6">
    <w:name w:val="heading 6"/>
    <w:basedOn w:val="1"/>
    <w:next w:val="1"/>
    <w:link w:val="46"/>
    <w:qFormat/>
    <w:uiPriority w:val="0"/>
    <w:pPr>
      <w:keepNext/>
      <w:keepLines/>
      <w:spacing w:before="240" w:after="64" w:line="319" w:lineRule="auto"/>
      <w:outlineLvl w:val="5"/>
    </w:pPr>
    <w:rPr>
      <w:rFonts w:ascii="Arial" w:hAnsi="Arial" w:eastAsia="黑体" w:cs="Times New Roman"/>
      <w:b/>
      <w:bCs/>
      <w:sz w:val="24"/>
    </w:rPr>
  </w:style>
  <w:style w:type="character" w:default="1" w:styleId="25">
    <w:name w:val="Default Paragraph Font"/>
    <w:qFormat/>
    <w:uiPriority w:val="0"/>
    <w:rPr>
      <w:rFonts w:ascii="Calibri" w:hAnsi="Calibri" w:eastAsia="宋体" w:cs="Times New Roman"/>
    </w:rPr>
  </w:style>
  <w:style w:type="table" w:default="1" w:styleId="23">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7">
    <w:name w:val="index 8"/>
    <w:basedOn w:val="1"/>
    <w:next w:val="1"/>
    <w:qFormat/>
    <w:uiPriority w:val="0"/>
    <w:pPr>
      <w:ind w:left="1400" w:leftChars="1400"/>
    </w:pPr>
    <w:rPr>
      <w:rFonts w:ascii="Calibri" w:hAnsi="Calibri" w:eastAsia="宋体" w:cs="Times New Roman"/>
    </w:rPr>
  </w:style>
  <w:style w:type="paragraph" w:styleId="8">
    <w:name w:val="Normal Indent"/>
    <w:basedOn w:val="1"/>
    <w:link w:val="47"/>
    <w:qFormat/>
    <w:uiPriority w:val="0"/>
    <w:pPr>
      <w:ind w:firstLine="420"/>
    </w:pPr>
    <w:rPr>
      <w:rFonts w:ascii="Times New Roman" w:hAnsi="Times New Roman" w:eastAsia="宋体" w:cs="Times New Roman"/>
      <w:szCs w:val="20"/>
    </w:rPr>
  </w:style>
  <w:style w:type="paragraph" w:styleId="9">
    <w:name w:val="annotation text"/>
    <w:basedOn w:val="1"/>
    <w:link w:val="48"/>
    <w:qFormat/>
    <w:uiPriority w:val="0"/>
    <w:pPr>
      <w:jc w:val="left"/>
    </w:pPr>
    <w:rPr>
      <w:rFonts w:ascii="Times New Roman" w:hAnsi="Times New Roman" w:eastAsia="宋体" w:cs="Times New Roman"/>
    </w:rPr>
  </w:style>
  <w:style w:type="paragraph" w:styleId="10">
    <w:name w:val="Body Text 3"/>
    <w:basedOn w:val="1"/>
    <w:link w:val="49"/>
    <w:qFormat/>
    <w:uiPriority w:val="0"/>
    <w:pPr>
      <w:spacing w:line="240" w:lineRule="exact"/>
    </w:pPr>
    <w:rPr>
      <w:rFonts w:ascii="宋体" w:hAnsi="宋体" w:eastAsia="宋体" w:cs="Times New Roman"/>
      <w:color w:val="000000"/>
      <w:szCs w:val="21"/>
    </w:rPr>
  </w:style>
  <w:style w:type="paragraph" w:styleId="11">
    <w:name w:val="Body Text"/>
    <w:basedOn w:val="1"/>
    <w:link w:val="50"/>
    <w:qFormat/>
    <w:uiPriority w:val="0"/>
    <w:pPr>
      <w:spacing w:after="120"/>
    </w:pPr>
    <w:rPr>
      <w:rFonts w:ascii="Times New Roman" w:hAnsi="Times New Roman" w:eastAsia="宋体" w:cs="Times New Roman"/>
    </w:rPr>
  </w:style>
  <w:style w:type="paragraph" w:styleId="12">
    <w:name w:val="Body Text Indent"/>
    <w:basedOn w:val="1"/>
    <w:qFormat/>
    <w:uiPriority w:val="0"/>
    <w:pPr>
      <w:spacing w:after="120"/>
      <w:ind w:left="420" w:leftChars="200"/>
    </w:pPr>
    <w:rPr>
      <w:rFonts w:ascii="Times New Roman" w:hAnsi="Times New Roman" w:eastAsia="宋体" w:cs="Times New Roman"/>
      <w:kern w:val="0"/>
      <w:sz w:val="20"/>
    </w:rPr>
  </w:style>
  <w:style w:type="paragraph" w:styleId="13">
    <w:name w:val="Plain Text"/>
    <w:basedOn w:val="1"/>
    <w:next w:val="7"/>
    <w:link w:val="51"/>
    <w:qFormat/>
    <w:uiPriority w:val="0"/>
    <w:rPr>
      <w:rFonts w:ascii="宋体" w:hAnsi="Courier New" w:eastAsia="宋体" w:cs="Times New Roman"/>
      <w:szCs w:val="20"/>
    </w:rPr>
  </w:style>
  <w:style w:type="paragraph" w:styleId="14">
    <w:name w:val="Date"/>
    <w:basedOn w:val="1"/>
    <w:next w:val="1"/>
    <w:link w:val="52"/>
    <w:qFormat/>
    <w:uiPriority w:val="0"/>
    <w:pPr>
      <w:ind w:left="100" w:leftChars="2500"/>
    </w:pPr>
    <w:rPr>
      <w:rFonts w:ascii="Times New Roman" w:hAnsi="Times New Roman" w:eastAsia="宋体" w:cs="Times New Roman"/>
    </w:rPr>
  </w:style>
  <w:style w:type="paragraph" w:styleId="15">
    <w:name w:val="Balloon Text"/>
    <w:basedOn w:val="1"/>
    <w:link w:val="53"/>
    <w:qFormat/>
    <w:uiPriority w:val="0"/>
    <w:rPr>
      <w:rFonts w:ascii="Times New Roman" w:hAnsi="Times New Roman" w:eastAsia="宋体" w:cs="Times New Roman"/>
      <w:sz w:val="18"/>
      <w:szCs w:val="18"/>
    </w:rPr>
  </w:style>
  <w:style w:type="paragraph" w:styleId="16">
    <w:name w:val="footer"/>
    <w:basedOn w:val="1"/>
    <w:link w:val="5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7">
    <w:name w:val="header"/>
    <w:basedOn w:val="1"/>
    <w:link w:val="5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toc 1"/>
    <w:basedOn w:val="1"/>
    <w:next w:val="1"/>
    <w:qFormat/>
    <w:uiPriority w:val="0"/>
    <w:rPr>
      <w:rFonts w:ascii="Calibri" w:hAnsi="Calibri" w:eastAsia="宋体" w:cs="Times New Roman"/>
    </w:r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56"/>
    <w:qFormat/>
    <w:uiPriority w:val="0"/>
    <w:rPr>
      <w:rFonts w:ascii="Calibri" w:hAnsi="Calibri" w:eastAsia="宋体" w:cs="Times New Roman"/>
      <w:b/>
      <w:bCs/>
    </w:rPr>
  </w:style>
  <w:style w:type="paragraph" w:styleId="21">
    <w:name w:val="Body Text First Indent"/>
    <w:basedOn w:val="11"/>
    <w:link w:val="57"/>
    <w:qFormat/>
    <w:uiPriority w:val="0"/>
    <w:pPr>
      <w:ind w:firstLine="420" w:firstLineChars="100"/>
    </w:pPr>
    <w:rPr>
      <w:rFonts w:ascii="Calibri" w:hAnsi="Calibri" w:eastAsia="宋体" w:cs="Times New Roman"/>
    </w:rPr>
  </w:style>
  <w:style w:type="paragraph" w:styleId="22">
    <w:name w:val="Body Text First Indent 2"/>
    <w:basedOn w:val="12"/>
    <w:qFormat/>
    <w:uiPriority w:val="0"/>
    <w:pPr>
      <w:ind w:firstLine="420" w:firstLineChars="200"/>
    </w:pPr>
    <w:rPr>
      <w:rFonts w:ascii="Calibri" w:hAnsi="Calibri" w:eastAsia="宋体" w:cs="Times New Roman"/>
      <w:kern w:val="2"/>
      <w:sz w:val="21"/>
    </w:rPr>
  </w:style>
  <w:style w:type="table" w:styleId="24">
    <w:name w:val="Table Grid"/>
    <w:basedOn w:val="2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Calibri" w:hAnsi="Calibri" w:eastAsia="宋体" w:cs="Times New Roman"/>
    </w:rPr>
  </w:style>
  <w:style w:type="character" w:styleId="27">
    <w:name w:val="FollowedHyperlink"/>
    <w:qFormat/>
    <w:uiPriority w:val="0"/>
    <w:rPr>
      <w:rFonts w:ascii="Calibri" w:hAnsi="Calibri" w:eastAsia="宋体" w:cs="Times New Roman"/>
      <w:color w:val="800080"/>
      <w:u w:val="single"/>
    </w:rPr>
  </w:style>
  <w:style w:type="character" w:styleId="28">
    <w:name w:val="Hyperlink"/>
    <w:qFormat/>
    <w:uiPriority w:val="0"/>
    <w:rPr>
      <w:rFonts w:ascii="Calibri" w:hAnsi="Calibri" w:eastAsia="宋体" w:cs="Times New Roman"/>
      <w:color w:val="0000FF"/>
      <w:u w:val="single"/>
    </w:rPr>
  </w:style>
  <w:style w:type="character" w:styleId="29">
    <w:name w:val="annotation reference"/>
    <w:qFormat/>
    <w:uiPriority w:val="0"/>
    <w:rPr>
      <w:rFonts w:ascii="Calibri" w:hAnsi="Calibri" w:eastAsia="宋体" w:cs="Times New Roman"/>
      <w:sz w:val="21"/>
      <w:szCs w:val="21"/>
    </w:rPr>
  </w:style>
  <w:style w:type="character" w:styleId="30">
    <w:name w:val="HTML Sample"/>
    <w:qFormat/>
    <w:uiPriority w:val="0"/>
    <w:rPr>
      <w:rFonts w:ascii="Courier New" w:hAnsi="Courier New" w:eastAsia="宋体" w:cs="Times New Roman"/>
    </w:rPr>
  </w:style>
  <w:style w:type="paragraph" w:styleId="31">
    <w:name w:val="List Paragraph"/>
    <w:basedOn w:val="1"/>
    <w:link w:val="63"/>
    <w:qFormat/>
    <w:uiPriority w:val="0"/>
    <w:pPr>
      <w:ind w:firstLine="420" w:firstLineChars="200"/>
    </w:pPr>
    <w:rPr>
      <w:rFonts w:ascii="Times New Roman" w:hAnsi="Times New Roman" w:eastAsia="宋体" w:cs="Times New Roman"/>
      <w:szCs w:val="20"/>
    </w:rPr>
  </w:style>
  <w:style w:type="paragraph" w:customStyle="1" w:styleId="32">
    <w:name w:val="列出段落1"/>
    <w:basedOn w:val="1"/>
    <w:qFormat/>
    <w:uiPriority w:val="0"/>
    <w:pPr>
      <w:ind w:firstLine="420" w:firstLineChars="200"/>
    </w:pPr>
    <w:rPr>
      <w:rFonts w:ascii="Calibri" w:hAnsi="Calibri" w:eastAsia="宋体" w:cs="Times New Roman"/>
    </w:rPr>
  </w:style>
  <w:style w:type="paragraph" w:customStyle="1" w:styleId="33">
    <w:name w:val="p0"/>
    <w:basedOn w:val="1"/>
    <w:qFormat/>
    <w:uiPriority w:val="0"/>
    <w:pPr>
      <w:widowControl/>
    </w:pPr>
    <w:rPr>
      <w:rFonts w:ascii="Calibri" w:hAnsi="Calibri" w:eastAsia="宋体" w:cs="Times New Roman"/>
      <w:kern w:val="0"/>
      <w:szCs w:val="21"/>
    </w:rPr>
  </w:style>
  <w:style w:type="paragraph" w:customStyle="1" w:styleId="34">
    <w:name w:val="ds-markdown-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5">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36">
    <w:name w:val="Char"/>
    <w:basedOn w:val="1"/>
    <w:qFormat/>
    <w:uiPriority w:val="0"/>
    <w:rPr>
      <w:rFonts w:ascii="Calibri" w:hAnsi="Calibri" w:eastAsia="宋体" w:cs="Times New Roman"/>
    </w:rPr>
  </w:style>
  <w:style w:type="paragraph" w:customStyle="1" w:styleId="37">
    <w:name w:val="1"/>
    <w:basedOn w:val="1"/>
    <w:next w:val="13"/>
    <w:qFormat/>
    <w:uiPriority w:val="0"/>
    <w:rPr>
      <w:rFonts w:ascii="宋体" w:hAnsi="Courier New" w:eastAsia="宋体" w:cs="Times New Roman"/>
      <w:szCs w:val="20"/>
    </w:rPr>
  </w:style>
  <w:style w:type="paragraph" w:customStyle="1" w:styleId="38">
    <w:name w:val="Fließtext"/>
    <w:basedOn w:val="1"/>
    <w:qFormat/>
    <w:uiPriority w:val="0"/>
    <w:pPr>
      <w:overflowPunct w:val="0"/>
      <w:autoSpaceDE w:val="0"/>
      <w:autoSpaceDN w:val="0"/>
      <w:adjustRightInd w:val="0"/>
      <w:textAlignment w:val="baseline"/>
    </w:pPr>
    <w:rPr>
      <w:rFonts w:ascii="Calibri" w:hAnsi="Calibri" w:eastAsia="宋体" w:cs="Times New Roman"/>
      <w:kern w:val="28"/>
    </w:rPr>
  </w:style>
  <w:style w:type="paragraph" w:customStyle="1" w:styleId="39">
    <w:name w:val="_Style 4"/>
    <w:basedOn w:val="1"/>
    <w:qFormat/>
    <w:uiPriority w:val="0"/>
    <w:pPr>
      <w:ind w:firstLine="420" w:firstLineChars="200"/>
    </w:pPr>
    <w:rPr>
      <w:rFonts w:ascii="Calibri" w:hAnsi="Calibri" w:eastAsia="宋体" w:cs="Times New Roman"/>
      <w:szCs w:val="22"/>
    </w:rPr>
  </w:style>
  <w:style w:type="paragraph" w:customStyle="1" w:styleId="40">
    <w:name w:val="_Style 39"/>
    <w:qFormat/>
    <w:uiPriority w:val="0"/>
    <w:rPr>
      <w:rFonts w:ascii="等线" w:hAnsi="等线" w:eastAsia="等线" w:cs="Times New Roman"/>
      <w:kern w:val="2"/>
      <w:sz w:val="21"/>
      <w:szCs w:val="24"/>
      <w:lang w:val="en-US" w:eastAsia="zh-CN" w:bidi="ar-SA"/>
    </w:rPr>
  </w:style>
  <w:style w:type="paragraph" w:customStyle="1" w:styleId="41">
    <w:name w:val="WPSOffice手动目录 1"/>
    <w:qFormat/>
    <w:uiPriority w:val="0"/>
    <w:rPr>
      <w:rFonts w:ascii="等线" w:hAnsi="等线" w:eastAsia="等线" w:cs="Times New Roman"/>
      <w:lang w:val="en-US" w:eastAsia="zh-CN" w:bidi="ar-SA"/>
    </w:rPr>
  </w:style>
  <w:style w:type="paragraph" w:customStyle="1" w:styleId="42">
    <w:name w:val="列出段落2"/>
    <w:basedOn w:val="1"/>
    <w:qFormat/>
    <w:uiPriority w:val="0"/>
    <w:pPr>
      <w:ind w:firstLine="420" w:firstLineChars="200"/>
    </w:pPr>
    <w:rPr>
      <w:rFonts w:ascii="Calibri" w:hAnsi="Calibri" w:eastAsia="宋体" w:cs="Times New Roman"/>
      <w:szCs w:val="22"/>
    </w:rPr>
  </w:style>
  <w:style w:type="character" w:customStyle="1" w:styleId="43">
    <w:name w:val="标题 1 字符"/>
    <w:link w:val="3"/>
    <w:qFormat/>
    <w:uiPriority w:val="0"/>
    <w:rPr>
      <w:rFonts w:ascii="Calibri" w:hAnsi="Calibri" w:eastAsia="宋体" w:cs="Times New Roman"/>
      <w:b/>
      <w:bCs/>
      <w:kern w:val="44"/>
      <w:sz w:val="44"/>
      <w:szCs w:val="44"/>
    </w:rPr>
  </w:style>
  <w:style w:type="character" w:customStyle="1" w:styleId="44">
    <w:name w:val="标题 2 字符"/>
    <w:link w:val="2"/>
    <w:qFormat/>
    <w:uiPriority w:val="0"/>
    <w:rPr>
      <w:rFonts w:ascii="Arial" w:hAnsi="Arial" w:eastAsia="黑体" w:cs="Times New Roman"/>
      <w:b/>
      <w:bCs/>
      <w:kern w:val="2"/>
      <w:sz w:val="32"/>
      <w:szCs w:val="32"/>
    </w:rPr>
  </w:style>
  <w:style w:type="character" w:customStyle="1" w:styleId="45">
    <w:name w:val="标题 3 字符"/>
    <w:link w:val="4"/>
    <w:qFormat/>
    <w:uiPriority w:val="0"/>
    <w:rPr>
      <w:rFonts w:ascii="Calibri" w:hAnsi="Calibri" w:eastAsia="宋体" w:cs="Times New Roman"/>
      <w:b/>
      <w:bCs/>
      <w:kern w:val="2"/>
      <w:sz w:val="32"/>
      <w:szCs w:val="32"/>
    </w:rPr>
  </w:style>
  <w:style w:type="character" w:customStyle="1" w:styleId="46">
    <w:name w:val="标题 6 字符"/>
    <w:link w:val="6"/>
    <w:qFormat/>
    <w:uiPriority w:val="0"/>
    <w:rPr>
      <w:rFonts w:ascii="Arial" w:hAnsi="Arial" w:eastAsia="黑体" w:cs="Times New Roman"/>
      <w:b/>
      <w:bCs/>
      <w:kern w:val="2"/>
      <w:sz w:val="24"/>
      <w:szCs w:val="24"/>
    </w:rPr>
  </w:style>
  <w:style w:type="character" w:customStyle="1" w:styleId="47">
    <w:name w:val="正文缩进 字符"/>
    <w:link w:val="8"/>
    <w:qFormat/>
    <w:uiPriority w:val="0"/>
    <w:rPr>
      <w:rFonts w:ascii="Calibri" w:hAnsi="Calibri" w:eastAsia="宋体" w:cs="Times New Roman"/>
      <w:kern w:val="2"/>
      <w:sz w:val="21"/>
      <w:lang w:val="en-US" w:eastAsia="zh-CN" w:bidi="ar-SA"/>
    </w:rPr>
  </w:style>
  <w:style w:type="character" w:customStyle="1" w:styleId="48">
    <w:name w:val="批注文字 字符"/>
    <w:link w:val="9"/>
    <w:qFormat/>
    <w:uiPriority w:val="0"/>
    <w:rPr>
      <w:rFonts w:ascii="Calibri" w:hAnsi="Calibri" w:eastAsia="宋体" w:cs="Times New Roman"/>
      <w:kern w:val="2"/>
      <w:sz w:val="21"/>
      <w:szCs w:val="24"/>
      <w:lang w:val="en-US" w:eastAsia="zh-CN" w:bidi="ar-SA"/>
    </w:rPr>
  </w:style>
  <w:style w:type="character" w:customStyle="1" w:styleId="49">
    <w:name w:val="正文文本 3 字符"/>
    <w:link w:val="10"/>
    <w:qFormat/>
    <w:uiPriority w:val="0"/>
    <w:rPr>
      <w:rFonts w:ascii="宋体" w:hAnsi="宋体" w:eastAsia="宋体" w:cs="Times New Roman"/>
      <w:color w:val="000000"/>
      <w:kern w:val="2"/>
      <w:sz w:val="21"/>
      <w:szCs w:val="21"/>
    </w:rPr>
  </w:style>
  <w:style w:type="character" w:customStyle="1" w:styleId="50">
    <w:name w:val="正文文本 字符"/>
    <w:link w:val="11"/>
    <w:qFormat/>
    <w:uiPriority w:val="0"/>
    <w:rPr>
      <w:rFonts w:ascii="Calibri" w:hAnsi="Calibri" w:eastAsia="宋体" w:cs="Times New Roman"/>
      <w:kern w:val="2"/>
      <w:sz w:val="21"/>
      <w:szCs w:val="24"/>
    </w:rPr>
  </w:style>
  <w:style w:type="character" w:customStyle="1" w:styleId="51">
    <w:name w:val="纯文本 字符"/>
    <w:link w:val="13"/>
    <w:qFormat/>
    <w:uiPriority w:val="0"/>
    <w:rPr>
      <w:rFonts w:ascii="宋体" w:hAnsi="Courier New" w:eastAsia="宋体" w:cs="Times New Roman"/>
      <w:kern w:val="2"/>
      <w:sz w:val="21"/>
      <w:lang w:val="en-US" w:eastAsia="zh-CN" w:bidi="ar-SA"/>
    </w:rPr>
  </w:style>
  <w:style w:type="character" w:customStyle="1" w:styleId="52">
    <w:name w:val="日期 字符"/>
    <w:link w:val="14"/>
    <w:qFormat/>
    <w:uiPriority w:val="0"/>
    <w:rPr>
      <w:rFonts w:ascii="Calibri" w:hAnsi="Calibri" w:eastAsia="宋体" w:cs="Times New Roman"/>
      <w:kern w:val="2"/>
      <w:sz w:val="21"/>
      <w:szCs w:val="24"/>
    </w:rPr>
  </w:style>
  <w:style w:type="character" w:customStyle="1" w:styleId="53">
    <w:name w:val="批注框文本 字符"/>
    <w:link w:val="15"/>
    <w:qFormat/>
    <w:uiPriority w:val="0"/>
    <w:rPr>
      <w:rFonts w:ascii="Calibri" w:hAnsi="Calibri" w:eastAsia="宋体" w:cs="Times New Roman"/>
      <w:kern w:val="2"/>
      <w:sz w:val="18"/>
      <w:szCs w:val="18"/>
    </w:rPr>
  </w:style>
  <w:style w:type="character" w:customStyle="1" w:styleId="54">
    <w:name w:val="页脚 字符"/>
    <w:link w:val="16"/>
    <w:qFormat/>
    <w:uiPriority w:val="0"/>
    <w:rPr>
      <w:rFonts w:ascii="Calibri" w:hAnsi="Calibri" w:eastAsia="宋体" w:cs="Times New Roman"/>
      <w:kern w:val="2"/>
      <w:sz w:val="18"/>
      <w:szCs w:val="18"/>
    </w:rPr>
  </w:style>
  <w:style w:type="character" w:customStyle="1" w:styleId="55">
    <w:name w:val="页眉 字符"/>
    <w:link w:val="17"/>
    <w:qFormat/>
    <w:uiPriority w:val="0"/>
    <w:rPr>
      <w:rFonts w:ascii="Calibri" w:hAnsi="Calibri" w:eastAsia="宋体" w:cs="Times New Roman"/>
      <w:kern w:val="2"/>
      <w:sz w:val="18"/>
      <w:szCs w:val="18"/>
    </w:rPr>
  </w:style>
  <w:style w:type="character" w:customStyle="1" w:styleId="56">
    <w:name w:val="批注主题 字符"/>
    <w:link w:val="20"/>
    <w:qFormat/>
    <w:uiPriority w:val="0"/>
    <w:rPr>
      <w:rFonts w:ascii="Calibri" w:hAnsi="Calibri" w:eastAsia="宋体" w:cs="Times New Roman"/>
      <w:b/>
      <w:bCs/>
      <w:kern w:val="2"/>
      <w:sz w:val="21"/>
      <w:szCs w:val="24"/>
      <w:lang w:val="en-US" w:eastAsia="zh-CN" w:bidi="ar-SA"/>
    </w:rPr>
  </w:style>
  <w:style w:type="character" w:customStyle="1" w:styleId="57">
    <w:name w:val="正文首行缩进 字符"/>
    <w:link w:val="21"/>
    <w:qFormat/>
    <w:uiPriority w:val="0"/>
    <w:rPr>
      <w:rFonts w:ascii="Calibri" w:hAnsi="Calibri" w:eastAsia="宋体" w:cs="Times New Roman"/>
      <w:kern w:val="2"/>
      <w:sz w:val="21"/>
      <w:szCs w:val="24"/>
    </w:rPr>
  </w:style>
  <w:style w:type="character" w:customStyle="1" w:styleId="58">
    <w:name w:val="Char Char10"/>
    <w:qFormat/>
    <w:uiPriority w:val="0"/>
    <w:rPr>
      <w:rFonts w:ascii="宋体" w:hAnsi="宋体" w:eastAsia="宋体" w:cs="Times New Roman"/>
      <w:kern w:val="2"/>
      <w:sz w:val="21"/>
      <w:szCs w:val="24"/>
      <w:lang w:val="en-US" w:eastAsia="zh-CN" w:bidi="ar-SA"/>
    </w:rPr>
  </w:style>
  <w:style w:type="character" w:customStyle="1" w:styleId="59">
    <w:name w:val="font31"/>
    <w:qFormat/>
    <w:uiPriority w:val="0"/>
    <w:rPr>
      <w:rFonts w:hint="eastAsia" w:ascii="宋体" w:hAnsi="宋体" w:eastAsia="宋体" w:cs="宋体"/>
      <w:color w:val="000000"/>
      <w:sz w:val="22"/>
      <w:szCs w:val="22"/>
      <w:u w:val="none"/>
    </w:rPr>
  </w:style>
  <w:style w:type="character" w:customStyle="1" w:styleId="60">
    <w:name w:val="font51"/>
    <w:qFormat/>
    <w:uiPriority w:val="0"/>
    <w:rPr>
      <w:rFonts w:hint="eastAsia" w:ascii="宋体" w:hAnsi="宋体" w:eastAsia="宋体" w:cs="宋体"/>
      <w:color w:val="000000"/>
      <w:sz w:val="22"/>
      <w:szCs w:val="22"/>
      <w:u w:val="none"/>
    </w:rPr>
  </w:style>
  <w:style w:type="character" w:customStyle="1" w:styleId="61">
    <w:name w:val="批注文字 Char1"/>
    <w:qFormat/>
    <w:uiPriority w:val="0"/>
    <w:rPr>
      <w:rFonts w:ascii="Calibri" w:hAnsi="Calibri" w:eastAsia="宋体" w:cs="Times New Roman"/>
      <w:kern w:val="2"/>
      <w:sz w:val="21"/>
      <w:szCs w:val="24"/>
    </w:rPr>
  </w:style>
  <w:style w:type="character" w:customStyle="1" w:styleId="62">
    <w:name w:val="font71"/>
    <w:qFormat/>
    <w:uiPriority w:val="0"/>
    <w:rPr>
      <w:rFonts w:ascii="Wingdings" w:hAnsi="Wingdings" w:cs="Wingdings"/>
      <w:color w:val="000000"/>
      <w:sz w:val="20"/>
      <w:szCs w:val="20"/>
      <w:u w:val="none"/>
    </w:rPr>
  </w:style>
  <w:style w:type="character" w:customStyle="1" w:styleId="63">
    <w:name w:val="列出段落 字符"/>
    <w:link w:val="31"/>
    <w:qFormat/>
    <w:uiPriority w:val="0"/>
    <w:rPr>
      <w:rFonts w:ascii="Calibri" w:hAnsi="Calibri" w:eastAsia="宋体" w:cs="Times New Roman"/>
      <w:kern w:val="2"/>
      <w:sz w:val="21"/>
    </w:rPr>
  </w:style>
  <w:style w:type="character" w:customStyle="1" w:styleId="64">
    <w:name w:val="纯文本 Char1"/>
    <w:qFormat/>
    <w:uiPriority w:val="0"/>
    <w:rPr>
      <w:rFonts w:ascii="宋体" w:hAnsi="Calibri" w:eastAsia="宋体" w:cs="Times New Roman"/>
    </w:rPr>
  </w:style>
  <w:style w:type="character" w:customStyle="1" w:styleId="65">
    <w:name w:val="批注文字 Char2"/>
    <w:qFormat/>
    <w:uiPriority w:val="0"/>
    <w:rPr>
      <w:rFonts w:ascii="Calibri" w:hAnsi="Calibri" w:eastAsia="宋体" w:cs="Times New Roman"/>
      <w:kern w:val="2"/>
      <w:sz w:val="21"/>
      <w:szCs w:val="24"/>
    </w:rPr>
  </w:style>
  <w:style w:type="character" w:customStyle="1" w:styleId="66">
    <w:name w:val="font61"/>
    <w:qFormat/>
    <w:uiPriority w:val="0"/>
    <w:rPr>
      <w:rFonts w:hint="default" w:ascii="Times New Roman" w:hAnsi="Times New Roman" w:eastAsia="宋体" w:cs="Times New Roman"/>
      <w:color w:val="000000"/>
      <w:sz w:val="21"/>
      <w:szCs w:val="21"/>
      <w:u w:val="none"/>
    </w:rPr>
  </w:style>
  <w:style w:type="character" w:customStyle="1" w:styleId="67">
    <w:name w:val="font41"/>
    <w:qFormat/>
    <w:uiPriority w:val="0"/>
    <w:rPr>
      <w:rFonts w:ascii="Wingdings 2" w:hAnsi="Wingdings 2" w:eastAsia="Wingdings 2" w:cs="Wingdings 2"/>
      <w:color w:val="000000"/>
      <w:sz w:val="20"/>
      <w:szCs w:val="20"/>
      <w:u w:val="none"/>
    </w:rPr>
  </w:style>
  <w:style w:type="character" w:customStyle="1" w:styleId="68">
    <w:name w:val="Char Char3"/>
    <w:qFormat/>
    <w:uiPriority w:val="0"/>
    <w:rPr>
      <w:rFonts w:hint="eastAsia" w:ascii="宋体" w:hAnsi="Courier New" w:eastAsia="宋体" w:cs="Times New Roman"/>
      <w:kern w:val="2"/>
      <w:sz w:val="21"/>
      <w:lang w:val="en-US" w:eastAsia="zh-CN" w:bidi="ar-SA"/>
    </w:rPr>
  </w:style>
  <w:style w:type="character" w:customStyle="1" w:styleId="69">
    <w:name w:val="NormalCharacter"/>
    <w:qFormat/>
    <w:uiPriority w:val="0"/>
    <w:rPr>
      <w:rFonts w:ascii="Calibri" w:hAnsi="Calibri" w:eastAsia="宋体" w:cs="Times New Roman"/>
    </w:rPr>
  </w:style>
  <w:style w:type="character" w:customStyle="1" w:styleId="70">
    <w:name w:val="font11"/>
    <w:qFormat/>
    <w:uiPriority w:val="0"/>
    <w:rPr>
      <w:rFonts w:hint="eastAsia" w:ascii="宋体" w:hAnsi="宋体" w:eastAsia="宋体" w:cs="宋体"/>
      <w:color w:val="000000"/>
      <w:sz w:val="22"/>
      <w:szCs w:val="22"/>
      <w:u w:val="none"/>
    </w:rPr>
  </w:style>
  <w:style w:type="character" w:customStyle="1" w:styleId="71">
    <w:name w:val="纯文本 Char2"/>
    <w:qFormat/>
    <w:uiPriority w:val="0"/>
    <w:rPr>
      <w:rFonts w:ascii="宋体" w:hAnsi="Courier New" w:eastAsia="宋体" w:cs="Times New Roman"/>
      <w:kern w:val="2"/>
      <w:sz w:val="21"/>
    </w:rPr>
  </w:style>
  <w:style w:type="character" w:customStyle="1" w:styleId="72">
    <w:name w:val="正文文本 Char"/>
    <w:qFormat/>
    <w:uiPriority w:val="0"/>
    <w:rPr>
      <w:rFonts w:ascii="Calibri" w:hAnsi="Calibri" w:eastAsia="宋体" w:cs="Times New Roman"/>
      <w:kern w:val="2"/>
      <w:sz w:val="21"/>
      <w:szCs w:val="24"/>
    </w:rPr>
  </w:style>
  <w:style w:type="character" w:customStyle="1" w:styleId="73">
    <w:name w:val="Char Char31"/>
    <w:qFormat/>
    <w:uiPriority w:val="0"/>
    <w:rPr>
      <w:rFonts w:ascii="宋体" w:hAnsi="Courier New" w:eastAsia="宋体" w:cs="Times New Roman"/>
      <w:kern w:val="2"/>
      <w:sz w:val="21"/>
      <w:lang w:val="en-US" w:eastAsia="zh-CN" w:bidi="ar-SA"/>
    </w:rPr>
  </w:style>
  <w:style w:type="character" w:customStyle="1" w:styleId="74">
    <w:name w:val="正文文本 Char1"/>
    <w:qFormat/>
    <w:uiPriority w:val="0"/>
    <w:rPr>
      <w:rFonts w:ascii="Calibri" w:hAnsi="Calibri" w:eastAsia="宋体" w:cs="Times New Roman"/>
      <w:kern w:val="2"/>
      <w:sz w:val="21"/>
      <w:szCs w:val="24"/>
    </w:rPr>
  </w:style>
  <w:style w:type="character" w:customStyle="1" w:styleId="75">
    <w:name w:val="正文首行缩进 Char"/>
    <w:qFormat/>
    <w:uiPriority w:val="0"/>
    <w:rPr>
      <w:rFonts w:ascii="Calibri" w:hAnsi="Calibri" w:eastAsia="宋体" w:cs="Times New Roman"/>
      <w:kern w:val="2"/>
      <w:sz w:val="21"/>
      <w:szCs w:val="24"/>
    </w:rPr>
  </w:style>
  <w:style w:type="character" w:customStyle="1" w:styleId="76">
    <w:name w:val="font01"/>
    <w:qFormat/>
    <w:uiPriority w:val="0"/>
    <w:rPr>
      <w:rFonts w:hint="eastAsia" w:ascii="宋体" w:hAnsi="宋体" w:eastAsia="宋体" w:cs="宋体"/>
      <w:color w:val="000000"/>
      <w:sz w:val="22"/>
      <w:szCs w:val="22"/>
      <w:u w:val="none"/>
    </w:rPr>
  </w:style>
  <w:style w:type="character" w:customStyle="1" w:styleId="77">
    <w:name w:val="Char Char101"/>
    <w:qFormat/>
    <w:uiPriority w:val="0"/>
    <w:rPr>
      <w:rFonts w:ascii="Calibri" w:hAnsi="Calibri" w:eastAsia="宋体" w:cs="Times New Roman"/>
      <w:kern w:val="2"/>
      <w:sz w:val="21"/>
      <w:szCs w:val="24"/>
      <w:lang w:val="en-US" w:eastAsia="zh-CN" w:bidi="ar-SA"/>
    </w:rPr>
  </w:style>
  <w:style w:type="character" w:customStyle="1" w:styleId="78">
    <w:name w:val="font21"/>
    <w:qFormat/>
    <w:uiPriority w:val="0"/>
    <w:rPr>
      <w:rFonts w:hint="default" w:ascii="Times New Roman" w:hAnsi="Times New Roman" w:eastAsia="宋体" w:cs="Times New Roman"/>
      <w:color w:val="000000"/>
      <w:sz w:val="22"/>
      <w:szCs w:val="22"/>
      <w:u w:val="none"/>
    </w:rPr>
  </w:style>
  <w:style w:type="character" w:customStyle="1" w:styleId="79">
    <w:name w:val="Char Char"/>
    <w:qFormat/>
    <w:uiPriority w:val="0"/>
    <w:rPr>
      <w:rFonts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9166</Words>
  <Characters>10320</Characters>
  <Lines>478</Lines>
  <Paragraphs>134</Paragraphs>
  <TotalTime>62</TotalTime>
  <ScaleCrop>false</ScaleCrop>
  <LinksUpToDate>false</LinksUpToDate>
  <CharactersWithSpaces>10425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2025-04-21T02:21:00Z</dcterms:created>
  <dc:creator>未定义</dc:creator>
  <cp:lastModifiedBy>NTKO</cp:lastModifiedBy>
  <cp:lastPrinted>2022-09-05T09:15:00Z</cp:lastPrinted>
  <dcterms:modified xsi:type="dcterms:W3CDTF">2025-09-17T02:39:52Z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9C36B886BB4E45ACB9105382755862C4_13</vt:lpwstr>
  </property>
  <property fmtid="{D5CDD505-2E9C-101B-9397-08002B2CF9AE}" pid="4" name="KSOTemplateDocerSaveRecord">
    <vt:lpwstr>eyJoZGlkIjoiZDE5ZTM0MDYxYzNhZTBmMmQ3ODcyYTgxMzFhNWNiMjMiLCJ1c2VySWQiOiIxNjUxNjQ0NjMyIn0=</vt:lpwstr>
  </property>
</Properties>
</file>