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3"/>
        <w:kinsoku w:val="0"/>
        <w:overflowPunct w:val="0"/>
        <w:rPr>
          <w:rFonts w:ascii="Arial" w:hAnsi="Arial" w:cs="Arial"/>
          <w:color w:val="auto"/>
          <w:highlight w:val="none"/>
        </w:rPr>
      </w:pPr>
      <w:bookmarkStart w:id="0" w:name="_Toc217446030"/>
      <w:bookmarkStart w:id="1" w:name="_Toc183682338"/>
    </w:p>
    <w:p>
      <w:pPr>
        <w:rPr>
          <w:rFonts w:ascii="Arial" w:hAnsi="Arial" w:cs="Arial"/>
          <w:color w:val="auto"/>
          <w:highlight w:val="none"/>
        </w:rPr>
      </w:pPr>
    </w:p>
    <w:p>
      <w:pPr>
        <w:tabs>
          <w:tab w:val="left" w:pos="1710"/>
        </w:tabs>
        <w:rPr>
          <w:rFonts w:ascii="Arial" w:hAnsi="Arial" w:cs="Arial"/>
          <w:color w:val="auto"/>
          <w:highlight w:val="none"/>
        </w:rPr>
      </w:pPr>
    </w:p>
    <w:p>
      <w:pPr>
        <w:tabs>
          <w:tab w:val="left" w:pos="1710"/>
        </w:tabs>
        <w:rPr>
          <w:rFonts w:ascii="Arial" w:hAnsi="Arial" w:cs="Arial"/>
          <w:color w:val="auto"/>
          <w:highlight w:val="none"/>
        </w:rPr>
      </w:pPr>
    </w:p>
    <w:p>
      <w:pPr>
        <w:tabs>
          <w:tab w:val="left" w:pos="1710"/>
        </w:tabs>
        <w:rPr>
          <w:rFonts w:ascii="Arial" w:hAnsi="Arial" w:cs="Arial"/>
          <w:color w:val="auto"/>
          <w:highlight w:val="none"/>
        </w:rPr>
      </w:pPr>
    </w:p>
    <w:p>
      <w:pPr>
        <w:tabs>
          <w:tab w:val="left" w:pos="1710"/>
        </w:tabs>
        <w:rPr>
          <w:rFonts w:ascii="Arial" w:hAnsi="Arial" w:cs="Arial"/>
          <w:color w:val="auto"/>
          <w:highlight w:val="none"/>
        </w:rPr>
      </w:pPr>
    </w:p>
    <w:p>
      <w:pPr>
        <w:tabs>
          <w:tab w:val="left" w:pos="1710"/>
        </w:tabs>
        <w:rPr>
          <w:rFonts w:ascii="Arial" w:hAnsi="Arial" w:cs="Arial"/>
          <w:color w:val="auto"/>
          <w:highlight w:val="none"/>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5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255" w:type="dxa"/>
            <w:gridSpan w:val="2"/>
            <w:tcBorders>
              <w:top w:val="nil"/>
              <w:left w:val="nil"/>
              <w:right w:val="nil"/>
            </w:tcBorders>
          </w:tcPr>
          <w:p>
            <w:pPr>
              <w:snapToGrid w:val="0"/>
              <w:spacing w:line="240" w:lineRule="atLeast"/>
              <w:jc w:val="center"/>
              <w:rPr>
                <w:rFonts w:ascii="Arial" w:hAnsi="Arial" w:cs="Arial"/>
                <w:b/>
                <w:color w:val="auto"/>
                <w:sz w:val="60"/>
                <w:szCs w:val="60"/>
                <w:highlight w:val="none"/>
              </w:rPr>
            </w:pPr>
            <w:r>
              <w:rPr>
                <w:rFonts w:ascii="Arial" w:hAnsi="Arial" w:cs="Arial"/>
                <w:b/>
                <w:color w:val="auto"/>
                <w:sz w:val="60"/>
                <w:szCs w:val="60"/>
                <w:highlight w:val="none"/>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1769" w:type="dxa"/>
            <w:vAlign w:val="center"/>
          </w:tcPr>
          <w:p>
            <w:pPr>
              <w:rPr>
                <w:rFonts w:ascii="Arial" w:hAnsi="Arial" w:cs="Arial"/>
                <w:b/>
                <w:color w:val="auto"/>
                <w:sz w:val="32"/>
                <w:szCs w:val="32"/>
                <w:highlight w:val="none"/>
              </w:rPr>
            </w:pPr>
            <w:r>
              <w:rPr>
                <w:rFonts w:ascii="Arial" w:hAnsi="Arial" w:cs="Arial"/>
                <w:b/>
                <w:color w:val="auto"/>
                <w:sz w:val="32"/>
                <w:szCs w:val="32"/>
                <w:highlight w:val="none"/>
              </w:rPr>
              <w:t>项目名称：</w:t>
            </w:r>
          </w:p>
        </w:tc>
        <w:tc>
          <w:tcPr>
            <w:tcW w:w="5486" w:type="dxa"/>
            <w:vAlign w:val="center"/>
          </w:tcPr>
          <w:p>
            <w:pPr>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南溪山医院医疗设备设施全生命周期管理服务项目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rPr>
                <w:rFonts w:ascii="Arial" w:hAnsi="Arial" w:cs="Arial"/>
                <w:b/>
                <w:color w:val="auto"/>
                <w:sz w:val="32"/>
                <w:szCs w:val="32"/>
                <w:highlight w:val="none"/>
              </w:rPr>
            </w:pPr>
            <w:r>
              <w:rPr>
                <w:rFonts w:ascii="Arial" w:hAnsi="Arial" w:cs="Arial"/>
                <w:b/>
                <w:color w:val="auto"/>
                <w:sz w:val="32"/>
                <w:szCs w:val="32"/>
                <w:highlight w:val="none"/>
              </w:rPr>
              <w:t>项目编号：</w:t>
            </w:r>
          </w:p>
        </w:tc>
        <w:tc>
          <w:tcPr>
            <w:tcW w:w="5486" w:type="dxa"/>
            <w:vAlign w:val="center"/>
          </w:tcPr>
          <w:p>
            <w:pPr>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GXZC2025-G3-002764-JDZB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9" w:type="dxa"/>
            <w:vAlign w:val="center"/>
          </w:tcPr>
          <w:p>
            <w:pPr>
              <w:rPr>
                <w:rFonts w:ascii="Arial" w:hAnsi="Arial" w:cs="Arial"/>
                <w:b/>
                <w:color w:val="auto"/>
                <w:sz w:val="32"/>
                <w:szCs w:val="32"/>
                <w:highlight w:val="none"/>
              </w:rPr>
            </w:pPr>
            <w:r>
              <w:rPr>
                <w:rFonts w:ascii="Arial" w:hAnsi="Arial" w:cs="Arial"/>
                <w:b/>
                <w:color w:val="auto"/>
                <w:sz w:val="32"/>
                <w:szCs w:val="32"/>
                <w:highlight w:val="none"/>
              </w:rPr>
              <w:t>联系电话：</w:t>
            </w:r>
          </w:p>
        </w:tc>
        <w:tc>
          <w:tcPr>
            <w:tcW w:w="5486" w:type="dxa"/>
            <w:vAlign w:val="center"/>
          </w:tcPr>
          <w:p>
            <w:pPr>
              <w:rPr>
                <w:rFonts w:ascii="Arial" w:hAnsi="Arial" w:cs="Arial"/>
                <w:b/>
                <w:color w:val="auto"/>
                <w:sz w:val="32"/>
                <w:szCs w:val="32"/>
                <w:highlight w:val="none"/>
              </w:rPr>
            </w:pPr>
            <w:r>
              <w:rPr>
                <w:rFonts w:ascii="Arial" w:hAnsi="Arial" w:cs="Arial"/>
                <w:b/>
                <w:color w:val="auto"/>
                <w:sz w:val="32"/>
                <w:szCs w:val="32"/>
                <w:highlight w:val="none"/>
              </w:rPr>
              <w:t>0773-3696789转2</w:t>
            </w:r>
          </w:p>
        </w:tc>
      </w:tr>
    </w:tbl>
    <w:p>
      <w:pPr>
        <w:tabs>
          <w:tab w:val="left" w:pos="1710"/>
        </w:tabs>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widowControl/>
        <w:jc w:val="left"/>
        <w:rPr>
          <w:rFonts w:ascii="Arial" w:hAnsi="Arial" w:cs="Arial"/>
          <w:color w:val="auto"/>
          <w:kern w:val="0"/>
          <w:sz w:val="24"/>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tbl>
      <w:tblPr>
        <w:tblStyle w:val="54"/>
        <w:tblW w:w="0" w:type="auto"/>
        <w:jc w:val="center"/>
        <w:tblLayout w:type="fixed"/>
        <w:tblCellMar>
          <w:top w:w="0" w:type="dxa"/>
          <w:left w:w="108" w:type="dxa"/>
          <w:bottom w:w="0" w:type="dxa"/>
          <w:right w:w="108" w:type="dxa"/>
        </w:tblCellMar>
      </w:tblPr>
      <w:tblGrid>
        <w:gridCol w:w="2416"/>
        <w:gridCol w:w="5296"/>
      </w:tblGrid>
      <w:tr>
        <w:tblPrEx>
          <w:tblCellMar>
            <w:top w:w="0" w:type="dxa"/>
            <w:left w:w="108" w:type="dxa"/>
            <w:bottom w:w="0" w:type="dxa"/>
            <w:right w:w="108" w:type="dxa"/>
          </w:tblCellMar>
        </w:tblPrEx>
        <w:trPr>
          <w:trHeight w:val="1058" w:hRule="atLeast"/>
          <w:jc w:val="center"/>
        </w:trPr>
        <w:tc>
          <w:tcPr>
            <w:tcW w:w="2416" w:type="dxa"/>
            <w:vAlign w:val="center"/>
          </w:tcPr>
          <w:p>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 xml:space="preserve">  采购人：</w:t>
            </w:r>
          </w:p>
        </w:tc>
        <w:tc>
          <w:tcPr>
            <w:tcW w:w="5296" w:type="dxa"/>
            <w:vAlign w:val="center"/>
          </w:tcPr>
          <w:p>
            <w:pPr>
              <w:autoSpaceDE w:val="0"/>
              <w:autoSpaceDN w:val="0"/>
              <w:adjustRightInd w:val="0"/>
              <w:jc w:val="left"/>
              <w:rPr>
                <w:rFonts w:ascii="Arial" w:hAnsi="Arial" w:cs="Arial"/>
                <w:b/>
                <w:color w:val="auto"/>
                <w:sz w:val="32"/>
                <w:szCs w:val="32"/>
                <w:highlight w:val="none"/>
              </w:rPr>
            </w:pPr>
            <w:bookmarkStart w:id="2" w:name="OLE_LINK8"/>
            <w:r>
              <w:rPr>
                <w:rFonts w:ascii="Arial" w:hAnsi="Arial" w:cs="Arial"/>
                <w:b/>
                <w:color w:val="auto"/>
                <w:sz w:val="32"/>
                <w:szCs w:val="32"/>
                <w:highlight w:val="none"/>
              </w:rPr>
              <w:t>广西壮族自治区南溪山医院（广西壮族自治区第二人民医院）</w:t>
            </w:r>
            <w:bookmarkEnd w:id="2"/>
          </w:p>
        </w:tc>
      </w:tr>
      <w:tr>
        <w:tblPrEx>
          <w:tblCellMar>
            <w:top w:w="0" w:type="dxa"/>
            <w:left w:w="108" w:type="dxa"/>
            <w:bottom w:w="0" w:type="dxa"/>
            <w:right w:w="108" w:type="dxa"/>
          </w:tblCellMar>
        </w:tblPrEx>
        <w:trPr>
          <w:trHeight w:val="703" w:hRule="atLeast"/>
          <w:jc w:val="center"/>
        </w:trPr>
        <w:tc>
          <w:tcPr>
            <w:tcW w:w="2416" w:type="dxa"/>
          </w:tcPr>
          <w:p>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采购代理机构：</w:t>
            </w:r>
          </w:p>
        </w:tc>
        <w:tc>
          <w:tcPr>
            <w:tcW w:w="5296" w:type="dxa"/>
          </w:tcPr>
          <w:p>
            <w:pPr>
              <w:autoSpaceDE w:val="0"/>
              <w:autoSpaceDN w:val="0"/>
              <w:adjustRightInd w:val="0"/>
              <w:rPr>
                <w:rFonts w:ascii="Arial" w:hAnsi="Arial" w:cs="Arial"/>
                <w:b/>
                <w:color w:val="auto"/>
                <w:sz w:val="32"/>
                <w:szCs w:val="32"/>
                <w:highlight w:val="none"/>
                <w:u w:val="single"/>
              </w:rPr>
            </w:pPr>
            <w:r>
              <w:rPr>
                <w:rFonts w:ascii="Arial" w:hAnsi="Arial" w:cs="Arial"/>
                <w:b/>
                <w:color w:val="auto"/>
                <w:sz w:val="32"/>
                <w:szCs w:val="32"/>
                <w:highlight w:val="none"/>
              </w:rPr>
              <w:t>广西机电设备招标有限公司</w:t>
            </w:r>
          </w:p>
        </w:tc>
      </w:tr>
    </w:tbl>
    <w:p>
      <w:pPr>
        <w:rPr>
          <w:rFonts w:ascii="Arial" w:hAnsi="Arial" w:cs="Arial"/>
          <w:color w:val="auto"/>
          <w:highlight w:val="none"/>
        </w:rPr>
      </w:pPr>
    </w:p>
    <w:p>
      <w:pPr>
        <w:ind w:firstLine="321" w:firstLineChars="100"/>
        <w:jc w:val="center"/>
        <w:rPr>
          <w:rFonts w:ascii="Arial" w:hAnsi="Arial" w:cs="Arial"/>
          <w:b/>
          <w:color w:val="auto"/>
          <w:sz w:val="32"/>
          <w:szCs w:val="32"/>
          <w:highlight w:val="none"/>
        </w:rPr>
        <w:sectPr>
          <w:headerReference r:id="rId4" w:type="first"/>
          <w:footerReference r:id="rId6" w:type="first"/>
          <w:headerReference r:id="rId3" w:type="even"/>
          <w:footerReference r:id="rId5" w:type="even"/>
          <w:type w:val="nextColumn"/>
          <w:pgSz w:w="11906" w:h="16838"/>
          <w:pgMar w:top="1418" w:right="1418" w:bottom="1246" w:left="1418" w:header="851" w:footer="992" w:gutter="0"/>
          <w:pgNumType w:start="0"/>
          <w:cols w:space="720" w:num="1"/>
          <w:titlePg/>
          <w:docGrid w:linePitch="312" w:charSpace="0"/>
        </w:sectPr>
      </w:pPr>
      <w:r>
        <w:rPr>
          <w:rFonts w:ascii="Arial" w:hAnsi="Arial" w:cs="Arial"/>
          <w:b/>
          <w:color w:val="auto"/>
          <w:sz w:val="32"/>
          <w:szCs w:val="32"/>
          <w:highlight w:val="none"/>
        </w:rPr>
        <w:t>202</w:t>
      </w:r>
      <w:r>
        <w:rPr>
          <w:rFonts w:hint="eastAsia" w:ascii="Arial" w:hAnsi="Arial" w:cs="Arial"/>
          <w:b/>
          <w:color w:val="auto"/>
          <w:sz w:val="32"/>
          <w:szCs w:val="32"/>
          <w:highlight w:val="none"/>
        </w:rPr>
        <w:t>5</w:t>
      </w:r>
      <w:r>
        <w:rPr>
          <w:rFonts w:ascii="Arial" w:hAnsi="Arial" w:cs="Arial"/>
          <w:b/>
          <w:color w:val="auto"/>
          <w:sz w:val="32"/>
          <w:szCs w:val="32"/>
          <w:highlight w:val="none"/>
        </w:rPr>
        <w:t>年</w:t>
      </w:r>
      <w:r>
        <w:rPr>
          <w:rFonts w:hint="eastAsia" w:ascii="Arial" w:hAnsi="Arial" w:cs="Arial"/>
          <w:b/>
          <w:color w:val="auto"/>
          <w:sz w:val="32"/>
          <w:szCs w:val="32"/>
          <w:highlight w:val="none"/>
          <w:lang w:val="en-US" w:eastAsia="zh-CN"/>
        </w:rPr>
        <w:t>9</w:t>
      </w:r>
      <w:r>
        <w:rPr>
          <w:rFonts w:ascii="Arial" w:hAnsi="Arial" w:cs="Arial"/>
          <w:b/>
          <w:color w:val="auto"/>
          <w:sz w:val="32"/>
          <w:szCs w:val="32"/>
          <w:highlight w:val="none"/>
        </w:rPr>
        <w:t>月</w:t>
      </w:r>
    </w:p>
    <w:p>
      <w:pPr>
        <w:spacing w:line="360" w:lineRule="auto"/>
        <w:rPr>
          <w:rFonts w:ascii="Arial" w:hAnsi="Arial" w:cs="Arial"/>
          <w:b/>
          <w:color w:val="auto"/>
          <w:sz w:val="24"/>
          <w:highlight w:val="none"/>
        </w:rPr>
      </w:pPr>
    </w:p>
    <w:p>
      <w:pPr>
        <w:pStyle w:val="29"/>
        <w:snapToGrid w:val="0"/>
        <w:spacing w:before="120" w:after="120" w:line="320" w:lineRule="exact"/>
        <w:jc w:val="center"/>
        <w:outlineLvl w:val="0"/>
        <w:rPr>
          <w:rFonts w:ascii="Arial" w:hAnsi="Arial" w:cs="Arial"/>
          <w:color w:val="auto"/>
          <w:sz w:val="32"/>
          <w:szCs w:val="32"/>
          <w:highlight w:val="none"/>
        </w:rPr>
      </w:pPr>
      <w:bookmarkStart w:id="3" w:name="_Toc5130"/>
      <w:bookmarkStart w:id="4" w:name="_Toc6931"/>
      <w:r>
        <w:rPr>
          <w:rFonts w:ascii="Arial" w:hAnsi="Arial" w:cs="Arial"/>
          <w:color w:val="auto"/>
          <w:sz w:val="32"/>
          <w:szCs w:val="32"/>
          <w:highlight w:val="none"/>
        </w:rPr>
        <w:t>目录</w:t>
      </w:r>
      <w:bookmarkEnd w:id="3"/>
      <w:bookmarkEnd w:id="4"/>
    </w:p>
    <w:p>
      <w:pPr>
        <w:pStyle w:val="36"/>
        <w:tabs>
          <w:tab w:val="right" w:leader="dot" w:pos="9354"/>
          <w:tab w:val="clear" w:pos="8398"/>
        </w:tabs>
        <w:ind w:firstLine="241"/>
        <w:rPr>
          <w:rFonts w:ascii="Arial" w:hAnsi="Arial" w:cs="Arial"/>
          <w:color w:val="auto"/>
          <w:highlight w:val="none"/>
        </w:rPr>
      </w:pPr>
      <w:r>
        <w:rPr>
          <w:rFonts w:ascii="Arial" w:hAnsi="Arial" w:cs="Arial"/>
          <w:color w:val="auto"/>
          <w:highlight w:val="none"/>
        </w:rPr>
        <w:fldChar w:fldCharType="begin"/>
      </w:r>
      <w:r>
        <w:rPr>
          <w:rStyle w:val="62"/>
          <w:rFonts w:ascii="Arial" w:hAnsi="Arial" w:cs="Arial"/>
          <w:color w:val="auto"/>
          <w:highlight w:val="none"/>
        </w:rPr>
        <w:instrText xml:space="preserve"> TOC \o "1-1" \h \z \u </w:instrText>
      </w:r>
      <w:r>
        <w:rPr>
          <w:rFonts w:ascii="Arial" w:hAnsi="Arial" w:cs="Arial"/>
          <w:color w:val="auto"/>
          <w:highlight w:val="none"/>
        </w:rPr>
        <w:fldChar w:fldCharType="separate"/>
      </w:r>
      <w:r>
        <w:rPr>
          <w:color w:val="auto"/>
          <w:highlight w:val="none"/>
        </w:rPr>
        <w:fldChar w:fldCharType="begin"/>
      </w:r>
      <w:r>
        <w:rPr>
          <w:color w:val="auto"/>
          <w:highlight w:val="none"/>
        </w:rPr>
        <w:instrText xml:space="preserve"> HYPERLINK \l "_Toc7051" </w:instrText>
      </w:r>
      <w:r>
        <w:rPr>
          <w:color w:val="auto"/>
          <w:highlight w:val="none"/>
        </w:rPr>
        <w:fldChar w:fldCharType="separate"/>
      </w:r>
      <w:r>
        <w:rPr>
          <w:rFonts w:ascii="Arial" w:hAnsi="Arial" w:cs="Arial"/>
          <w:color w:val="auto"/>
          <w:szCs w:val="32"/>
          <w:highlight w:val="none"/>
        </w:rPr>
        <w:t>第一章  招标公告</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_Toc7051 </w:instrText>
      </w:r>
      <w:r>
        <w:rPr>
          <w:rFonts w:ascii="Arial" w:hAnsi="Arial" w:cs="Arial"/>
          <w:color w:val="auto"/>
          <w:highlight w:val="none"/>
        </w:rPr>
        <w:fldChar w:fldCharType="separate"/>
      </w:r>
      <w:r>
        <w:rPr>
          <w:rFonts w:ascii="Arial" w:hAnsi="Arial" w:cs="Arial"/>
          <w:color w:val="auto"/>
          <w:highlight w:val="none"/>
        </w:rPr>
        <w:t>1</w:t>
      </w:r>
      <w:r>
        <w:rPr>
          <w:rFonts w:ascii="Arial" w:hAnsi="Arial" w:cs="Arial"/>
          <w:color w:val="auto"/>
          <w:highlight w:val="none"/>
        </w:rPr>
        <w:fldChar w:fldCharType="end"/>
      </w:r>
      <w:r>
        <w:rPr>
          <w:rFonts w:ascii="Arial" w:hAnsi="Arial" w:cs="Arial"/>
          <w:color w:val="auto"/>
          <w:highlight w:val="none"/>
        </w:rPr>
        <w:fldChar w:fldCharType="end"/>
      </w:r>
    </w:p>
    <w:p>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"_Toc30557" </w:instrText>
      </w:r>
      <w:r>
        <w:rPr>
          <w:color w:val="auto"/>
          <w:highlight w:val="none"/>
        </w:rPr>
        <w:fldChar w:fldCharType="separate"/>
      </w:r>
      <w:r>
        <w:rPr>
          <w:rFonts w:ascii="Arial" w:hAnsi="Arial" w:cs="Arial"/>
          <w:color w:val="auto"/>
          <w:szCs w:val="32"/>
          <w:highlight w:val="none"/>
        </w:rPr>
        <w:t>第二章  项目采购需求</w:t>
      </w:r>
      <w:r>
        <w:rPr>
          <w:rFonts w:ascii="Arial" w:hAnsi="Arial" w:cs="Arial"/>
          <w:color w:val="auto"/>
          <w:highlight w:val="none"/>
        </w:rPr>
        <w:tab/>
      </w:r>
      <w:bookmarkStart w:id="5" w:name="_Hlt36561128"/>
      <w:bookmarkStart w:id="6" w:name="_Hlt36561127"/>
      <w:r>
        <w:rPr>
          <w:rFonts w:ascii="Arial" w:hAnsi="Arial" w:cs="Arial"/>
          <w:color w:val="auto"/>
          <w:highlight w:val="none"/>
        </w:rPr>
        <w:fldChar w:fldCharType="begin"/>
      </w:r>
      <w:r>
        <w:rPr>
          <w:rFonts w:ascii="Arial" w:hAnsi="Arial" w:cs="Arial"/>
          <w:color w:val="auto"/>
          <w:highlight w:val="none"/>
        </w:rPr>
        <w:instrText xml:space="preserve"> PAGEREF _Toc30557 </w:instrText>
      </w:r>
      <w:r>
        <w:rPr>
          <w:rFonts w:ascii="Arial" w:hAnsi="Arial" w:cs="Arial"/>
          <w:color w:val="auto"/>
          <w:highlight w:val="none"/>
        </w:rPr>
        <w:fldChar w:fldCharType="separate"/>
      </w:r>
      <w:r>
        <w:rPr>
          <w:rFonts w:ascii="Arial" w:hAnsi="Arial" w:cs="Arial"/>
          <w:color w:val="auto"/>
          <w:highlight w:val="none"/>
        </w:rPr>
        <w:t>4</w:t>
      </w:r>
      <w:r>
        <w:rPr>
          <w:rFonts w:ascii="Arial" w:hAnsi="Arial" w:cs="Arial"/>
          <w:color w:val="auto"/>
          <w:highlight w:val="none"/>
        </w:rPr>
        <w:fldChar w:fldCharType="end"/>
      </w:r>
      <w:bookmarkEnd w:id="5"/>
      <w:bookmarkEnd w:id="6"/>
      <w:r>
        <w:rPr>
          <w:rFonts w:ascii="Arial" w:hAnsi="Arial" w:cs="Arial"/>
          <w:color w:val="auto"/>
          <w:highlight w:val="none"/>
        </w:rPr>
        <w:fldChar w:fldCharType="end"/>
      </w:r>
    </w:p>
    <w:p>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"_Toc28503" </w:instrText>
      </w:r>
      <w:r>
        <w:rPr>
          <w:color w:val="auto"/>
          <w:highlight w:val="none"/>
        </w:rPr>
        <w:fldChar w:fldCharType="separate"/>
      </w:r>
      <w:r>
        <w:rPr>
          <w:rFonts w:ascii="Arial" w:hAnsi="Arial" w:cs="Arial"/>
          <w:color w:val="auto"/>
          <w:szCs w:val="32"/>
          <w:highlight w:val="none"/>
        </w:rPr>
        <w:t>第三章  供应商须知</w:t>
      </w:r>
      <w:r>
        <w:rPr>
          <w:rFonts w:ascii="Arial" w:hAnsi="Arial" w:cs="Arial"/>
          <w:color w:val="auto"/>
          <w:highlight w:val="none"/>
        </w:rPr>
        <w:tab/>
      </w:r>
      <w:bookmarkStart w:id="7" w:name="_Hlt36561130"/>
      <w:r>
        <w:rPr>
          <w:rFonts w:ascii="Arial" w:hAnsi="Arial" w:cs="Arial"/>
          <w:color w:val="auto"/>
          <w:highlight w:val="none"/>
        </w:rPr>
        <w:fldChar w:fldCharType="begin"/>
      </w:r>
      <w:r>
        <w:rPr>
          <w:rFonts w:ascii="Arial" w:hAnsi="Arial" w:cs="Arial"/>
          <w:color w:val="auto"/>
          <w:highlight w:val="none"/>
        </w:rPr>
        <w:instrText xml:space="preserve"> PAGEREF _Toc28503 </w:instrText>
      </w:r>
      <w:r>
        <w:rPr>
          <w:rFonts w:ascii="Arial" w:hAnsi="Arial" w:cs="Arial"/>
          <w:color w:val="auto"/>
          <w:highlight w:val="none"/>
        </w:rPr>
        <w:fldChar w:fldCharType="separate"/>
      </w:r>
      <w:r>
        <w:rPr>
          <w:rFonts w:ascii="Arial" w:hAnsi="Arial" w:cs="Arial"/>
          <w:color w:val="auto"/>
          <w:highlight w:val="none"/>
        </w:rPr>
        <w:t>17</w:t>
      </w:r>
      <w:r>
        <w:rPr>
          <w:rFonts w:ascii="Arial" w:hAnsi="Arial" w:cs="Arial"/>
          <w:color w:val="auto"/>
          <w:highlight w:val="none"/>
        </w:rPr>
        <w:fldChar w:fldCharType="end"/>
      </w:r>
      <w:bookmarkEnd w:id="7"/>
      <w:r>
        <w:rPr>
          <w:rFonts w:ascii="Arial" w:hAnsi="Arial" w:cs="Arial"/>
          <w:color w:val="auto"/>
          <w:highlight w:val="none"/>
        </w:rPr>
        <w:fldChar w:fldCharType="end"/>
      </w:r>
    </w:p>
    <w:p>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"_Toc32204" </w:instrText>
      </w:r>
      <w:r>
        <w:rPr>
          <w:color w:val="auto"/>
          <w:highlight w:val="none"/>
        </w:rPr>
        <w:fldChar w:fldCharType="separate"/>
      </w:r>
      <w:r>
        <w:rPr>
          <w:rFonts w:ascii="Arial" w:hAnsi="Arial" w:cs="Arial"/>
          <w:color w:val="auto"/>
          <w:szCs w:val="32"/>
          <w:highlight w:val="none"/>
        </w:rPr>
        <w:t>第四章  评标方法及评标标准</w:t>
      </w:r>
      <w:r>
        <w:rPr>
          <w:rFonts w:ascii="Arial" w:hAnsi="Arial" w:cs="Arial"/>
          <w:color w:val="auto"/>
          <w:highlight w:val="none"/>
        </w:rPr>
        <w:tab/>
      </w:r>
      <w:bookmarkStart w:id="8" w:name="_Hlt36561136"/>
      <w:r>
        <w:rPr>
          <w:rFonts w:ascii="Arial" w:hAnsi="Arial" w:cs="Arial"/>
          <w:color w:val="auto"/>
          <w:highlight w:val="none"/>
        </w:rPr>
        <w:fldChar w:fldCharType="begin"/>
      </w:r>
      <w:r>
        <w:rPr>
          <w:rFonts w:ascii="Arial" w:hAnsi="Arial" w:cs="Arial"/>
          <w:color w:val="auto"/>
          <w:highlight w:val="none"/>
        </w:rPr>
        <w:instrText xml:space="preserve"> PAGEREF _Toc32204 </w:instrText>
      </w:r>
      <w:r>
        <w:rPr>
          <w:rFonts w:ascii="Arial" w:hAnsi="Arial" w:cs="Arial"/>
          <w:color w:val="auto"/>
          <w:highlight w:val="none"/>
        </w:rPr>
        <w:fldChar w:fldCharType="separate"/>
      </w:r>
      <w:r>
        <w:rPr>
          <w:rFonts w:ascii="Arial" w:hAnsi="Arial" w:cs="Arial"/>
          <w:color w:val="auto"/>
          <w:highlight w:val="none"/>
        </w:rPr>
        <w:t>32</w:t>
      </w:r>
      <w:r>
        <w:rPr>
          <w:rFonts w:ascii="Arial" w:hAnsi="Arial" w:cs="Arial"/>
          <w:color w:val="auto"/>
          <w:highlight w:val="none"/>
        </w:rPr>
        <w:fldChar w:fldCharType="end"/>
      </w:r>
      <w:bookmarkEnd w:id="8"/>
      <w:r>
        <w:rPr>
          <w:rFonts w:ascii="Arial" w:hAnsi="Arial" w:cs="Arial"/>
          <w:color w:val="auto"/>
          <w:highlight w:val="none"/>
        </w:rPr>
        <w:fldChar w:fldCharType="end"/>
      </w:r>
    </w:p>
    <w:p>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"_Toc25902" </w:instrText>
      </w:r>
      <w:r>
        <w:rPr>
          <w:color w:val="auto"/>
          <w:highlight w:val="none"/>
        </w:rPr>
        <w:fldChar w:fldCharType="separate"/>
      </w:r>
      <w:r>
        <w:rPr>
          <w:rFonts w:ascii="Arial" w:hAnsi="Arial" w:cs="Arial"/>
          <w:color w:val="auto"/>
          <w:szCs w:val="32"/>
          <w:highlight w:val="none"/>
        </w:rPr>
        <w:t>第五章  合同主要条款格式</w:t>
      </w:r>
      <w:r>
        <w:rPr>
          <w:rFonts w:ascii="Arial" w:hAnsi="Arial" w:cs="Arial"/>
          <w:color w:val="auto"/>
          <w:highlight w:val="none"/>
        </w:rPr>
        <w:tab/>
      </w:r>
      <w:bookmarkStart w:id="9" w:name="_Hlt34060445"/>
      <w:r>
        <w:rPr>
          <w:rFonts w:ascii="Arial" w:hAnsi="Arial" w:cs="Arial"/>
          <w:color w:val="auto"/>
          <w:highlight w:val="none"/>
        </w:rPr>
        <w:fldChar w:fldCharType="begin"/>
      </w:r>
      <w:r>
        <w:rPr>
          <w:rFonts w:ascii="Arial" w:hAnsi="Arial" w:cs="Arial"/>
          <w:color w:val="auto"/>
          <w:highlight w:val="none"/>
        </w:rPr>
        <w:instrText xml:space="preserve"> PAGEREF _Toc25902 </w:instrText>
      </w:r>
      <w:r>
        <w:rPr>
          <w:rFonts w:ascii="Arial" w:hAnsi="Arial" w:cs="Arial"/>
          <w:color w:val="auto"/>
          <w:highlight w:val="none"/>
        </w:rPr>
        <w:fldChar w:fldCharType="separate"/>
      </w:r>
      <w:r>
        <w:rPr>
          <w:rFonts w:ascii="Arial" w:hAnsi="Arial" w:cs="Arial"/>
          <w:color w:val="auto"/>
          <w:highlight w:val="none"/>
        </w:rPr>
        <w:t>45</w:t>
      </w:r>
      <w:r>
        <w:rPr>
          <w:rFonts w:ascii="Arial" w:hAnsi="Arial" w:cs="Arial"/>
          <w:color w:val="auto"/>
          <w:highlight w:val="none"/>
        </w:rPr>
        <w:fldChar w:fldCharType="end"/>
      </w:r>
      <w:bookmarkEnd w:id="9"/>
      <w:r>
        <w:rPr>
          <w:rFonts w:ascii="Arial" w:hAnsi="Arial" w:cs="Arial"/>
          <w:color w:val="auto"/>
          <w:highlight w:val="none"/>
        </w:rPr>
        <w:fldChar w:fldCharType="end"/>
      </w:r>
    </w:p>
    <w:p>
      <w:pPr>
        <w:pStyle w:val="36"/>
        <w:tabs>
          <w:tab w:val="right" w:leader="dot" w:pos="9354"/>
          <w:tab w:val="clear" w:pos="8398"/>
        </w:tabs>
        <w:ind w:firstLine="241"/>
        <w:rPr>
          <w:rFonts w:ascii="Arial" w:hAnsi="Arial" w:cs="Arial"/>
          <w:color w:val="auto"/>
          <w:highlight w:val="none"/>
        </w:rPr>
      </w:pPr>
      <w:r>
        <w:rPr>
          <w:color w:val="auto"/>
          <w:highlight w:val="none"/>
        </w:rPr>
        <w:fldChar w:fldCharType="begin"/>
      </w:r>
      <w:r>
        <w:rPr>
          <w:color w:val="auto"/>
          <w:highlight w:val="none"/>
        </w:rPr>
        <w:instrText xml:space="preserve"> HYPERLINK \l "_Toc21747" </w:instrText>
      </w:r>
      <w:r>
        <w:rPr>
          <w:color w:val="auto"/>
          <w:highlight w:val="none"/>
        </w:rPr>
        <w:fldChar w:fldCharType="separate"/>
      </w:r>
      <w:r>
        <w:rPr>
          <w:rFonts w:ascii="Arial" w:hAnsi="Arial" w:cs="Arial"/>
          <w:color w:val="auto"/>
          <w:szCs w:val="32"/>
          <w:highlight w:val="none"/>
        </w:rPr>
        <w:t>第六章  投标文件格式</w:t>
      </w:r>
      <w:bookmarkStart w:id="10" w:name="_Hlt34060451"/>
      <w:r>
        <w:rPr>
          <w:rFonts w:ascii="Arial" w:hAnsi="Arial" w:cs="Arial"/>
          <w:color w:val="auto"/>
          <w:highlight w:val="none"/>
        </w:rPr>
        <w:tab/>
      </w:r>
      <w:bookmarkEnd w:id="10"/>
      <w:bookmarkStart w:id="11" w:name="_Hlt36561143"/>
      <w:r>
        <w:rPr>
          <w:rFonts w:ascii="Arial" w:hAnsi="Arial" w:cs="Arial"/>
          <w:color w:val="auto"/>
          <w:highlight w:val="none"/>
        </w:rPr>
        <w:fldChar w:fldCharType="begin"/>
      </w:r>
      <w:r>
        <w:rPr>
          <w:rFonts w:ascii="Arial" w:hAnsi="Arial" w:cs="Arial"/>
          <w:color w:val="auto"/>
          <w:highlight w:val="none"/>
        </w:rPr>
        <w:instrText xml:space="preserve"> PAGEREF _Toc21747 </w:instrText>
      </w:r>
      <w:r>
        <w:rPr>
          <w:rFonts w:ascii="Arial" w:hAnsi="Arial" w:cs="Arial"/>
          <w:color w:val="auto"/>
          <w:highlight w:val="none"/>
        </w:rPr>
        <w:fldChar w:fldCharType="separate"/>
      </w:r>
      <w:r>
        <w:rPr>
          <w:rFonts w:ascii="Arial" w:hAnsi="Arial" w:cs="Arial"/>
          <w:color w:val="auto"/>
          <w:highlight w:val="none"/>
        </w:rPr>
        <w:t>58</w:t>
      </w:r>
      <w:r>
        <w:rPr>
          <w:rFonts w:ascii="Arial" w:hAnsi="Arial" w:cs="Arial"/>
          <w:color w:val="auto"/>
          <w:highlight w:val="none"/>
        </w:rPr>
        <w:fldChar w:fldCharType="end"/>
      </w:r>
      <w:bookmarkEnd w:id="11"/>
      <w:r>
        <w:rPr>
          <w:rFonts w:ascii="Arial" w:hAnsi="Arial" w:cs="Arial"/>
          <w:color w:val="auto"/>
          <w:highlight w:val="none"/>
        </w:rPr>
        <w:fldChar w:fldCharType="end"/>
      </w:r>
    </w:p>
    <w:p>
      <w:pPr>
        <w:pStyle w:val="36"/>
        <w:ind w:firstLine="241"/>
        <w:rPr>
          <w:rFonts w:ascii="Arial" w:hAnsi="Arial" w:cs="Arial"/>
          <w:color w:val="auto"/>
          <w:highlight w:val="none"/>
        </w:rPr>
      </w:pPr>
      <w:r>
        <w:rPr>
          <w:rFonts w:ascii="Arial" w:hAnsi="Arial" w:cs="Arial"/>
          <w:color w:val="auto"/>
          <w:highlight w:val="none"/>
        </w:rPr>
        <w:fldChar w:fldCharType="end"/>
      </w:r>
    </w:p>
    <w:p>
      <w:pPr>
        <w:spacing w:before="120" w:beforeLines="50" w:line="480" w:lineRule="exact"/>
        <w:rPr>
          <w:rFonts w:ascii="Arial" w:hAnsi="Arial" w:cs="Arial"/>
          <w:color w:val="auto"/>
          <w:sz w:val="28"/>
          <w:szCs w:val="28"/>
          <w:highlight w:val="none"/>
        </w:rPr>
      </w:pPr>
    </w:p>
    <w:p>
      <w:pPr>
        <w:spacing w:before="120" w:beforeLines="50" w:line="480" w:lineRule="exact"/>
        <w:rPr>
          <w:rFonts w:ascii="Arial" w:hAnsi="Arial" w:cs="Arial"/>
          <w:color w:val="auto"/>
          <w:sz w:val="30"/>
          <w:highlight w:val="none"/>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pPr>
        <w:pStyle w:val="29"/>
        <w:snapToGrid w:val="0"/>
        <w:spacing w:before="120" w:after="120" w:line="320" w:lineRule="exact"/>
        <w:jc w:val="center"/>
        <w:outlineLvl w:val="0"/>
        <w:rPr>
          <w:rFonts w:ascii="Arial" w:hAnsi="Arial" w:cs="Arial"/>
          <w:color w:val="auto"/>
          <w:sz w:val="32"/>
          <w:szCs w:val="32"/>
          <w:highlight w:val="none"/>
        </w:rPr>
      </w:pPr>
      <w:bookmarkStart w:id="12" w:name="_Toc254970489"/>
      <w:bookmarkStart w:id="13" w:name="_Toc254970630"/>
      <w:r>
        <w:rPr>
          <w:rFonts w:ascii="Arial" w:hAnsi="Arial" w:cs="Arial"/>
          <w:color w:val="auto"/>
          <w:sz w:val="32"/>
          <w:szCs w:val="32"/>
          <w:highlight w:val="none"/>
        </w:rPr>
        <w:tab/>
      </w:r>
      <w:bookmarkStart w:id="14" w:name="_Toc7051"/>
      <w:r>
        <w:rPr>
          <w:rFonts w:ascii="Arial" w:hAnsi="Arial" w:cs="Arial"/>
          <w:color w:val="auto"/>
          <w:sz w:val="32"/>
          <w:szCs w:val="32"/>
          <w:highlight w:val="none"/>
        </w:rPr>
        <w:t>第一章  招标公告</w:t>
      </w:r>
      <w:bookmarkEnd w:id="14"/>
    </w:p>
    <w:p>
      <w:pPr>
        <w:spacing w:line="400" w:lineRule="exact"/>
        <w:jc w:val="center"/>
        <w:rPr>
          <w:rFonts w:ascii="Arial" w:hAnsi="Arial" w:cs="Arial"/>
          <w:color w:val="auto"/>
          <w:kern w:val="0"/>
          <w:szCs w:val="21"/>
          <w:highlight w:val="none"/>
        </w:rPr>
      </w:pPr>
      <w:bookmarkStart w:id="151" w:name="_GoBack"/>
      <w:r>
        <w:rPr>
          <w:rFonts w:ascii="Arial" w:hAnsi="Arial" w:cs="Arial"/>
          <w:color w:val="auto"/>
          <w:kern w:val="0"/>
          <w:sz w:val="24"/>
          <w:highlight w:val="none"/>
        </w:rPr>
        <w:t>广西机电设备招标有限公司关于</w:t>
      </w:r>
      <w:bookmarkStart w:id="15" w:name="OLE_LINK2"/>
      <w:r>
        <w:rPr>
          <w:rFonts w:hint="eastAsia" w:ascii="Arial" w:hAnsi="Arial" w:cs="Arial"/>
          <w:color w:val="auto"/>
          <w:kern w:val="0"/>
          <w:sz w:val="24"/>
          <w:highlight w:val="none"/>
          <w:lang w:eastAsia="zh-CN"/>
        </w:rPr>
        <w:t>南溪山医院医疗设备设施全生命周期管理服务项目</w:t>
      </w:r>
      <w:bookmarkEnd w:id="15"/>
      <w:r>
        <w:rPr>
          <w:rFonts w:ascii="Arial" w:hAnsi="Arial" w:cs="Arial"/>
          <w:color w:val="auto"/>
          <w:sz w:val="24"/>
          <w:highlight w:val="none"/>
        </w:rPr>
        <w:t>(</w:t>
      </w:r>
      <w:r>
        <w:rPr>
          <w:rFonts w:hint="eastAsia" w:ascii="Arial" w:hAnsi="Arial" w:cs="Arial"/>
          <w:color w:val="auto"/>
          <w:sz w:val="24"/>
          <w:highlight w:val="none"/>
          <w:lang w:eastAsia="zh-CN"/>
        </w:rPr>
        <w:t>GXZC2025-G3-002764-JDZB</w:t>
      </w:r>
      <w:r>
        <w:rPr>
          <w:rFonts w:ascii="Arial" w:hAnsi="Arial" w:cs="Arial"/>
          <w:color w:val="auto"/>
          <w:sz w:val="24"/>
          <w:highlight w:val="none"/>
        </w:rPr>
        <w:t>)</w:t>
      </w:r>
      <w:r>
        <w:rPr>
          <w:rFonts w:ascii="Arial" w:hAnsi="Arial" w:cs="Arial"/>
          <w:color w:val="auto"/>
          <w:kern w:val="0"/>
          <w:sz w:val="24"/>
          <w:highlight w:val="none"/>
        </w:rPr>
        <w:t>公开招标公告</w:t>
      </w:r>
    </w:p>
    <w:tbl>
      <w:tblPr>
        <w:tblStyle w:val="54"/>
        <w:tblpPr w:leftFromText="180" w:rightFromText="180" w:vertAnchor="text" w:horzAnchor="margin" w:tblpXSpec="center"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335" w:type="dxa"/>
          </w:tcPr>
          <w:p>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项目概况</w:t>
            </w:r>
          </w:p>
          <w:p>
            <w:pPr>
              <w:spacing w:line="312" w:lineRule="auto"/>
              <w:ind w:firstLine="420" w:firstLineChars="200"/>
              <w:jc w:val="left"/>
              <w:rPr>
                <w:rFonts w:ascii="Arial" w:hAnsi="Arial" w:cs="Arial"/>
                <w:b/>
                <w:bCs/>
                <w:color w:val="auto"/>
                <w:kern w:val="0"/>
                <w:szCs w:val="21"/>
                <w:highlight w:val="none"/>
              </w:rPr>
            </w:pPr>
            <w:r>
              <w:rPr>
                <w:rFonts w:hint="eastAsia" w:ascii="Arial" w:hAnsi="Arial" w:cs="Arial"/>
                <w:color w:val="auto"/>
                <w:szCs w:val="21"/>
                <w:highlight w:val="none"/>
                <w:lang w:eastAsia="zh-CN"/>
              </w:rPr>
              <w:t>南溪山医院医疗设备设施全生命周期管理服务项目</w:t>
            </w:r>
            <w:r>
              <w:rPr>
                <w:rFonts w:ascii="Arial" w:hAnsi="Arial" w:cs="Arial"/>
                <w:color w:val="auto"/>
                <w:szCs w:val="21"/>
                <w:highlight w:val="none"/>
              </w:rPr>
              <w:t xml:space="preserve"> 招标项目的潜在供应商应登录广西政府采购云平台（https://www.gcy.zfcg.gxzf.gov.cn/）在线申请获取招标文件，并于</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10</w:t>
            </w:r>
            <w:r>
              <w:rPr>
                <w:rFonts w:hint="eastAsia" w:ascii="Arial" w:hAnsi="Arial" w:cs="Arial"/>
                <w:color w:val="auto"/>
                <w:szCs w:val="21"/>
                <w:highlight w:val="none"/>
                <w:lang w:eastAsia="zh-CN"/>
              </w:rPr>
              <w:t>月</w:t>
            </w:r>
            <w:r>
              <w:rPr>
                <w:rFonts w:hint="eastAsia" w:ascii="Arial" w:hAnsi="Arial" w:cs="Arial"/>
                <w:color w:val="auto"/>
                <w:szCs w:val="21"/>
                <w:highlight w:val="none"/>
                <w:lang w:val="en-US" w:eastAsia="zh-CN"/>
              </w:rPr>
              <w:t>13</w:t>
            </w:r>
            <w:r>
              <w:rPr>
                <w:rFonts w:hint="eastAsia" w:ascii="Arial" w:hAnsi="Arial" w:cs="Arial"/>
                <w:color w:val="auto"/>
                <w:szCs w:val="21"/>
                <w:highlight w:val="none"/>
                <w:lang w:eastAsia="zh-CN"/>
              </w:rPr>
              <w:t>日</w:t>
            </w:r>
            <w:r>
              <w:rPr>
                <w:rFonts w:ascii="Arial" w:hAnsi="Arial" w:cs="Arial"/>
                <w:color w:val="auto"/>
                <w:szCs w:val="21"/>
                <w:highlight w:val="none"/>
              </w:rPr>
              <w:t>9点30分（北京时间）前递交投标文件。</w:t>
            </w:r>
          </w:p>
        </w:tc>
      </w:tr>
    </w:tbl>
    <w:p>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一、项目基本情况</w:t>
      </w:r>
    </w:p>
    <w:p>
      <w:pPr>
        <w:spacing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项目编号：</w:t>
      </w:r>
      <w:r>
        <w:rPr>
          <w:rFonts w:hint="eastAsia" w:ascii="Arial" w:hAnsi="Arial" w:cs="Arial"/>
          <w:color w:val="auto"/>
          <w:szCs w:val="21"/>
          <w:highlight w:val="none"/>
          <w:lang w:eastAsia="zh-CN"/>
        </w:rPr>
        <w:t>GXZC2025-G3-002764-JDZB</w:t>
      </w:r>
    </w:p>
    <w:p>
      <w:pPr>
        <w:spacing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项目名称：</w:t>
      </w:r>
      <w:r>
        <w:rPr>
          <w:rFonts w:hint="eastAsia" w:ascii="Arial" w:hAnsi="Arial" w:cs="Arial"/>
          <w:color w:val="auto"/>
          <w:kern w:val="0"/>
          <w:szCs w:val="21"/>
          <w:highlight w:val="none"/>
          <w:lang w:eastAsia="zh-CN"/>
        </w:rPr>
        <w:t>南溪山医院医疗设备设施全生命周期管理服务项目</w:t>
      </w:r>
    </w:p>
    <w:p>
      <w:pPr>
        <w:spacing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预算总金额（元）：</w:t>
      </w:r>
      <w:bookmarkStart w:id="16" w:name="OLE_LINK1"/>
      <w:r>
        <w:rPr>
          <w:rFonts w:hint="eastAsia" w:ascii="Arial" w:hAnsi="Arial" w:cs="Arial"/>
          <w:color w:val="auto"/>
          <w:kern w:val="0"/>
          <w:szCs w:val="21"/>
          <w:highlight w:val="none"/>
          <w:lang w:eastAsia="zh-CN"/>
        </w:rPr>
        <w:t>24000000</w:t>
      </w:r>
      <w:bookmarkEnd w:id="16"/>
    </w:p>
    <w:p>
      <w:pPr>
        <w:tabs>
          <w:tab w:val="left" w:pos="3150"/>
        </w:tabs>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采购需求：</w:t>
      </w:r>
    </w:p>
    <w:p>
      <w:pPr>
        <w:tabs>
          <w:tab w:val="left" w:pos="3150"/>
        </w:tabs>
        <w:spacing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标项名称：</w:t>
      </w:r>
      <w:r>
        <w:rPr>
          <w:rFonts w:hint="eastAsia" w:ascii="Arial" w:hAnsi="Arial" w:cs="Arial"/>
          <w:color w:val="auto"/>
          <w:kern w:val="0"/>
          <w:szCs w:val="21"/>
          <w:highlight w:val="none"/>
          <w:lang w:eastAsia="zh-CN"/>
        </w:rPr>
        <w:t>南溪山医院医疗设备设施全生命周期管理服务项目</w:t>
      </w:r>
    </w:p>
    <w:p>
      <w:pPr>
        <w:tabs>
          <w:tab w:val="left" w:pos="3150"/>
        </w:tabs>
        <w:spacing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数量：</w:t>
      </w:r>
      <w:r>
        <w:rPr>
          <w:rFonts w:hint="eastAsia" w:ascii="Arial" w:hAnsi="Arial" w:cs="Arial"/>
          <w:color w:val="auto"/>
          <w:kern w:val="0"/>
          <w:szCs w:val="21"/>
          <w:highlight w:val="none"/>
          <w:lang w:val="en-US" w:eastAsia="zh-CN"/>
        </w:rPr>
        <w:t>3</w:t>
      </w:r>
    </w:p>
    <w:p>
      <w:pPr>
        <w:tabs>
          <w:tab w:val="left" w:pos="3150"/>
        </w:tabs>
        <w:spacing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预算金额（元）：</w:t>
      </w:r>
      <w:r>
        <w:rPr>
          <w:rFonts w:hint="eastAsia" w:ascii="Arial" w:hAnsi="Arial" w:cs="Arial"/>
          <w:color w:val="auto"/>
          <w:kern w:val="0"/>
          <w:szCs w:val="21"/>
          <w:highlight w:val="none"/>
          <w:lang w:eastAsia="zh-CN"/>
        </w:rPr>
        <w:t>24000000</w:t>
      </w:r>
    </w:p>
    <w:p>
      <w:pPr>
        <w:tabs>
          <w:tab w:val="left" w:pos="3150"/>
        </w:tabs>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简要规格描述或项目基本概况介绍、用途：</w:t>
      </w:r>
      <w:r>
        <w:rPr>
          <w:rFonts w:hint="eastAsia" w:ascii="Arial" w:hAnsi="Arial" w:cs="Arial"/>
          <w:color w:val="auto"/>
          <w:kern w:val="0"/>
          <w:szCs w:val="21"/>
          <w:highlight w:val="none"/>
        </w:rPr>
        <w:t>根据</w:t>
      </w:r>
      <w:r>
        <w:rPr>
          <w:rFonts w:hint="eastAsia" w:ascii="Arial" w:hAnsi="Arial" w:cs="Arial"/>
          <w:color w:val="auto"/>
          <w:kern w:val="0"/>
          <w:szCs w:val="21"/>
          <w:highlight w:val="none"/>
          <w:lang w:val="en-US" w:eastAsia="zh-CN"/>
        </w:rPr>
        <w:t>采购人</w:t>
      </w:r>
      <w:r>
        <w:rPr>
          <w:rFonts w:hint="eastAsia" w:ascii="Arial" w:hAnsi="Arial" w:cs="Arial"/>
          <w:color w:val="auto"/>
          <w:kern w:val="0"/>
          <w:szCs w:val="21"/>
          <w:highlight w:val="none"/>
        </w:rPr>
        <w:t>发展建设需求，对</w:t>
      </w:r>
      <w:r>
        <w:rPr>
          <w:rFonts w:hint="eastAsia" w:ascii="Arial" w:hAnsi="Arial" w:cs="Arial"/>
          <w:color w:val="auto"/>
          <w:kern w:val="0"/>
          <w:szCs w:val="21"/>
          <w:highlight w:val="none"/>
          <w:lang w:val="en-US" w:eastAsia="zh-CN"/>
        </w:rPr>
        <w:t>采购人</w:t>
      </w:r>
      <w:r>
        <w:rPr>
          <w:rFonts w:hint="eastAsia" w:ascii="Arial" w:hAnsi="Arial" w:cs="Arial"/>
          <w:color w:val="auto"/>
          <w:kern w:val="0"/>
          <w:szCs w:val="21"/>
          <w:highlight w:val="none"/>
        </w:rPr>
        <w:t>全院医疗设备管理进行整体托管，从技术服务到设备管理,通过引入专业服务，实现医疗设备从“规划采购”到“报废处置”全流程的科学化、规范化管理，提升医院医疗设备信息化、智慧化管理水平，</w:t>
      </w:r>
      <w:r>
        <w:rPr>
          <w:rFonts w:hint="eastAsia" w:ascii="Arial" w:hAnsi="Arial" w:cs="Arial"/>
          <w:color w:val="auto"/>
          <w:kern w:val="0"/>
          <w:szCs w:val="21"/>
          <w:highlight w:val="none"/>
          <w:lang w:val="en-US" w:eastAsia="zh-CN"/>
        </w:rPr>
        <w:t>采购人</w:t>
      </w:r>
      <w:r>
        <w:rPr>
          <w:rFonts w:hint="eastAsia" w:ascii="Arial" w:hAnsi="Arial" w:cs="Arial"/>
          <w:color w:val="auto"/>
          <w:kern w:val="0"/>
          <w:szCs w:val="21"/>
          <w:highlight w:val="none"/>
        </w:rPr>
        <w:t>需要采购医疗设备设施全生命周期管理服务项目。</w:t>
      </w:r>
      <w:r>
        <w:rPr>
          <w:rFonts w:ascii="Arial" w:hAnsi="Arial" w:cs="Arial"/>
          <w:color w:val="auto"/>
          <w:kern w:val="0"/>
          <w:szCs w:val="21"/>
          <w:highlight w:val="none"/>
        </w:rPr>
        <w:t>如需</w:t>
      </w:r>
      <w:r>
        <w:rPr>
          <w:rFonts w:ascii="Arial" w:hAnsi="Arial" w:cs="Arial"/>
          <w:color w:val="auto"/>
          <w:szCs w:val="21"/>
          <w:highlight w:val="none"/>
        </w:rPr>
        <w:t>进一步</w:t>
      </w:r>
      <w:r>
        <w:rPr>
          <w:rFonts w:ascii="Arial" w:hAnsi="Arial" w:cs="Arial"/>
          <w:color w:val="auto"/>
          <w:kern w:val="0"/>
          <w:szCs w:val="21"/>
          <w:highlight w:val="none"/>
        </w:rPr>
        <w:t>了解详细内容，详见招标文件。</w:t>
      </w:r>
    </w:p>
    <w:p>
      <w:pPr>
        <w:spacing w:line="312" w:lineRule="auto"/>
        <w:ind w:firstLine="420" w:firstLineChars="200"/>
        <w:jc w:val="left"/>
        <w:rPr>
          <w:rFonts w:hint="eastAsia" w:ascii="Arial" w:hAnsi="Arial" w:eastAsia="宋体" w:cs="Arial"/>
          <w:color w:val="auto"/>
          <w:kern w:val="0"/>
          <w:szCs w:val="21"/>
          <w:highlight w:val="none"/>
          <w:lang w:eastAsia="zh-CN"/>
        </w:rPr>
      </w:pPr>
      <w:r>
        <w:rPr>
          <w:rFonts w:ascii="Arial" w:hAnsi="Arial" w:cs="Arial"/>
          <w:color w:val="auto"/>
          <w:kern w:val="0"/>
          <w:szCs w:val="21"/>
          <w:highlight w:val="none"/>
        </w:rPr>
        <w:t>最高限价（元）：</w:t>
      </w:r>
      <w:r>
        <w:rPr>
          <w:rFonts w:hint="eastAsia" w:ascii="Arial" w:hAnsi="Arial" w:cs="Arial"/>
          <w:color w:val="auto"/>
          <w:kern w:val="0"/>
          <w:szCs w:val="21"/>
          <w:highlight w:val="none"/>
          <w:lang w:eastAsia="zh-CN"/>
        </w:rPr>
        <w:t>23250000</w:t>
      </w:r>
    </w:p>
    <w:p>
      <w:pPr>
        <w:spacing w:line="36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合同履行期限：</w:t>
      </w:r>
      <w:r>
        <w:rPr>
          <w:rFonts w:hint="eastAsia" w:ascii="Arial" w:hAnsi="Arial" w:cs="Arial"/>
          <w:color w:val="auto"/>
          <w:kern w:val="0"/>
          <w:szCs w:val="21"/>
          <w:highlight w:val="none"/>
        </w:rPr>
        <w:t>三年，合同模式为一年一签订，从签订合同之日开始计算服务日期。合同签订后每年度由</w:t>
      </w:r>
      <w:r>
        <w:rPr>
          <w:rFonts w:hint="eastAsia" w:ascii="Arial" w:hAnsi="Arial" w:cs="Arial"/>
          <w:color w:val="auto"/>
          <w:kern w:val="0"/>
          <w:szCs w:val="21"/>
          <w:highlight w:val="none"/>
          <w:lang w:val="en-US" w:eastAsia="zh-CN"/>
        </w:rPr>
        <w:t>采购人</w:t>
      </w:r>
      <w:r>
        <w:rPr>
          <w:rFonts w:hint="eastAsia" w:ascii="Arial" w:hAnsi="Arial" w:cs="Arial"/>
          <w:color w:val="auto"/>
          <w:kern w:val="0"/>
          <w:szCs w:val="21"/>
          <w:highlight w:val="none"/>
        </w:rPr>
        <w:t>各使用部门和设备管理部门进行考评，若无法达到</w:t>
      </w:r>
      <w:r>
        <w:rPr>
          <w:rFonts w:hint="eastAsia" w:ascii="Arial" w:hAnsi="Arial" w:cs="Arial"/>
          <w:color w:val="auto"/>
          <w:kern w:val="0"/>
          <w:szCs w:val="21"/>
          <w:highlight w:val="none"/>
          <w:lang w:val="en-US" w:eastAsia="zh-CN"/>
        </w:rPr>
        <w:t>采购人</w:t>
      </w:r>
      <w:r>
        <w:rPr>
          <w:rFonts w:hint="eastAsia" w:ascii="Arial" w:hAnsi="Arial" w:cs="Arial"/>
          <w:color w:val="auto"/>
          <w:kern w:val="0"/>
          <w:szCs w:val="21"/>
          <w:highlight w:val="none"/>
        </w:rPr>
        <w:t>服务要求，</w:t>
      </w:r>
      <w:r>
        <w:rPr>
          <w:rFonts w:hint="eastAsia" w:ascii="Arial" w:hAnsi="Arial" w:cs="Arial"/>
          <w:color w:val="auto"/>
          <w:kern w:val="0"/>
          <w:szCs w:val="21"/>
          <w:highlight w:val="none"/>
          <w:lang w:val="en-US" w:eastAsia="zh-CN"/>
        </w:rPr>
        <w:t>采购人</w:t>
      </w:r>
      <w:r>
        <w:rPr>
          <w:rFonts w:hint="eastAsia" w:ascii="Arial" w:hAnsi="Arial" w:cs="Arial"/>
          <w:color w:val="auto"/>
          <w:kern w:val="0"/>
          <w:szCs w:val="21"/>
          <w:highlight w:val="none"/>
        </w:rPr>
        <w:t>有权解除合同，不再顺延</w:t>
      </w:r>
      <w:r>
        <w:rPr>
          <w:rFonts w:ascii="Arial" w:hAnsi="Arial" w:cs="Arial"/>
          <w:color w:val="auto"/>
          <w:kern w:val="0"/>
          <w:szCs w:val="21"/>
          <w:highlight w:val="none"/>
        </w:rPr>
        <w:t>。</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本标项（否）接受联合体投标</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备注：</w:t>
      </w:r>
    </w:p>
    <w:p>
      <w:pPr>
        <w:tabs>
          <w:tab w:val="left" w:pos="3150"/>
        </w:tabs>
        <w:spacing w:line="312" w:lineRule="auto"/>
        <w:ind w:firstLine="420" w:firstLineChars="200"/>
        <w:jc w:val="left"/>
        <w:rPr>
          <w:rFonts w:ascii="Arial" w:hAnsi="Arial" w:cs="Arial"/>
          <w:color w:val="auto"/>
          <w:kern w:val="0"/>
          <w:szCs w:val="21"/>
          <w:highlight w:val="none"/>
        </w:rPr>
      </w:pPr>
    </w:p>
    <w:p>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二、申请人的资格要求</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1.满足《中华人民共和国政府采购法》第二十二条规定； </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2.落实政府采购政策需满足的资格要求：本项目非专门面向中小微企业采购。</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3.本项目的特定资格要求：</w:t>
      </w:r>
    </w:p>
    <w:p>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（1）资质要求：</w:t>
      </w:r>
      <w:r>
        <w:rPr>
          <w:rFonts w:hint="eastAsia" w:ascii="Arial" w:hAnsi="Arial" w:cs="Arial"/>
          <w:color w:val="auto"/>
          <w:kern w:val="0"/>
          <w:szCs w:val="21"/>
          <w:highlight w:val="none"/>
          <w:lang w:val="en-US" w:eastAsia="zh-CN"/>
        </w:rPr>
        <w:t>无</w:t>
      </w:r>
      <w:r>
        <w:rPr>
          <w:rFonts w:hint="eastAsia" w:ascii="Arial" w:hAnsi="Arial" w:cs="Arial"/>
          <w:color w:val="auto"/>
          <w:kern w:val="0"/>
          <w:szCs w:val="21"/>
          <w:highlight w:val="none"/>
        </w:rPr>
        <w:t>。</w:t>
      </w:r>
    </w:p>
    <w:p>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（2）业绩要求：无。</w:t>
      </w:r>
    </w:p>
    <w:p>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（3）其他要求：无。</w:t>
      </w:r>
    </w:p>
    <w:p>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（5）</w:t>
      </w:r>
      <w:r>
        <w:rPr>
          <w:rFonts w:hint="eastAsia" w:ascii="Arial" w:hAnsi="Arial" w:cs="Arial"/>
          <w:color w:val="auto"/>
          <w:kern w:val="0"/>
          <w:szCs w:val="21"/>
          <w:highlight w:val="none"/>
        </w:rPr>
        <w:t>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政府采购活动</w:t>
      </w:r>
      <w:r>
        <w:rPr>
          <w:rFonts w:ascii="Arial" w:hAnsi="Arial" w:cs="Arial"/>
          <w:color w:val="auto"/>
          <w:kern w:val="0"/>
          <w:szCs w:val="21"/>
          <w:highlight w:val="none"/>
        </w:rPr>
        <w:t>。</w:t>
      </w:r>
    </w:p>
    <w:p>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（6）</w:t>
      </w:r>
      <w:r>
        <w:rPr>
          <w:rFonts w:hint="eastAsia" w:ascii="Arial" w:hAnsi="Arial" w:cs="Arial"/>
          <w:color w:val="auto"/>
          <w:kern w:val="0"/>
          <w:szCs w:val="21"/>
          <w:highlight w:val="none"/>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r>
        <w:rPr>
          <w:rFonts w:ascii="Arial" w:hAnsi="Arial" w:cs="Arial"/>
          <w:color w:val="auto"/>
          <w:kern w:val="0"/>
          <w:szCs w:val="21"/>
          <w:highlight w:val="none"/>
        </w:rPr>
        <w:t>。</w:t>
      </w:r>
    </w:p>
    <w:p>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（7）本项目不接受联合体投标。</w:t>
      </w:r>
    </w:p>
    <w:p>
      <w:pPr>
        <w:adjustRightInd w:val="0"/>
        <w:snapToGrid w:val="0"/>
        <w:spacing w:line="360"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（8）按照招标公告规定获得招标文件。</w:t>
      </w:r>
    </w:p>
    <w:p>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三、获取招标文件</w:t>
      </w:r>
    </w:p>
    <w:p>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时间：202</w:t>
      </w:r>
      <w:r>
        <w:rPr>
          <w:rFonts w:hint="eastAsia" w:ascii="Arial" w:hAnsi="Arial" w:cs="Arial"/>
          <w:color w:val="auto"/>
          <w:szCs w:val="21"/>
          <w:highlight w:val="none"/>
        </w:rPr>
        <w:t>5</w:t>
      </w:r>
      <w:r>
        <w:rPr>
          <w:rFonts w:ascii="Arial" w:hAnsi="Arial" w:cs="Arial"/>
          <w:color w:val="auto"/>
          <w:szCs w:val="21"/>
          <w:highlight w:val="none"/>
        </w:rPr>
        <w:t>年</w:t>
      </w:r>
      <w:r>
        <w:rPr>
          <w:rFonts w:hint="eastAsia" w:ascii="Arial" w:hAnsi="Arial" w:cs="Arial"/>
          <w:color w:val="auto"/>
          <w:szCs w:val="21"/>
          <w:highlight w:val="none"/>
          <w:lang w:val="en-US" w:eastAsia="zh-CN"/>
        </w:rPr>
        <w:t xml:space="preserve">9 </w:t>
      </w:r>
      <w:r>
        <w:rPr>
          <w:rFonts w:ascii="Arial" w:hAnsi="Arial" w:cs="Arial"/>
          <w:color w:val="auto"/>
          <w:szCs w:val="21"/>
          <w:highlight w:val="none"/>
        </w:rPr>
        <w:t>月</w:t>
      </w:r>
      <w:r>
        <w:rPr>
          <w:rFonts w:hint="eastAsia" w:ascii="Arial" w:hAnsi="Arial" w:cs="Arial"/>
          <w:color w:val="auto"/>
          <w:szCs w:val="21"/>
          <w:highlight w:val="none"/>
          <w:lang w:val="en-US" w:eastAsia="zh-CN"/>
        </w:rPr>
        <w:t xml:space="preserve"> 19 </w:t>
      </w:r>
      <w:r>
        <w:rPr>
          <w:rFonts w:ascii="Arial" w:hAnsi="Arial" w:cs="Arial"/>
          <w:color w:val="auto"/>
          <w:szCs w:val="21"/>
          <w:highlight w:val="none"/>
        </w:rPr>
        <w:t>日至</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10</w:t>
      </w:r>
      <w:r>
        <w:rPr>
          <w:rFonts w:hint="eastAsia" w:ascii="Arial" w:hAnsi="Arial" w:cs="Arial"/>
          <w:color w:val="auto"/>
          <w:szCs w:val="21"/>
          <w:highlight w:val="none"/>
          <w:lang w:eastAsia="zh-CN"/>
        </w:rPr>
        <w:t>月</w:t>
      </w:r>
      <w:r>
        <w:rPr>
          <w:rFonts w:hint="eastAsia" w:ascii="Arial" w:hAnsi="Arial" w:cs="Arial"/>
          <w:color w:val="auto"/>
          <w:szCs w:val="21"/>
          <w:highlight w:val="none"/>
          <w:lang w:val="en-US" w:eastAsia="zh-CN"/>
        </w:rPr>
        <w:t>13</w:t>
      </w:r>
      <w:r>
        <w:rPr>
          <w:rFonts w:hint="eastAsia" w:ascii="Arial" w:hAnsi="Arial" w:cs="Arial"/>
          <w:color w:val="auto"/>
          <w:szCs w:val="21"/>
          <w:highlight w:val="none"/>
          <w:lang w:eastAsia="zh-CN"/>
        </w:rPr>
        <w:t>日</w:t>
      </w:r>
      <w:r>
        <w:rPr>
          <w:rFonts w:ascii="Arial" w:hAnsi="Arial" w:cs="Arial"/>
          <w:color w:val="auto"/>
          <w:szCs w:val="21"/>
          <w:highlight w:val="none"/>
        </w:rPr>
        <w:t xml:space="preserve"> ，每天上午00:00至12:00，下午12:00至23:59（北京时间，法定节假日除外）</w:t>
      </w:r>
    </w:p>
    <w:p>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地点（网址）：广西政府采购云平台 （https://www.gcy.zfcg.gxzf.gov.cn/） </w:t>
      </w:r>
    </w:p>
    <w:p>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方式：供应商登录广西政府采购云平台https://www.gcy.zfcg.gxzf.gov.cn/在线申请获取采购文件（进入“项目采购”应用，在获取采购文件菜单中选择项目，申请获取采购文件）</w:t>
      </w:r>
    </w:p>
    <w:p>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售价（元）：0  </w:t>
      </w:r>
    </w:p>
    <w:p>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四、提交投标文件截止时间、开标时间和地点</w:t>
      </w:r>
    </w:p>
    <w:p>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提交投标文件截止时间：</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10</w:t>
      </w:r>
      <w:r>
        <w:rPr>
          <w:rFonts w:hint="eastAsia" w:ascii="Arial" w:hAnsi="Arial" w:cs="Arial"/>
          <w:color w:val="auto"/>
          <w:szCs w:val="21"/>
          <w:highlight w:val="none"/>
          <w:lang w:eastAsia="zh-CN"/>
        </w:rPr>
        <w:t>月</w:t>
      </w:r>
      <w:r>
        <w:rPr>
          <w:rFonts w:hint="eastAsia" w:ascii="Arial" w:hAnsi="Arial" w:cs="Arial"/>
          <w:color w:val="auto"/>
          <w:szCs w:val="21"/>
          <w:highlight w:val="none"/>
          <w:lang w:val="en-US" w:eastAsia="zh-CN"/>
        </w:rPr>
        <w:t xml:space="preserve">13 </w:t>
      </w:r>
      <w:r>
        <w:rPr>
          <w:rFonts w:hint="eastAsia" w:ascii="Arial" w:hAnsi="Arial" w:cs="Arial"/>
          <w:color w:val="auto"/>
          <w:szCs w:val="21"/>
          <w:highlight w:val="none"/>
          <w:lang w:eastAsia="zh-CN"/>
        </w:rPr>
        <w:t>日</w:t>
      </w:r>
      <w:r>
        <w:rPr>
          <w:rFonts w:ascii="Arial" w:hAnsi="Arial" w:cs="Arial"/>
          <w:color w:val="auto"/>
          <w:szCs w:val="21"/>
          <w:highlight w:val="none"/>
        </w:rPr>
        <w:t>09:30（北京时间）</w:t>
      </w:r>
    </w:p>
    <w:p>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地点（网址）：通过广西政府采购云平台实行在线投标。</w:t>
      </w:r>
    </w:p>
    <w:p>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10</w:t>
      </w:r>
      <w:r>
        <w:rPr>
          <w:rFonts w:hint="eastAsia" w:ascii="Arial" w:hAnsi="Arial" w:cs="Arial"/>
          <w:color w:val="auto"/>
          <w:szCs w:val="21"/>
          <w:highlight w:val="none"/>
          <w:lang w:eastAsia="zh-CN"/>
        </w:rPr>
        <w:t>月</w:t>
      </w:r>
      <w:r>
        <w:rPr>
          <w:rFonts w:hint="eastAsia" w:ascii="Arial" w:hAnsi="Arial" w:cs="Arial"/>
          <w:color w:val="auto"/>
          <w:szCs w:val="21"/>
          <w:highlight w:val="none"/>
          <w:lang w:val="en-US" w:eastAsia="zh-CN"/>
        </w:rPr>
        <w:t>13</w:t>
      </w:r>
      <w:r>
        <w:rPr>
          <w:rFonts w:hint="eastAsia" w:ascii="Arial" w:hAnsi="Arial" w:cs="Arial"/>
          <w:color w:val="auto"/>
          <w:szCs w:val="21"/>
          <w:highlight w:val="none"/>
          <w:lang w:eastAsia="zh-CN"/>
        </w:rPr>
        <w:t>日</w:t>
      </w:r>
      <w:r>
        <w:rPr>
          <w:rFonts w:ascii="Arial" w:hAnsi="Arial" w:cs="Arial"/>
          <w:color w:val="auto"/>
          <w:szCs w:val="21"/>
          <w:highlight w:val="none"/>
        </w:rPr>
        <w:t xml:space="preserve">09:30 </w:t>
      </w:r>
    </w:p>
    <w:p>
      <w:pPr>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开标地点：通过广西政府采购云平台实行在线解密开启。</w:t>
      </w:r>
    </w:p>
    <w:p>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五、公告期限</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自本公告发布之日起5个工作日。</w:t>
      </w:r>
    </w:p>
    <w:p>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六、其他补充事宜</w:t>
      </w:r>
    </w:p>
    <w:p>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1.公告发布媒体：广西政府采购网、中国政府采购网 </w:t>
      </w:r>
    </w:p>
    <w:p>
      <w:pPr>
        <w:snapToGrid w:val="0"/>
        <w:spacing w:line="300" w:lineRule="auto"/>
        <w:ind w:firstLine="420" w:firstLineChars="200"/>
        <w:jc w:val="left"/>
        <w:rPr>
          <w:rFonts w:ascii="Arial" w:hAnsi="Arial" w:cs="Arial"/>
          <w:color w:val="auto"/>
          <w:szCs w:val="21"/>
          <w:highlight w:val="none"/>
        </w:rPr>
      </w:pPr>
      <w:r>
        <w:rPr>
          <w:rFonts w:ascii="Arial" w:hAnsi="Arial" w:cs="Arial"/>
          <w:color w:val="auto"/>
          <w:szCs w:val="21"/>
          <w:highlight w:val="none"/>
        </w:rPr>
        <w:t>2.需落实的政府采购政策：本项目适用政府采购促进中小企业、监狱企业发展、促进残疾人就业、</w:t>
      </w:r>
      <w:r>
        <w:rPr>
          <w:rFonts w:ascii="Arial" w:hAnsi="Arial" w:cs="Arial"/>
          <w:color w:val="auto"/>
          <w:highlight w:val="none"/>
        </w:rPr>
        <w:t>节能环保、</w:t>
      </w:r>
      <w:r>
        <w:rPr>
          <w:rFonts w:ascii="Arial" w:hAnsi="Arial" w:cs="Arial"/>
          <w:color w:val="auto"/>
          <w:szCs w:val="21"/>
          <w:highlight w:val="none"/>
        </w:rPr>
        <w:t>信息安全产品等有关政策，具体详见招标文件。</w:t>
      </w:r>
    </w:p>
    <w:p>
      <w:pPr>
        <w:snapToGrid w:val="0"/>
        <w:spacing w:line="300" w:lineRule="auto"/>
        <w:ind w:firstLine="420" w:firstLineChars="200"/>
        <w:jc w:val="left"/>
        <w:rPr>
          <w:rFonts w:ascii="Arial" w:hAnsi="Arial" w:cs="Arial"/>
          <w:color w:val="auto"/>
          <w:szCs w:val="21"/>
          <w:highlight w:val="none"/>
        </w:rPr>
      </w:pPr>
      <w:bookmarkStart w:id="17" w:name="_Hlk88997182"/>
      <w:r>
        <w:rPr>
          <w:rFonts w:ascii="Arial" w:hAnsi="Arial" w:cs="Arial"/>
          <w:color w:val="auto"/>
          <w:szCs w:val="21"/>
          <w:highlight w:val="none"/>
        </w:rPr>
        <w:t>3.投标文件解密时间：截标时间后30分钟内（</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 xml:space="preserve">10 </w:t>
      </w:r>
      <w:r>
        <w:rPr>
          <w:rFonts w:hint="eastAsia" w:ascii="Arial" w:hAnsi="Arial" w:cs="Arial"/>
          <w:color w:val="auto"/>
          <w:szCs w:val="21"/>
          <w:highlight w:val="none"/>
          <w:lang w:eastAsia="zh-CN"/>
        </w:rPr>
        <w:t>月</w:t>
      </w:r>
      <w:r>
        <w:rPr>
          <w:rFonts w:hint="eastAsia" w:ascii="Arial" w:hAnsi="Arial" w:cs="Arial"/>
          <w:color w:val="auto"/>
          <w:szCs w:val="21"/>
          <w:highlight w:val="none"/>
          <w:lang w:val="en-US" w:eastAsia="zh-CN"/>
        </w:rPr>
        <w:t xml:space="preserve"> 13</w:t>
      </w:r>
      <w:r>
        <w:rPr>
          <w:rFonts w:hint="eastAsia" w:ascii="Arial" w:hAnsi="Arial" w:cs="Arial"/>
          <w:color w:val="auto"/>
          <w:szCs w:val="21"/>
          <w:highlight w:val="none"/>
          <w:lang w:eastAsia="zh-CN"/>
        </w:rPr>
        <w:t>日</w:t>
      </w:r>
      <w:r>
        <w:rPr>
          <w:rFonts w:ascii="Arial" w:hAnsi="Arial" w:cs="Arial"/>
          <w:color w:val="auto"/>
          <w:szCs w:val="21"/>
          <w:highlight w:val="none"/>
        </w:rPr>
        <w:t>上午9时30分至10时00分）供应商可以登录广西政府采购云平台，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color w:val="auto"/>
          <w:szCs w:val="21"/>
          <w:highlight w:val="none"/>
          <w:lang w:val="en-US" w:eastAsia="zh-CN"/>
        </w:rPr>
        <w:t>4</w:t>
      </w:r>
      <w:r>
        <w:rPr>
          <w:rFonts w:ascii="Arial" w:hAnsi="Arial" w:cs="Arial"/>
          <w:color w:val="auto"/>
          <w:szCs w:val="21"/>
          <w:highlight w:val="none"/>
        </w:rPr>
        <w:t>号开标仓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bookmarkEnd w:id="17"/>
    <w:p>
      <w:pPr>
        <w:snapToGrid w:val="0"/>
        <w:spacing w:line="300" w:lineRule="auto"/>
        <w:ind w:firstLine="420" w:firstLineChars="200"/>
        <w:rPr>
          <w:rFonts w:ascii="Arial" w:hAnsi="Arial" w:cs="Arial"/>
          <w:color w:val="auto"/>
          <w:szCs w:val="21"/>
          <w:highlight w:val="none"/>
        </w:rPr>
      </w:pPr>
      <w:r>
        <w:rPr>
          <w:rFonts w:ascii="Arial" w:hAnsi="Arial" w:cs="Arial"/>
          <w:color w:val="auto"/>
          <w:szCs w:val="21"/>
          <w:highlight w:val="none"/>
        </w:rPr>
        <w:t>4.“广西政府采购云平台”平台电子投标相关事宜：</w:t>
      </w:r>
    </w:p>
    <w:p>
      <w:pPr>
        <w:snapToGrid w:val="0"/>
        <w:spacing w:line="300" w:lineRule="auto"/>
        <w:ind w:firstLine="420" w:firstLineChars="200"/>
        <w:rPr>
          <w:rFonts w:ascii="Arial" w:hAnsi="Arial" w:cs="Arial"/>
          <w:color w:val="auto"/>
          <w:szCs w:val="21"/>
          <w:highlight w:val="none"/>
        </w:rPr>
      </w:pPr>
      <w:r>
        <w:rPr>
          <w:rFonts w:ascii="Arial" w:hAnsi="Arial" w:cs="Arial"/>
          <w:color w:val="auto"/>
          <w:kern w:val="0"/>
          <w:szCs w:val="21"/>
          <w:highlight w:val="none"/>
        </w:rPr>
        <w:t>（1）</w:t>
      </w:r>
      <w:r>
        <w:rPr>
          <w:rFonts w:ascii="Arial" w:hAnsi="Arial" w:cs="Arial"/>
          <w:color w:val="auto"/>
          <w:szCs w:val="21"/>
          <w:highlight w:val="none"/>
        </w:rPr>
        <w:t>未进行网上注册并办理数字证书（CA认证）的供应商将无法参与本项目政府采购活动，潜在供应商应当在响应截止时间前，完成广西政府采购云平台上的CA数字证书办理及投标文件的提交。完成CA数字证书办理预计7日左右，建议各供应商抓紧时间办理。</w:t>
      </w:r>
    </w:p>
    <w:p>
      <w:pPr>
        <w:snapToGrid w:val="0"/>
        <w:spacing w:line="300" w:lineRule="auto"/>
        <w:ind w:firstLine="420" w:firstLineChars="200"/>
        <w:rPr>
          <w:rFonts w:ascii="Arial" w:hAnsi="Arial" w:cs="Arial"/>
          <w:color w:val="auto"/>
          <w:kern w:val="0"/>
          <w:szCs w:val="21"/>
          <w:highlight w:val="none"/>
        </w:rPr>
      </w:pPr>
      <w:r>
        <w:rPr>
          <w:rFonts w:ascii="Arial" w:hAnsi="Arial" w:cs="Arial"/>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pPr>
        <w:snapToGrid w:val="0"/>
        <w:spacing w:line="30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若对项目采购电子交易系统操作有疑问，可登录“广西政府采购云平台”平台（https://www.gcy.zfcg.gxzf.gov.cn/），点击右侧咨询小采获取采小蜜智能服务管家帮助或点击右侧帮助文档查看供应商指南或拨打广西政府采购云平台服务热线95763获取热线服务帮助。</w:t>
      </w:r>
    </w:p>
    <w:p>
      <w:pPr>
        <w:spacing w:line="312" w:lineRule="auto"/>
        <w:ind w:firstLine="442" w:firstLineChars="200"/>
        <w:jc w:val="left"/>
        <w:rPr>
          <w:rFonts w:ascii="Arial" w:hAnsi="Arial" w:cs="Arial"/>
          <w:b/>
          <w:bCs/>
          <w:color w:val="auto"/>
          <w:kern w:val="0"/>
          <w:sz w:val="22"/>
          <w:szCs w:val="22"/>
          <w:highlight w:val="none"/>
        </w:rPr>
      </w:pPr>
      <w:r>
        <w:rPr>
          <w:rFonts w:ascii="Arial" w:hAnsi="Arial" w:cs="Arial"/>
          <w:b/>
          <w:bCs/>
          <w:color w:val="auto"/>
          <w:kern w:val="0"/>
          <w:sz w:val="22"/>
          <w:szCs w:val="22"/>
          <w:highlight w:val="none"/>
        </w:rPr>
        <w:t>七、对本次招标提出询问，请按以下方式联系</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1、采购人信息</w:t>
      </w:r>
    </w:p>
    <w:p>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名称：</w:t>
      </w:r>
      <w:r>
        <w:rPr>
          <w:rFonts w:ascii="Arial" w:hAnsi="Arial" w:cs="Arial"/>
          <w:color w:val="auto"/>
          <w:kern w:val="0"/>
          <w:szCs w:val="21"/>
          <w:highlight w:val="none"/>
          <w:u w:val="single"/>
        </w:rPr>
        <w:t>广西壮族自治区南溪山医院（广西壮族自治区第二人民医院）</w:t>
      </w:r>
    </w:p>
    <w:p>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地址：</w:t>
      </w:r>
      <w:r>
        <w:rPr>
          <w:rFonts w:ascii="Arial" w:hAnsi="Arial" w:cs="Arial"/>
          <w:color w:val="auto"/>
          <w:kern w:val="0"/>
          <w:szCs w:val="21"/>
          <w:highlight w:val="none"/>
          <w:u w:val="single"/>
        </w:rPr>
        <w:t>桂林市象山区崇信路46号</w:t>
      </w:r>
    </w:p>
    <w:p>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项目联系人：</w:t>
      </w:r>
      <w:r>
        <w:rPr>
          <w:rFonts w:ascii="Arial" w:hAnsi="Arial" w:cs="Arial"/>
          <w:color w:val="auto"/>
          <w:kern w:val="0"/>
          <w:szCs w:val="21"/>
          <w:highlight w:val="none"/>
          <w:u w:val="single"/>
        </w:rPr>
        <w:t>蔡军</w:t>
      </w:r>
    </w:p>
    <w:p>
      <w:pPr>
        <w:widowControl/>
        <w:spacing w:line="288" w:lineRule="auto"/>
        <w:ind w:left="420" w:leftChars="200"/>
        <w:jc w:val="left"/>
        <w:rPr>
          <w:rFonts w:ascii="Arial" w:hAnsi="Arial" w:cs="Arial"/>
          <w:color w:val="auto"/>
          <w:kern w:val="0"/>
          <w:szCs w:val="21"/>
          <w:highlight w:val="none"/>
        </w:rPr>
      </w:pPr>
      <w:r>
        <w:rPr>
          <w:rFonts w:ascii="Arial" w:hAnsi="Arial" w:cs="Arial"/>
          <w:color w:val="auto"/>
          <w:kern w:val="0"/>
          <w:szCs w:val="21"/>
          <w:highlight w:val="none"/>
        </w:rPr>
        <w:t>项目联系方式：</w:t>
      </w:r>
      <w:r>
        <w:rPr>
          <w:rFonts w:ascii="Arial" w:hAnsi="Arial" w:cs="Arial"/>
          <w:color w:val="auto"/>
          <w:kern w:val="0"/>
          <w:szCs w:val="21"/>
          <w:highlight w:val="none"/>
          <w:u w:val="single"/>
        </w:rPr>
        <w:t>0773-7592156</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2、采购代理机构信息</w:t>
      </w:r>
    </w:p>
    <w:p>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名称：</w:t>
      </w:r>
      <w:r>
        <w:rPr>
          <w:rFonts w:ascii="Arial" w:hAnsi="Arial" w:cs="Arial"/>
          <w:color w:val="auto"/>
          <w:kern w:val="0"/>
          <w:szCs w:val="21"/>
          <w:highlight w:val="none"/>
          <w:u w:val="single"/>
        </w:rPr>
        <w:t>广西机电设备招标有限公司</w:t>
      </w:r>
    </w:p>
    <w:p>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地址：</w:t>
      </w:r>
      <w:r>
        <w:rPr>
          <w:rFonts w:ascii="Arial" w:hAnsi="Arial" w:cs="Arial"/>
          <w:color w:val="auto"/>
          <w:kern w:val="0"/>
          <w:szCs w:val="21"/>
          <w:highlight w:val="none"/>
          <w:u w:val="single"/>
        </w:rPr>
        <w:t>桂林市骖鸾路31号湘商大厦6楼603（桂林分公司）</w:t>
      </w:r>
    </w:p>
    <w:p>
      <w:pPr>
        <w:spacing w:line="312" w:lineRule="auto"/>
        <w:ind w:firstLine="420" w:firstLineChars="200"/>
        <w:jc w:val="left"/>
        <w:rPr>
          <w:rFonts w:ascii="Arial" w:hAnsi="Arial" w:cs="Arial"/>
          <w:color w:val="auto"/>
          <w:kern w:val="0"/>
          <w:szCs w:val="21"/>
          <w:highlight w:val="none"/>
          <w:u w:val="single"/>
        </w:rPr>
      </w:pPr>
      <w:r>
        <w:rPr>
          <w:rFonts w:ascii="Arial" w:hAnsi="Arial" w:cs="Arial"/>
          <w:color w:val="auto"/>
          <w:kern w:val="0"/>
          <w:szCs w:val="21"/>
          <w:highlight w:val="none"/>
        </w:rPr>
        <w:t>项目联系人：</w:t>
      </w:r>
      <w:r>
        <w:rPr>
          <w:rFonts w:ascii="Arial" w:hAnsi="Arial" w:cs="Arial"/>
          <w:color w:val="auto"/>
          <w:kern w:val="0"/>
          <w:szCs w:val="21"/>
          <w:highlight w:val="none"/>
          <w:u w:val="single"/>
        </w:rPr>
        <w:t>曾昭卉</w:t>
      </w:r>
      <w:r>
        <w:rPr>
          <w:rFonts w:hint="eastAsia" w:ascii="Arial" w:hAnsi="Arial" w:cs="Arial"/>
          <w:color w:val="auto"/>
          <w:kern w:val="0"/>
          <w:szCs w:val="21"/>
          <w:highlight w:val="none"/>
          <w:u w:val="single"/>
        </w:rPr>
        <w:t>、栗晓奇</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联系方式：</w:t>
      </w:r>
      <w:r>
        <w:rPr>
          <w:rFonts w:ascii="Arial" w:hAnsi="Arial" w:cs="Arial"/>
          <w:color w:val="auto"/>
          <w:kern w:val="0"/>
          <w:szCs w:val="21"/>
          <w:highlight w:val="none"/>
          <w:u w:val="single"/>
        </w:rPr>
        <w:t xml:space="preserve"> 0773-3696789转2 </w:t>
      </w:r>
      <w:r>
        <w:rPr>
          <w:rFonts w:ascii="Arial" w:hAnsi="Arial" w:cs="Arial"/>
          <w:color w:val="auto"/>
          <w:kern w:val="0"/>
          <w:szCs w:val="21"/>
          <w:highlight w:val="none"/>
        </w:rPr>
        <w:t xml:space="preserve"> </w:t>
      </w:r>
    </w:p>
    <w:p>
      <w:pPr>
        <w:spacing w:line="312" w:lineRule="auto"/>
        <w:ind w:firstLine="360" w:firstLineChars="200"/>
        <w:jc w:val="right"/>
        <w:rPr>
          <w:rFonts w:ascii="Arial" w:hAnsi="Arial" w:cs="Arial"/>
          <w:color w:val="auto"/>
          <w:kern w:val="0"/>
          <w:sz w:val="18"/>
          <w:szCs w:val="18"/>
          <w:highlight w:val="none"/>
        </w:rPr>
      </w:pPr>
    </w:p>
    <w:p>
      <w:pPr>
        <w:spacing w:line="288" w:lineRule="auto"/>
        <w:ind w:firstLine="420" w:firstLineChars="200"/>
        <w:jc w:val="right"/>
        <w:rPr>
          <w:rFonts w:ascii="Arial" w:hAnsi="Arial" w:cs="Arial"/>
          <w:color w:val="auto"/>
          <w:szCs w:val="21"/>
          <w:highlight w:val="none"/>
        </w:rPr>
      </w:pPr>
      <w:bookmarkStart w:id="18" w:name="_Hlk86933897"/>
      <w:bookmarkStart w:id="19" w:name="_Hlk74218063"/>
      <w:r>
        <w:rPr>
          <w:rFonts w:ascii="Arial" w:hAnsi="Arial" w:cs="Arial"/>
          <w:color w:val="auto"/>
          <w:szCs w:val="21"/>
          <w:highlight w:val="none"/>
        </w:rPr>
        <w:t>广西机电设备招标有限公司</w:t>
      </w:r>
    </w:p>
    <w:bookmarkEnd w:id="18"/>
    <w:bookmarkEnd w:id="19"/>
    <w:p>
      <w:pPr>
        <w:jc w:val="right"/>
        <w:rPr>
          <w:rFonts w:ascii="Arial" w:hAnsi="Arial" w:cs="Arial"/>
          <w:color w:val="auto"/>
          <w:highlight w:val="none"/>
        </w:rPr>
        <w:sectPr>
          <w:headerReference r:id="rId10" w:type="first"/>
          <w:footerReference r:id="rId12" w:type="first"/>
          <w:headerReference r:id="rId9" w:type="default"/>
          <w:footerReference r:id="rId11" w:type="default"/>
          <w:pgSz w:w="11906" w:h="16838"/>
          <w:pgMar w:top="993" w:right="1133" w:bottom="1246" w:left="1418" w:header="851" w:footer="992" w:gutter="0"/>
          <w:pgNumType w:start="1"/>
          <w:cols w:space="720" w:num="1"/>
          <w:titlePg/>
          <w:docGrid w:linePitch="312" w:charSpace="0"/>
        </w:sectPr>
      </w:pPr>
      <w:r>
        <w:rPr>
          <w:rFonts w:ascii="Arial" w:hAnsi="Arial" w:cs="Arial"/>
          <w:color w:val="auto"/>
          <w:highlight w:val="none"/>
        </w:rPr>
        <w:t>202</w:t>
      </w:r>
      <w:r>
        <w:rPr>
          <w:rFonts w:hint="eastAsia" w:ascii="Arial" w:hAnsi="Arial" w:cs="Arial"/>
          <w:color w:val="auto"/>
          <w:highlight w:val="none"/>
        </w:rPr>
        <w:t>5</w:t>
      </w:r>
      <w:r>
        <w:rPr>
          <w:rFonts w:ascii="Arial" w:hAnsi="Arial" w:cs="Arial"/>
          <w:color w:val="auto"/>
          <w:highlight w:val="none"/>
        </w:rPr>
        <w:t>年</w:t>
      </w:r>
      <w:r>
        <w:rPr>
          <w:rFonts w:hint="eastAsia" w:ascii="Arial" w:hAnsi="Arial" w:cs="Arial"/>
          <w:color w:val="auto"/>
          <w:szCs w:val="21"/>
          <w:highlight w:val="none"/>
          <w:lang w:val="en-US" w:eastAsia="zh-CN"/>
        </w:rPr>
        <w:t>9</w:t>
      </w:r>
      <w:r>
        <w:rPr>
          <w:rFonts w:ascii="Arial" w:hAnsi="Arial" w:cs="Arial"/>
          <w:color w:val="auto"/>
          <w:szCs w:val="21"/>
          <w:highlight w:val="none"/>
        </w:rPr>
        <w:t>月</w:t>
      </w:r>
      <w:r>
        <w:rPr>
          <w:rFonts w:hint="eastAsia" w:ascii="Arial" w:hAnsi="Arial" w:cs="Arial"/>
          <w:color w:val="auto"/>
          <w:szCs w:val="21"/>
          <w:highlight w:val="none"/>
          <w:lang w:val="en-US" w:eastAsia="zh-CN"/>
        </w:rPr>
        <w:t xml:space="preserve">19 </w:t>
      </w:r>
      <w:r>
        <w:rPr>
          <w:rFonts w:ascii="Arial" w:hAnsi="Arial" w:cs="Arial"/>
          <w:color w:val="auto"/>
          <w:highlight w:val="none"/>
        </w:rPr>
        <w:t>日</w:t>
      </w:r>
    </w:p>
    <w:bookmarkEnd w:id="151"/>
    <w:p>
      <w:pPr>
        <w:pStyle w:val="29"/>
        <w:snapToGrid w:val="0"/>
        <w:spacing w:before="120" w:after="120" w:line="320" w:lineRule="exact"/>
        <w:jc w:val="center"/>
        <w:outlineLvl w:val="0"/>
        <w:rPr>
          <w:rFonts w:ascii="Arial" w:hAnsi="Arial" w:cs="Arial"/>
          <w:color w:val="auto"/>
          <w:sz w:val="32"/>
          <w:szCs w:val="32"/>
          <w:highlight w:val="none"/>
        </w:rPr>
      </w:pPr>
      <w:r>
        <w:rPr>
          <w:rFonts w:ascii="Arial" w:hAnsi="Arial" w:cs="Arial"/>
          <w:color w:val="auto"/>
          <w:highlight w:val="none"/>
        </w:rPr>
        <w:br w:type="page"/>
      </w:r>
      <w:bookmarkEnd w:id="12"/>
      <w:bookmarkEnd w:id="13"/>
      <w:bookmarkStart w:id="20" w:name="_Toc30557"/>
      <w:r>
        <w:rPr>
          <w:rFonts w:ascii="Arial" w:hAnsi="Arial" w:cs="Arial"/>
          <w:color w:val="auto"/>
          <w:sz w:val="32"/>
          <w:szCs w:val="32"/>
          <w:highlight w:val="none"/>
        </w:rPr>
        <w:t>第二章  项目采购需求</w:t>
      </w:r>
      <w:bookmarkEnd w:id="20"/>
    </w:p>
    <w:p>
      <w:pPr>
        <w:pStyle w:val="203"/>
        <w:keepNext w:val="0"/>
        <w:keepLines w:val="0"/>
        <w:pageBreakBefore w:val="0"/>
        <w:kinsoku/>
        <w:wordWrap/>
        <w:overflowPunct/>
        <w:topLinePunct w:val="0"/>
        <w:bidi w:val="0"/>
        <w:adjustRightInd/>
        <w:snapToGrid/>
        <w:spacing w:line="420" w:lineRule="atLeast"/>
        <w:ind w:left="0" w:firstLine="0"/>
        <w:jc w:val="left"/>
        <w:textAlignment w:val="auto"/>
        <w:rPr>
          <w:rFonts w:hint="eastAsia" w:ascii="宋体" w:hAnsi="宋体" w:eastAsia="宋体" w:cs="宋体"/>
          <w:b/>
          <w:color w:val="auto"/>
          <w:sz w:val="24"/>
          <w:highlight w:val="none"/>
        </w:rPr>
      </w:pPr>
      <w:bookmarkStart w:id="21" w:name="_Toc254970631"/>
      <w:bookmarkStart w:id="22" w:name="_Toc254970490"/>
      <w:r>
        <w:rPr>
          <w:rFonts w:hint="eastAsia" w:ascii="宋体" w:hAnsi="宋体" w:eastAsia="宋体" w:cs="宋体"/>
          <w:b/>
          <w:color w:val="auto"/>
          <w:sz w:val="24"/>
          <w:highlight w:val="none"/>
          <w:lang w:val="en-US"/>
        </w:rPr>
        <w:t>一、</w:t>
      </w:r>
      <w:r>
        <w:rPr>
          <w:rFonts w:hint="eastAsia" w:ascii="宋体" w:hAnsi="宋体" w:eastAsia="宋体" w:cs="宋体"/>
          <w:b/>
          <w:color w:val="auto"/>
          <w:sz w:val="24"/>
          <w:highlight w:val="none"/>
        </w:rPr>
        <w:t>项目概况</w:t>
      </w:r>
    </w:p>
    <w:p>
      <w:pPr>
        <w:pStyle w:val="203"/>
        <w:keepNext w:val="0"/>
        <w:keepLines w:val="0"/>
        <w:pageBreakBefore w:val="0"/>
        <w:kinsoku/>
        <w:wordWrap/>
        <w:overflowPunct/>
        <w:topLinePunct w:val="0"/>
        <w:bidi w:val="0"/>
        <w:adjustRightInd/>
        <w:snapToGrid/>
        <w:spacing w:line="420" w:lineRule="atLeast"/>
        <w:ind w:left="0" w:firstLine="482" w:firstLineChars="200"/>
        <w:jc w:val="left"/>
        <w:textAlignment w:val="auto"/>
        <w:rPr>
          <w:rFonts w:hint="eastAsia" w:ascii="宋体" w:hAnsi="宋体" w:eastAsia="宋体" w:cs="宋体"/>
          <w:b/>
          <w:bCs/>
          <w:color w:val="auto"/>
          <w:sz w:val="24"/>
          <w:highlight w:val="none"/>
          <w:lang w:val="en-US"/>
        </w:rPr>
      </w:pPr>
      <w:r>
        <w:rPr>
          <w:rFonts w:hint="eastAsia" w:ascii="宋体" w:hAnsi="宋体" w:eastAsia="宋体" w:cs="宋体"/>
          <w:b/>
          <w:bCs/>
          <w:color w:val="auto"/>
          <w:sz w:val="24"/>
          <w:highlight w:val="none"/>
          <w:lang w:val="en-US"/>
        </w:rPr>
        <w:t>1.项目基本情况说明：</w:t>
      </w:r>
    </w:p>
    <w:p>
      <w:pPr>
        <w:pStyle w:val="203"/>
        <w:keepNext w:val="0"/>
        <w:keepLines w:val="0"/>
        <w:pageBreakBefore w:val="0"/>
        <w:kinsoku/>
        <w:wordWrap/>
        <w:overflowPunct/>
        <w:topLinePunct w:val="0"/>
        <w:bidi w:val="0"/>
        <w:adjustRightInd/>
        <w:snapToGrid/>
        <w:spacing w:line="420" w:lineRule="atLeas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广西壮族自治区南溪山医院（广西壮族自治区第二人民医院），是广西壮族自治区卫生健康委员会直属的一家集医疗、教学、科研、预防、保健、康复等功能于一体的国家三级甲等综合医院。根据医院发展建设需求，对全院医疗设备管理进行整体托管，从技术服务到设备管理,包括设备检测、保养、巡检、维修、配件（含所有易损件）免费更换、使用评价、</w:t>
      </w:r>
      <w:r>
        <w:rPr>
          <w:rFonts w:hint="eastAsia" w:ascii="宋体" w:hAnsi="宋体" w:eastAsia="宋体" w:cs="宋体"/>
          <w:color w:val="auto"/>
          <w:sz w:val="24"/>
          <w:highlight w:val="none"/>
          <w:lang w:val="en-US"/>
        </w:rPr>
        <w:t>协助</w:t>
      </w:r>
      <w:r>
        <w:rPr>
          <w:rFonts w:hint="eastAsia" w:ascii="宋体" w:hAnsi="宋体" w:eastAsia="宋体" w:cs="宋体"/>
          <w:color w:val="auto"/>
          <w:sz w:val="24"/>
          <w:highlight w:val="none"/>
        </w:rPr>
        <w:t>设备验收、淘汰、置换、质量监控等整个设备生命周期的管理服务，提升医院医疗设备信息化、智慧化管理水平。</w:t>
      </w:r>
    </w:p>
    <w:p>
      <w:pPr>
        <w:pStyle w:val="203"/>
        <w:keepNext w:val="0"/>
        <w:keepLines w:val="0"/>
        <w:pageBreakBefore w:val="0"/>
        <w:kinsoku/>
        <w:wordWrap/>
        <w:overflowPunct/>
        <w:topLinePunct w:val="0"/>
        <w:bidi w:val="0"/>
        <w:adjustRightInd/>
        <w:snapToGrid/>
        <w:spacing w:line="420" w:lineRule="atLeas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rPr>
        <w:t>2.</w:t>
      </w:r>
      <w:r>
        <w:rPr>
          <w:rFonts w:hint="eastAsia" w:ascii="宋体" w:hAnsi="宋体" w:eastAsia="宋体" w:cs="宋体"/>
          <w:b/>
          <w:color w:val="auto"/>
          <w:sz w:val="24"/>
          <w:highlight w:val="none"/>
        </w:rPr>
        <w:t>服务地点：</w:t>
      </w:r>
    </w:p>
    <w:p>
      <w:pPr>
        <w:pStyle w:val="203"/>
        <w:keepNext w:val="0"/>
        <w:keepLines w:val="0"/>
        <w:pageBreakBefore w:val="0"/>
        <w:kinsoku/>
        <w:wordWrap/>
        <w:overflowPunct/>
        <w:topLinePunct w:val="0"/>
        <w:bidi w:val="0"/>
        <w:adjustRightInd/>
        <w:snapToGrid/>
        <w:spacing w:line="420" w:lineRule="atLeast"/>
        <w:ind w:lef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广西壮族自治区南溪山医院（</w:t>
      </w:r>
      <w:r>
        <w:rPr>
          <w:rFonts w:hint="eastAsia" w:ascii="宋体" w:hAnsi="宋体" w:eastAsia="宋体" w:cs="宋体"/>
          <w:color w:val="auto"/>
          <w:sz w:val="24"/>
          <w:highlight w:val="none"/>
          <w:lang w:val="en-US"/>
        </w:rPr>
        <w:t>及雁山分院</w:t>
      </w:r>
      <w:r>
        <w:rPr>
          <w:rFonts w:hint="eastAsia" w:ascii="宋体" w:hAnsi="宋体" w:eastAsia="宋体" w:cs="宋体"/>
          <w:color w:val="auto"/>
          <w:sz w:val="24"/>
          <w:highlight w:val="none"/>
        </w:rPr>
        <w:t>）</w:t>
      </w:r>
    </w:p>
    <w:p>
      <w:pPr>
        <w:pStyle w:val="203"/>
        <w:keepNext w:val="0"/>
        <w:keepLines w:val="0"/>
        <w:pageBreakBefore w:val="0"/>
        <w:kinsoku/>
        <w:wordWrap/>
        <w:overflowPunct/>
        <w:topLinePunct w:val="0"/>
        <w:bidi w:val="0"/>
        <w:adjustRightInd/>
        <w:snapToGrid/>
        <w:spacing w:line="420" w:lineRule="atLeast"/>
        <w:ind w:left="0"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rPr>
        <w:t>3.</w:t>
      </w:r>
      <w:r>
        <w:rPr>
          <w:rFonts w:hint="eastAsia" w:ascii="宋体" w:hAnsi="宋体" w:eastAsia="宋体" w:cs="宋体"/>
          <w:b/>
          <w:color w:val="auto"/>
          <w:sz w:val="24"/>
          <w:highlight w:val="none"/>
        </w:rPr>
        <w:t>服务设备范围</w:t>
      </w:r>
    </w:p>
    <w:p>
      <w:pPr>
        <w:keepNext w:val="0"/>
        <w:keepLines w:val="0"/>
        <w:pageBreakBefore w:val="0"/>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全院所有医疗设备，另加全院设备带、传呼系统、全院层流系统、全院正负压系统全部纳入全保范围，包含所有维修备件及层流初·中·高效滤网及更换等。截止至2025年7月采购人在用的医疗设备，纳入全保资产约为6.31亿元，</w:t>
      </w:r>
      <w:r>
        <w:rPr>
          <w:rFonts w:hint="eastAsia" w:ascii="宋体" w:hAnsi="宋体" w:eastAsia="宋体" w:cs="宋体"/>
          <w:color w:val="auto"/>
          <w:spacing w:val="-6"/>
          <w:sz w:val="24"/>
          <w:highlight w:val="none"/>
        </w:rPr>
        <w:t>具体服务设备</w:t>
      </w:r>
      <w:r>
        <w:rPr>
          <w:rFonts w:hint="eastAsia" w:ascii="宋体" w:hAnsi="宋体" w:eastAsia="宋体" w:cs="宋体"/>
          <w:color w:val="auto"/>
          <w:spacing w:val="-6"/>
          <w:sz w:val="24"/>
          <w:highlight w:val="none"/>
          <w:lang w:val="en-US" w:eastAsia="zh-CN"/>
        </w:rPr>
        <w:t>范围</w:t>
      </w:r>
      <w:r>
        <w:rPr>
          <w:rFonts w:hint="eastAsia" w:ascii="宋体" w:hAnsi="宋体" w:eastAsia="宋体" w:cs="宋体"/>
          <w:color w:val="auto"/>
          <w:spacing w:val="-6"/>
          <w:sz w:val="24"/>
          <w:highlight w:val="none"/>
        </w:rPr>
        <w:t>详见附件1（</w:t>
      </w:r>
      <w:r>
        <w:rPr>
          <w:rFonts w:hint="eastAsia" w:ascii="宋体" w:hAnsi="宋体" w:eastAsia="宋体" w:cs="宋体"/>
          <w:color w:val="auto"/>
          <w:sz w:val="24"/>
          <w:highlight w:val="none"/>
        </w:rPr>
        <w:t>本院的X射线计算机体层摄影设备（IQon Spectra1 CT）、X射线计算机体层摄影设备（SOMATOM Definition AS）、磁共振成像系统（Achieva3.0T TX）、磁共振成像系统（Ingenia 3.0T CX）、PET/CT(X线正电子发射断层扫描仪）、ECT、医用直线加速器（Elekta Infinity）、后装治疗机、X射线计算机体层摄影设备（Discovery RT）、内窥镜手术控制系统及附件（IS4000）、飞秒激光角膜屈光治疗机、X射线计算机体层摄影设备（SOMATOMgo.Top）、医用血管造影机X射线系统（UNIQFD20）、全数字化心脏介入平板造影系统（Artiszee III floor、2台）、医用血管造影X射线系统（Azurion 7 M20）、移动核酸检</w:t>
      </w:r>
      <w:r>
        <w:rPr>
          <w:rFonts w:hint="eastAsia" w:ascii="宋体" w:hAnsi="宋体" w:eastAsia="宋体" w:cs="宋体"/>
          <w:color w:val="auto"/>
          <w:spacing w:val="-6"/>
          <w:sz w:val="24"/>
          <w:highlight w:val="none"/>
        </w:rPr>
        <w:t>测车（2台）共18台大型设备不纳入本次全保范围）。</w:t>
      </w:r>
    </w:p>
    <w:p>
      <w:pPr>
        <w:pStyle w:val="203"/>
        <w:keepNext w:val="0"/>
        <w:keepLines w:val="0"/>
        <w:pageBreakBefore w:val="0"/>
        <w:kinsoku/>
        <w:wordWrap/>
        <w:overflowPunct/>
        <w:topLinePunct w:val="0"/>
        <w:bidi w:val="0"/>
        <w:adjustRightInd/>
        <w:snapToGrid/>
        <w:spacing w:line="420" w:lineRule="atLeast"/>
        <w:ind w:left="0" w:firstLine="480" w:firstLineChars="200"/>
        <w:jc w:val="left"/>
        <w:textAlignment w:val="auto"/>
        <w:rPr>
          <w:rFonts w:hint="eastAsia" w:ascii="宋体" w:hAnsi="宋体" w:eastAsia="宋体" w:cs="宋体"/>
          <w:color w:val="auto"/>
          <w:sz w:val="24"/>
          <w:highlight w:val="none"/>
        </w:rPr>
      </w:pPr>
      <w:r>
        <w:rPr>
          <w:rFonts w:hint="eastAsia" w:ascii="Arial" w:hAnsi="Arial" w:eastAsia="宋体" w:cs="Arial"/>
          <w:b w:val="0"/>
          <w:bCs w:val="0"/>
          <w:color w:val="auto"/>
          <w:kern w:val="0"/>
          <w:sz w:val="24"/>
          <w:szCs w:val="24"/>
          <w:highlight w:val="none"/>
          <w:lang w:val="en-US" w:eastAsia="zh-CN"/>
        </w:rPr>
        <w:t>所有医疗设备中标供应商需免费统一纳入医疗设备智慧化管理体系进行统一信息化管理</w:t>
      </w:r>
      <w:r>
        <w:rPr>
          <w:rFonts w:hint="eastAsia" w:ascii="宋体" w:hAnsi="宋体" w:eastAsia="宋体" w:cs="宋体"/>
          <w:color w:val="auto"/>
          <w:sz w:val="24"/>
          <w:highlight w:val="none"/>
        </w:rPr>
        <w:t>。</w:t>
      </w:r>
    </w:p>
    <w:p>
      <w:pPr>
        <w:pStyle w:val="203"/>
        <w:keepNext w:val="0"/>
        <w:keepLines w:val="0"/>
        <w:pageBreakBefore w:val="0"/>
        <w:kinsoku/>
        <w:wordWrap/>
        <w:overflowPunct/>
        <w:topLinePunct w:val="0"/>
        <w:bidi w:val="0"/>
        <w:adjustRightInd/>
        <w:snapToGrid/>
        <w:spacing w:line="420" w:lineRule="atLeast"/>
        <w:ind w:left="0" w:firstLine="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rPr>
        <w:t>二、采购</w:t>
      </w:r>
      <w:r>
        <w:rPr>
          <w:rFonts w:hint="eastAsia" w:ascii="宋体" w:hAnsi="宋体" w:eastAsia="宋体" w:cs="宋体"/>
          <w:b/>
          <w:color w:val="auto"/>
          <w:sz w:val="24"/>
          <w:highlight w:val="none"/>
        </w:rPr>
        <w:t>服务要求</w:t>
      </w:r>
      <w:r>
        <w:rPr>
          <w:rFonts w:hint="eastAsia" w:ascii="宋体" w:hAnsi="宋体" w:eastAsia="宋体" w:cs="宋体"/>
          <w:b/>
          <w:color w:val="auto"/>
          <w:sz w:val="24"/>
          <w:highlight w:val="none"/>
        </w:rPr>
        <w:tab/>
      </w:r>
    </w:p>
    <w:p>
      <w:pPr>
        <w:keepNext w:val="0"/>
        <w:keepLines w:val="0"/>
        <w:pageBreakBefore w:val="0"/>
        <w:kinsoku/>
        <w:wordWrap/>
        <w:overflowPunct/>
        <w:topLinePunct w:val="0"/>
        <w:bidi w:val="0"/>
        <w:adjustRightInd/>
        <w:snapToGrid/>
        <w:spacing w:line="420" w:lineRule="atLeas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1.总体要求</w:t>
      </w:r>
    </w:p>
    <w:p>
      <w:pPr>
        <w:keepNext w:val="0"/>
        <w:keepLines w:val="0"/>
        <w:pageBreakBefore w:val="0"/>
        <w:tabs>
          <w:tab w:val="left" w:pos="420"/>
        </w:tabs>
        <w:kinsoku/>
        <w:wordWrap/>
        <w:overflowPunct/>
        <w:topLinePunct w:val="0"/>
        <w:bidi w:val="0"/>
        <w:adjustRightInd/>
        <w:snapToGrid/>
        <w:spacing w:line="420" w:lineRule="atLeast"/>
        <w:ind w:left="1"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1.1供应商工程师应树立为采购人，病人服务的思想，每次上门服务必须与</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使用部门负责人或设备科维修人员充分沟通，在尽量不影响科室诊断、检查并征得同意</w:t>
      </w:r>
      <w:r>
        <w:rPr>
          <w:rFonts w:hint="eastAsia" w:ascii="宋体" w:hAnsi="宋体" w:eastAsia="宋体" w:cs="宋体"/>
          <w:color w:val="auto"/>
          <w:sz w:val="24"/>
          <w:highlight w:val="none"/>
          <w:lang w:val="en-US" w:eastAsia="zh-CN"/>
        </w:rPr>
        <w:t>的情况下</w:t>
      </w:r>
      <w:r>
        <w:rPr>
          <w:rFonts w:hint="eastAsia" w:ascii="宋体" w:hAnsi="宋体" w:eastAsia="宋体" w:cs="宋体"/>
          <w:color w:val="auto"/>
          <w:sz w:val="24"/>
          <w:highlight w:val="none"/>
        </w:rPr>
        <w:t>才可以进行。</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1.2设备的保养、维护、维修必须遵守和执行该种设备的相应标准（含国标、行标、企业标准）及规范要求，也要符合该种设备安全准则及安全专用要求。</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1.3有特殊要求的设备，如特种设备、射线装置等，检查、保养、维修必须严格遵守和执行特种设备安全法等相应安全规范、规定及要求，人员必须具备相应作业资格证，严禁无证作业。</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1.4维保人员作业前必须熟悉</w:t>
      </w:r>
      <w:r>
        <w:rPr>
          <w:rFonts w:hint="eastAsia" w:ascii="宋体" w:hAnsi="宋体" w:eastAsia="宋体" w:cs="宋体"/>
          <w:color w:val="auto"/>
          <w:sz w:val="24"/>
          <w:highlight w:val="none"/>
          <w:lang w:val="en-US" w:eastAsia="zh-CN"/>
        </w:rPr>
        <w:t>安全操作规范</w:t>
      </w:r>
      <w:r>
        <w:rPr>
          <w:rFonts w:hint="eastAsia" w:ascii="宋体" w:hAnsi="宋体" w:eastAsia="宋体" w:cs="宋体"/>
          <w:color w:val="auto"/>
          <w:sz w:val="24"/>
          <w:highlight w:val="none"/>
        </w:rPr>
        <w:t>、有安全监护人、作业现场安全条件有确认。</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对需要专业资质证的个别维护维修作业，维保供应商必须安排或聘请有相应资质证的人员执行作业。否则算严重违章违约行为，将予以处罚。高压氧舱、血透室需按相关规定的要求安排专职工程师维护，开机驻守。</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1.6维修保养人员必须是维保供应商培训合格的专职维修人员。</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维保供应商必须对需维保的设备制定“保养维护维修规范”或规程（亦可采用设备厂家的保养维护维修规范），要求有保养（或维修）项、每项有检查内容、有数据（有标准值、有实测值）、有判断、有结论。每次维修保养，驻场工程师必须填写维修保养工作单（必须得到医院认可的格式），工作单需详细列明本次维护、保养、维修的内容、更换的耗材及零备件，并按医院规定流程验证签名确认，交医院负责人保存。</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1.8工程师要遵守</w:t>
      </w:r>
      <w:r>
        <w:rPr>
          <w:rFonts w:hint="eastAsia" w:ascii="宋体" w:hAnsi="宋体" w:eastAsia="宋体" w:cs="宋体"/>
          <w:color w:val="auto"/>
          <w:sz w:val="24"/>
          <w:highlight w:val="none"/>
          <w:lang w:val="en-US" w:eastAsia="zh-CN"/>
        </w:rPr>
        <w:t>采购人</w:t>
      </w:r>
      <w:r>
        <w:rPr>
          <w:rFonts w:hint="eastAsia" w:ascii="宋体" w:hAnsi="宋体" w:eastAsia="宋体" w:cs="宋体"/>
          <w:color w:val="auto"/>
          <w:sz w:val="24"/>
          <w:highlight w:val="none"/>
        </w:rPr>
        <w:t>规章制度，听从采购人指派人员的指导。工程师需爱护采购人的一切财物，在维护保养过程中损坏财物，等价赔偿。</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1.9维修时对原设备进行了改造或变更的，必须提供出具改造说明，改造前后图纸等资料，且对可行性、安全性、可靠性做出书面承诺。</w:t>
      </w:r>
    </w:p>
    <w:p>
      <w:pPr>
        <w:keepNext w:val="0"/>
        <w:keepLines w:val="0"/>
        <w:pageBreakBefore w:val="0"/>
        <w:tabs>
          <w:tab w:val="left" w:pos="0"/>
        </w:tabs>
        <w:kinsoku/>
        <w:wordWrap/>
        <w:overflowPunct/>
        <w:topLinePunct w:val="0"/>
        <w:bidi w:val="0"/>
        <w:adjustRightInd/>
        <w:snapToGrid/>
        <w:spacing w:line="420" w:lineRule="atLeast"/>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★1.10维修备件：包括用于保养及维修中需更换的备件符合原厂参数要求，维保供应商应对备件及材料的可靠性、合法性、质量保证作出承诺。放射类设备维修需更换的核心配件必须是原厂件</w:t>
      </w:r>
      <w:r>
        <w:rPr>
          <w:rFonts w:hint="eastAsia" w:ascii="宋体" w:hAnsi="宋体" w:eastAsia="宋体" w:cs="宋体"/>
          <w:b/>
          <w:bCs/>
          <w:color w:val="auto"/>
          <w:sz w:val="24"/>
          <w:highlight w:val="none"/>
          <w:lang w:val="en-US" w:eastAsia="zh-CN"/>
        </w:rPr>
        <w:t>。（投标时供应商需提供承诺函）</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全保设备，除一次性耗材（如口罩、呼吸面罩、鼻塞、手套、输液管路、注射器、电极片、一次性血气氧探头、样品杯胶片、打印纸、色带、耦合剂、导电膏、气体、清洗液、反应杯、指示卡等），其余配件均在保修范围。</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1.12全保设备（包含硬镜和软镜），不计损坏原因无条件维修。</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1.13其他未在全保清单中的（资产值≦1500元）医疗设备也纳入全保范围，出现故障由中标公司负责维修。</w:t>
      </w:r>
    </w:p>
    <w:p>
      <w:pPr>
        <w:keepNext w:val="0"/>
        <w:keepLines w:val="0"/>
        <w:pageBreakBefore w:val="0"/>
        <w:tabs>
          <w:tab w:val="left" w:pos="0"/>
        </w:tabs>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1.14维保验收标准</w:t>
      </w:r>
    </w:p>
    <w:p>
      <w:pPr>
        <w:keepNext w:val="0"/>
        <w:keepLines w:val="0"/>
        <w:pageBreakBefore w:val="0"/>
        <w:numPr>
          <w:ilvl w:val="0"/>
          <w:numId w:val="1"/>
        </w:numPr>
        <w:kinsoku/>
        <w:wordWrap/>
        <w:overflowPunct/>
        <w:topLinePunct w:val="0"/>
        <w:autoSpaceDE w:val="0"/>
        <w:autoSpaceDN w:val="0"/>
        <w:bidi w:val="0"/>
        <w:adjustRightInd/>
        <w:snapToGrid/>
        <w:spacing w:line="420" w:lineRule="atLeast"/>
        <w:ind w:left="0"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设备均正常运行，无安全隐患、无遗留问题，设备保养全部完成。</w:t>
      </w:r>
    </w:p>
    <w:p>
      <w:pPr>
        <w:keepNext w:val="0"/>
        <w:keepLines w:val="0"/>
        <w:pageBreakBefore w:val="0"/>
        <w:numPr>
          <w:ilvl w:val="0"/>
          <w:numId w:val="1"/>
        </w:numPr>
        <w:kinsoku/>
        <w:wordWrap/>
        <w:overflowPunct/>
        <w:topLinePunct w:val="0"/>
        <w:autoSpaceDE w:val="0"/>
        <w:autoSpaceDN w:val="0"/>
        <w:bidi w:val="0"/>
        <w:adjustRightInd/>
        <w:snapToGrid/>
        <w:spacing w:line="420" w:lineRule="atLeast"/>
        <w:ind w:left="0"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维修或保养后的设备无同现象、同组件、同部位无再次故障。</w:t>
      </w:r>
    </w:p>
    <w:p>
      <w:pPr>
        <w:keepNext w:val="0"/>
        <w:keepLines w:val="0"/>
        <w:pageBreakBefore w:val="0"/>
        <w:numPr>
          <w:ilvl w:val="0"/>
          <w:numId w:val="1"/>
        </w:numPr>
        <w:kinsoku/>
        <w:wordWrap/>
        <w:overflowPunct/>
        <w:topLinePunct w:val="0"/>
        <w:autoSpaceDE w:val="0"/>
        <w:autoSpaceDN w:val="0"/>
        <w:bidi w:val="0"/>
        <w:adjustRightInd/>
        <w:snapToGrid/>
        <w:spacing w:line="420" w:lineRule="atLeast"/>
        <w:ind w:left="0"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设备完好符合标准，各种记录、资料齐全。</w:t>
      </w:r>
    </w:p>
    <w:p>
      <w:pPr>
        <w:keepNext w:val="0"/>
        <w:keepLines w:val="0"/>
        <w:pageBreakBefore w:val="0"/>
        <w:numPr>
          <w:ilvl w:val="0"/>
          <w:numId w:val="1"/>
        </w:numPr>
        <w:kinsoku/>
        <w:wordWrap/>
        <w:overflowPunct/>
        <w:topLinePunct w:val="0"/>
        <w:autoSpaceDE w:val="0"/>
        <w:autoSpaceDN w:val="0"/>
        <w:bidi w:val="0"/>
        <w:adjustRightInd/>
        <w:snapToGrid/>
        <w:spacing w:line="420" w:lineRule="atLeast"/>
        <w:ind w:left="0" w:firstLine="42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符合维保合同要求。</w:t>
      </w:r>
    </w:p>
    <w:p>
      <w:pPr>
        <w:keepNext w:val="0"/>
        <w:keepLines w:val="0"/>
        <w:pageBreakBefore w:val="0"/>
        <w:numPr>
          <w:ilvl w:val="0"/>
          <w:numId w:val="0"/>
        </w:numPr>
        <w:kinsoku/>
        <w:wordWrap/>
        <w:overflowPunct/>
        <w:topLinePunct w:val="0"/>
        <w:bidi w:val="0"/>
        <w:adjustRightInd/>
        <w:snapToGrid/>
        <w:spacing w:line="420" w:lineRule="atLeas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供应商资质及服务保障要求</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在实施本项目经营管理时，需符合国家相关的政策法规；应无条件执行国家、地方政府、行业协会最新颁布的标准和条例；必须符合采购人有关部门和科室的工作时间和工作要求。</w:t>
      </w:r>
    </w:p>
    <w:p>
      <w:pPr>
        <w:keepNext w:val="0"/>
        <w:keepLines w:val="0"/>
        <w:pageBreakBefore w:val="0"/>
        <w:tabs>
          <w:tab w:val="left" w:pos="9639"/>
        </w:tabs>
        <w:kinsoku/>
        <w:wordWrap/>
        <w:overflowPunct/>
        <w:topLinePunct w:val="0"/>
        <w:bidi w:val="0"/>
        <w:adjustRightInd/>
        <w:snapToGrid/>
        <w:spacing w:line="420" w:lineRule="atLeas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2.2</w:t>
      </w:r>
      <w:r>
        <w:rPr>
          <w:rFonts w:hint="eastAsia" w:ascii="宋体" w:hAnsi="宋体" w:eastAsia="宋体" w:cs="宋体"/>
          <w:b/>
          <w:bCs/>
          <w:color w:val="auto"/>
          <w:sz w:val="24"/>
          <w:highlight w:val="none"/>
        </w:rPr>
        <w:t>所有服务由供应商独立完成，不允许分割转包给第三方，特殊设备转包需经采购人确认。合同签订后如发现分割转包现象，或未经采购人同意供应商私自转包行为，采购人有权无条件终止合同（投标时供应商</w:t>
      </w:r>
      <w:r>
        <w:rPr>
          <w:rFonts w:hint="eastAsia" w:ascii="宋体" w:hAnsi="宋体" w:eastAsia="宋体" w:cs="宋体"/>
          <w:b/>
          <w:bCs/>
          <w:color w:val="auto"/>
          <w:sz w:val="24"/>
          <w:highlight w:val="none"/>
          <w:lang w:val="en-US" w:eastAsia="zh-CN"/>
        </w:rPr>
        <w:t>需</w:t>
      </w:r>
      <w:r>
        <w:rPr>
          <w:rFonts w:hint="eastAsia" w:ascii="宋体" w:hAnsi="宋体" w:eastAsia="宋体" w:cs="宋体"/>
          <w:b/>
          <w:bCs/>
          <w:color w:val="auto"/>
          <w:sz w:val="24"/>
          <w:highlight w:val="none"/>
        </w:rPr>
        <w:t>提供承诺函）。</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派驻人员应包含具有生物医学工程、电子技术等相关专业操作及医疗设备维修、信息系统维护等相关资质，驻场人员应具备3年及以上医疗设备维修及管理经验的服务工程师。</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供应商国内需有独立的备件仓库（</w:t>
      </w:r>
      <w:r>
        <w:rPr>
          <w:rFonts w:hint="eastAsia" w:ascii="宋体" w:hAnsi="宋体" w:eastAsia="宋体" w:cs="宋体"/>
          <w:color w:val="auto"/>
          <w:sz w:val="24"/>
          <w:highlight w:val="none"/>
          <w:lang w:val="en-US" w:eastAsia="zh-CN"/>
        </w:rPr>
        <w:t>投标时</w:t>
      </w:r>
      <w:r>
        <w:rPr>
          <w:rFonts w:hint="eastAsia" w:ascii="宋体" w:hAnsi="宋体" w:eastAsia="宋体" w:cs="宋体"/>
          <w:color w:val="auto"/>
          <w:sz w:val="24"/>
          <w:highlight w:val="none"/>
        </w:rPr>
        <w:t>须提供仓库地址、房屋产权或有效期内的房屋租赁合同），</w:t>
      </w:r>
      <w:r>
        <w:rPr>
          <w:rFonts w:hint="eastAsia" w:ascii="宋体" w:hAnsi="宋体" w:eastAsia="宋体" w:cs="宋体"/>
          <w:color w:val="auto"/>
          <w:sz w:val="24"/>
          <w:highlight w:val="none"/>
          <w:lang w:val="en-US" w:eastAsia="zh-CN"/>
        </w:rPr>
        <w:t>并</w:t>
      </w:r>
      <w:r>
        <w:rPr>
          <w:rFonts w:hint="eastAsia" w:ascii="宋体" w:hAnsi="宋体" w:eastAsia="宋体" w:cs="宋体"/>
          <w:color w:val="auto"/>
          <w:sz w:val="24"/>
          <w:highlight w:val="none"/>
        </w:rPr>
        <w:t>具有多种备件品类（含国内外原厂备件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投标时</w:t>
      </w:r>
      <w:r>
        <w:rPr>
          <w:rFonts w:hint="eastAsia" w:ascii="宋体" w:hAnsi="宋体" w:eastAsia="宋体" w:cs="宋体"/>
          <w:color w:val="auto"/>
          <w:sz w:val="24"/>
          <w:highlight w:val="none"/>
        </w:rPr>
        <w:t>提供清单）。</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医疗设备开机率不低于95%（以每年365天计算）（投标时供应商</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提供承诺函）。</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对医院设备提供全生命周期管理、资产管理、质控管理、科室管理、一键报修管理等，定期将各科室的医疗设备运行维护情况发给相应科室。</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为医院急救设备和急用设备提供备用机，确保任何时候有设备可用，为患者的生命安全提供强力保障。供应商提供的备用机设备归供应商所有。</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供应商的服务团队必须具备远程技术支持工具，在现场工程师无法解决技术问题的时候，技术支持。</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供应商在服务期间，至少为采购人提供2次以上设备安全使用培训及设备日常维护保养培训相关内容，供应商的培训课程及培训计划</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采购人确认。</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2.10</w:t>
      </w:r>
      <w:r>
        <w:rPr>
          <w:rFonts w:hint="eastAsia" w:ascii="宋体" w:hAnsi="宋体" w:eastAsia="宋体" w:cs="宋体"/>
          <w:color w:val="auto"/>
          <w:sz w:val="24"/>
          <w:highlight w:val="none"/>
        </w:rPr>
        <w:t>供应商在服务期间可为医院医工人员提供2次以上医疗设备维修保养技能及医疗设备管理培训。</w:t>
      </w:r>
    </w:p>
    <w:p>
      <w:pPr>
        <w:pStyle w:val="2"/>
        <w:keepNext w:val="0"/>
        <w:keepLines w:val="0"/>
        <w:pageBreakBefore w:val="0"/>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供应商具有协助医院通过等级医院评审的相关服务实例经验，能够为医院设备科提供迎检及等级评审/复审相关服务。包括但不限于：</w:t>
      </w:r>
    </w:p>
    <w:p>
      <w:pPr>
        <w:pStyle w:val="2"/>
        <w:keepNext w:val="0"/>
        <w:keepLines w:val="0"/>
        <w:pageBreakBefore w:val="0"/>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（1）提供医疗设备等级评审条款的解读和材料的收集；</w:t>
      </w:r>
    </w:p>
    <w:p>
      <w:pPr>
        <w:pStyle w:val="2"/>
        <w:keepNext w:val="0"/>
        <w:keepLines w:val="0"/>
        <w:pageBreakBefore w:val="0"/>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（2）提供设备科全套日常工作表格，规范医疗设备管理；</w:t>
      </w:r>
    </w:p>
    <w:p>
      <w:pPr>
        <w:pStyle w:val="2"/>
        <w:keepNext w:val="0"/>
        <w:keepLines w:val="0"/>
        <w:pageBreakBefore w:val="0"/>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（3）提供医疗设备质量与安全管理培训课件，对全院各科室进行培训；</w:t>
      </w:r>
    </w:p>
    <w:p>
      <w:pPr>
        <w:pStyle w:val="2"/>
        <w:keepNext w:val="0"/>
        <w:keepLines w:val="0"/>
        <w:pageBreakBefore w:val="0"/>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（4）提供应急演练脚本，协助医院进行医疗设备应急演练。</w:t>
      </w:r>
    </w:p>
    <w:p>
      <w:pPr>
        <w:keepNext w:val="0"/>
        <w:keepLines w:val="0"/>
        <w:pageBreakBefore w:val="0"/>
        <w:widowControl/>
        <w:kinsoku/>
        <w:wordWrap/>
        <w:overflowPunct/>
        <w:topLinePunct w:val="0"/>
        <w:bidi w:val="0"/>
        <w:adjustRightInd/>
        <w:snapToGrid/>
        <w:spacing w:line="420" w:lineRule="atLeas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b/>
          <w:bCs/>
          <w:color w:val="auto"/>
          <w:sz w:val="24"/>
          <w:highlight w:val="none"/>
          <w:lang w:val="en-US" w:eastAsia="zh-CN"/>
        </w:rPr>
        <w:t xml:space="preserve"> 3.</w:t>
      </w:r>
      <w:r>
        <w:rPr>
          <w:rFonts w:hint="eastAsia" w:ascii="宋体" w:hAnsi="宋体" w:eastAsia="宋体" w:cs="宋体"/>
          <w:b/>
          <w:bCs/>
          <w:color w:val="auto"/>
          <w:sz w:val="24"/>
          <w:highlight w:val="none"/>
        </w:rPr>
        <w:t>派驻人员要求</w:t>
      </w:r>
    </w:p>
    <w:p>
      <w:pPr>
        <w:keepNext w:val="0"/>
        <w:keepLines w:val="0"/>
        <w:pageBreakBefore w:val="0"/>
        <w:widowControl/>
        <w:kinsoku/>
        <w:wordWrap/>
        <w:overflowPunct/>
        <w:topLinePunct w:val="0"/>
        <w:bidi w:val="0"/>
        <w:adjustRightInd/>
        <w:snapToGrid/>
        <w:spacing w:line="420" w:lineRule="atLeas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3.1</w:t>
      </w:r>
      <w:r>
        <w:rPr>
          <w:rFonts w:hint="eastAsia" w:ascii="宋体" w:hAnsi="宋体" w:eastAsia="宋体" w:cs="宋体"/>
          <w:color w:val="auto"/>
          <w:sz w:val="24"/>
          <w:highlight w:val="none"/>
        </w:rPr>
        <w:t>供应商围绕采购人设备维护服务所聘用的工作人员必须身体健康、遵纪守法、无不良行为倾向，在上岗前须进行安全教育和与岗位相关的业务技能培训。</w:t>
      </w:r>
    </w:p>
    <w:p>
      <w:pPr>
        <w:keepNext w:val="0"/>
        <w:keepLines w:val="0"/>
        <w:pageBreakBefore w:val="0"/>
        <w:widowControl/>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3.2</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为供应商提供符合项目服务要求的场地及相关配套的水电网络设施，供应商在采购人单位（含分院）设立驻场服务中心，提供不少于11名驻场工程师，实行7*24小时维保值守。接收采购人的3名工程师，由</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统一管理，统一进行绩效考核，并承担3名接收人员绩效工资。其后根据实际维修的工作量以及服务期间新增服务设备的数量及医院实际需求情况，供应商应按照采购人要求随时增减驻场工程师。</w:t>
      </w:r>
    </w:p>
    <w:p>
      <w:pPr>
        <w:keepNext w:val="0"/>
        <w:keepLines w:val="0"/>
        <w:pageBreakBefore w:val="0"/>
        <w:widowControl/>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3.3供应商</w:t>
      </w:r>
      <w:r>
        <w:rPr>
          <w:rFonts w:hint="eastAsia" w:ascii="宋体" w:hAnsi="宋体" w:eastAsia="宋体" w:cs="宋体"/>
          <w:color w:val="auto"/>
          <w:sz w:val="24"/>
          <w:highlight w:val="none"/>
        </w:rPr>
        <w:t>需</w:t>
      </w:r>
      <w:r>
        <w:rPr>
          <w:rFonts w:hint="eastAsia" w:ascii="宋体" w:hAnsi="宋体" w:eastAsia="宋体" w:cs="宋体"/>
          <w:color w:val="auto"/>
          <w:sz w:val="24"/>
          <w:highlight w:val="none"/>
          <w:lang w:val="en-US" w:eastAsia="zh-CN"/>
        </w:rPr>
        <w:t>向采购人</w:t>
      </w:r>
      <w:r>
        <w:rPr>
          <w:rFonts w:hint="eastAsia" w:ascii="宋体" w:hAnsi="宋体" w:eastAsia="宋体" w:cs="宋体"/>
          <w:color w:val="auto"/>
          <w:sz w:val="24"/>
          <w:highlight w:val="none"/>
        </w:rPr>
        <w:t>提交驻场维护人员医疗设备维修保养能力的证明文件供采购人备案。【</w:t>
      </w:r>
      <w:r>
        <w:rPr>
          <w:rFonts w:hint="eastAsia" w:ascii="宋体" w:hAnsi="宋体" w:eastAsia="宋体" w:cs="宋体"/>
          <w:color w:val="auto"/>
          <w:sz w:val="24"/>
          <w:highlight w:val="none"/>
          <w:lang w:val="en-US" w:eastAsia="zh-CN"/>
        </w:rPr>
        <w:t>投标时供应商需提交</w:t>
      </w:r>
      <w:r>
        <w:rPr>
          <w:rFonts w:hint="eastAsia" w:ascii="宋体" w:hAnsi="宋体" w:eastAsia="宋体" w:cs="宋体"/>
          <w:color w:val="auto"/>
          <w:sz w:val="24"/>
          <w:highlight w:val="none"/>
        </w:rPr>
        <w:t>医疗设备维修保养能力证明文件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如</w:t>
      </w:r>
      <w:r>
        <w:rPr>
          <w:rFonts w:hint="eastAsia" w:ascii="宋体" w:hAnsi="宋体" w:eastAsia="宋体" w:cs="宋体"/>
          <w:color w:val="auto"/>
          <w:sz w:val="24"/>
          <w:highlight w:val="none"/>
        </w:rPr>
        <w:t>：包括但不限于人</w:t>
      </w:r>
      <w:r>
        <w:rPr>
          <w:rFonts w:hint="eastAsia" w:ascii="宋体" w:hAnsi="宋体" w:eastAsia="宋体" w:cs="宋体"/>
          <w:color w:val="auto"/>
          <w:sz w:val="24"/>
          <w:highlight w:val="none"/>
          <w:lang w:val="en-US" w:eastAsia="zh-CN"/>
        </w:rPr>
        <w:t>力资源和社会保障部门认可的医疗设备维护保养类的职业能力证书或设备厂商（如GE、西门</w:t>
      </w:r>
      <w:r>
        <w:rPr>
          <w:rFonts w:hint="eastAsia" w:ascii="宋体" w:hAnsi="宋体" w:eastAsia="宋体" w:cs="宋体"/>
          <w:color w:val="auto"/>
          <w:sz w:val="24"/>
          <w:highlight w:val="none"/>
        </w:rPr>
        <w:t>子等）出具的工程师培训证书或协会颁发的维修工程师资质证书</w:t>
      </w:r>
      <w:r>
        <w:rPr>
          <w:rStyle w:val="57"/>
          <w:rFonts w:hint="eastAsia" w:ascii="宋体" w:hAnsi="宋体" w:eastAsia="宋体" w:cs="宋体"/>
          <w:b w:val="0"/>
          <w:bCs w:val="0"/>
          <w:color w:val="auto"/>
          <w:sz w:val="24"/>
          <w:highlight w:val="none"/>
        </w:rPr>
        <w:t>或</w:t>
      </w:r>
      <w:r>
        <w:rPr>
          <w:rFonts w:hint="eastAsia" w:ascii="宋体" w:hAnsi="宋体" w:eastAsia="宋体" w:cs="宋体"/>
          <w:color w:val="auto"/>
          <w:sz w:val="24"/>
          <w:highlight w:val="none"/>
        </w:rPr>
        <w:t>提供3年以上医疗设备维修保养经验证明</w:t>
      </w:r>
      <w:r>
        <w:rPr>
          <w:rFonts w:hint="eastAsia" w:ascii="宋体" w:hAnsi="宋体" w:eastAsia="宋体" w:cs="宋体"/>
          <w:color w:val="auto"/>
          <w:sz w:val="24"/>
          <w:highlight w:val="none"/>
          <w:lang w:val="en-US" w:eastAsia="zh-CN"/>
        </w:rPr>
        <w:t>的扫描件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以及任职证明（</w:t>
      </w:r>
      <w:r>
        <w:rPr>
          <w:rFonts w:hint="eastAsia" w:ascii="宋体" w:hAnsi="宋体" w:eastAsia="宋体" w:cs="宋体"/>
          <w:color w:val="auto"/>
          <w:sz w:val="24"/>
          <w:highlight w:val="none"/>
        </w:rPr>
        <w:t>包括但不限于开标前六个月内任意一个月缴纳社保证明或工资流水证明或劳动合同</w:t>
      </w:r>
      <w:r>
        <w:rPr>
          <w:rFonts w:hint="eastAsia" w:ascii="宋体" w:hAnsi="宋体" w:eastAsia="宋体" w:cs="宋体"/>
          <w:color w:val="auto"/>
          <w:sz w:val="24"/>
          <w:highlight w:val="none"/>
          <w:lang w:val="en-US" w:eastAsia="zh-CN"/>
        </w:rPr>
        <w:t>扫描</w:t>
      </w:r>
      <w:r>
        <w:rPr>
          <w:rFonts w:hint="eastAsia" w:ascii="宋体" w:hAnsi="宋体" w:eastAsia="宋体" w:cs="宋体"/>
          <w:color w:val="auto"/>
          <w:sz w:val="24"/>
          <w:highlight w:val="none"/>
        </w:rPr>
        <w:t>件等</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3.4</w:t>
      </w:r>
      <w:r>
        <w:rPr>
          <w:rFonts w:hint="eastAsia" w:ascii="宋体" w:hAnsi="宋体" w:eastAsia="宋体" w:cs="宋体"/>
          <w:color w:val="auto"/>
          <w:sz w:val="24"/>
          <w:highlight w:val="none"/>
        </w:rPr>
        <w:t>高压氧舱系统专职驻守维护人员（至少提供1名）应符合特种设备操作维护人员的资质要求【</w:t>
      </w:r>
      <w:r>
        <w:rPr>
          <w:rFonts w:hint="eastAsia" w:ascii="宋体" w:hAnsi="宋体" w:eastAsia="宋体" w:cs="宋体"/>
          <w:color w:val="auto"/>
          <w:sz w:val="24"/>
          <w:highlight w:val="none"/>
          <w:lang w:val="en-US" w:eastAsia="zh-CN"/>
        </w:rPr>
        <w:t>投标时</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资质证明文件</w:t>
      </w:r>
      <w:r>
        <w:rPr>
          <w:rFonts w:hint="eastAsia" w:ascii="宋体" w:hAnsi="宋体" w:eastAsia="宋体" w:cs="宋体"/>
          <w:color w:val="auto"/>
          <w:sz w:val="24"/>
          <w:highlight w:val="none"/>
          <w:lang w:val="en-US" w:eastAsia="zh-CN"/>
        </w:rPr>
        <w:t>扫描件，以及在职证明（</w:t>
      </w:r>
      <w:r>
        <w:rPr>
          <w:rFonts w:hint="eastAsia" w:ascii="宋体" w:hAnsi="宋体" w:eastAsia="宋体" w:cs="宋体"/>
          <w:color w:val="auto"/>
          <w:sz w:val="24"/>
          <w:highlight w:val="none"/>
        </w:rPr>
        <w:t>包括但不限于开标前六个月内任意一个月缴纳社保证明或工资流水证明或劳动合同</w:t>
      </w:r>
      <w:r>
        <w:rPr>
          <w:rFonts w:hint="eastAsia" w:ascii="宋体" w:hAnsi="宋体" w:eastAsia="宋体" w:cs="宋体"/>
          <w:color w:val="auto"/>
          <w:sz w:val="24"/>
          <w:highlight w:val="none"/>
          <w:lang w:val="en-US" w:eastAsia="zh-CN"/>
        </w:rPr>
        <w:t>扫描</w:t>
      </w:r>
      <w:r>
        <w:rPr>
          <w:rFonts w:hint="eastAsia" w:ascii="宋体" w:hAnsi="宋体" w:eastAsia="宋体" w:cs="宋体"/>
          <w:color w:val="auto"/>
          <w:sz w:val="24"/>
          <w:highlight w:val="none"/>
        </w:rPr>
        <w:t>件等</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】。设备盘点及固定资产处置文员（至少提供1名）应拥有会计或管理相关专业资质要求。</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r>
        <w:rPr>
          <w:rFonts w:hint="eastAsia" w:ascii="宋体" w:hAnsi="宋体" w:eastAsia="宋体" w:cs="宋体"/>
          <w:color w:val="auto"/>
          <w:sz w:val="24"/>
          <w:highlight w:val="none"/>
        </w:rPr>
        <w:t>供应商需根据采购人的管理模式及管理要求，制定各种管理制度、操作规程及其他有关规定，须报采购人审定备案后方可实施。</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3.6</w:t>
      </w:r>
      <w:r>
        <w:rPr>
          <w:rFonts w:hint="eastAsia" w:ascii="宋体" w:hAnsi="宋体" w:eastAsia="宋体" w:cs="宋体"/>
          <w:color w:val="auto"/>
          <w:sz w:val="24"/>
          <w:highlight w:val="none"/>
        </w:rPr>
        <w:t>供应商应按照国家相关规定建立规范化的医疗设备管理档案（含电子档案与纸质档案）。</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3.7</w:t>
      </w:r>
      <w:r>
        <w:rPr>
          <w:rFonts w:hint="eastAsia" w:ascii="宋体" w:hAnsi="宋体" w:eastAsia="宋体" w:cs="宋体"/>
          <w:color w:val="auto"/>
          <w:sz w:val="24"/>
          <w:highlight w:val="none"/>
        </w:rPr>
        <w:t>所有维修、维护、保养、检测、培训等内容均应有详实的记录。</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供应商每月向采购人设备管理部门递交设备维护维修状况分析报表。</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r>
        <w:rPr>
          <w:rFonts w:hint="eastAsia" w:ascii="宋体" w:hAnsi="宋体" w:eastAsia="宋体" w:cs="宋体"/>
          <w:color w:val="auto"/>
          <w:sz w:val="24"/>
          <w:highlight w:val="none"/>
        </w:rPr>
        <w:t>配合采购人现有作息制度，建立维修工程师夜间、双休日、节假日值班制度并执行。</w:t>
      </w:r>
    </w:p>
    <w:p>
      <w:pPr>
        <w:keepNext w:val="0"/>
        <w:keepLines w:val="0"/>
        <w:pageBreakBefore w:val="0"/>
        <w:tabs>
          <w:tab w:val="left" w:pos="9639"/>
        </w:tabs>
        <w:kinsoku/>
        <w:wordWrap/>
        <w:overflowPunct/>
        <w:topLinePunct w:val="0"/>
        <w:bidi w:val="0"/>
        <w:adjustRightInd/>
        <w:snapToGrid/>
        <w:spacing w:line="420" w:lineRule="atLeas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预防性维护</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r>
        <w:rPr>
          <w:rFonts w:hint="eastAsia" w:ascii="宋体" w:hAnsi="宋体" w:eastAsia="宋体" w:cs="宋体"/>
          <w:color w:val="auto"/>
          <w:sz w:val="24"/>
          <w:highlight w:val="none"/>
        </w:rPr>
        <w:t>供应商合同期内应根据项目情况提供免费的维护、耗件更换等服务，保证设备达到、符合原厂合格标准及相应的国家质量标准的要求。</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r>
        <w:rPr>
          <w:rFonts w:hint="eastAsia" w:ascii="宋体" w:hAnsi="宋体" w:eastAsia="宋体" w:cs="宋体"/>
          <w:color w:val="auto"/>
          <w:sz w:val="24"/>
          <w:highlight w:val="none"/>
        </w:rPr>
        <w:t>供应商应为采购人提供采购人Ⅰ类、Ⅱ类、Ⅲ类设备每年不少于4次的保养和清洁，每年不少于两次全面的原厂标准和规定的预防性维修保养工作，提供维护保养报告。预防性维修保养应包含但不限于以下内容：</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4.2.1</w:t>
      </w:r>
      <w:r>
        <w:rPr>
          <w:rFonts w:hint="eastAsia" w:ascii="宋体" w:hAnsi="宋体" w:eastAsia="宋体" w:cs="宋体"/>
          <w:color w:val="auto"/>
          <w:sz w:val="24"/>
          <w:highlight w:val="none"/>
        </w:rPr>
        <w:t>外观检查: 检查仪器各按钮、开关、接头插座有无松动及错位，插头插座的接触有无氧化、生锈或接触不良，电源线是否老化，散热排风是否正常，各种接地的连接和管道的连接是否良好。</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4.2.2</w:t>
      </w:r>
      <w:r>
        <w:rPr>
          <w:rFonts w:hint="eastAsia" w:ascii="宋体" w:hAnsi="宋体" w:eastAsia="宋体" w:cs="宋体"/>
          <w:color w:val="auto"/>
          <w:sz w:val="24"/>
          <w:highlight w:val="none"/>
        </w:rPr>
        <w:t>清洁保养: 对仪器表面与内部电气部分、机械部分进行清洁，包括清洗过滤网、有关管道、机身、电路板、键盘等，对仪器有关插头插座进行清洁, 防止接触不良, 对必要的机械部分进行加油润滑。</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4.2.3</w:t>
      </w:r>
      <w:r>
        <w:rPr>
          <w:rFonts w:hint="eastAsia" w:ascii="宋体" w:hAnsi="宋体" w:eastAsia="宋体" w:cs="宋体"/>
          <w:color w:val="auto"/>
          <w:sz w:val="24"/>
          <w:highlight w:val="none"/>
        </w:rPr>
        <w:t>更换易损件: 对已达到使用寿命及性能下降，不合要求的元器件或使用说明书中规定的要求定期更换的备件要进行及时地更换，预防可能发生的故障扩大或造成整机故障。</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4.2.4</w:t>
      </w:r>
      <w:r>
        <w:rPr>
          <w:rFonts w:hint="eastAsia" w:ascii="宋体" w:hAnsi="宋体" w:eastAsia="宋体" w:cs="宋体"/>
          <w:color w:val="auto"/>
          <w:sz w:val="24"/>
          <w:highlight w:val="none"/>
        </w:rPr>
        <w:t>功能检查：开机检查各指示灯、指示器是否正常，通过调节、设置各个开关和按钮，进入各功能设置，以检查设备的各功能模块是否正常。通过模拟测试，检查设备各项报警功能是否正常。校对和调整设备的各种合格标准参数，保证完好使用率。</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4.2.5</w:t>
      </w:r>
      <w:r>
        <w:rPr>
          <w:rFonts w:hint="eastAsia" w:ascii="宋体" w:hAnsi="宋体" w:eastAsia="宋体" w:cs="宋体"/>
          <w:color w:val="auto"/>
          <w:sz w:val="24"/>
          <w:highlight w:val="none"/>
        </w:rPr>
        <w:t>性能测试校准：测试各直流电源的稳压值、电路中要测试点电压值或波形并根据说明书的要求进行必要的校准和调整，以保证仪器各项技术指标达到标准，确保仪器在医疗诊断与治疗中的质量。</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4.2.6</w:t>
      </w:r>
      <w:r>
        <w:rPr>
          <w:rFonts w:hint="eastAsia" w:ascii="宋体" w:hAnsi="宋体" w:eastAsia="宋体" w:cs="宋体"/>
          <w:color w:val="auto"/>
          <w:sz w:val="24"/>
          <w:highlight w:val="none"/>
        </w:rPr>
        <w:t>安全检查：</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电气安全检查: 检查各种引线、插头、连接器等有无破损，接地线是否牢靠，接地电阻和漏电电流是否在允许限度内。</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机械检查：检查机架是否牢固，机械运转是否正常，各连接备件有无松动、脱落或破裂现象。</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w:t>
      </w:r>
      <w:r>
        <w:rPr>
          <w:rFonts w:hint="eastAsia" w:ascii="宋体" w:hAnsi="宋体" w:eastAsia="宋体" w:cs="宋体"/>
          <w:color w:val="auto"/>
          <w:sz w:val="24"/>
          <w:highlight w:val="none"/>
        </w:rPr>
        <w:t>医疗设备巡检要求</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需开展设备巡检工作，巡检周期每月不少于1次，供应商应编制各科室医疗设备巡检计划，经医院设备主管部门审核后，按计划对采购人的医疗设备进行巡检保养。对不符合设备正常运行或有可能造成医疗安全隐患的设备，出具书面的解决改进方案并按时执行，保证设备性能、备件的完好性。每次服务需详细记录，并提交原始资料给采购人设备管理部门备案，所有数据需采集至设备管理系统。</w:t>
      </w:r>
    </w:p>
    <w:p>
      <w:pPr>
        <w:keepNext w:val="0"/>
        <w:keepLines w:val="0"/>
        <w:pageBreakBefore w:val="0"/>
        <w:tabs>
          <w:tab w:val="left" w:pos="9639"/>
        </w:tabs>
        <w:kinsoku/>
        <w:wordWrap/>
        <w:overflowPunct/>
        <w:topLinePunct w:val="0"/>
        <w:bidi w:val="0"/>
        <w:adjustRightInd/>
        <w:snapToGrid/>
        <w:spacing w:line="420" w:lineRule="atLeas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4.3.1</w:t>
      </w:r>
      <w:r>
        <w:rPr>
          <w:rFonts w:hint="eastAsia" w:ascii="宋体" w:hAnsi="宋体" w:eastAsia="宋体" w:cs="宋体"/>
          <w:color w:val="auto"/>
          <w:sz w:val="24"/>
          <w:highlight w:val="none"/>
        </w:rPr>
        <w:t>检查医疗设备及其配套设备使用环境是否符合要求，是否存在危及医疗设备安全的潜在因素。</w:t>
      </w:r>
    </w:p>
    <w:p>
      <w:pPr>
        <w:keepNext w:val="0"/>
        <w:keepLines w:val="0"/>
        <w:pageBreakBefore w:val="0"/>
        <w:tabs>
          <w:tab w:val="left" w:pos="9639"/>
        </w:tabs>
        <w:kinsoku/>
        <w:wordWrap/>
        <w:overflowPunct/>
        <w:topLinePunct w:val="0"/>
        <w:bidi w:val="0"/>
        <w:adjustRightInd/>
        <w:snapToGrid/>
        <w:spacing w:line="420" w:lineRule="atLeas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4.3.2</w:t>
      </w:r>
      <w:r>
        <w:rPr>
          <w:rFonts w:hint="eastAsia" w:ascii="宋体" w:hAnsi="宋体" w:eastAsia="宋体" w:cs="宋体"/>
          <w:color w:val="auto"/>
          <w:sz w:val="24"/>
          <w:highlight w:val="none"/>
        </w:rPr>
        <w:t>检查医疗设备功能参数是否正常，备件是否齐全，备件状态是否符合安全要求。</w:t>
      </w:r>
    </w:p>
    <w:p>
      <w:pPr>
        <w:keepNext w:val="0"/>
        <w:keepLines w:val="0"/>
        <w:pageBreakBefore w:val="0"/>
        <w:tabs>
          <w:tab w:val="left" w:pos="9639"/>
        </w:tabs>
        <w:kinsoku/>
        <w:wordWrap/>
        <w:overflowPunct/>
        <w:topLinePunct w:val="0"/>
        <w:bidi w:val="0"/>
        <w:adjustRightInd/>
        <w:snapToGrid/>
        <w:spacing w:line="420" w:lineRule="atLeas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4.3.3</w:t>
      </w:r>
      <w:r>
        <w:rPr>
          <w:rFonts w:hint="eastAsia" w:ascii="宋体" w:hAnsi="宋体" w:eastAsia="宋体" w:cs="宋体"/>
          <w:color w:val="auto"/>
          <w:sz w:val="24"/>
          <w:highlight w:val="none"/>
        </w:rPr>
        <w:t>检查使用科室设备的使用记录，并在使用记录上签名。</w:t>
      </w:r>
    </w:p>
    <w:p>
      <w:pPr>
        <w:keepNext w:val="0"/>
        <w:keepLines w:val="0"/>
        <w:pageBreakBefore w:val="0"/>
        <w:tabs>
          <w:tab w:val="left" w:pos="9639"/>
        </w:tabs>
        <w:kinsoku/>
        <w:wordWrap/>
        <w:overflowPunct/>
        <w:topLinePunct w:val="0"/>
        <w:bidi w:val="0"/>
        <w:adjustRightInd/>
        <w:snapToGrid/>
        <w:spacing w:line="420" w:lineRule="atLeas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3.4 检查设备各类标签，确保标签有效齐全并有效。</w:t>
      </w:r>
    </w:p>
    <w:p>
      <w:pPr>
        <w:keepNext w:val="0"/>
        <w:keepLines w:val="0"/>
        <w:pageBreakBefore w:val="0"/>
        <w:tabs>
          <w:tab w:val="left" w:pos="9639"/>
        </w:tabs>
        <w:kinsoku/>
        <w:wordWrap/>
        <w:overflowPunct/>
        <w:topLinePunct w:val="0"/>
        <w:bidi w:val="0"/>
        <w:adjustRightInd/>
        <w:snapToGrid/>
        <w:spacing w:line="420" w:lineRule="atLeas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3.5 巡检时，对设备的使用做出评估，听取使用科室的建议与要求，并做好记录。</w:t>
      </w:r>
    </w:p>
    <w:p>
      <w:pPr>
        <w:keepNext w:val="0"/>
        <w:keepLines w:val="0"/>
        <w:pageBreakBefore w:val="0"/>
        <w:tabs>
          <w:tab w:val="left" w:pos="9639"/>
        </w:tabs>
        <w:kinsoku/>
        <w:wordWrap/>
        <w:overflowPunct/>
        <w:topLinePunct w:val="0"/>
        <w:bidi w:val="0"/>
        <w:adjustRightInd/>
        <w:snapToGrid/>
        <w:spacing w:line="420" w:lineRule="atLeas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3.6 巡检结束后巡检记录需要使用科室签字认可。</w:t>
      </w:r>
    </w:p>
    <w:p>
      <w:pPr>
        <w:keepNext w:val="0"/>
        <w:keepLines w:val="0"/>
        <w:pageBreakBefore w:val="0"/>
        <w:tabs>
          <w:tab w:val="left" w:pos="9639"/>
        </w:tabs>
        <w:kinsoku/>
        <w:wordWrap/>
        <w:overflowPunct/>
        <w:topLinePunct w:val="0"/>
        <w:bidi w:val="0"/>
        <w:adjustRightInd/>
        <w:snapToGrid/>
        <w:spacing w:line="420" w:lineRule="atLeas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3.7 特种设备巡检，如灭菌器、锅炉、液氧储槽、压力管道等按特种设备管理要求，并做好记录。</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重要设备、重要科室专人管理。医疗设备日常保养管理。安排专职人员对医院的医疗设备进行预防性维护及清理工作，提升医疗设备使用年限。</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4.5</w:t>
      </w:r>
      <w:r>
        <w:rPr>
          <w:rFonts w:hint="eastAsia" w:ascii="宋体" w:hAnsi="宋体" w:eastAsia="宋体" w:cs="宋体"/>
          <w:color w:val="auto"/>
          <w:sz w:val="24"/>
          <w:highlight w:val="none"/>
        </w:rPr>
        <w:t>设备正常开机率</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维保服务期内，保证设备年度开机正常使用率达到95%（按365天/年计，不含采购人原因造成的延误天数）。若未达到此标准，维保方应承诺作出补偿，按2倍日期延长该设备的维保服务期限，或承诺接受医院的损失考核处理。</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4.6</w:t>
      </w:r>
      <w:r>
        <w:rPr>
          <w:rFonts w:hint="eastAsia" w:ascii="宋体" w:hAnsi="宋体" w:eastAsia="宋体" w:cs="宋体"/>
          <w:color w:val="auto"/>
          <w:sz w:val="24"/>
          <w:highlight w:val="none"/>
        </w:rPr>
        <w:t>设备维护保养要求</w:t>
      </w:r>
    </w:p>
    <w:p>
      <w:pPr>
        <w:keepNext w:val="0"/>
        <w:keepLines w:val="0"/>
        <w:pageBreakBefore w:val="0"/>
        <w:tabs>
          <w:tab w:val="left" w:pos="9639"/>
        </w:tabs>
        <w:kinsoku/>
        <w:wordWrap/>
        <w:overflowPunct/>
        <w:topLinePunct w:val="0"/>
        <w:bidi w:val="0"/>
        <w:adjustRightInd/>
        <w:snapToGrid/>
        <w:spacing w:line="420" w:lineRule="atLeast"/>
        <w:ind w:left="0" w:leftChars="0" w:firstLine="458" w:firstLineChars="19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6.1 全天候365天*24小时提供服务。</w:t>
      </w:r>
    </w:p>
    <w:p>
      <w:pPr>
        <w:keepNext w:val="0"/>
        <w:keepLines w:val="0"/>
        <w:pageBreakBefore w:val="0"/>
        <w:tabs>
          <w:tab w:val="left" w:pos="9639"/>
        </w:tabs>
        <w:kinsoku/>
        <w:wordWrap/>
        <w:overflowPunct/>
        <w:topLinePunct w:val="0"/>
        <w:bidi w:val="0"/>
        <w:adjustRightInd/>
        <w:snapToGrid/>
        <w:spacing w:line="420" w:lineRule="atLeast"/>
        <w:ind w:left="0" w:leftChars="0" w:firstLine="458" w:firstLineChars="19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6.2 急救类设备紧急故障报修，驻场工程师必须15分钟以内到达现场处理；一般设备故障报修，法定工作时间内，30分钟以内到达维修现场；法定工作时间外，1小时到达维修现场。</w:t>
      </w:r>
    </w:p>
    <w:p>
      <w:pPr>
        <w:keepNext w:val="0"/>
        <w:keepLines w:val="0"/>
        <w:pageBreakBefore w:val="0"/>
        <w:tabs>
          <w:tab w:val="left" w:pos="9639"/>
        </w:tabs>
        <w:kinsoku/>
        <w:wordWrap/>
        <w:overflowPunct/>
        <w:topLinePunct w:val="0"/>
        <w:bidi w:val="0"/>
        <w:adjustRightInd/>
        <w:snapToGrid/>
        <w:spacing w:line="420" w:lineRule="atLeast"/>
        <w:ind w:left="0" w:leftChars="0" w:firstLine="439" w:firstLineChars="183"/>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6.3 维修质量及时效</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需保证设备维修的质量及时效性。同一设备、同一故障短期内连续进行两次维修，该设备则按采购人要求送至采购人指定厂家或第三方维修，所需维修费由供应商承担。</w:t>
      </w:r>
    </w:p>
    <w:p>
      <w:pPr>
        <w:keepNext w:val="0"/>
        <w:keepLines w:val="0"/>
        <w:pageBreakBefore w:val="0"/>
        <w:tabs>
          <w:tab w:val="left" w:pos="9639"/>
        </w:tabs>
        <w:kinsoku/>
        <w:wordWrap/>
        <w:overflowPunct/>
        <w:topLinePunct w:val="0"/>
        <w:bidi w:val="0"/>
        <w:adjustRightInd/>
        <w:snapToGrid/>
        <w:spacing w:line="420" w:lineRule="atLeas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所有医疗设备及其配套设备更换的备件必须是符合原厂要求，可溯源的合格备件。（</w:t>
      </w:r>
      <w:r>
        <w:rPr>
          <w:rFonts w:hint="eastAsia" w:ascii="宋体" w:hAnsi="宋体" w:eastAsia="宋体" w:cs="宋体"/>
          <w:b/>
          <w:bCs/>
          <w:color w:val="auto"/>
          <w:sz w:val="24"/>
          <w:highlight w:val="none"/>
          <w:lang w:val="en-US" w:eastAsia="zh-CN"/>
        </w:rPr>
        <w:t>投标时</w:t>
      </w:r>
      <w:r>
        <w:rPr>
          <w:rFonts w:hint="eastAsia" w:ascii="宋体" w:hAnsi="宋体" w:eastAsia="宋体" w:cs="宋体"/>
          <w:b/>
          <w:bCs/>
          <w:color w:val="auto"/>
          <w:sz w:val="24"/>
          <w:highlight w:val="none"/>
        </w:rPr>
        <w:t>供应商</w:t>
      </w:r>
      <w:r>
        <w:rPr>
          <w:rFonts w:hint="eastAsia" w:ascii="宋体" w:hAnsi="宋体" w:eastAsia="宋体" w:cs="宋体"/>
          <w:b/>
          <w:bCs/>
          <w:color w:val="auto"/>
          <w:sz w:val="24"/>
          <w:highlight w:val="none"/>
          <w:lang w:val="en-US" w:eastAsia="zh-CN"/>
        </w:rPr>
        <w:t>需</w:t>
      </w:r>
      <w:r>
        <w:rPr>
          <w:rFonts w:hint="eastAsia" w:ascii="宋体" w:hAnsi="宋体" w:eastAsia="宋体" w:cs="宋体"/>
          <w:b/>
          <w:bCs/>
          <w:color w:val="auto"/>
          <w:sz w:val="24"/>
          <w:highlight w:val="none"/>
        </w:rPr>
        <w:t>提供承诺函）</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常规备件到场时间48小时内，特殊情况不超过96小时完成维修。</w:t>
      </w:r>
      <w:r>
        <w:rPr>
          <w:rFonts w:hint="eastAsia" w:ascii="宋体" w:hAnsi="宋体" w:eastAsia="宋体" w:cs="宋体"/>
          <w:bCs/>
          <w:color w:val="auto"/>
          <w:sz w:val="24"/>
          <w:highlight w:val="none"/>
        </w:rPr>
        <w:t>若三天仍无法修复</w:t>
      </w:r>
      <w:r>
        <w:rPr>
          <w:rFonts w:hint="eastAsia" w:ascii="宋体" w:hAnsi="宋体" w:eastAsia="宋体" w:cs="宋体"/>
          <w:color w:val="auto"/>
          <w:sz w:val="24"/>
          <w:highlight w:val="none"/>
        </w:rPr>
        <w:t>，采购人（医院）有权聘请设备厂家技术人员或专业技术人员进行解决，所发生费用全部由维保单位承担。</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评估及报废处理原则。对使用多年或已经停产、厂家或第三方均无法提供备件、供应商无法修复的设备，供应商需提交纸质申请，由采购人设备管理部门查正同意后，方可办理报废</w:t>
      </w:r>
      <w:r>
        <w:rPr>
          <w:rFonts w:hint="eastAsia" w:ascii="宋体" w:hAnsi="宋体" w:eastAsia="宋体" w:cs="宋体"/>
          <w:color w:val="auto"/>
          <w:sz w:val="24"/>
          <w:highlight w:val="none"/>
          <w:lang w:eastAsia="zh-CN"/>
        </w:rPr>
        <w:t>。</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4.7</w:t>
      </w:r>
      <w:r>
        <w:rPr>
          <w:rFonts w:hint="eastAsia" w:ascii="宋体" w:hAnsi="宋体" w:eastAsia="宋体" w:cs="宋体"/>
          <w:color w:val="auto"/>
          <w:sz w:val="24"/>
          <w:highlight w:val="none"/>
        </w:rPr>
        <w:t>备件要求</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7.1 供应商应具备取得设备厂家零配件的合法渠道；且其提供的放射设备核心备件必须是符合国家相关规范要求的合格全新产品。</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7.2 按</w:t>
      </w:r>
      <w:r>
        <w:rPr>
          <w:rFonts w:hint="eastAsia" w:ascii="宋体" w:hAnsi="宋体" w:eastAsia="宋体" w:cs="宋体"/>
          <w:color w:val="auto"/>
          <w:spacing w:val="-6"/>
          <w:sz w:val="24"/>
          <w:highlight w:val="none"/>
        </w:rPr>
        <w:t>设备存量情况，须库存一定数量的备件在采购人单位内，备件的管理人为供应商。</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4.8</w:t>
      </w:r>
      <w:r>
        <w:rPr>
          <w:rFonts w:hint="eastAsia" w:ascii="宋体" w:hAnsi="宋体" w:eastAsia="宋体" w:cs="宋体"/>
          <w:color w:val="auto"/>
          <w:sz w:val="24"/>
          <w:highlight w:val="none"/>
        </w:rPr>
        <w:t>医疗设备质控</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8.1 安装验收质控</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须按采购人要求协助院方做好医疗设备安装、验收工作。</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验收工作包含但不限于含设备配置清点、安装调试、计量验收、功能验收。医疗设备投入使用前，保证设备技术参数与国家规定及行业规定的标准一致，符合技术规范与规程要求等。</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8.2 使用与维修质控</w:t>
      </w:r>
    </w:p>
    <w:p>
      <w:pPr>
        <w:keepNext w:val="0"/>
        <w:keepLines w:val="0"/>
        <w:pageBreakBefore w:val="0"/>
        <w:widowControl w:val="0"/>
        <w:tabs>
          <w:tab w:val="left" w:pos="9639"/>
        </w:tabs>
        <w:kinsoku/>
        <w:wordWrap/>
        <w:overflowPunct/>
        <w:topLinePunct w:val="0"/>
        <w:autoSpaceDE/>
        <w:autoSpaceDN/>
        <w:bidi w:val="0"/>
        <w:adjustRightInd/>
        <w:snapToGrid/>
        <w:spacing w:line="420" w:lineRule="atLeas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供应商需定期为操作人员和维修人员提供专业的设备应用及维护培训，实施操作人员上岗考核制度，经过考核且达标的人员才能操作。</w:t>
      </w:r>
    </w:p>
    <w:p>
      <w:pPr>
        <w:keepNext w:val="0"/>
        <w:keepLines w:val="0"/>
        <w:pageBreakBefore w:val="0"/>
        <w:widowControl w:val="0"/>
        <w:tabs>
          <w:tab w:val="left" w:pos="9639"/>
        </w:tabs>
        <w:kinsoku/>
        <w:wordWrap/>
        <w:overflowPunct/>
        <w:topLinePunct w:val="0"/>
        <w:autoSpaceDE/>
        <w:autoSpaceDN/>
        <w:bidi w:val="0"/>
        <w:adjustRightInd/>
        <w:snapToGrid/>
        <w:spacing w:line="420" w:lineRule="atLeas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供应商需要为采购人编制并为科室提供纸质版医疗设备标准操作流程、维修保养流程、标准操作流程卡和使用状态卡，所需费用由供应商支付。</w:t>
      </w:r>
    </w:p>
    <w:p>
      <w:pPr>
        <w:keepNext w:val="0"/>
        <w:keepLines w:val="0"/>
        <w:pageBreakBefore w:val="0"/>
        <w:widowControl w:val="0"/>
        <w:tabs>
          <w:tab w:val="left" w:pos="9639"/>
        </w:tabs>
        <w:kinsoku/>
        <w:wordWrap/>
        <w:overflowPunct/>
        <w:topLinePunct w:val="0"/>
        <w:autoSpaceDE/>
        <w:autoSpaceDN/>
        <w:bidi w:val="0"/>
        <w:adjustRightInd/>
        <w:snapToGrid/>
        <w:spacing w:line="420" w:lineRule="atLeas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供应商需在设备修复后，对维修中必须拆机的急救类、生命支持类设备进行电气安全、性能等全面检测，以记录数据，符合技术指标要求才能投入使用。</w:t>
      </w:r>
    </w:p>
    <w:p>
      <w:pPr>
        <w:keepNext w:val="0"/>
        <w:keepLines w:val="0"/>
        <w:pageBreakBefore w:val="0"/>
        <w:widowControl w:val="0"/>
        <w:tabs>
          <w:tab w:val="left" w:pos="9639"/>
        </w:tabs>
        <w:kinsoku/>
        <w:wordWrap/>
        <w:overflowPunct/>
        <w:topLinePunct w:val="0"/>
        <w:autoSpaceDE/>
        <w:autoSpaceDN/>
        <w:bidi w:val="0"/>
        <w:adjustRightInd/>
        <w:snapToGrid/>
        <w:spacing w:line="420" w:lineRule="atLeas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供应商需对急救类、生命支持类设备每年周期进行不少于两次的电气安全、性能等全面的检测，其中除颤仪不少于四次；每次检测，需要记录数据。</w:t>
      </w:r>
    </w:p>
    <w:p>
      <w:pPr>
        <w:keepNext w:val="0"/>
        <w:keepLines w:val="0"/>
        <w:pageBreakBefore w:val="0"/>
        <w:widowControl w:val="0"/>
        <w:tabs>
          <w:tab w:val="left" w:pos="9639"/>
        </w:tabs>
        <w:kinsoku/>
        <w:wordWrap/>
        <w:overflowPunct/>
        <w:topLinePunct w:val="0"/>
        <w:autoSpaceDE/>
        <w:autoSpaceDN/>
        <w:bidi w:val="0"/>
        <w:adjustRightInd/>
        <w:snapToGrid/>
        <w:spacing w:line="420" w:lineRule="atLeas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每次检测完成后，需在设备上标上质量合格标签，并写上日期与检测人员姓名。</w:t>
      </w:r>
    </w:p>
    <w:p>
      <w:pPr>
        <w:keepNext w:val="0"/>
        <w:keepLines w:val="0"/>
        <w:pageBreakBefore w:val="0"/>
        <w:widowControl w:val="0"/>
        <w:tabs>
          <w:tab w:val="left" w:pos="9639"/>
        </w:tabs>
        <w:kinsoku/>
        <w:wordWrap/>
        <w:overflowPunct/>
        <w:topLinePunct w:val="0"/>
        <w:autoSpaceDE/>
        <w:autoSpaceDN/>
        <w:bidi w:val="0"/>
        <w:adjustRightInd/>
        <w:snapToGrid/>
        <w:spacing w:line="420" w:lineRule="atLeast"/>
        <w:ind w:firstLine="600" w:firstLineChars="2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质量合格标签由供应商提供。</w:t>
      </w:r>
    </w:p>
    <w:p>
      <w:pPr>
        <w:keepNext w:val="0"/>
        <w:keepLines w:val="0"/>
        <w:pageBreakBefore w:val="0"/>
        <w:tabs>
          <w:tab w:val="left" w:pos="9639"/>
        </w:tabs>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4.9</w:t>
      </w:r>
      <w:r>
        <w:rPr>
          <w:rFonts w:hint="eastAsia" w:ascii="宋体" w:hAnsi="宋体" w:eastAsia="宋体" w:cs="宋体"/>
          <w:color w:val="auto"/>
          <w:sz w:val="24"/>
          <w:highlight w:val="none"/>
        </w:rPr>
        <w:t>服务管理软件</w:t>
      </w:r>
    </w:p>
    <w:p>
      <w:pPr>
        <w:keepNext w:val="0"/>
        <w:keepLines w:val="0"/>
        <w:pageBreakBefore w:val="0"/>
        <w:kinsoku/>
        <w:wordWrap/>
        <w:overflowPunct/>
        <w:topLinePunct w:val="0"/>
        <w:bidi w:val="0"/>
        <w:adjustRightInd/>
        <w:snapToGrid/>
        <w:spacing w:line="420" w:lineRule="atLeas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人现有一套医疗设备设施全生命周期管理系统软件（以下简称“原软件”），供应商中标后，需全面承担原软件的日常管理、运维保障、系统对接及持续性培训服务，确保医疗设备全生命周期信息化管理的稳定运行与持续优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投标时供应商需提供承诺函）</w:t>
      </w:r>
    </w:p>
    <w:p>
      <w:pPr>
        <w:keepNext w:val="0"/>
        <w:keepLines w:val="0"/>
        <w:pageBreakBefore w:val="0"/>
        <w:kinsoku/>
        <w:wordWrap/>
        <w:overflowPunct/>
        <w:topLinePunct w:val="0"/>
        <w:bidi w:val="0"/>
        <w:adjustRightInd/>
        <w:snapToGrid/>
        <w:spacing w:line="42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无法提供原软件的相关管理及维护等服务，需另行提供一套全新医疗设备设施全生命周期管理系统软件（投标时提供软件名称、版本信息及包括不限于软件著作或授权书的合法使用权证明），该软件须满足采购文件规定的功能需求参数及技术标准，并负责新软件的部署、数据迁移、对接整合及用户培训。供应商中标入场后，需在一个月内为医院完成医疗设备设施全生命周期管理系统软件的安装及培训工作，实现医疗设备全生命周期信息化管理的平稳过渡与高效运行。（投标时供应商需提供承诺函）</w:t>
      </w:r>
    </w:p>
    <w:p>
      <w:pPr>
        <w:keepNext w:val="0"/>
        <w:keepLines w:val="0"/>
        <w:pageBreakBefore w:val="0"/>
        <w:kinsoku/>
        <w:wordWrap/>
        <w:overflowPunct/>
        <w:topLinePunct w:val="0"/>
        <w:bidi w:val="0"/>
        <w:adjustRightInd/>
        <w:snapToGrid/>
        <w:spacing w:line="420" w:lineRule="atLeas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医疗设备设施全生命周期管理系统软件功能要求如下：</w:t>
      </w:r>
    </w:p>
    <w:tbl>
      <w:tblPr>
        <w:tblStyle w:val="54"/>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8390"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1）医疗设备管理系统软件可同时可以在电脑端和手机端操作,移动端可同时使用微信、安卓及ios操作系统。</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2）管理系统须包含全院固定资产管理，如设备、总务、信息等。</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3）软件正版化原则。本项目</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供应商必须保证提供的产品（软件、服务内容）系自主研发或者依法享有完全的使用权，采购人在中华人民共和国境内使用供应商提供的产品及服务时免受第三方提出的侵犯其专利权或其它知识产权的起诉。如果第三方提出侵权指控，</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供应商应承担由此而引起的一切法律责任和费用。</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4）医院与中标供应商合同履行结束后，信息系统、软件、二次开发成果及服务器等无偿移交医院。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设备电子档案管理功能:</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1)设备档案数据需要统一标准化,需满足但不限于如下字段:设备名称、品牌、型号、注册证编号、68码、104国标三类；</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2)系统能上传图片、pdf、word等各种附件管理,包括但不限于合同、维修报告、保养报告、巡检报告、计量报告；</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3)设备勘察能在手机端扫铭牌快速实现数据录入,自动生成勘察设备明细报表和勘察报告；</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4)设备维修保养巡检质控计量报告都能线上管理。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设备维修和报废管理功能:</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1)可根据二维码直接通过微信的一级扫一扫入口快速报修设备；</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2)报修和维修完成具有微信消息自动通知；</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3)报修和维修过程能在线详细记录文字/语音/图片；</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4)设备维修服务验收能在手机端线上签字和评分；</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5)设备报废能通过扫一扫线上申请,线上报废审核；</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6)系统上提供设备维修案例,含故障描述及应对维修指引,至少6000条以上；</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7）报修项目须具备权重值，权重值可以根据</w:t>
            </w:r>
            <w:r>
              <w:rPr>
                <w:rFonts w:hint="eastAsia" w:ascii="宋体" w:hAnsi="宋体" w:cs="宋体"/>
                <w:color w:val="000000"/>
                <w:sz w:val="24"/>
                <w:highlight w:val="none"/>
              </w:rPr>
              <w:t>紧急程度</w:t>
            </w:r>
            <w:r>
              <w:rPr>
                <w:rFonts w:hint="eastAsia" w:ascii="宋体" w:hAnsi="宋体" w:cs="宋体"/>
                <w:color w:val="000000"/>
                <w:sz w:val="24"/>
                <w:highlight w:val="none"/>
                <w:lang w:eastAsia="zh-CN"/>
              </w:rPr>
              <w:t>、</w:t>
            </w:r>
            <w:r>
              <w:rPr>
                <w:rFonts w:hint="eastAsia" w:ascii="宋体" w:hAnsi="宋体" w:cs="宋体"/>
                <w:color w:val="000000"/>
                <w:sz w:val="24"/>
                <w:highlight w:val="none"/>
              </w:rPr>
              <w:t>重要程度</w:t>
            </w:r>
            <w:r>
              <w:rPr>
                <w:rFonts w:hint="eastAsia" w:ascii="宋体" w:hAnsi="宋体" w:cs="宋体"/>
                <w:color w:val="000000"/>
                <w:sz w:val="24"/>
                <w:highlight w:val="none"/>
                <w:lang w:eastAsia="zh-CN"/>
              </w:rPr>
              <w:t>、</w:t>
            </w:r>
            <w:r>
              <w:rPr>
                <w:rFonts w:hint="eastAsia" w:ascii="宋体" w:hAnsi="宋体" w:cs="宋体"/>
                <w:color w:val="000000"/>
                <w:sz w:val="24"/>
                <w:highlight w:val="none"/>
              </w:rPr>
              <w:t>难度</w:t>
            </w:r>
            <w:r>
              <w:rPr>
                <w:rFonts w:hint="eastAsia" w:ascii="宋体" w:hAnsi="宋体" w:cs="宋体"/>
                <w:color w:val="auto"/>
                <w:sz w:val="24"/>
                <w:highlight w:val="none"/>
              </w:rPr>
              <w:t>等各方面综合设置。且可以在设置界面调整权重值，以保证今后随着系统使用细化，权重进一步精确；</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8）排班设定，根据不同管理部门如设备科、信息科、水电班等设置排班表，排班表可以提前录入、批量生成，生成规则可按时间、周、月等自动顺延。临床报修，在接单时默认为当天值班人员（比如信息科端，操作接单人员就是信息科值班人员）；</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9）维修过程支持拍照记录；</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10）可按时间统计维修台帐，以及打印维修过程照片。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设备质控管理功能:</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1)设备保养/巡检/质控的“检查项”可按不同设备自定义配置,移动端自动加载配置的模板参数；</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2)设备保养/巡检/质控/计量等具有临期提示和延误预警；</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3)设备维修/保养/巡检/质控的任务能在工作台或者通过微信小程序和手机短信提醒到具体执行人；</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4)巡检/保养/质控等服务可在手机端签字验收。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备用机和备品管理功能,可实现医院备品库存管理,出入库明细都留存在系统里,方便追踪更换备件的时间、相关人员和相关设备。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系统用户权限配置:</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系统可灵活自定义配置角色的使用权限,如:维修工程师、维保管理者、设备科领导、医院领导等。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数据统计报表:</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1)系统可以统计设备开机率、报修率等全生命周期管理的数据报表；</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2)统计报表可以图文,也可以生成excel明细, 可自定义统计指标，以满足医院管理要求，并且可根据医院管理及评审要求，导出各类数据。包含txt、xls、csv等多种格式；</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3)含有设备询价功能,有自建大型设备及中小设备各地区价格数据库；</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4）系统可以按科室、工程师、设备类型、维修类型、权重等出局具工作量报表。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839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系统运行:</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中标</w:t>
            </w:r>
            <w:r>
              <w:rPr>
                <w:rFonts w:hint="eastAsia" w:ascii="宋体" w:hAnsi="宋体" w:cs="宋体"/>
                <w:color w:val="auto"/>
                <w:sz w:val="24"/>
                <w:highlight w:val="none"/>
              </w:rPr>
              <w:t>供应商负责服务器、操作系统、数据库等软件的安装部署；</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2）系统提供7*24小时连续稳定服务；</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3)软件跨平台运行,可以通过网页、微信、电脑客户端、独立移动端APP应用。</w:t>
            </w:r>
          </w:p>
          <w:p>
            <w:pPr>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4）系统最终须接入医院数据中心，供数据中心进行整合及共享。同时，提供标准接口，提供资产信息，状态，科室，地点等信息并与第三方系统交互。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b/>
                <w:bCs/>
                <w:color w:val="auto"/>
                <w:sz w:val="24"/>
                <w:highlight w:val="none"/>
              </w:rPr>
            </w:pPr>
            <w:r>
              <w:rPr>
                <w:rFonts w:hint="eastAsia" w:ascii="宋体" w:hAnsi="宋体" w:eastAsia="宋体" w:cs="宋体"/>
                <w:b/>
                <w:bCs/>
                <w:color w:val="auto"/>
                <w:sz w:val="24"/>
                <w:highlight w:val="none"/>
              </w:rPr>
              <w:t>★</w:t>
            </w:r>
            <w:r>
              <w:rPr>
                <w:rFonts w:hint="eastAsia" w:ascii="宋体" w:hAnsi="宋体" w:cs="宋体"/>
                <w:b/>
                <w:bCs/>
                <w:color w:val="auto"/>
                <w:sz w:val="24"/>
                <w:highlight w:val="none"/>
              </w:rPr>
              <w:t>9</w:t>
            </w:r>
          </w:p>
        </w:tc>
        <w:tc>
          <w:tcPr>
            <w:tcW w:w="839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20" w:lineRule="exac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系统架构及部署满足信息安全等保三级要求。若存在软件或架构部署不满足要求，须整改软件或增加硬件的，由</w:t>
            </w:r>
            <w:r>
              <w:rPr>
                <w:rFonts w:hint="eastAsia" w:ascii="宋体" w:hAnsi="宋体" w:cs="宋体"/>
                <w:b/>
                <w:bCs/>
                <w:color w:val="auto"/>
                <w:sz w:val="24"/>
                <w:highlight w:val="none"/>
                <w:lang w:val="en-US" w:eastAsia="zh-CN"/>
              </w:rPr>
              <w:t>中标</w:t>
            </w:r>
            <w:r>
              <w:rPr>
                <w:rFonts w:hint="eastAsia" w:ascii="宋体" w:hAnsi="宋体" w:cs="宋体"/>
                <w:b/>
                <w:bCs/>
                <w:color w:val="auto"/>
                <w:sz w:val="24"/>
                <w:highlight w:val="none"/>
              </w:rPr>
              <w:t>供应商自行负责。保证该软件内的医院数据不能外泄。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数据备份:</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1)数据库具有灾备,遇到紧急故障可快速恢复备库数据到生产库。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系统响应:</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1)单次请求毫秒级响应；</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2)可实现大任务批量处理；</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3)数据更新后可实时查询；</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4)计划制定后可实时生成子任务。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bCs/>
                <w:color w:val="auto"/>
                <w:sz w:val="24"/>
                <w:highlight w:val="none"/>
              </w:rPr>
            </w:pPr>
            <w:r>
              <w:rPr>
                <w:rFonts w:hint="eastAsia" w:ascii="宋体" w:hAnsi="宋体" w:cs="宋体"/>
                <w:color w:val="auto"/>
                <w:sz w:val="24"/>
                <w:highlight w:val="none"/>
              </w:rPr>
              <w:t>12</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数据大屏监控:</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1)根据不同业务场景提供相关的数据监控大屏,如医院资产监控、大设备健康监控、维保任务监控、设备运行效益监控等；</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2)监控大屏需具有不同的角色,比如院领导版、设备科版；</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3)具有数据穿透能力,比如从大屏上可穿透到设备级数据,具有设备画像功能。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接口开放对接:</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接口要求按医院集成平台总线标准开发对接。包括但不限于HRP、HIS、PACS、LIS等系统，以满足系统功能及管理功能正常运行需要；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功能可扩展:</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1)系统架构设计上可以实现功能扩展,如医疗设备环境数据采集、设备效益分析等功能；</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2)提供定制化统计报表功能开发服务；</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3)系统可根据医院管理要求二次开发，不另行收费。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8390" w:type="dxa"/>
            <w:noWrap w:val="0"/>
            <w:vAlign w:val="center"/>
          </w:tcPr>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医疗设备不良事件上报功能:</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1)具有连接国家医疗器械不良事件监测信息系统数据接口；</w:t>
            </w:r>
          </w:p>
          <w:p>
            <w:pPr>
              <w:keepNext w:val="0"/>
              <w:keepLines w:val="0"/>
              <w:pageBreakBefore w:val="0"/>
              <w:widowControl w:val="0"/>
              <w:kinsoku/>
              <w:wordWrap/>
              <w:overflowPunct/>
              <w:topLinePunct w:val="0"/>
              <w:bidi w:val="0"/>
              <w:adjustRightInd/>
              <w:snapToGrid/>
              <w:spacing w:line="42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2)可以实现移动端审核及上报医疗设备不良事件入口。</w:t>
            </w:r>
          </w:p>
        </w:tc>
      </w:tr>
    </w:tbl>
    <w:p>
      <w:pPr>
        <w:pStyle w:val="203"/>
        <w:spacing w:after="156" w:afterLines="50" w:line="400" w:lineRule="exact"/>
        <w:ind w:left="0" w:firstLine="241" w:firstLineChars="100"/>
        <w:jc w:val="left"/>
        <w:rPr>
          <w:rFonts w:hint="eastAsia"/>
          <w:b/>
          <w:bCs/>
          <w:color w:val="auto"/>
          <w:sz w:val="24"/>
          <w:highlight w:val="none"/>
          <w:lang w:val="en-US"/>
        </w:rPr>
      </w:pPr>
      <w:r>
        <w:rPr>
          <w:rFonts w:hint="eastAsia"/>
          <w:b/>
          <w:bCs/>
          <w:color w:val="auto"/>
          <w:sz w:val="24"/>
          <w:highlight w:val="none"/>
          <w:lang w:val="en-US"/>
        </w:rPr>
        <w:t>三、商务要求</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2" w:firstLineChars="175"/>
        <w:jc w:val="left"/>
        <w:textAlignment w:val="auto"/>
        <w:rPr>
          <w:rFonts w:hint="default" w:eastAsia="宋体"/>
          <w:color w:val="auto"/>
          <w:sz w:val="24"/>
          <w:highlight w:val="none"/>
          <w:lang w:val="en-US" w:eastAsia="zh-CN"/>
        </w:rPr>
      </w:pPr>
      <w:r>
        <w:rPr>
          <w:rFonts w:hint="eastAsia"/>
          <w:b/>
          <w:bCs/>
          <w:color w:val="auto"/>
          <w:sz w:val="24"/>
          <w:highlight w:val="none"/>
          <w:lang w:val="en-US" w:eastAsia="zh-CN"/>
        </w:rPr>
        <w:t>1.服务质量要求</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2" w:firstLineChars="175"/>
        <w:jc w:val="left"/>
        <w:textAlignment w:val="auto"/>
        <w:rPr>
          <w:rFonts w:hint="eastAsia"/>
          <w:b/>
          <w:bCs/>
          <w:color w:val="auto"/>
          <w:sz w:val="24"/>
          <w:highlight w:val="none"/>
        </w:rPr>
      </w:pPr>
      <w:r>
        <w:rPr>
          <w:rFonts w:hint="eastAsia" w:ascii="宋体" w:hAnsi="宋体" w:eastAsia="宋体" w:cs="宋体"/>
          <w:b/>
          <w:bCs/>
          <w:color w:val="auto"/>
          <w:sz w:val="24"/>
          <w:highlight w:val="none"/>
        </w:rPr>
        <w:t>★</w:t>
      </w:r>
      <w:r>
        <w:rPr>
          <w:rFonts w:hint="eastAsia"/>
          <w:b/>
          <w:bCs/>
          <w:color w:val="auto"/>
          <w:sz w:val="24"/>
          <w:highlight w:val="none"/>
          <w:lang w:val="en-US" w:eastAsia="zh-CN"/>
        </w:rPr>
        <w:t>1.1</w:t>
      </w:r>
      <w:r>
        <w:rPr>
          <w:rFonts w:hint="eastAsia"/>
          <w:b/>
          <w:bCs/>
          <w:color w:val="auto"/>
          <w:sz w:val="24"/>
          <w:highlight w:val="none"/>
        </w:rPr>
        <w:t>服务期间，原厂质保到期的设备</w:t>
      </w:r>
      <w:r>
        <w:rPr>
          <w:rFonts w:hint="eastAsia"/>
          <w:b/>
          <w:bCs/>
          <w:color w:val="auto"/>
          <w:sz w:val="24"/>
          <w:highlight w:val="none"/>
          <w:lang w:val="en-US"/>
        </w:rPr>
        <w:t>自动纳入维保</w:t>
      </w:r>
      <w:r>
        <w:rPr>
          <w:rFonts w:hint="eastAsia"/>
          <w:b/>
          <w:bCs/>
          <w:color w:val="auto"/>
          <w:sz w:val="24"/>
          <w:highlight w:val="none"/>
        </w:rPr>
        <w:t>。</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color w:val="auto"/>
          <w:sz w:val="24"/>
          <w:highlight w:val="none"/>
        </w:rPr>
      </w:pPr>
      <w:r>
        <w:rPr>
          <w:rFonts w:hint="eastAsia"/>
          <w:color w:val="auto"/>
          <w:sz w:val="24"/>
          <w:highlight w:val="none"/>
          <w:lang w:val="en-US" w:eastAsia="zh-CN"/>
        </w:rPr>
        <w:t>1.2</w:t>
      </w:r>
      <w:r>
        <w:rPr>
          <w:rFonts w:hint="eastAsia"/>
          <w:color w:val="auto"/>
          <w:sz w:val="24"/>
          <w:highlight w:val="none"/>
        </w:rPr>
        <w:t>管理系统</w:t>
      </w:r>
      <w:r>
        <w:rPr>
          <w:rFonts w:hint="eastAsia"/>
          <w:color w:val="auto"/>
          <w:sz w:val="24"/>
          <w:highlight w:val="none"/>
          <w:lang w:val="en-US"/>
        </w:rPr>
        <w:t>实现</w:t>
      </w:r>
      <w:r>
        <w:rPr>
          <w:rFonts w:hint="eastAsia"/>
          <w:color w:val="auto"/>
          <w:sz w:val="24"/>
          <w:highlight w:val="none"/>
        </w:rPr>
        <w:t>全院医疗设备、医疗设施以及其他固定资产信息化管理、贴签及建立固定资产数据库。</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color w:val="auto"/>
          <w:sz w:val="24"/>
          <w:highlight w:val="none"/>
        </w:rPr>
      </w:pPr>
      <w:r>
        <w:rPr>
          <w:rFonts w:hint="eastAsia"/>
          <w:color w:val="auto"/>
          <w:sz w:val="24"/>
          <w:highlight w:val="none"/>
          <w:lang w:val="en-US" w:eastAsia="zh-CN"/>
        </w:rPr>
        <w:t>1.3</w:t>
      </w:r>
      <w:r>
        <w:rPr>
          <w:rFonts w:hint="eastAsia"/>
          <w:color w:val="auto"/>
          <w:sz w:val="24"/>
          <w:highlight w:val="none"/>
        </w:rPr>
        <w:t>实现全院医疗设备、医疗设施维修的分类管理，并实现医疗设备、医疗设施、总务设备、信息类设备故障的维修信息推送。</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color w:val="auto"/>
          <w:sz w:val="24"/>
          <w:highlight w:val="none"/>
          <w:lang w:val="en-US"/>
        </w:rPr>
      </w:pPr>
      <w:r>
        <w:rPr>
          <w:rFonts w:hint="eastAsia"/>
          <w:color w:val="auto"/>
          <w:sz w:val="24"/>
          <w:highlight w:val="none"/>
          <w:lang w:val="en-US" w:eastAsia="zh-CN"/>
        </w:rPr>
        <w:t>1.4</w:t>
      </w:r>
      <w:r>
        <w:rPr>
          <w:rFonts w:hint="eastAsia"/>
          <w:color w:val="auto"/>
          <w:sz w:val="24"/>
          <w:highlight w:val="none"/>
          <w:lang w:val="en-US"/>
        </w:rPr>
        <w:t>信息需求：</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b/>
          <w:bCs/>
          <w:color w:val="auto"/>
          <w:sz w:val="24"/>
          <w:highlight w:val="none"/>
        </w:rPr>
      </w:pPr>
      <w:r>
        <w:rPr>
          <w:rFonts w:hint="eastAsia"/>
          <w:color w:val="auto"/>
          <w:sz w:val="24"/>
          <w:highlight w:val="none"/>
          <w:lang w:val="en-US" w:eastAsia="zh-CN"/>
        </w:rPr>
        <w:t>1.</w:t>
      </w:r>
      <w:r>
        <w:rPr>
          <w:rFonts w:hint="eastAsia"/>
          <w:color w:val="auto"/>
          <w:sz w:val="24"/>
          <w:highlight w:val="none"/>
          <w:lang w:val="en-US"/>
        </w:rPr>
        <w:t>4.1报价含信息</w:t>
      </w:r>
      <w:r>
        <w:rPr>
          <w:rFonts w:hint="eastAsia"/>
          <w:color w:val="auto"/>
          <w:sz w:val="24"/>
          <w:highlight w:val="none"/>
        </w:rPr>
        <w:t>接口</w:t>
      </w:r>
      <w:r>
        <w:rPr>
          <w:rFonts w:hint="eastAsia"/>
          <w:color w:val="auto"/>
          <w:sz w:val="24"/>
          <w:highlight w:val="none"/>
          <w:lang w:val="en-US"/>
        </w:rPr>
        <w:t>费，接口</w:t>
      </w:r>
      <w:r>
        <w:rPr>
          <w:rFonts w:hint="eastAsia"/>
          <w:color w:val="auto"/>
          <w:sz w:val="24"/>
          <w:highlight w:val="none"/>
        </w:rPr>
        <w:t>要求按医院集成平台总线标准开发对接。包括但不限于HRP、HIS、PACS、LIS等系统</w:t>
      </w:r>
      <w:r>
        <w:rPr>
          <w:rFonts w:hint="eastAsia"/>
          <w:color w:val="auto"/>
          <w:sz w:val="24"/>
          <w:highlight w:val="none"/>
          <w:lang w:val="en-US"/>
        </w:rPr>
        <w:t>。</w:t>
      </w:r>
      <w:r>
        <w:rPr>
          <w:rFonts w:hint="eastAsia"/>
          <w:color w:val="auto"/>
          <w:sz w:val="24"/>
          <w:highlight w:val="none"/>
        </w:rPr>
        <w:t>以满足系统功能及管理功能正常运行需要。系统最终须接入</w:t>
      </w:r>
      <w:r>
        <w:rPr>
          <w:rFonts w:hint="eastAsia"/>
          <w:color w:val="auto"/>
          <w:sz w:val="24"/>
          <w:highlight w:val="none"/>
          <w:lang w:eastAsia="zh-CN"/>
        </w:rPr>
        <w:t>采购人</w:t>
      </w:r>
      <w:r>
        <w:rPr>
          <w:rFonts w:hint="eastAsia"/>
          <w:color w:val="auto"/>
          <w:sz w:val="24"/>
          <w:highlight w:val="none"/>
        </w:rPr>
        <w:t>数据中心，供数据中心进行整合及共享。同时，提供标准接口，提供资产信息，状态，科室，地点等信息并与第三方系统交互。</w:t>
      </w:r>
      <w:r>
        <w:rPr>
          <w:rFonts w:hint="eastAsia"/>
          <w:b/>
          <w:bCs/>
          <w:color w:val="auto"/>
          <w:sz w:val="24"/>
          <w:highlight w:val="none"/>
        </w:rPr>
        <w:t>（</w:t>
      </w:r>
      <w:r>
        <w:rPr>
          <w:rFonts w:hint="eastAsia"/>
          <w:b/>
          <w:bCs/>
          <w:color w:val="auto"/>
          <w:sz w:val="24"/>
          <w:highlight w:val="none"/>
          <w:lang w:val="en-US"/>
        </w:rPr>
        <w:t>总报价含本系统与第三方系统对接时产生的第三方接口费，按不少于10万/年累计，三年共不低于30万元，按实际发生结算。</w:t>
      </w:r>
      <w:r>
        <w:rPr>
          <w:rFonts w:hint="eastAsia"/>
          <w:b/>
          <w:bCs/>
          <w:color w:val="auto"/>
          <w:sz w:val="24"/>
          <w:highlight w:val="none"/>
        </w:rPr>
        <w:t>）</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rPr>
        <w:t>4</w:t>
      </w:r>
      <w:r>
        <w:rPr>
          <w:rFonts w:hint="eastAsia"/>
          <w:color w:val="auto"/>
          <w:sz w:val="24"/>
          <w:highlight w:val="none"/>
          <w:lang w:val="en-US"/>
        </w:rPr>
        <w:t>.2</w:t>
      </w:r>
      <w:r>
        <w:rPr>
          <w:rFonts w:hint="eastAsia"/>
          <w:color w:val="auto"/>
          <w:sz w:val="24"/>
          <w:highlight w:val="none"/>
        </w:rPr>
        <w:t>负责服务器、操作系统、数据库等软件的安装部署。</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color w:val="auto"/>
          <w:sz w:val="24"/>
          <w:highlight w:val="none"/>
          <w:lang w:val="en-US"/>
        </w:rPr>
      </w:pPr>
      <w:r>
        <w:rPr>
          <w:rFonts w:hint="eastAsia"/>
          <w:color w:val="auto"/>
          <w:sz w:val="24"/>
          <w:highlight w:val="none"/>
          <w:lang w:val="en-US" w:eastAsia="zh-CN"/>
        </w:rPr>
        <w:t>1.</w:t>
      </w:r>
      <w:r>
        <w:rPr>
          <w:rFonts w:hint="eastAsia"/>
          <w:color w:val="auto"/>
          <w:sz w:val="24"/>
          <w:highlight w:val="none"/>
        </w:rPr>
        <w:t>4</w:t>
      </w:r>
      <w:r>
        <w:rPr>
          <w:rFonts w:hint="eastAsia"/>
          <w:color w:val="auto"/>
          <w:sz w:val="24"/>
          <w:highlight w:val="none"/>
          <w:lang w:val="en-US"/>
        </w:rPr>
        <w:t>.3</w:t>
      </w:r>
      <w:r>
        <w:rPr>
          <w:rFonts w:hint="eastAsia"/>
          <w:color w:val="auto"/>
          <w:sz w:val="24"/>
          <w:highlight w:val="none"/>
        </w:rPr>
        <w:t>系统可根据医院管理要求二次开发，不另行收费。</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color w:val="auto"/>
          <w:sz w:val="24"/>
          <w:highlight w:val="none"/>
        </w:rPr>
      </w:pPr>
      <w:r>
        <w:rPr>
          <w:rFonts w:hint="eastAsia"/>
          <w:color w:val="auto"/>
          <w:sz w:val="24"/>
          <w:highlight w:val="none"/>
          <w:lang w:val="en-US" w:eastAsia="zh-CN"/>
        </w:rPr>
        <w:t>1.</w:t>
      </w:r>
      <w:r>
        <w:rPr>
          <w:rFonts w:hint="eastAsia"/>
          <w:color w:val="auto"/>
          <w:sz w:val="24"/>
          <w:highlight w:val="none"/>
          <w:lang w:val="en-US"/>
        </w:rPr>
        <w:t>4.4</w:t>
      </w:r>
      <w:r>
        <w:rPr>
          <w:rFonts w:hint="eastAsia"/>
          <w:color w:val="auto"/>
          <w:sz w:val="24"/>
          <w:highlight w:val="none"/>
        </w:rPr>
        <w:t>软件正版化原则。必须保证提供的产品（软件、服务内容）系自主研发或者依法享有完全的</w:t>
      </w:r>
      <w:r>
        <w:rPr>
          <w:rFonts w:hint="eastAsia"/>
          <w:color w:val="auto"/>
          <w:sz w:val="24"/>
          <w:highlight w:val="none"/>
          <w:lang w:val="en-US"/>
        </w:rPr>
        <w:t>使用权</w:t>
      </w:r>
      <w:r>
        <w:rPr>
          <w:rFonts w:hint="eastAsia"/>
          <w:color w:val="auto"/>
          <w:sz w:val="24"/>
          <w:highlight w:val="none"/>
        </w:rPr>
        <w:t>，采购人在中华人民共和国境内使用供应商提供的产品及服务时免受第三方提出的侵犯其专利权或其它知识产权的起诉。如果第三方提出侵权指控，中标供应商应承担由此而引起的一切法律责任和费用。</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color w:val="auto"/>
          <w:sz w:val="24"/>
          <w:highlight w:val="none"/>
          <w:lang w:val="en-US"/>
        </w:rPr>
      </w:pPr>
      <w:r>
        <w:rPr>
          <w:rFonts w:hint="eastAsia"/>
          <w:b w:val="0"/>
          <w:bCs w:val="0"/>
          <w:color w:val="auto"/>
          <w:sz w:val="24"/>
          <w:highlight w:val="none"/>
          <w:lang w:val="en-US" w:eastAsia="zh-CN"/>
        </w:rPr>
        <w:t>1.5</w:t>
      </w:r>
      <w:r>
        <w:rPr>
          <w:rFonts w:hint="eastAsia"/>
          <w:b w:val="0"/>
          <w:bCs w:val="0"/>
          <w:color w:val="auto"/>
          <w:sz w:val="24"/>
          <w:highlight w:val="none"/>
          <w:lang w:val="en-US"/>
        </w:rPr>
        <w:t>采购人与中标供应商合同履行结束后，信息系统、软件、二次开发成果及服务器等无偿移交采购人。</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2" w:firstLineChars="175"/>
        <w:jc w:val="left"/>
        <w:textAlignment w:val="auto"/>
        <w:rPr>
          <w:rFonts w:hint="eastAsia"/>
          <w:b/>
          <w:bCs/>
          <w:color w:val="auto"/>
          <w:sz w:val="24"/>
          <w:highlight w:val="none"/>
        </w:rPr>
      </w:pPr>
      <w:r>
        <w:rPr>
          <w:rFonts w:hint="eastAsia"/>
          <w:b/>
          <w:bCs/>
          <w:color w:val="auto"/>
          <w:sz w:val="24"/>
          <w:highlight w:val="none"/>
          <w:lang w:val="en-US" w:eastAsia="zh-CN"/>
        </w:rPr>
        <w:t>2.</w:t>
      </w:r>
      <w:r>
        <w:rPr>
          <w:rFonts w:hint="eastAsia"/>
          <w:b/>
          <w:bCs/>
          <w:color w:val="auto"/>
          <w:sz w:val="24"/>
          <w:highlight w:val="none"/>
        </w:rPr>
        <w:t>服务期限</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color w:val="auto"/>
          <w:sz w:val="24"/>
          <w:highlight w:val="none"/>
          <w:lang w:val="en-US"/>
        </w:rPr>
      </w:pPr>
      <w:r>
        <w:rPr>
          <w:rFonts w:hint="eastAsia"/>
          <w:color w:val="auto"/>
          <w:sz w:val="24"/>
          <w:highlight w:val="none"/>
        </w:rPr>
        <w:t>三年</w:t>
      </w:r>
      <w:r>
        <w:rPr>
          <w:rFonts w:hint="eastAsia"/>
          <w:color w:val="auto"/>
          <w:sz w:val="24"/>
          <w:highlight w:val="none"/>
          <w:lang w:eastAsia="zh-CN"/>
        </w:rPr>
        <w:t>，</w:t>
      </w:r>
      <w:r>
        <w:rPr>
          <w:rFonts w:hint="eastAsia" w:ascii="宋体" w:hAnsi="宋体" w:eastAsia="宋体" w:cs="宋体"/>
          <w:color w:val="auto"/>
          <w:sz w:val="24"/>
          <w:highlight w:val="none"/>
          <w:lang w:val="en-US" w:eastAsia="zh-CN"/>
        </w:rPr>
        <w:t>合同模式为一年一签订</w:t>
      </w:r>
      <w:r>
        <w:rPr>
          <w:rFonts w:hint="eastAsia"/>
          <w:color w:val="auto"/>
          <w:sz w:val="24"/>
          <w:highlight w:val="none"/>
          <w:lang w:eastAsia="zh-CN"/>
        </w:rPr>
        <w:t>，</w:t>
      </w:r>
      <w:r>
        <w:rPr>
          <w:rFonts w:hint="eastAsia"/>
          <w:color w:val="auto"/>
          <w:sz w:val="24"/>
          <w:highlight w:val="none"/>
        </w:rPr>
        <w:t>从签订合同之日开始计算服务日期。合同签订后每年度由医院各使用部门和设备管理部门进行考评，若无法达到医院服务要求，医院有权解除合同，不再顺延。</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2" w:firstLineChars="175"/>
        <w:jc w:val="left"/>
        <w:textAlignment w:val="auto"/>
        <w:rPr>
          <w:rFonts w:hint="eastAsia"/>
          <w:b/>
          <w:bCs/>
          <w:color w:val="auto"/>
          <w:sz w:val="24"/>
          <w:highlight w:val="none"/>
        </w:rPr>
      </w:pPr>
      <w:r>
        <w:rPr>
          <w:rFonts w:hint="eastAsia"/>
          <w:b/>
          <w:bCs/>
          <w:color w:val="auto"/>
          <w:sz w:val="24"/>
          <w:highlight w:val="none"/>
          <w:lang w:val="en-US" w:eastAsia="zh-CN"/>
        </w:rPr>
        <w:t>3.</w:t>
      </w:r>
      <w:r>
        <w:rPr>
          <w:rFonts w:hint="eastAsia"/>
          <w:b/>
          <w:bCs/>
          <w:color w:val="auto"/>
          <w:sz w:val="24"/>
          <w:highlight w:val="none"/>
        </w:rPr>
        <w:t>项目预算</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2" w:firstLineChars="175"/>
        <w:jc w:val="left"/>
        <w:textAlignment w:val="auto"/>
        <w:rPr>
          <w:rFonts w:hint="eastAsia"/>
          <w:color w:val="auto"/>
          <w:sz w:val="24"/>
          <w:highlight w:val="none"/>
          <w:lang w:val="en-US"/>
        </w:rPr>
      </w:pPr>
      <w:r>
        <w:rPr>
          <w:rFonts w:hint="eastAsia"/>
          <w:b/>
          <w:bCs/>
          <w:color w:val="auto"/>
          <w:sz w:val="24"/>
          <w:highlight w:val="none"/>
          <w:lang w:val="en-US"/>
        </w:rPr>
        <w:t>控制价为2325</w:t>
      </w:r>
      <w:r>
        <w:rPr>
          <w:rFonts w:hint="eastAsia"/>
          <w:b/>
          <w:bCs/>
          <w:color w:val="auto"/>
          <w:sz w:val="24"/>
          <w:highlight w:val="none"/>
        </w:rPr>
        <w:t>万元/</w:t>
      </w:r>
      <w:r>
        <w:rPr>
          <w:rFonts w:hint="eastAsia"/>
          <w:b/>
          <w:bCs/>
          <w:color w:val="auto"/>
          <w:sz w:val="24"/>
          <w:highlight w:val="none"/>
          <w:lang w:val="en-US"/>
        </w:rPr>
        <w:t>3</w:t>
      </w:r>
      <w:r>
        <w:rPr>
          <w:rFonts w:hint="eastAsia"/>
          <w:b/>
          <w:bCs/>
          <w:color w:val="auto"/>
          <w:sz w:val="24"/>
          <w:highlight w:val="none"/>
        </w:rPr>
        <w:t>年；</w:t>
      </w:r>
      <w:r>
        <w:rPr>
          <w:rFonts w:hint="eastAsia"/>
          <w:color w:val="auto"/>
          <w:sz w:val="24"/>
          <w:highlight w:val="none"/>
        </w:rPr>
        <w:t>费用包含：设备的定期检查保养费用；为医院提供驻场工程师及其他支持工程师的工资绩效、社保福利、房租差旅费；设备维修及保养中需更换的备件费用；通过电话、网络等手段向医院提供的技术服务费用；设备巡检；医疗设备生命周期管理软件安装使用及日后的维护、升级费用；维修工具、装备等；维修场所装修及办公设施费用；备用机</w:t>
      </w:r>
      <w:r>
        <w:rPr>
          <w:rFonts w:hint="eastAsia"/>
          <w:color w:val="auto"/>
          <w:sz w:val="24"/>
          <w:highlight w:val="none"/>
          <w:lang w:val="en-US"/>
        </w:rPr>
        <w:t>；</w:t>
      </w:r>
      <w:r>
        <w:rPr>
          <w:rFonts w:hint="eastAsia"/>
          <w:color w:val="auto"/>
          <w:sz w:val="24"/>
          <w:highlight w:val="none"/>
        </w:rPr>
        <w:t>项目利润、税金等。</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color w:val="auto"/>
          <w:sz w:val="24"/>
          <w:highlight w:val="none"/>
        </w:rPr>
      </w:pPr>
      <w:r>
        <w:rPr>
          <w:rFonts w:hint="eastAsia"/>
          <w:color w:val="auto"/>
          <w:sz w:val="24"/>
          <w:highlight w:val="none"/>
          <w:lang w:val="en-US"/>
        </w:rPr>
        <w:t>服务</w:t>
      </w:r>
      <w:r>
        <w:rPr>
          <w:rFonts w:hint="eastAsia"/>
          <w:color w:val="auto"/>
          <w:sz w:val="24"/>
          <w:highlight w:val="none"/>
        </w:rPr>
        <w:t>费用不含：</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rFonts w:hint="eastAsia"/>
          <w:color w:val="auto"/>
          <w:sz w:val="24"/>
          <w:highlight w:val="none"/>
        </w:rPr>
        <w:t>国家统一规定的计量、强检、质控费用；设备一次性耗材、消耗性耗材；医疗设备软硬件升级费用；项目开展前，设备已有重大故障的维修费用。</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b/>
          <w:bCs/>
          <w:color w:val="auto"/>
          <w:sz w:val="24"/>
          <w:highlight w:val="none"/>
          <w:lang w:val="en-US" w:eastAsia="zh-CN"/>
        </w:rPr>
      </w:pPr>
      <w:r>
        <w:rPr>
          <w:rFonts w:hint="eastAsia"/>
          <w:color w:val="auto"/>
          <w:sz w:val="24"/>
          <w:highlight w:val="none"/>
          <w:lang w:val="en-US" w:eastAsia="zh-CN"/>
        </w:rPr>
        <w:t>（2）</w:t>
      </w:r>
      <w:r>
        <w:rPr>
          <w:rFonts w:hint="eastAsia"/>
          <w:color w:val="auto"/>
          <w:sz w:val="24"/>
          <w:highlight w:val="none"/>
        </w:rPr>
        <w:t>超过厂家建议正常使用年限的设备发生故障，如原厂或其他渠道均无法提供维修所需备件或耗材，</w:t>
      </w:r>
      <w:r>
        <w:rPr>
          <w:rFonts w:hint="eastAsia"/>
          <w:color w:val="auto"/>
          <w:sz w:val="24"/>
          <w:highlight w:val="none"/>
          <w:lang w:val="en-US" w:eastAsia="zh-CN"/>
        </w:rPr>
        <w:t>导致</w:t>
      </w:r>
      <w:r>
        <w:rPr>
          <w:rFonts w:hint="eastAsia"/>
          <w:color w:val="auto"/>
          <w:sz w:val="24"/>
          <w:highlight w:val="none"/>
        </w:rPr>
        <w:t>设备无法修复，经医院同意后按相关程序报废。</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firstLine="422" w:firstLineChars="175"/>
        <w:textAlignment w:val="auto"/>
        <w:outlineLvl w:val="1"/>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付款方式</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firstLine="427" w:firstLineChars="175"/>
        <w:jc w:val="left"/>
        <w:textAlignment w:val="auto"/>
        <w:rPr>
          <w:rFonts w:hint="eastAsia" w:ascii="宋体" w:hAnsi="宋体" w:cs="宋体"/>
          <w:color w:val="auto"/>
          <w:spacing w:val="5"/>
          <w:sz w:val="24"/>
          <w:highlight w:val="none"/>
        </w:rPr>
      </w:pPr>
      <w:r>
        <w:rPr>
          <w:rFonts w:hint="eastAsia" w:ascii="宋体" w:hAnsi="宋体" w:cs="宋体"/>
          <w:color w:val="auto"/>
          <w:spacing w:val="2"/>
          <w:sz w:val="24"/>
          <w:highlight w:val="none"/>
        </w:rPr>
        <w:t>付款进度安排</w:t>
      </w:r>
      <w:r>
        <w:rPr>
          <w:rFonts w:hint="eastAsia" w:ascii="宋体" w:hAnsi="宋体" w:cs="宋体"/>
          <w:color w:val="auto"/>
          <w:spacing w:val="5"/>
          <w:sz w:val="24"/>
          <w:highlight w:val="none"/>
        </w:rPr>
        <w:t>：合同签订后有效期内，全年分四个季度付款</w:t>
      </w:r>
      <w:r>
        <w:rPr>
          <w:rFonts w:hint="eastAsia" w:ascii="宋体" w:hAnsi="宋体" w:cs="宋体"/>
          <w:color w:val="auto"/>
          <w:spacing w:val="5"/>
          <w:sz w:val="24"/>
          <w:highlight w:val="none"/>
          <w:lang w:eastAsia="zh-CN"/>
        </w:rPr>
        <w:t>，</w:t>
      </w:r>
      <w:r>
        <w:rPr>
          <w:rFonts w:hint="eastAsia" w:ascii="宋体" w:hAnsi="宋体" w:cs="宋体"/>
          <w:color w:val="auto"/>
          <w:spacing w:val="5"/>
          <w:sz w:val="24"/>
          <w:highlight w:val="none"/>
        </w:rPr>
        <w:t>每季度后第</w:t>
      </w:r>
      <w:r>
        <w:rPr>
          <w:rFonts w:hint="eastAsia" w:ascii="宋体" w:hAnsi="宋体" w:cs="宋体"/>
          <w:color w:val="auto"/>
          <w:spacing w:val="5"/>
          <w:sz w:val="24"/>
          <w:highlight w:val="none"/>
          <w:lang w:val="en-US" w:eastAsia="zh-CN"/>
        </w:rPr>
        <w:t>一</w:t>
      </w:r>
      <w:r>
        <w:rPr>
          <w:rFonts w:hint="eastAsia" w:ascii="宋体" w:hAnsi="宋体" w:cs="宋体"/>
          <w:color w:val="auto"/>
          <w:spacing w:val="5"/>
          <w:sz w:val="24"/>
          <w:highlight w:val="none"/>
        </w:rPr>
        <w:t>个月支付上季度服务费用</w:t>
      </w:r>
      <w:r>
        <w:rPr>
          <w:rFonts w:hint="eastAsia" w:ascii="宋体" w:hAnsi="宋体" w:cs="宋体"/>
          <w:color w:val="auto"/>
          <w:spacing w:val="5"/>
          <w:sz w:val="24"/>
          <w:highlight w:val="none"/>
          <w:lang w:eastAsia="zh-CN"/>
        </w:rPr>
        <w:t>（</w:t>
      </w:r>
      <w:r>
        <w:rPr>
          <w:rFonts w:hint="default" w:ascii="Arial" w:hAnsi="Arial" w:eastAsia="宋体" w:cs="Arial"/>
          <w:b w:val="0"/>
          <w:bCs w:val="0"/>
          <w:color w:val="auto"/>
          <w:kern w:val="0"/>
          <w:sz w:val="24"/>
          <w:szCs w:val="24"/>
          <w:highlight w:val="none"/>
          <w:lang w:val="en-US" w:eastAsia="zh-CN"/>
        </w:rPr>
        <w:t>按考核结果进行支付</w:t>
      </w:r>
      <w:r>
        <w:rPr>
          <w:rFonts w:hint="eastAsia" w:ascii="宋体" w:hAnsi="宋体" w:cs="宋体"/>
          <w:color w:val="auto"/>
          <w:spacing w:val="5"/>
          <w:sz w:val="24"/>
          <w:highlight w:val="none"/>
          <w:lang w:eastAsia="zh-CN"/>
        </w:rPr>
        <w:t>）</w:t>
      </w:r>
      <w:r>
        <w:rPr>
          <w:rFonts w:hint="eastAsia" w:ascii="宋体" w:hAnsi="宋体" w:cs="宋体"/>
          <w:color w:val="auto"/>
          <w:spacing w:val="5"/>
          <w:sz w:val="24"/>
          <w:highlight w:val="none"/>
        </w:rPr>
        <w:t>。采购人每次付款前，中标供应商必须向</w:t>
      </w:r>
      <w:r>
        <w:rPr>
          <w:rFonts w:hint="eastAsia" w:ascii="宋体" w:hAnsi="宋体" w:cs="宋体"/>
          <w:color w:val="auto"/>
          <w:spacing w:val="5"/>
          <w:sz w:val="24"/>
          <w:highlight w:val="none"/>
          <w:lang w:val="en-US" w:eastAsia="zh-CN"/>
        </w:rPr>
        <w:t>采购人</w:t>
      </w:r>
      <w:r>
        <w:rPr>
          <w:rFonts w:hint="eastAsia" w:ascii="宋体" w:hAnsi="宋体" w:cs="宋体"/>
          <w:color w:val="auto"/>
          <w:spacing w:val="5"/>
          <w:sz w:val="24"/>
          <w:highlight w:val="none"/>
        </w:rPr>
        <w:t>提供</w:t>
      </w:r>
      <w:r>
        <w:rPr>
          <w:rFonts w:hint="eastAsia" w:ascii="宋体" w:hAnsi="宋体" w:cs="宋体"/>
          <w:color w:val="auto"/>
          <w:spacing w:val="5"/>
          <w:sz w:val="24"/>
          <w:highlight w:val="none"/>
          <w:lang w:val="en-US" w:eastAsia="zh-CN"/>
        </w:rPr>
        <w:t>请款函及</w:t>
      </w:r>
      <w:r>
        <w:rPr>
          <w:rFonts w:hint="eastAsia" w:ascii="宋体" w:hAnsi="宋体" w:cs="宋体"/>
          <w:color w:val="auto"/>
          <w:spacing w:val="5"/>
          <w:sz w:val="24"/>
          <w:highlight w:val="none"/>
        </w:rPr>
        <w:t>符合国家规定及采购人要求的全额税务发票。中标供应商未开具发票或未提交请款报告的，采购人付款时间顺延，且不构成任何违约。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考核方式和合格标准</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firstLine="437" w:firstLineChars="175"/>
        <w:jc w:val="left"/>
        <w:textAlignment w:val="auto"/>
        <w:rPr>
          <w:rFonts w:hint="eastAsia" w:ascii="宋体" w:hAnsi="宋体" w:cs="宋体"/>
          <w:b/>
          <w:bCs/>
          <w:color w:val="auto"/>
          <w:sz w:val="24"/>
          <w:highlight w:val="none"/>
        </w:rPr>
      </w:pPr>
      <w:r>
        <w:rPr>
          <w:rFonts w:hint="eastAsia" w:ascii="宋体" w:hAnsi="宋体" w:cs="宋体"/>
          <w:color w:val="auto"/>
          <w:spacing w:val="5"/>
          <w:sz w:val="24"/>
          <w:highlight w:val="none"/>
        </w:rPr>
        <w:t>采购人</w:t>
      </w:r>
      <w:r>
        <w:rPr>
          <w:rFonts w:hint="eastAsia" w:ascii="宋体" w:hAnsi="宋体" w:eastAsia="宋体" w:cs="宋体"/>
          <w:color w:val="auto"/>
          <w:sz w:val="24"/>
          <w:szCs w:val="24"/>
          <w:highlight w:val="none"/>
        </w:rPr>
        <w:t>按照《医疗器械使用质量监督管理办法》、《三级公立医院绩效考核指标》等对</w:t>
      </w:r>
      <w:r>
        <w:rPr>
          <w:rFonts w:hint="eastAsia" w:ascii="宋体" w:hAnsi="宋体" w:cs="宋体"/>
          <w:color w:val="auto"/>
          <w:spacing w:val="5"/>
          <w:sz w:val="24"/>
          <w:highlight w:val="none"/>
        </w:rPr>
        <w:t>中标供应商</w:t>
      </w:r>
      <w:r>
        <w:rPr>
          <w:rFonts w:hint="eastAsia" w:ascii="宋体" w:hAnsi="宋体" w:eastAsia="宋体" w:cs="宋体"/>
          <w:color w:val="auto"/>
          <w:sz w:val="24"/>
          <w:szCs w:val="24"/>
          <w:highlight w:val="none"/>
        </w:rPr>
        <w:t>进行</w:t>
      </w:r>
      <w:r>
        <w:rPr>
          <w:rFonts w:hint="eastAsia" w:ascii="宋体" w:hAnsi="宋体" w:eastAsia="宋体" w:cs="宋体"/>
          <w:color w:val="auto"/>
          <w:sz w:val="24"/>
          <w:szCs w:val="24"/>
          <w:highlight w:val="none"/>
          <w:lang w:val="en-US" w:eastAsia="zh-CN"/>
        </w:rPr>
        <w:t>年度</w:t>
      </w:r>
      <w:r>
        <w:rPr>
          <w:rFonts w:hint="eastAsia" w:ascii="宋体" w:hAnsi="宋体" w:eastAsia="宋体" w:cs="宋体"/>
          <w:color w:val="auto"/>
          <w:sz w:val="24"/>
          <w:szCs w:val="24"/>
          <w:highlight w:val="none"/>
        </w:rPr>
        <w:t>服务考核</w:t>
      </w:r>
      <w:r>
        <w:rPr>
          <w:rFonts w:hint="eastAsia" w:ascii="宋体" w:hAnsi="宋体" w:cs="宋体"/>
          <w:color w:val="auto"/>
          <w:spacing w:val="5"/>
          <w:sz w:val="24"/>
          <w:highlight w:val="none"/>
        </w:rPr>
        <w:t>，不少于10个科室的考核评价。平均分以8</w:t>
      </w:r>
      <w:r>
        <w:rPr>
          <w:rFonts w:hint="eastAsia" w:ascii="宋体" w:hAnsi="宋体" w:cs="宋体"/>
          <w:color w:val="auto"/>
          <w:spacing w:val="5"/>
          <w:sz w:val="24"/>
          <w:highlight w:val="none"/>
          <w:lang w:val="en-US" w:eastAsia="zh-CN"/>
        </w:rPr>
        <w:t>5</w:t>
      </w:r>
      <w:r>
        <w:rPr>
          <w:rFonts w:hint="eastAsia" w:ascii="宋体" w:hAnsi="宋体" w:cs="宋体"/>
          <w:color w:val="auto"/>
          <w:spacing w:val="5"/>
          <w:sz w:val="24"/>
          <w:highlight w:val="none"/>
        </w:rPr>
        <w:t>分作为合格分数线，8</w:t>
      </w:r>
      <w:r>
        <w:rPr>
          <w:rFonts w:hint="eastAsia" w:ascii="宋体" w:hAnsi="宋体" w:cs="宋体"/>
          <w:color w:val="auto"/>
          <w:spacing w:val="5"/>
          <w:sz w:val="24"/>
          <w:highlight w:val="none"/>
          <w:lang w:val="en-US" w:eastAsia="zh-CN"/>
        </w:rPr>
        <w:t>5</w:t>
      </w:r>
      <w:r>
        <w:rPr>
          <w:rFonts w:hint="eastAsia" w:ascii="宋体" w:hAnsi="宋体" w:cs="宋体"/>
          <w:color w:val="auto"/>
          <w:spacing w:val="5"/>
          <w:sz w:val="24"/>
          <w:highlight w:val="none"/>
        </w:rPr>
        <w:t>分以下每低一分扣除本</w:t>
      </w:r>
      <w:r>
        <w:rPr>
          <w:rFonts w:hint="eastAsia" w:ascii="宋体" w:hAnsi="宋体" w:cs="宋体"/>
          <w:color w:val="auto"/>
          <w:spacing w:val="5"/>
          <w:sz w:val="24"/>
          <w:highlight w:val="none"/>
          <w:lang w:val="en-US" w:eastAsia="zh-CN"/>
        </w:rPr>
        <w:t>年</w:t>
      </w:r>
      <w:r>
        <w:rPr>
          <w:rFonts w:hint="eastAsia" w:ascii="宋体" w:hAnsi="宋体" w:cs="宋体"/>
          <w:color w:val="auto"/>
          <w:spacing w:val="5"/>
          <w:sz w:val="24"/>
          <w:highlight w:val="none"/>
        </w:rPr>
        <w:t>度</w:t>
      </w:r>
      <w:r>
        <w:rPr>
          <w:rFonts w:hint="eastAsia" w:ascii="宋体" w:hAnsi="宋体" w:cs="宋体"/>
          <w:color w:val="auto"/>
          <w:spacing w:val="5"/>
          <w:sz w:val="24"/>
          <w:highlight w:val="none"/>
          <w:lang w:val="en-US" w:eastAsia="zh-CN"/>
        </w:rPr>
        <w:t>合同</w:t>
      </w:r>
      <w:r>
        <w:rPr>
          <w:rFonts w:hint="eastAsia" w:ascii="宋体" w:hAnsi="宋体" w:cs="宋体"/>
          <w:color w:val="auto"/>
          <w:spacing w:val="5"/>
          <w:sz w:val="24"/>
          <w:highlight w:val="none"/>
        </w:rPr>
        <w:t>金额的3‰，罚款标准一般上限为本</w:t>
      </w:r>
      <w:r>
        <w:rPr>
          <w:rFonts w:hint="eastAsia" w:ascii="宋体" w:hAnsi="宋体" w:cs="宋体"/>
          <w:color w:val="auto"/>
          <w:spacing w:val="5"/>
          <w:sz w:val="24"/>
          <w:highlight w:val="none"/>
          <w:lang w:val="en-US" w:eastAsia="zh-CN"/>
        </w:rPr>
        <w:t>年</w:t>
      </w:r>
      <w:r>
        <w:rPr>
          <w:rFonts w:hint="eastAsia" w:ascii="宋体" w:hAnsi="宋体" w:cs="宋体"/>
          <w:color w:val="auto"/>
          <w:spacing w:val="5"/>
          <w:sz w:val="24"/>
          <w:highlight w:val="none"/>
        </w:rPr>
        <w:t>度合同金额的3%。</w:t>
      </w:r>
    </w:p>
    <w:p>
      <w:pPr>
        <w:pStyle w:val="203"/>
        <w:keepNext w:val="0"/>
        <w:keepLines w:val="0"/>
        <w:pageBreakBefore w:val="0"/>
        <w:widowControl w:val="0"/>
        <w:kinsoku/>
        <w:wordWrap/>
        <w:overflowPunct/>
        <w:topLinePunct w:val="0"/>
        <w:autoSpaceDE/>
        <w:autoSpaceDN/>
        <w:bidi w:val="0"/>
        <w:adjustRightInd/>
        <w:snapToGrid/>
        <w:spacing w:line="420" w:lineRule="atLeast"/>
        <w:ind w:left="0" w:leftChars="0" w:right="0" w:firstLine="422" w:firstLineChars="175"/>
        <w:jc w:val="left"/>
        <w:textAlignment w:val="auto"/>
        <w:rPr>
          <w:rFonts w:hint="eastAsia"/>
          <w:b/>
          <w:bCs/>
          <w:color w:val="auto"/>
          <w:sz w:val="24"/>
          <w:highlight w:val="none"/>
        </w:rPr>
      </w:pPr>
      <w:r>
        <w:rPr>
          <w:rFonts w:hint="eastAsia"/>
          <w:b/>
          <w:bCs/>
          <w:color w:val="auto"/>
          <w:sz w:val="24"/>
          <w:highlight w:val="none"/>
          <w:lang w:val="en-US" w:eastAsia="zh-CN"/>
        </w:rPr>
        <w:t>6.</w:t>
      </w:r>
      <w:r>
        <w:rPr>
          <w:rFonts w:hint="eastAsia"/>
          <w:b/>
          <w:bCs/>
          <w:color w:val="auto"/>
          <w:sz w:val="24"/>
          <w:highlight w:val="none"/>
        </w:rPr>
        <w:t>项目服务内容安装、验收、临床培训及考核</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6.1</w:t>
      </w:r>
      <w:r>
        <w:rPr>
          <w:rFonts w:hint="eastAsia" w:ascii="宋体" w:hAnsi="宋体" w:cs="宋体"/>
          <w:color w:val="auto"/>
          <w:sz w:val="24"/>
          <w:highlight w:val="none"/>
        </w:rPr>
        <w:t>免费提供院内医疗设备安装验收工作。针对新购设备，必须严格按合同条款或议价结果落实检查、安装、验收工作，严格把关质量，验收合格后正式交付采购人业务科室使用。</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6.2</w:t>
      </w:r>
      <w:r>
        <w:rPr>
          <w:rFonts w:hint="eastAsia" w:ascii="宋体" w:hAnsi="宋体" w:cs="宋体"/>
          <w:color w:val="auto"/>
          <w:sz w:val="24"/>
          <w:highlight w:val="none"/>
        </w:rPr>
        <w:t>根据采购人设备科制作的设备分配资料，沟通业务科室、经销商，落实送货时间，协助院方做好前置布线、基建等配套准备工作。</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6.3</w:t>
      </w:r>
      <w:r>
        <w:rPr>
          <w:rFonts w:hint="eastAsia" w:ascii="宋体" w:hAnsi="宋体" w:cs="宋体"/>
          <w:color w:val="auto"/>
          <w:sz w:val="24"/>
          <w:highlight w:val="none"/>
        </w:rPr>
        <w:t>设备送货后，与业务科室、经销商应共同参与拆装、点检（需商检的医学装备还须通知商检部门到场），要根据分配资料，逐项核实外包装是否完好、设备是否全新完好、规格型号及附件是否符合配置要求等项目。</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6.4</w:t>
      </w:r>
      <w:r>
        <w:rPr>
          <w:rFonts w:hint="eastAsia" w:ascii="宋体" w:hAnsi="宋体" w:cs="宋体"/>
          <w:color w:val="auto"/>
          <w:sz w:val="24"/>
          <w:highlight w:val="none"/>
        </w:rPr>
        <w:t>装机工程师完成设备安装、调试并确保能正常使用后，应督管经销商、装机工程师据实填写设备安装验收报告。</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6.5</w:t>
      </w:r>
      <w:r>
        <w:rPr>
          <w:rFonts w:hint="eastAsia" w:ascii="宋体" w:hAnsi="宋体" w:cs="宋体"/>
          <w:color w:val="auto"/>
          <w:sz w:val="24"/>
          <w:highlight w:val="none"/>
        </w:rPr>
        <w:t>业务科室完成新购设备试用后（试用时长根据合同条款或议价结果确定），要提请业务科室据实填写设备安装验收报告。</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6.6</w:t>
      </w:r>
      <w:r>
        <w:rPr>
          <w:rFonts w:hint="eastAsia" w:ascii="宋体" w:hAnsi="宋体" w:cs="宋体"/>
          <w:color w:val="auto"/>
          <w:sz w:val="24"/>
          <w:highlight w:val="none"/>
        </w:rPr>
        <w:t>新购设备拆装、点检、试用期间发现有质量问题的，要及时通报采购人设备科，并与经销商交涉增补、换货或退货等处理事项，并收集经经销商盖章确认的备忘录（独立于《安装验收报告》，单独成文）。</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6.7</w:t>
      </w:r>
      <w:r>
        <w:rPr>
          <w:rFonts w:hint="eastAsia" w:ascii="宋体" w:hAnsi="宋体" w:cs="宋体"/>
          <w:color w:val="auto"/>
          <w:sz w:val="24"/>
          <w:highlight w:val="none"/>
        </w:rPr>
        <w:t>根据设备拆装、点检、安装、调试情况，据实填写设备安装验收报告后交采购人设备科。</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6.8</w:t>
      </w:r>
      <w:r>
        <w:rPr>
          <w:rFonts w:hint="eastAsia" w:ascii="宋体" w:hAnsi="宋体" w:cs="宋体"/>
          <w:color w:val="auto"/>
          <w:sz w:val="24"/>
          <w:highlight w:val="none"/>
        </w:rPr>
        <w:t>如设备验收不合格，要及时通报采购人设备科，并沟通经销商，要求在十五个工作日内解决问题。如经销商拖延、不解决，要协助采购人设备科撰写公函，要求经销商限期解决问题，否则追究法律责任。</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6.9</w:t>
      </w:r>
      <w:r>
        <w:rPr>
          <w:rFonts w:hint="eastAsia" w:ascii="宋体" w:hAnsi="宋体" w:cs="宋体"/>
          <w:color w:val="auto"/>
          <w:sz w:val="24"/>
          <w:highlight w:val="none"/>
        </w:rPr>
        <w:t>针对新引进设备在投入使用前，要按采购人制度要求协助组织足够的操作人员参加培训，熟悉操作，经考核合格后才能正式操作使用。供应商工程师必须同时参加培训，主要学习开机、关机及测试/自检操作等。</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6.10</w:t>
      </w:r>
      <w:r>
        <w:rPr>
          <w:rFonts w:hint="eastAsia" w:ascii="宋体" w:hAnsi="宋体" w:cs="宋体"/>
          <w:color w:val="auto"/>
          <w:sz w:val="24"/>
          <w:highlight w:val="none"/>
        </w:rPr>
        <w:t>负责联系厂家工程师，协助院方组织培训考核并如实填写设备临床使用培训、考核记录。</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6.11</w:t>
      </w:r>
      <w:r>
        <w:rPr>
          <w:rFonts w:hint="eastAsia" w:ascii="宋体" w:hAnsi="宋体" w:cs="宋体"/>
          <w:color w:val="auto"/>
          <w:sz w:val="24"/>
          <w:highlight w:val="none"/>
        </w:rPr>
        <w:t>针对急救生命支持类设备，要协助采购人组织院级专题培训。</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6.12</w:t>
      </w:r>
      <w:r>
        <w:rPr>
          <w:rFonts w:hint="eastAsia" w:ascii="宋体" w:hAnsi="宋体" w:cs="宋体"/>
          <w:color w:val="auto"/>
          <w:sz w:val="24"/>
          <w:highlight w:val="none"/>
        </w:rPr>
        <w:t>要不定期协助院方抽检设备操作人员培训情况，及时通报未培训操作情况至采购人设备科。</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6.13</w:t>
      </w:r>
      <w:r>
        <w:rPr>
          <w:rFonts w:hint="eastAsia" w:ascii="宋体" w:hAnsi="宋体" w:cs="宋体"/>
          <w:color w:val="auto"/>
          <w:sz w:val="24"/>
          <w:highlight w:val="none"/>
        </w:rPr>
        <w:t>要不定期协助院方抽检急救生命支持类设备操作人员是否具备按规程操作的能力，经考核不合格者进行面授培训并通报至采购人设备科。</w:t>
      </w:r>
    </w:p>
    <w:p>
      <w:pPr>
        <w:keepNext w:val="0"/>
        <w:keepLines w:val="0"/>
        <w:pageBreakBefore w:val="0"/>
        <w:widowControl w:val="0"/>
        <w:tabs>
          <w:tab w:val="left" w:pos="640"/>
        </w:tabs>
        <w:kinsoku/>
        <w:wordWrap/>
        <w:overflowPunct/>
        <w:topLinePunct w:val="0"/>
        <w:autoSpaceDE/>
        <w:autoSpaceDN/>
        <w:bidi w:val="0"/>
        <w:adjustRightInd/>
        <w:snapToGrid/>
        <w:spacing w:line="420" w:lineRule="atLeast"/>
        <w:ind w:left="0" w:leftChars="0" w:right="0" w:firstLine="420" w:firstLineChars="175"/>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6.14</w:t>
      </w:r>
      <w:r>
        <w:rPr>
          <w:rFonts w:hint="eastAsia" w:ascii="宋体" w:hAnsi="宋体" w:cs="宋体"/>
          <w:color w:val="auto"/>
          <w:sz w:val="24"/>
          <w:highlight w:val="none"/>
        </w:rPr>
        <w:t>开展采购人相关制度变更后的其他工作。</w:t>
      </w:r>
    </w:p>
    <w:p>
      <w:pPr>
        <w:pStyle w:val="2"/>
        <w:keepNext w:val="0"/>
        <w:keepLines w:val="0"/>
        <w:pageBreakBefore w:val="0"/>
        <w:widowControl w:val="0"/>
        <w:kinsoku/>
        <w:wordWrap/>
        <w:overflowPunct/>
        <w:topLinePunct w:val="0"/>
        <w:autoSpaceDE/>
        <w:autoSpaceDN/>
        <w:bidi w:val="0"/>
        <w:adjustRightInd/>
        <w:snapToGrid/>
        <w:spacing w:line="420" w:lineRule="atLeast"/>
        <w:ind w:left="0" w:leftChars="0" w:right="0" w:firstLine="422" w:firstLineChars="175"/>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其他</w:t>
      </w:r>
      <w:r>
        <w:rPr>
          <w:rFonts w:hint="eastAsia" w:ascii="宋体" w:hAnsi="宋体" w:eastAsia="宋体" w:cs="宋体"/>
          <w:b/>
          <w:bCs/>
          <w:color w:val="auto"/>
          <w:sz w:val="24"/>
          <w:szCs w:val="24"/>
          <w:highlight w:val="none"/>
          <w:lang w:val="en-US" w:eastAsia="zh-CN"/>
        </w:rPr>
        <w:t>事项</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firstLine="422" w:firstLineChars="175"/>
        <w:textAlignment w:val="auto"/>
        <w:rPr>
          <w:rFonts w:hint="eastAsia" w:ascii="宋体" w:hAnsi="宋体" w:cs="宋体"/>
          <w:b/>
          <w:bCs w:val="0"/>
          <w:color w:val="auto"/>
          <w:sz w:val="24"/>
          <w:highlight w:val="none"/>
        </w:rPr>
      </w:pPr>
      <w:r>
        <w:rPr>
          <w:rFonts w:hint="eastAsia" w:ascii="宋体" w:hAnsi="宋体" w:cs="宋体"/>
          <w:b/>
          <w:bCs w:val="0"/>
          <w:color w:val="auto"/>
          <w:sz w:val="24"/>
          <w:highlight w:val="none"/>
          <w:lang w:val="en-US" w:eastAsia="zh-CN"/>
        </w:rPr>
        <w:t>7.1</w:t>
      </w:r>
      <w:r>
        <w:rPr>
          <w:rFonts w:hint="eastAsia" w:ascii="宋体" w:hAnsi="宋体" w:cs="宋体"/>
          <w:b/>
          <w:bCs w:val="0"/>
          <w:color w:val="auto"/>
          <w:sz w:val="24"/>
          <w:highlight w:val="none"/>
        </w:rPr>
        <w:t>本章“项目采购需求”中标注“</w:t>
      </w:r>
      <w:r>
        <w:rPr>
          <w:rFonts w:hint="eastAsia" w:ascii="宋体" w:hAnsi="宋体" w:cs="宋体"/>
          <w:b/>
          <w:bCs w:val="0"/>
          <w:color w:val="auto"/>
          <w:kern w:val="0"/>
          <w:sz w:val="24"/>
          <w:highlight w:val="none"/>
        </w:rPr>
        <w:t>▲</w:t>
      </w:r>
      <w:r>
        <w:rPr>
          <w:rFonts w:hint="eastAsia" w:ascii="宋体" w:hAnsi="宋体" w:cs="宋体"/>
          <w:b/>
          <w:bCs w:val="0"/>
          <w:color w:val="auto"/>
          <w:sz w:val="24"/>
          <w:highlight w:val="none"/>
        </w:rPr>
        <w:t>”的条款或要求系指实质性条款或实质性要求，必须满足，如存在负偏离（或未提供）将导致响应被否决。标注</w:t>
      </w:r>
      <w:r>
        <w:rPr>
          <w:rFonts w:hint="eastAsia" w:ascii="宋体" w:hAnsi="宋体" w:cs="宋体"/>
          <w:b/>
          <w:bCs w:val="0"/>
          <w:color w:val="auto"/>
          <w:kern w:val="0"/>
          <w:sz w:val="24"/>
          <w:highlight w:val="none"/>
        </w:rPr>
        <w:t>“</w:t>
      </w:r>
      <w:r>
        <w:rPr>
          <w:rFonts w:hint="eastAsia" w:ascii="宋体" w:hAnsi="宋体" w:cs="宋体"/>
          <w:b/>
          <w:bCs w:val="0"/>
          <w:color w:val="auto"/>
          <w:sz w:val="24"/>
          <w:highlight w:val="none"/>
        </w:rPr>
        <w:t>★</w:t>
      </w:r>
      <w:r>
        <w:rPr>
          <w:rFonts w:hint="eastAsia" w:ascii="宋体" w:hAnsi="宋体" w:cs="宋体"/>
          <w:b/>
          <w:bCs w:val="0"/>
          <w:color w:val="auto"/>
          <w:kern w:val="0"/>
          <w:sz w:val="24"/>
          <w:highlight w:val="none"/>
        </w:rPr>
        <w:t>”号的为非实质性主要技术参数或条款，允许偏离。</w:t>
      </w:r>
    </w:p>
    <w:p>
      <w:pPr>
        <w:keepNext w:val="0"/>
        <w:keepLines w:val="0"/>
        <w:pageBreakBefore w:val="0"/>
        <w:widowControl w:val="0"/>
        <w:kinsoku/>
        <w:wordWrap/>
        <w:overflowPunct/>
        <w:topLinePunct w:val="0"/>
        <w:autoSpaceDE/>
        <w:autoSpaceDN/>
        <w:bidi w:val="0"/>
        <w:adjustRightInd/>
        <w:snapToGrid/>
        <w:spacing w:line="420" w:lineRule="atLeast"/>
        <w:ind w:left="0" w:leftChars="0" w:right="0" w:firstLine="420" w:firstLineChars="175"/>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lang w:bidi="ar"/>
        </w:rPr>
        <w:t xml:space="preserve">投标人必须对投标文件中提供的证明材料和资质文件真实性负责，如出现虚假应标或不实应标情况，投标人除了应接受有关部门的处罚外，还应依据《中华人民共和国民法典》的相关条款来确定赔偿金额。 </w:t>
      </w:r>
    </w:p>
    <w:p>
      <w:pPr>
        <w:keepNext w:val="0"/>
        <w:keepLines w:val="0"/>
        <w:pageBreakBefore w:val="0"/>
        <w:widowControl w:val="0"/>
        <w:tabs>
          <w:tab w:val="left" w:pos="1305"/>
        </w:tabs>
        <w:kinsoku/>
        <w:wordWrap/>
        <w:overflowPunct/>
        <w:topLinePunct w:val="0"/>
        <w:autoSpaceDE/>
        <w:autoSpaceDN/>
        <w:bidi w:val="0"/>
        <w:adjustRightInd/>
        <w:snapToGrid/>
        <w:spacing w:line="420" w:lineRule="atLeast"/>
        <w:ind w:left="0" w:leftChars="0" w:right="0" w:firstLine="420" w:firstLineChars="175"/>
        <w:textAlignment w:val="auto"/>
        <w:rPr>
          <w:rFonts w:hint="eastAsia"/>
          <w:color w:val="auto"/>
          <w:highlight w:val="none"/>
        </w:rPr>
      </w:pPr>
      <w:r>
        <w:rPr>
          <w:rFonts w:hint="eastAsia" w:ascii="宋体" w:hAnsi="宋体" w:cs="宋体"/>
          <w:color w:val="auto"/>
          <w:sz w:val="24"/>
          <w:highlight w:val="none"/>
          <w:lang w:val="en-US" w:eastAsia="zh-CN" w:bidi="ar"/>
        </w:rPr>
        <w:t>7.3</w:t>
      </w:r>
      <w:r>
        <w:rPr>
          <w:rFonts w:hint="eastAsia" w:ascii="宋体" w:hAnsi="宋体" w:cs="宋体"/>
          <w:color w:val="auto"/>
          <w:sz w:val="24"/>
          <w:highlight w:val="none"/>
          <w:lang w:bidi="ar"/>
        </w:rPr>
        <w:t>投标人应对投标内容所涉及的知识产权或专利成果承担法律责任，并负责保护采购人的利益不受任何损害。一切由于文字、商标、技术和软件专利授权引起的法律裁决、诉讼和赔偿费用均由中标人负责。</w:t>
      </w:r>
    </w:p>
    <w:p>
      <w:pPr>
        <w:rPr>
          <w:rFonts w:hint="eastAsia"/>
          <w:highlight w:val="none"/>
        </w:rPr>
      </w:pPr>
    </w:p>
    <w:p>
      <w:pPr>
        <w:rPr>
          <w:rFonts w:ascii="Arial" w:hAnsi="Arial" w:cs="Arial"/>
          <w:color w:val="auto"/>
          <w:szCs w:val="21"/>
          <w:highlight w:val="none"/>
        </w:rPr>
      </w:pPr>
      <w:r>
        <w:rPr>
          <w:rFonts w:ascii="Arial" w:hAnsi="Arial" w:cs="Arial"/>
          <w:color w:val="auto"/>
          <w:szCs w:val="21"/>
          <w:highlight w:val="none"/>
        </w:rPr>
        <w:br w:type="page"/>
      </w:r>
    </w:p>
    <w:p>
      <w:pPr>
        <w:pStyle w:val="2"/>
        <w:rPr>
          <w:highlight w:val="none"/>
        </w:rPr>
      </w:pPr>
    </w:p>
    <w:p>
      <w:pPr>
        <w:rPr>
          <w:rFonts w:hint="eastAsia" w:ascii="Arial" w:hAnsi="Arial" w:eastAsia="黑体" w:cs="Arial"/>
          <w:b/>
          <w:color w:val="auto"/>
          <w:kern w:val="0"/>
          <w:sz w:val="28"/>
          <w:szCs w:val="28"/>
          <w:highlight w:val="none"/>
          <w:lang w:eastAsia="zh-CN"/>
        </w:rPr>
      </w:pPr>
      <w:r>
        <w:rPr>
          <w:rFonts w:hint="eastAsia" w:ascii="Arial" w:hAnsi="Arial" w:eastAsia="黑体" w:cs="Arial"/>
          <w:b/>
          <w:color w:val="auto"/>
          <w:kern w:val="0"/>
          <w:sz w:val="28"/>
          <w:szCs w:val="28"/>
          <w:highlight w:val="none"/>
          <w:lang w:eastAsia="zh-CN"/>
        </w:rPr>
        <w:drawing>
          <wp:inline distT="0" distB="0" distL="114300" distR="114300">
            <wp:extent cx="6249035" cy="8000365"/>
            <wp:effectExtent l="0" t="0" r="18415" b="635"/>
            <wp:docPr id="5" name="图片 5" descr="1757563358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57563358777"/>
                    <pic:cNvPicPr>
                      <a:picLocks noChangeAspect="1"/>
                    </pic:cNvPicPr>
                  </pic:nvPicPr>
                  <pic:blipFill>
                    <a:blip r:embed="rId18"/>
                    <a:stretch>
                      <a:fillRect/>
                    </a:stretch>
                  </pic:blipFill>
                  <pic:spPr>
                    <a:xfrm>
                      <a:off x="0" y="0"/>
                      <a:ext cx="6249035" cy="8000365"/>
                    </a:xfrm>
                    <a:prstGeom prst="rect">
                      <a:avLst/>
                    </a:prstGeom>
                  </pic:spPr>
                </pic:pic>
              </a:graphicData>
            </a:graphic>
          </wp:inline>
        </w:drawing>
      </w:r>
    </w:p>
    <w:p>
      <w:pPr>
        <w:spacing w:line="360" w:lineRule="auto"/>
        <w:ind w:firstLine="525" w:firstLineChars="250"/>
        <w:rPr>
          <w:rFonts w:ascii="Arial" w:hAnsi="Arial" w:cs="Arial"/>
          <w:color w:val="auto"/>
          <w:szCs w:val="21"/>
          <w:highlight w:val="none"/>
        </w:rPr>
      </w:pPr>
      <w:r>
        <w:rPr>
          <w:rFonts w:ascii="Arial" w:hAnsi="Arial" w:cs="Arial"/>
          <w:color w:val="auto"/>
          <w:szCs w:val="21"/>
          <w:highlight w:val="none"/>
        </w:rPr>
        <w:br w:type="page"/>
      </w:r>
    </w:p>
    <w:p>
      <w:pPr>
        <w:spacing w:line="360" w:lineRule="auto"/>
        <w:rPr>
          <w:rFonts w:ascii="Arial" w:hAnsi="Arial" w:cs="Arial"/>
          <w:color w:val="auto"/>
          <w:szCs w:val="21"/>
          <w:highlight w:val="none"/>
        </w:rPr>
      </w:pPr>
    </w:p>
    <w:bookmarkEnd w:id="21"/>
    <w:bookmarkEnd w:id="22"/>
    <w:p>
      <w:pPr>
        <w:pStyle w:val="29"/>
        <w:snapToGrid w:val="0"/>
        <w:spacing w:before="120" w:after="120" w:line="320" w:lineRule="exact"/>
        <w:jc w:val="center"/>
        <w:outlineLvl w:val="0"/>
        <w:rPr>
          <w:rFonts w:ascii="Arial" w:hAnsi="Arial" w:cs="Arial"/>
          <w:color w:val="auto"/>
          <w:sz w:val="32"/>
          <w:szCs w:val="32"/>
          <w:highlight w:val="none"/>
        </w:rPr>
      </w:pPr>
      <w:bookmarkStart w:id="23" w:name="_Toc28503"/>
      <w:r>
        <w:rPr>
          <w:rFonts w:ascii="Arial" w:hAnsi="Arial" w:cs="Arial"/>
          <w:color w:val="auto"/>
          <w:sz w:val="32"/>
          <w:szCs w:val="32"/>
          <w:highlight w:val="none"/>
        </w:rPr>
        <w:t>第三章  供应商须知</w:t>
      </w:r>
      <w:bookmarkEnd w:id="23"/>
      <w:bookmarkStart w:id="24" w:name="_Toc254970667"/>
      <w:bookmarkStart w:id="25" w:name="_Toc254970526"/>
    </w:p>
    <w:bookmarkEnd w:id="24"/>
    <w:bookmarkEnd w:id="25"/>
    <w:p>
      <w:pPr>
        <w:jc w:val="center"/>
        <w:rPr>
          <w:rFonts w:ascii="Arial" w:hAnsi="Arial" w:cs="Arial"/>
          <w:color w:val="auto"/>
          <w:sz w:val="28"/>
          <w:szCs w:val="36"/>
          <w:highlight w:val="none"/>
        </w:rPr>
      </w:pPr>
      <w:bookmarkStart w:id="26" w:name="_投标人须知前附表"/>
      <w:bookmarkEnd w:id="26"/>
      <w:bookmarkStart w:id="27" w:name="_Hlk19048934"/>
      <w:r>
        <w:rPr>
          <w:rFonts w:ascii="Arial" w:hAnsi="Arial" w:cs="Arial"/>
          <w:color w:val="auto"/>
          <w:sz w:val="28"/>
          <w:szCs w:val="36"/>
          <w:highlight w:val="none"/>
        </w:rPr>
        <w:t>供应商须知前附表</w:t>
      </w:r>
    </w:p>
    <w:tbl>
      <w:tblPr>
        <w:tblStyle w:val="54"/>
        <w:tblW w:w="9618" w:type="dxa"/>
        <w:tblInd w:w="-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1300"/>
        <w:gridCol w:w="7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auto"/>
                <w:szCs w:val="21"/>
                <w:highlight w:val="none"/>
              </w:rPr>
            </w:pPr>
            <w:r>
              <w:rPr>
                <w:rFonts w:ascii="Arial" w:hAnsi="Arial" w:cs="Arial"/>
                <w:b/>
                <w:color w:val="auto"/>
                <w:szCs w:val="21"/>
                <w:highlight w:val="none"/>
              </w:rPr>
              <w:t>条款号</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auto"/>
                <w:szCs w:val="21"/>
                <w:highlight w:val="none"/>
              </w:rPr>
            </w:pPr>
            <w:r>
              <w:rPr>
                <w:rFonts w:ascii="Arial" w:hAnsi="Arial" w:cs="Arial"/>
                <w:b/>
                <w:color w:val="auto"/>
                <w:szCs w:val="21"/>
                <w:highlight w:val="none"/>
              </w:rPr>
              <w:t>要点</w:t>
            </w:r>
          </w:p>
        </w:tc>
        <w:tc>
          <w:tcPr>
            <w:tcW w:w="744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auto"/>
                <w:szCs w:val="21"/>
                <w:highlight w:val="none"/>
              </w:rPr>
            </w:pPr>
            <w:r>
              <w:rPr>
                <w:rFonts w:ascii="Arial" w:hAnsi="Arial" w:cs="Arial"/>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1.3.1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项目基本信息</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Arial" w:hAnsi="Arial" w:eastAsia="宋体" w:cs="Arial"/>
                <w:color w:val="auto"/>
                <w:highlight w:val="none"/>
                <w:lang w:eastAsia="zh-CN"/>
              </w:rPr>
            </w:pPr>
            <w:r>
              <w:rPr>
                <w:rFonts w:ascii="Arial" w:hAnsi="Arial" w:cs="Arial"/>
                <w:color w:val="auto"/>
                <w:highlight w:val="none"/>
              </w:rPr>
              <w:t>项目名称：</w:t>
            </w:r>
            <w:r>
              <w:rPr>
                <w:rFonts w:hint="eastAsia" w:ascii="Arial" w:hAnsi="Arial" w:cs="Arial"/>
                <w:color w:val="auto"/>
                <w:highlight w:val="none"/>
                <w:lang w:eastAsia="zh-CN"/>
              </w:rPr>
              <w:t>南溪山医院医疗设备设施全生命周期管理服务项目</w:t>
            </w:r>
          </w:p>
          <w:p>
            <w:pPr>
              <w:spacing w:line="300" w:lineRule="exact"/>
              <w:jc w:val="left"/>
              <w:rPr>
                <w:rFonts w:hint="eastAsia" w:ascii="Arial" w:hAnsi="Arial" w:eastAsia="宋体" w:cs="Arial"/>
                <w:color w:val="auto"/>
                <w:highlight w:val="none"/>
                <w:lang w:eastAsia="zh-CN"/>
              </w:rPr>
            </w:pPr>
            <w:r>
              <w:rPr>
                <w:rFonts w:ascii="Arial" w:hAnsi="Arial" w:cs="Arial"/>
                <w:color w:val="auto"/>
                <w:highlight w:val="none"/>
              </w:rPr>
              <w:t>项目编号：</w:t>
            </w:r>
            <w:r>
              <w:rPr>
                <w:rFonts w:hint="eastAsia" w:ascii="Arial" w:hAnsi="Arial" w:cs="Arial"/>
                <w:color w:val="auto"/>
                <w:highlight w:val="none"/>
                <w:lang w:eastAsia="zh-CN"/>
              </w:rPr>
              <w:t>GXZC2025-G3-002764-JDZB</w:t>
            </w:r>
          </w:p>
          <w:p>
            <w:pPr>
              <w:spacing w:line="300" w:lineRule="exact"/>
              <w:jc w:val="left"/>
              <w:rPr>
                <w:rFonts w:ascii="Arial" w:hAnsi="Arial" w:cs="Arial"/>
                <w:color w:val="auto"/>
                <w:szCs w:val="21"/>
                <w:highlight w:val="none"/>
                <w:u w:val="single"/>
              </w:rPr>
            </w:pPr>
            <w:r>
              <w:rPr>
                <w:rFonts w:ascii="Arial" w:hAnsi="Arial" w:cs="Arial"/>
                <w:color w:val="auto"/>
                <w:highlight w:val="none"/>
              </w:rPr>
              <w:t>采购计划文号：</w:t>
            </w:r>
            <w:r>
              <w:rPr>
                <w:rFonts w:hint="eastAsia" w:ascii="Arial" w:hAnsi="Arial" w:cs="Arial"/>
                <w:color w:val="auto"/>
                <w:highlight w:val="none"/>
              </w:rPr>
              <w:t>广西政采[2025]16893号-001</w:t>
            </w:r>
            <w:r>
              <w:rPr>
                <w:rFonts w:hint="eastAsia" w:ascii="Arial" w:hAnsi="Arial" w:cs="Arial"/>
                <w:color w:val="auto"/>
                <w:highlight w:val="none"/>
                <w:lang w:eastAsia="zh-CN"/>
              </w:rPr>
              <w:t>、</w:t>
            </w:r>
            <w:r>
              <w:rPr>
                <w:rFonts w:hint="eastAsia" w:ascii="Arial" w:hAnsi="Arial" w:cs="Arial"/>
                <w:color w:val="auto"/>
                <w:highlight w:val="none"/>
                <w:lang w:val="en-US" w:eastAsia="zh-CN"/>
              </w:rPr>
              <w:t>002</w:t>
            </w:r>
            <w:r>
              <w:rPr>
                <w:rFonts w:ascii="Arial" w:hAnsi="Arial" w:cs="Arial"/>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1.3.2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lang w:val="zh-CN"/>
              </w:rPr>
            </w:pPr>
            <w:r>
              <w:rPr>
                <w:rFonts w:ascii="Arial" w:hAnsi="Arial" w:cs="Arial"/>
                <w:color w:val="auto"/>
                <w:szCs w:val="21"/>
                <w:highlight w:val="none"/>
                <w:lang w:val="zh-CN"/>
              </w:rPr>
              <w:t>采购方式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1.4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lang w:val="zh-CN"/>
              </w:rPr>
            </w:pPr>
            <w:r>
              <w:rPr>
                <w:rFonts w:ascii="Arial" w:hAnsi="Arial" w:cs="Arial"/>
                <w:color w:val="auto"/>
                <w:szCs w:val="21"/>
                <w:highlight w:val="none"/>
                <w:lang w:val="zh-CN"/>
              </w:rPr>
              <w:t>促进中小企业发展措施</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kern w:val="0"/>
                <w:szCs w:val="21"/>
                <w:highlight w:val="none"/>
              </w:rPr>
              <w:t>本项目非专门面向中小微企业采购。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1.5.1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lang w:val="zh-CN"/>
              </w:rPr>
              <w:t>供应商资格条件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75"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b/>
                <w:color w:val="auto"/>
                <w:szCs w:val="21"/>
                <w:highlight w:val="none"/>
              </w:rPr>
            </w:pPr>
            <w:bookmarkStart w:id="28" w:name="_Hlk85555568"/>
            <w:r>
              <w:rPr>
                <w:rFonts w:ascii="Arial" w:hAnsi="Arial" w:cs="Arial"/>
                <w:b/>
                <w:color w:val="auto"/>
                <w:szCs w:val="21"/>
                <w:highlight w:val="none"/>
              </w:rPr>
              <w:t>1.5.3</w:t>
            </w:r>
          </w:p>
        </w:tc>
        <w:tc>
          <w:tcPr>
            <w:tcW w:w="1300"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联合体</w:t>
            </w:r>
          </w:p>
        </w:tc>
        <w:tc>
          <w:tcPr>
            <w:tcW w:w="7443"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是否接受联合体详见招标公告</w:t>
            </w:r>
          </w:p>
        </w:tc>
      </w:tr>
      <w:bookmarkEnd w:id="2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1.6</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踏勘</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highlight w:val="none"/>
              </w:rPr>
              <w:t>不组织。</w:t>
            </w:r>
            <w:r>
              <w:rPr>
                <w:rFonts w:ascii="Arial" w:hAnsi="Arial" w:cs="Arial"/>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1.7.2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分包</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是否接受分包详见招标公告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2.3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招标文件澄清、修改</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在招标公告发布媒介发布。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2.3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确认收到澄清、修改发布的方式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澄清、修改文件自招标公告发布媒体发布之日起，视为供应商已收到该澄清、修改。供应商未及时关注招标公告发布媒体造成的损失，由供应商自行负责。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3.4.1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投标有效期</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投标截止之日起90天。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3.5</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投标保证金</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Arial" w:hAnsi="Arial" w:cs="Arial"/>
                <w:color w:val="auto"/>
                <w:szCs w:val="21"/>
                <w:highlight w:val="none"/>
              </w:rPr>
            </w:pPr>
            <w:r>
              <w:rPr>
                <w:rFonts w:ascii="Arial" w:hAnsi="Arial" w:cs="Arial"/>
                <w:color w:val="auto"/>
                <w:highlight w:val="none"/>
              </w:rPr>
              <w:t>本项目无需缴纳投标保证金。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875" w:type="dxa"/>
            <w:tcBorders>
              <w:left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3.6</w:t>
            </w:r>
          </w:p>
        </w:tc>
        <w:tc>
          <w:tcPr>
            <w:tcW w:w="1300" w:type="dxa"/>
            <w:tcBorders>
              <w:top w:val="single" w:color="auto" w:sz="4" w:space="0"/>
              <w:left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投标文件的编制</w:t>
            </w:r>
          </w:p>
        </w:tc>
        <w:tc>
          <w:tcPr>
            <w:tcW w:w="7443" w:type="dxa"/>
            <w:tcBorders>
              <w:top w:val="single" w:color="auto" w:sz="4" w:space="0"/>
              <w:left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投标文件应按第六章投标文件格式分别编制并使用下载的广西政府采购云平台新版客户端制作并上传。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3.7</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投标文件递交截止时间及开标时间</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kern w:val="0"/>
                <w:szCs w:val="21"/>
                <w:highlight w:val="none"/>
              </w:rPr>
              <w:t>见招标公告要求</w:t>
            </w:r>
            <w:r>
              <w:rPr>
                <w:rFonts w:ascii="Arial" w:hAnsi="Arial" w:cs="Arial"/>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4.2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0"/>
                <w:highlight w:val="none"/>
              </w:rPr>
            </w:pPr>
            <w:r>
              <w:rPr>
                <w:rFonts w:ascii="Arial" w:hAnsi="Arial" w:cs="Arial"/>
                <w:color w:val="auto"/>
                <w:szCs w:val="21"/>
                <w:highlight w:val="none"/>
              </w:rPr>
              <w:t>备份投标文件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auto"/>
                <w:szCs w:val="21"/>
                <w:highlight w:val="none"/>
              </w:rPr>
            </w:pPr>
            <w:r>
              <w:rPr>
                <w:rFonts w:ascii="Arial" w:hAnsi="Arial" w:cs="Arial"/>
                <w:color w:val="auto"/>
                <w:szCs w:val="21"/>
                <w:highlight w:val="none"/>
              </w:rPr>
              <w:t>本项目</w:t>
            </w:r>
            <w:r>
              <w:rPr>
                <w:rFonts w:ascii="Arial" w:hAnsi="Arial" w:cs="Arial"/>
                <w:color w:val="auto"/>
                <w:sz w:val="22"/>
                <w:szCs w:val="22"/>
                <w:highlight w:val="none"/>
              </w:rPr>
              <w:sym w:font="Wingdings 2" w:char="F052"/>
            </w:r>
            <w:r>
              <w:rPr>
                <w:rFonts w:ascii="Arial" w:hAnsi="Arial" w:cs="Arial"/>
                <w:color w:val="auto"/>
                <w:szCs w:val="21"/>
                <w:highlight w:val="none"/>
              </w:rPr>
              <w:t>接受   □不接受备份投标文件</w:t>
            </w:r>
          </w:p>
          <w:p>
            <w:pPr>
              <w:spacing w:line="276" w:lineRule="auto"/>
              <w:rPr>
                <w:rFonts w:ascii="Arial" w:hAnsi="Arial" w:cs="Arial"/>
                <w:color w:val="auto"/>
                <w:sz w:val="22"/>
                <w:szCs w:val="22"/>
                <w:highlight w:val="none"/>
              </w:rPr>
            </w:pPr>
            <w:r>
              <w:rPr>
                <w:rFonts w:ascii="Arial" w:hAnsi="Arial" w:cs="Arial"/>
                <w:color w:val="auto"/>
                <w:szCs w:val="21"/>
                <w:highlight w:val="none"/>
              </w:rPr>
              <w:t>以</w:t>
            </w:r>
            <w:r>
              <w:rPr>
                <w:rFonts w:ascii="Arial" w:hAnsi="Arial" w:cs="Arial"/>
                <w:color w:val="auto"/>
                <w:kern w:val="0"/>
                <w:szCs w:val="21"/>
                <w:highlight w:val="none"/>
              </w:rPr>
              <w:t>广西政府采购云平台</w:t>
            </w:r>
            <w:r>
              <w:rPr>
                <w:rFonts w:ascii="Arial" w:hAnsi="Arial" w:cs="Arial"/>
                <w:color w:val="auto"/>
                <w:szCs w:val="21"/>
                <w:highlight w:val="none"/>
              </w:rPr>
              <w:t>自动生成的备份文件为依据，当项目允许接受备份响应文件时，供应商才可以按规定上传备份投标文件。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4.3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0"/>
                <w:highlight w:val="none"/>
              </w:rPr>
              <w:t>演示</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auto"/>
                <w:szCs w:val="21"/>
                <w:highlight w:val="none"/>
              </w:rPr>
            </w:pPr>
            <w:r>
              <w:rPr>
                <w:rFonts w:ascii="Arial" w:hAnsi="Arial" w:cs="Arial"/>
                <w:color w:val="auto"/>
                <w:szCs w:val="21"/>
                <w:highlight w:val="none"/>
              </w:rPr>
              <w:t>本项目无演示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4.4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0"/>
                <w:highlight w:val="none"/>
              </w:rPr>
              <w:t>样品</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auto"/>
                <w:szCs w:val="21"/>
                <w:highlight w:val="none"/>
              </w:rPr>
            </w:pPr>
            <w:r>
              <w:rPr>
                <w:rFonts w:ascii="Arial" w:hAnsi="Arial" w:cs="Arial"/>
                <w:color w:val="auto"/>
                <w:szCs w:val="21"/>
                <w:highlight w:val="none"/>
              </w:rPr>
              <w:t>本项目无需提供样品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6.3.5</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相同品牌推荐方式</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auto"/>
                <w:szCs w:val="21"/>
                <w:highlight w:val="none"/>
              </w:rPr>
            </w:pPr>
            <w:r>
              <w:rPr>
                <w:rFonts w:ascii="Arial" w:hAnsi="Arial" w:cs="Arial"/>
                <w:color w:val="auto"/>
                <w:szCs w:val="21"/>
                <w:highlight w:val="none"/>
              </w:rPr>
              <w:t>采购人委托评审委员会确定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6.5.1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结果公告</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采购代理机构在采购人依法确认中标人后2个工作日内在招标公告发布的媒体上发布结果公告。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6.5.2</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中标通知书</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中标人到代理机构领取中标通知书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6.5.3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招标结果通知书</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采购代理机构通过</w:t>
            </w:r>
            <w:r>
              <w:rPr>
                <w:rFonts w:ascii="Arial" w:hAnsi="Arial" w:cs="Arial"/>
                <w:color w:val="auto"/>
                <w:kern w:val="0"/>
                <w:szCs w:val="21"/>
                <w:highlight w:val="none"/>
              </w:rPr>
              <w:t>广西政府采购云平台</w:t>
            </w:r>
            <w:r>
              <w:rPr>
                <w:rFonts w:ascii="Arial" w:hAnsi="Arial" w:cs="Arial"/>
                <w:color w:val="auto"/>
                <w:szCs w:val="21"/>
                <w:highlight w:val="none"/>
              </w:rPr>
              <w:t>发出招标结果通知书</w:t>
            </w:r>
          </w:p>
          <w:p>
            <w:pPr>
              <w:spacing w:line="300" w:lineRule="exact"/>
              <w:jc w:val="left"/>
              <w:rPr>
                <w:rFonts w:ascii="Arial" w:hAnsi="Arial" w:cs="Arial"/>
                <w:color w:val="auto"/>
                <w:szCs w:val="21"/>
                <w:highlight w:val="none"/>
              </w:rPr>
            </w:pPr>
            <w:r>
              <w:rPr>
                <w:rFonts w:ascii="Arial" w:hAnsi="Arial" w:cs="Arial"/>
                <w:color w:val="auto"/>
                <w:szCs w:val="21"/>
                <w:highlight w:val="none"/>
              </w:rPr>
              <w:t>招标结果通知书在广西政府采购云平台推送之日起，视为中标人已收到，中标人自行承担未及时查收的后果。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8.1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质疑</w:t>
            </w:r>
          </w:p>
        </w:tc>
        <w:tc>
          <w:tcPr>
            <w:tcW w:w="744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pPr>
              <w:spacing w:line="300" w:lineRule="exact"/>
              <w:jc w:val="left"/>
              <w:rPr>
                <w:rFonts w:ascii="Arial" w:hAnsi="Arial" w:cs="Arial"/>
                <w:color w:val="auto"/>
                <w:szCs w:val="21"/>
                <w:highlight w:val="none"/>
              </w:rPr>
            </w:pPr>
            <w:r>
              <w:rPr>
                <w:rFonts w:ascii="Arial" w:hAnsi="Arial" w:cs="Arial"/>
                <w:color w:val="auto"/>
                <w:szCs w:val="21"/>
                <w:highlight w:val="none"/>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8"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9.1</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0"/>
                <w:highlight w:val="none"/>
              </w:rPr>
              <w:t>代理服务费</w:t>
            </w:r>
          </w:p>
        </w:tc>
        <w:tc>
          <w:tcPr>
            <w:tcW w:w="744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highlight w:val="none"/>
              </w:rPr>
            </w:pPr>
            <w:r>
              <w:rPr>
                <w:rFonts w:ascii="Arial" w:hAnsi="Arial" w:cs="Arial"/>
                <w:color w:val="auto"/>
                <w:highlight w:val="none"/>
              </w:rPr>
              <w:t>（1）代理服务费</w:t>
            </w:r>
          </w:p>
          <w:p>
            <w:pPr>
              <w:spacing w:line="300" w:lineRule="exact"/>
              <w:jc w:val="left"/>
              <w:rPr>
                <w:rFonts w:ascii="Arial" w:hAnsi="Arial" w:cs="Arial"/>
                <w:color w:val="auto"/>
                <w:szCs w:val="21"/>
                <w:highlight w:val="none"/>
              </w:rPr>
            </w:pPr>
            <w:r>
              <w:rPr>
                <w:rFonts w:ascii="Arial" w:hAnsi="Arial" w:cs="Arial"/>
                <w:color w:val="auto"/>
                <w:highlight w:val="none"/>
              </w:rPr>
              <w:sym w:font="Wingdings 2" w:char="0052"/>
            </w:r>
            <w:r>
              <w:rPr>
                <w:rFonts w:ascii="Arial" w:hAnsi="Arial" w:cs="Arial"/>
                <w:color w:val="auto"/>
                <w:highlight w:val="none"/>
              </w:rPr>
              <w:t>采购代理机构向中标供应商收取代理服务费。本项目代理服务费按照《招标代理服务费管理暂行办法》 (计价格﹝2002﹞1980号)、《国家发展改革委关于降低部分建设项目收费标准规范收费行为等有关问题的通知》(发改价格﹝2011﹞534号)规定</w:t>
            </w:r>
            <w:r>
              <w:rPr>
                <w:rFonts w:ascii="Arial" w:hAnsi="Arial" w:cs="Arial"/>
                <w:color w:val="auto"/>
                <w:szCs w:val="21"/>
                <w:highlight w:val="none"/>
              </w:rPr>
              <w:t>下浮</w:t>
            </w:r>
            <w:r>
              <w:rPr>
                <w:rFonts w:ascii="Arial" w:hAnsi="Arial" w:cs="Arial"/>
                <w:color w:val="auto"/>
                <w:szCs w:val="21"/>
                <w:highlight w:val="none"/>
                <w:u w:val="single"/>
              </w:rPr>
              <w:t xml:space="preserve"> 15 </w:t>
            </w:r>
            <w:r>
              <w:rPr>
                <w:rFonts w:ascii="Arial" w:hAnsi="Arial" w:cs="Arial"/>
                <w:color w:val="auto"/>
                <w:szCs w:val="21"/>
                <w:highlight w:val="none"/>
              </w:rPr>
              <w:t>%的</w:t>
            </w:r>
            <w:r>
              <w:rPr>
                <w:rFonts w:ascii="Arial" w:hAnsi="Arial" w:cs="Arial"/>
                <w:color w:val="auto"/>
                <w:szCs w:val="21"/>
                <w:highlight w:val="none"/>
                <w:u w:val="single"/>
              </w:rPr>
              <w:t xml:space="preserve"> 60 </w:t>
            </w:r>
            <w:r>
              <w:rPr>
                <w:rFonts w:ascii="Arial" w:hAnsi="Arial" w:cs="Arial"/>
                <w:color w:val="auto"/>
                <w:szCs w:val="21"/>
                <w:highlight w:val="none"/>
              </w:rPr>
              <w:t>%收取</w:t>
            </w:r>
            <w:r>
              <w:rPr>
                <w:rFonts w:ascii="Arial" w:hAnsi="Arial" w:cs="Arial"/>
                <w:color w:val="auto"/>
                <w:highlight w:val="none"/>
              </w:rPr>
              <w:t>，采用差额定率累进法计算。低于人民币叁仟元（¥3000.00）按叁仟元（¥3000.00）收取。</w:t>
            </w:r>
          </w:p>
          <w:p>
            <w:pPr>
              <w:spacing w:line="300" w:lineRule="exact"/>
              <w:jc w:val="left"/>
              <w:rPr>
                <w:rFonts w:ascii="Arial" w:hAnsi="Arial" w:cs="Arial"/>
                <w:color w:val="auto"/>
                <w:highlight w:val="none"/>
              </w:rPr>
            </w:pPr>
            <w:r>
              <w:rPr>
                <w:rFonts w:ascii="Arial" w:hAnsi="Arial" w:cs="Arial"/>
                <w:color w:val="auto"/>
                <w:highlight w:val="none"/>
              </w:rPr>
              <w:t>具体费率如下：</w:t>
            </w:r>
          </w:p>
          <w:p>
            <w:pPr>
              <w:spacing w:line="288" w:lineRule="auto"/>
              <w:jc w:val="left"/>
              <w:rPr>
                <w:rFonts w:ascii="Arial" w:hAnsi="Arial" w:cs="Arial"/>
                <w:color w:val="auto"/>
                <w:highlight w:val="none"/>
              </w:rPr>
            </w:pPr>
            <w:r>
              <w:rPr>
                <w:rFonts w:ascii="Arial" w:hAnsi="Arial" w:cs="Arial"/>
                <w:color w:val="auto"/>
                <w:highlight w:val="none"/>
              </w:rPr>
              <w:t>①中标金额在100万元以下的：</w:t>
            </w:r>
          </w:p>
          <w:p>
            <w:pPr>
              <w:spacing w:line="288" w:lineRule="auto"/>
              <w:jc w:val="left"/>
              <w:rPr>
                <w:rFonts w:ascii="Arial" w:hAnsi="Arial" w:cs="Arial"/>
                <w:color w:val="auto"/>
                <w:highlight w:val="none"/>
              </w:rPr>
            </w:pPr>
            <w:r>
              <w:rPr>
                <w:rFonts w:ascii="Arial" w:hAnsi="Arial" w:cs="Arial"/>
                <w:color w:val="auto"/>
                <w:highlight w:val="none"/>
              </w:rPr>
              <w:t>货物1.5％；服务招标1.5％；工程招标1.0％；</w:t>
            </w:r>
          </w:p>
          <w:p>
            <w:pPr>
              <w:spacing w:line="288" w:lineRule="auto"/>
              <w:jc w:val="left"/>
              <w:rPr>
                <w:rFonts w:ascii="Arial" w:hAnsi="Arial" w:cs="Arial"/>
                <w:color w:val="auto"/>
                <w:highlight w:val="none"/>
              </w:rPr>
            </w:pPr>
            <w:r>
              <w:rPr>
                <w:rFonts w:ascii="Arial" w:hAnsi="Arial" w:cs="Arial"/>
                <w:color w:val="auto"/>
                <w:highlight w:val="none"/>
              </w:rPr>
              <w:t>②中标金额在100-500万元之间：</w:t>
            </w:r>
          </w:p>
          <w:p>
            <w:pPr>
              <w:spacing w:line="288" w:lineRule="auto"/>
              <w:jc w:val="left"/>
              <w:rPr>
                <w:rFonts w:ascii="Arial" w:hAnsi="Arial" w:cs="Arial"/>
                <w:color w:val="auto"/>
                <w:highlight w:val="none"/>
              </w:rPr>
            </w:pPr>
            <w:r>
              <w:rPr>
                <w:rFonts w:ascii="Arial" w:hAnsi="Arial" w:cs="Arial"/>
                <w:color w:val="auto"/>
                <w:highlight w:val="none"/>
              </w:rPr>
              <w:t>货物1.1％；服务招标0.8％；工程招标0.7％；</w:t>
            </w:r>
          </w:p>
          <w:p>
            <w:pPr>
              <w:spacing w:line="288" w:lineRule="auto"/>
              <w:jc w:val="left"/>
              <w:rPr>
                <w:rFonts w:ascii="Arial" w:hAnsi="Arial" w:cs="Arial"/>
                <w:color w:val="auto"/>
                <w:highlight w:val="none"/>
              </w:rPr>
            </w:pPr>
            <w:r>
              <w:rPr>
                <w:rFonts w:ascii="Arial" w:hAnsi="Arial" w:cs="Arial"/>
                <w:color w:val="auto"/>
                <w:highlight w:val="none"/>
              </w:rPr>
              <w:t>③中标金额在500-1000万元之间：</w:t>
            </w:r>
          </w:p>
          <w:p>
            <w:pPr>
              <w:spacing w:line="288" w:lineRule="auto"/>
              <w:jc w:val="left"/>
              <w:rPr>
                <w:rFonts w:ascii="Arial" w:hAnsi="Arial" w:cs="Arial"/>
                <w:color w:val="auto"/>
                <w:highlight w:val="none"/>
              </w:rPr>
            </w:pPr>
            <w:r>
              <w:rPr>
                <w:rFonts w:ascii="Arial" w:hAnsi="Arial" w:cs="Arial"/>
                <w:color w:val="auto"/>
                <w:highlight w:val="none"/>
              </w:rPr>
              <w:t>货物0.8％；服务招标0.45％；工程招标0.55％；</w:t>
            </w:r>
          </w:p>
          <w:p>
            <w:pPr>
              <w:spacing w:line="288" w:lineRule="auto"/>
              <w:jc w:val="left"/>
              <w:rPr>
                <w:rFonts w:ascii="Arial" w:hAnsi="Arial" w:cs="Arial"/>
                <w:color w:val="auto"/>
                <w:highlight w:val="none"/>
              </w:rPr>
            </w:pPr>
            <w:r>
              <w:rPr>
                <w:rFonts w:ascii="Arial" w:hAnsi="Arial" w:cs="Arial"/>
                <w:color w:val="auto"/>
                <w:highlight w:val="none"/>
              </w:rPr>
              <w:t>④中标金额在1000-5000万元之间：</w:t>
            </w:r>
          </w:p>
          <w:p>
            <w:pPr>
              <w:spacing w:line="288" w:lineRule="auto"/>
              <w:jc w:val="left"/>
              <w:rPr>
                <w:rFonts w:ascii="Arial" w:hAnsi="Arial" w:cs="Arial"/>
                <w:color w:val="auto"/>
                <w:highlight w:val="none"/>
              </w:rPr>
            </w:pPr>
            <w:r>
              <w:rPr>
                <w:rFonts w:ascii="Arial" w:hAnsi="Arial" w:cs="Arial"/>
                <w:color w:val="auto"/>
                <w:highlight w:val="none"/>
              </w:rPr>
              <w:t>货物0.5％；服务招标0.25％；工程招标0.35％；</w:t>
            </w:r>
          </w:p>
          <w:p>
            <w:pPr>
              <w:spacing w:line="288" w:lineRule="auto"/>
              <w:jc w:val="left"/>
              <w:rPr>
                <w:rFonts w:ascii="Arial" w:hAnsi="Arial" w:cs="Arial"/>
                <w:color w:val="auto"/>
                <w:highlight w:val="none"/>
              </w:rPr>
            </w:pPr>
            <w:r>
              <w:rPr>
                <w:rFonts w:ascii="Arial" w:hAnsi="Arial" w:cs="Arial"/>
                <w:color w:val="auto"/>
                <w:highlight w:val="none"/>
              </w:rPr>
              <w:t>……</w:t>
            </w:r>
          </w:p>
          <w:p>
            <w:pPr>
              <w:spacing w:line="288" w:lineRule="auto"/>
              <w:jc w:val="left"/>
              <w:rPr>
                <w:rFonts w:ascii="Arial" w:hAnsi="Arial" w:cs="Arial"/>
                <w:color w:val="auto"/>
                <w:highlight w:val="none"/>
              </w:rPr>
            </w:pPr>
            <w:r>
              <w:rPr>
                <w:rFonts w:ascii="Arial" w:hAnsi="Arial" w:cs="Arial"/>
                <w:color w:val="auto"/>
                <w:highlight w:val="none"/>
              </w:rPr>
              <w:t>差额定率累进法计算过程示例：</w:t>
            </w:r>
          </w:p>
          <w:p>
            <w:pPr>
              <w:spacing w:line="288" w:lineRule="auto"/>
              <w:jc w:val="left"/>
              <w:rPr>
                <w:rFonts w:ascii="Arial" w:hAnsi="Arial" w:cs="Arial"/>
                <w:color w:val="auto"/>
                <w:highlight w:val="none"/>
              </w:rPr>
            </w:pPr>
            <w:r>
              <w:rPr>
                <w:rFonts w:ascii="Arial" w:hAnsi="Arial" w:cs="Arial"/>
                <w:color w:val="auto"/>
                <w:highlight w:val="none"/>
              </w:rPr>
              <w:t>例如：某货物招标代理业务中标金额为300万元，招标代理服务费金额按如下计算：</w:t>
            </w:r>
          </w:p>
          <w:p>
            <w:pPr>
              <w:spacing w:line="288" w:lineRule="auto"/>
              <w:jc w:val="left"/>
              <w:rPr>
                <w:rFonts w:ascii="Arial" w:hAnsi="Arial" w:cs="Arial"/>
                <w:color w:val="auto"/>
                <w:highlight w:val="none"/>
              </w:rPr>
            </w:pPr>
            <w:r>
              <w:rPr>
                <w:rFonts w:ascii="Arial" w:hAnsi="Arial" w:cs="Arial"/>
                <w:color w:val="auto"/>
                <w:highlight w:val="none"/>
              </w:rPr>
              <w:t>100万元×1.5%＝1.5万元</w:t>
            </w:r>
          </w:p>
          <w:p>
            <w:pPr>
              <w:spacing w:line="288" w:lineRule="auto"/>
              <w:jc w:val="left"/>
              <w:rPr>
                <w:rFonts w:ascii="Arial" w:hAnsi="Arial" w:cs="Arial"/>
                <w:color w:val="auto"/>
                <w:highlight w:val="none"/>
              </w:rPr>
            </w:pPr>
            <w:r>
              <w:rPr>
                <w:rFonts w:ascii="Arial" w:hAnsi="Arial" w:cs="Arial"/>
                <w:color w:val="auto"/>
                <w:highlight w:val="none"/>
              </w:rPr>
              <w:t>（300－100）万元×1.1%＝2.2万元</w:t>
            </w:r>
          </w:p>
          <w:p>
            <w:pPr>
              <w:spacing w:line="288" w:lineRule="auto"/>
              <w:jc w:val="left"/>
              <w:rPr>
                <w:rFonts w:ascii="Arial" w:hAnsi="Arial" w:cs="Arial"/>
                <w:color w:val="auto"/>
                <w:highlight w:val="none"/>
              </w:rPr>
            </w:pPr>
            <w:r>
              <w:rPr>
                <w:rFonts w:ascii="Arial" w:hAnsi="Arial" w:cs="Arial"/>
                <w:color w:val="auto"/>
                <w:highlight w:val="none"/>
              </w:rPr>
              <w:t>合计收费＝（1.5＋2.2）*85%*60%=1.887万元</w:t>
            </w:r>
          </w:p>
          <w:p>
            <w:pPr>
              <w:spacing w:line="288" w:lineRule="auto"/>
              <w:jc w:val="left"/>
              <w:rPr>
                <w:rFonts w:ascii="Arial" w:hAnsi="Arial" w:cs="Arial"/>
                <w:color w:val="auto"/>
                <w:highlight w:val="none"/>
              </w:rPr>
            </w:pPr>
            <w:r>
              <w:rPr>
                <w:rFonts w:ascii="Arial" w:hAnsi="Arial" w:cs="Arial"/>
                <w:color w:val="auto"/>
                <w:highlight w:val="none"/>
              </w:rPr>
              <w:sym w:font="Wingdings 2" w:char="F0A3"/>
            </w:r>
            <w:r>
              <w:rPr>
                <w:rFonts w:ascii="Arial" w:hAnsi="Arial" w:cs="Arial"/>
                <w:color w:val="auto"/>
                <w:highlight w:val="none"/>
              </w:rPr>
              <w:t>采购代理机构向中标供应商收取代理服务费，具体金额为             。</w:t>
            </w:r>
          </w:p>
          <w:p>
            <w:pPr>
              <w:spacing w:line="288" w:lineRule="auto"/>
              <w:jc w:val="left"/>
              <w:rPr>
                <w:rFonts w:ascii="Arial" w:hAnsi="Arial" w:cs="Arial"/>
                <w:color w:val="auto"/>
                <w:highlight w:val="none"/>
              </w:rPr>
            </w:pPr>
            <w:r>
              <w:rPr>
                <w:rFonts w:ascii="Arial" w:hAnsi="Arial" w:cs="Arial"/>
                <w:color w:val="auto"/>
                <w:highlight w:val="none"/>
              </w:rPr>
              <w:t>（2）中标供应商在中标通知书发出前以银行转账或现金形式支付代理服务费。</w:t>
            </w:r>
          </w:p>
          <w:p>
            <w:pPr>
              <w:spacing w:line="288" w:lineRule="auto"/>
              <w:rPr>
                <w:rFonts w:ascii="Arial" w:hAnsi="Arial" w:cs="Arial"/>
                <w:b/>
                <w:color w:val="auto"/>
                <w:highlight w:val="none"/>
              </w:rPr>
            </w:pPr>
            <w:r>
              <w:rPr>
                <w:rFonts w:ascii="Arial" w:hAnsi="Arial" w:cs="Arial"/>
                <w:b/>
                <w:color w:val="auto"/>
                <w:highlight w:val="none"/>
              </w:rPr>
              <w:t>交纳招标代理服务费的银行账户：</w:t>
            </w:r>
          </w:p>
          <w:p>
            <w:pPr>
              <w:spacing w:line="288" w:lineRule="auto"/>
              <w:rPr>
                <w:rFonts w:ascii="Arial" w:hAnsi="Arial" w:cs="Arial"/>
                <w:b/>
                <w:color w:val="auto"/>
                <w:szCs w:val="21"/>
                <w:highlight w:val="none"/>
              </w:rPr>
            </w:pPr>
            <w:r>
              <w:rPr>
                <w:rFonts w:ascii="Arial" w:hAnsi="Arial" w:cs="Arial"/>
                <w:b/>
                <w:color w:val="auto"/>
                <w:szCs w:val="21"/>
                <w:highlight w:val="none"/>
              </w:rPr>
              <w:t>公司名称：广西机电设备招标有限公司</w:t>
            </w:r>
          </w:p>
          <w:p>
            <w:pPr>
              <w:spacing w:line="288" w:lineRule="auto"/>
              <w:rPr>
                <w:rFonts w:ascii="Arial" w:hAnsi="Arial" w:cs="Arial"/>
                <w:b/>
                <w:color w:val="auto"/>
                <w:szCs w:val="21"/>
                <w:highlight w:val="none"/>
              </w:rPr>
            </w:pPr>
            <w:r>
              <w:rPr>
                <w:rFonts w:ascii="Arial" w:hAnsi="Arial" w:cs="Arial"/>
                <w:b/>
                <w:color w:val="auto"/>
                <w:szCs w:val="21"/>
                <w:highlight w:val="none"/>
              </w:rPr>
              <w:t>开户银行：广西北部湾银行金湖支行</w:t>
            </w:r>
          </w:p>
          <w:p>
            <w:pPr>
              <w:spacing w:line="300" w:lineRule="exact"/>
              <w:jc w:val="left"/>
              <w:rPr>
                <w:rFonts w:ascii="Arial" w:hAnsi="Arial" w:cs="Arial"/>
                <w:color w:val="auto"/>
                <w:kern w:val="0"/>
                <w:szCs w:val="21"/>
                <w:highlight w:val="none"/>
              </w:rPr>
            </w:pPr>
            <w:r>
              <w:rPr>
                <w:rFonts w:ascii="Arial" w:hAnsi="Arial" w:cs="Arial"/>
                <w:b/>
                <w:color w:val="auto"/>
                <w:szCs w:val="21"/>
                <w:highlight w:val="none"/>
              </w:rPr>
              <w:t>银行账号：1705012090027723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9.3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0"/>
                <w:highlight w:val="none"/>
              </w:rPr>
            </w:pPr>
            <w:r>
              <w:rPr>
                <w:rFonts w:ascii="Arial" w:hAnsi="Arial" w:cs="Arial"/>
                <w:color w:val="auto"/>
                <w:szCs w:val="20"/>
                <w:highlight w:val="none"/>
              </w:rPr>
              <w:t>附件</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auto"/>
                <w:szCs w:val="21"/>
                <w:highlight w:val="none"/>
                <w:u w:val="single"/>
              </w:rPr>
            </w:pPr>
            <w:r>
              <w:rPr>
                <w:rFonts w:ascii="Arial" w:hAnsi="Arial" w:cs="Arial"/>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9.3</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0"/>
                <w:highlight w:val="none"/>
              </w:rPr>
            </w:pPr>
            <w:r>
              <w:rPr>
                <w:rFonts w:ascii="Arial" w:hAnsi="Arial" w:cs="Arial"/>
                <w:color w:val="auto"/>
                <w:szCs w:val="20"/>
                <w:highlight w:val="none"/>
              </w:rPr>
              <w:t>图纸</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auto"/>
                <w:szCs w:val="21"/>
                <w:highlight w:val="none"/>
                <w:u w:val="single"/>
              </w:rPr>
            </w:pPr>
            <w:r>
              <w:rPr>
                <w:rFonts w:ascii="Arial" w:hAnsi="Arial" w:cs="Arial"/>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8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b/>
                <w:color w:val="auto"/>
                <w:szCs w:val="21"/>
                <w:highlight w:val="none"/>
              </w:rPr>
            </w:pPr>
            <w:r>
              <w:rPr>
                <w:rFonts w:ascii="Arial" w:hAnsi="Arial" w:cs="Arial"/>
                <w:b/>
                <w:color w:val="auto"/>
                <w:szCs w:val="21"/>
                <w:highlight w:val="none"/>
              </w:rPr>
              <w:t>9.4</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0"/>
                <w:highlight w:val="none"/>
              </w:rPr>
            </w:pPr>
            <w:r>
              <w:rPr>
                <w:rFonts w:ascii="Arial" w:hAnsi="Arial" w:cs="Arial"/>
                <w:color w:val="auto"/>
                <w:szCs w:val="20"/>
                <w:highlight w:val="none"/>
              </w:rPr>
              <w:t>其他事项</w:t>
            </w:r>
          </w:p>
        </w:tc>
        <w:tc>
          <w:tcPr>
            <w:tcW w:w="7443"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color w:val="auto"/>
                <w:sz w:val="24"/>
                <w:highlight w:val="none"/>
              </w:rPr>
            </w:pPr>
            <w:r>
              <w:rPr>
                <w:rFonts w:ascii="Arial" w:hAnsi="Arial" w:cs="Arial"/>
                <w:color w:val="auto"/>
                <w:szCs w:val="21"/>
                <w:highlight w:val="none"/>
              </w:rPr>
              <w:t>本文件中内容如有前后不一致，以在招标文件先出现的为准。</w:t>
            </w:r>
          </w:p>
        </w:tc>
      </w:tr>
    </w:tbl>
    <w:p>
      <w:pPr>
        <w:spacing w:before="120" w:line="320" w:lineRule="atLeast"/>
        <w:outlineLvl w:val="1"/>
        <w:rPr>
          <w:rFonts w:ascii="Arial" w:hAnsi="Arial" w:cs="Arial"/>
          <w:bCs/>
          <w:color w:val="auto"/>
          <w:kern w:val="0"/>
          <w:sz w:val="28"/>
          <w:szCs w:val="28"/>
          <w:highlight w:val="none"/>
        </w:rPr>
        <w:sectPr>
          <w:type w:val="continuous"/>
          <w:pgSz w:w="11906" w:h="16838"/>
          <w:pgMar w:top="993" w:right="1133" w:bottom="1246" w:left="1418" w:header="851" w:footer="992" w:gutter="0"/>
          <w:cols w:space="720" w:num="1"/>
          <w:titlePg/>
          <w:docGrid w:linePitch="312" w:charSpace="0"/>
        </w:sectPr>
      </w:pPr>
    </w:p>
    <w:p>
      <w:pPr>
        <w:spacing w:before="120" w:line="320" w:lineRule="atLeast"/>
        <w:outlineLvl w:val="1"/>
        <w:rPr>
          <w:rFonts w:ascii="Arial" w:hAnsi="Arial" w:cs="Arial"/>
          <w:b/>
          <w:bCs/>
          <w:color w:val="auto"/>
          <w:kern w:val="0"/>
          <w:szCs w:val="21"/>
          <w:highlight w:val="none"/>
        </w:rPr>
      </w:pPr>
      <w:r>
        <w:rPr>
          <w:rFonts w:ascii="Arial" w:hAnsi="Arial" w:cs="Arial"/>
          <w:b/>
          <w:bCs/>
          <w:color w:val="auto"/>
          <w:kern w:val="0"/>
          <w:szCs w:val="21"/>
          <w:highlight w:val="none"/>
        </w:rPr>
        <w:t>1．总则</w:t>
      </w:r>
    </w:p>
    <w:p>
      <w:pPr>
        <w:spacing w:before="120" w:line="320" w:lineRule="atLeast"/>
        <w:ind w:firstLine="422" w:firstLineChars="200"/>
        <w:outlineLvl w:val="2"/>
        <w:rPr>
          <w:rFonts w:ascii="Arial" w:hAnsi="Arial" w:cs="Arial"/>
          <w:b/>
          <w:bCs/>
          <w:color w:val="auto"/>
          <w:kern w:val="0"/>
          <w:szCs w:val="21"/>
          <w:highlight w:val="none"/>
        </w:rPr>
      </w:pPr>
      <w:bookmarkStart w:id="29" w:name="_Toc254970527"/>
      <w:bookmarkStart w:id="30" w:name="_Toc254970668"/>
      <w:r>
        <w:rPr>
          <w:rFonts w:ascii="Arial" w:hAnsi="Arial" w:cs="Arial"/>
          <w:b/>
          <w:bCs/>
          <w:color w:val="auto"/>
          <w:kern w:val="0"/>
          <w:szCs w:val="21"/>
          <w:highlight w:val="none"/>
        </w:rPr>
        <w:t>1.1适用范围</w:t>
      </w:r>
      <w:bookmarkEnd w:id="29"/>
      <w:bookmarkEnd w:id="30"/>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本招标文件适用于供应商须知前附表所述项目的政府采购活动。</w:t>
      </w:r>
    </w:p>
    <w:p>
      <w:pPr>
        <w:spacing w:before="120" w:line="320" w:lineRule="atLeast"/>
        <w:ind w:firstLine="422" w:firstLineChars="200"/>
        <w:outlineLvl w:val="2"/>
        <w:rPr>
          <w:rFonts w:ascii="Arial" w:hAnsi="Arial" w:cs="Arial"/>
          <w:b/>
          <w:bCs/>
          <w:color w:val="auto"/>
          <w:kern w:val="0"/>
          <w:szCs w:val="21"/>
          <w:highlight w:val="none"/>
        </w:rPr>
      </w:pPr>
      <w:bookmarkStart w:id="31" w:name="_Toc254970528"/>
      <w:bookmarkStart w:id="32" w:name="_Toc254970669"/>
      <w:r>
        <w:rPr>
          <w:rFonts w:ascii="Arial" w:hAnsi="Arial" w:cs="Arial"/>
          <w:b/>
          <w:bCs/>
          <w:color w:val="auto"/>
          <w:kern w:val="0"/>
          <w:szCs w:val="21"/>
          <w:highlight w:val="none"/>
        </w:rPr>
        <w:t>1.2定义</w:t>
      </w:r>
      <w:bookmarkEnd w:id="31"/>
      <w:bookmarkEnd w:id="32"/>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1.2.1“采购人”系指依法进行政府采购的国家机关、事业单位、团体组织。</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1.2.2“供应商”系</w:t>
      </w:r>
      <w:r>
        <w:rPr>
          <w:rFonts w:ascii="Arial" w:hAnsi="Arial" w:cs="Arial"/>
          <w:color w:val="auto"/>
          <w:highlight w:val="none"/>
        </w:rPr>
        <w:t>指响应招标、参加投标竞争的法人、其他组织或者自然人</w:t>
      </w:r>
      <w:r>
        <w:rPr>
          <w:rFonts w:ascii="Arial" w:hAnsi="Arial" w:cs="Arial"/>
          <w:color w:val="auto"/>
          <w:szCs w:val="21"/>
          <w:highlight w:val="none"/>
        </w:rPr>
        <w:t>。</w:t>
      </w:r>
    </w:p>
    <w:p>
      <w:pPr>
        <w:spacing w:before="120" w:line="360" w:lineRule="auto"/>
        <w:ind w:firstLine="420" w:firstLineChars="200"/>
        <w:rPr>
          <w:rFonts w:ascii="Arial" w:hAnsi="Arial" w:cs="Arial"/>
          <w:color w:val="auto"/>
          <w:highlight w:val="none"/>
        </w:rPr>
      </w:pPr>
      <w:r>
        <w:rPr>
          <w:rFonts w:ascii="Arial" w:hAnsi="Arial" w:cs="Arial"/>
          <w:color w:val="auto"/>
          <w:highlight w:val="none"/>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before="120" w:line="360" w:lineRule="auto"/>
        <w:ind w:firstLine="420" w:firstLineChars="200"/>
        <w:rPr>
          <w:rFonts w:ascii="Arial" w:hAnsi="Arial" w:cs="Arial"/>
          <w:color w:val="auto"/>
          <w:highlight w:val="none"/>
        </w:rPr>
      </w:pPr>
      <w:r>
        <w:rPr>
          <w:rFonts w:ascii="Arial" w:hAnsi="Arial" w:cs="Arial"/>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pPr>
        <w:widowControl/>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招标文件如有特殊规定，以招标文件规定为准。 </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1.2.6</w:t>
      </w:r>
      <w:r>
        <w:rPr>
          <w:rFonts w:hint="eastAsia" w:ascii="宋体" w:hAnsi="宋体" w:cs="宋体"/>
          <w:b/>
          <w:bCs w:val="0"/>
          <w:color w:val="auto"/>
          <w:sz w:val="24"/>
          <w:highlight w:val="none"/>
        </w:rPr>
        <w:t>本章“项目采购需求”中标注“</w:t>
      </w:r>
      <w:r>
        <w:rPr>
          <w:rFonts w:hint="eastAsia" w:ascii="宋体" w:hAnsi="宋体" w:cs="宋体"/>
          <w:b/>
          <w:bCs w:val="0"/>
          <w:color w:val="auto"/>
          <w:kern w:val="0"/>
          <w:sz w:val="24"/>
          <w:highlight w:val="none"/>
        </w:rPr>
        <w:t>▲</w:t>
      </w:r>
      <w:r>
        <w:rPr>
          <w:rFonts w:hint="eastAsia" w:ascii="宋体" w:hAnsi="宋体" w:cs="宋体"/>
          <w:b/>
          <w:bCs w:val="0"/>
          <w:color w:val="auto"/>
          <w:sz w:val="24"/>
          <w:highlight w:val="none"/>
        </w:rPr>
        <w:t>”的条款或要求系指实质性条款或实质性要求，必须满足，如存在负偏离（或未提供）将导致响应被否决。标注</w:t>
      </w:r>
      <w:r>
        <w:rPr>
          <w:rFonts w:hint="eastAsia" w:ascii="宋体" w:hAnsi="宋体" w:cs="宋体"/>
          <w:b/>
          <w:bCs w:val="0"/>
          <w:color w:val="auto"/>
          <w:kern w:val="0"/>
          <w:sz w:val="24"/>
          <w:highlight w:val="none"/>
        </w:rPr>
        <w:t>“</w:t>
      </w:r>
      <w:r>
        <w:rPr>
          <w:rFonts w:hint="eastAsia" w:ascii="宋体" w:hAnsi="宋体" w:cs="宋体"/>
          <w:b/>
          <w:bCs w:val="0"/>
          <w:color w:val="auto"/>
          <w:sz w:val="24"/>
          <w:highlight w:val="none"/>
        </w:rPr>
        <w:t>★</w:t>
      </w:r>
      <w:r>
        <w:rPr>
          <w:rFonts w:hint="eastAsia" w:ascii="宋体" w:hAnsi="宋体" w:cs="宋体"/>
          <w:b/>
          <w:bCs w:val="0"/>
          <w:color w:val="auto"/>
          <w:kern w:val="0"/>
          <w:sz w:val="24"/>
          <w:highlight w:val="none"/>
        </w:rPr>
        <w:t>”号的为非实质性主要技术参数或条款，允许偏离。</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1.2.7 本招标文件出现多种选项的条款，以“</w:t>
      </w:r>
      <w:r>
        <w:rPr>
          <w:rFonts w:ascii="Arial" w:hAnsi="Arial" w:cs="Arial"/>
          <w:color w:val="auto"/>
          <w:highlight w:val="none"/>
        </w:rPr>
        <w:sym w:font="Wingdings 2" w:char="F052"/>
      </w:r>
      <w:r>
        <w:rPr>
          <w:rFonts w:ascii="Arial" w:hAnsi="Arial" w:cs="Arial"/>
          <w:color w:val="auto"/>
          <w:szCs w:val="21"/>
          <w:highlight w:val="none"/>
        </w:rPr>
        <w:t>”表示本条款所选择的方式。</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1.2.8 “电子交易平台”是指以数据电文形式在线完成采购活动的信息平台，本招标文件中也称“广西政府采购云平台”。</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1.3项目信息</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1.3.1项目名称及编号：详见供应商须知前附表</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1.3.2采购方式：详见供应商须知前附表</w:t>
      </w:r>
    </w:p>
    <w:p>
      <w:pPr>
        <w:spacing w:before="120" w:line="320" w:lineRule="atLeast"/>
        <w:ind w:firstLine="422" w:firstLineChars="200"/>
        <w:outlineLvl w:val="2"/>
        <w:rPr>
          <w:rFonts w:ascii="Arial" w:hAnsi="Arial" w:cs="Arial"/>
          <w:b/>
          <w:bCs/>
          <w:color w:val="auto"/>
          <w:kern w:val="0"/>
          <w:szCs w:val="21"/>
          <w:highlight w:val="none"/>
        </w:rPr>
      </w:pPr>
      <w:bookmarkStart w:id="33" w:name="_Hlk132812137"/>
      <w:r>
        <w:rPr>
          <w:rFonts w:ascii="Arial" w:hAnsi="Arial" w:cs="Arial"/>
          <w:b/>
          <w:bCs/>
          <w:color w:val="auto"/>
          <w:kern w:val="0"/>
          <w:szCs w:val="21"/>
          <w:highlight w:val="none"/>
        </w:rPr>
        <w:t>1.4促进中小企业发展政策</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pPr>
        <w:spacing w:before="120" w:line="320" w:lineRule="atLeast"/>
        <w:ind w:left="2" w:leftChars="1" w:firstLine="420" w:firstLineChars="200"/>
        <w:rPr>
          <w:rFonts w:ascii="Arial" w:hAnsi="Arial" w:cs="Arial"/>
          <w:color w:val="auto"/>
          <w:szCs w:val="21"/>
          <w:highlight w:val="none"/>
        </w:rPr>
      </w:pPr>
      <w:bookmarkStart w:id="34" w:name="_Hlk138842976"/>
      <w:r>
        <w:rPr>
          <w:rFonts w:ascii="Arial" w:hAnsi="Arial" w:cs="Arial"/>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34"/>
      <w:bookmarkStart w:id="35" w:name="_Hlk92205820"/>
      <w:r>
        <w:rPr>
          <w:rFonts w:ascii="Arial" w:hAnsi="Arial" w:cs="Arial"/>
          <w:color w:val="auto"/>
          <w:szCs w:val="21"/>
          <w:highlight w:val="none"/>
        </w:rPr>
        <w:t>价格扣除比例在第四章评审方法及标准中规定，对小型企业和微型企业同等对待，不作区分。</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1.4.2中小企业定义</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1.4.2.2供应商提供的货物、工程或者服务符合下列情形的，享受本款规定的促进中小企业发展政策：</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在货物采购项目中，货物由中小企业制造，即货物由中小企业生产且使用该中小企业商号或者注册商标；</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在工程采购项目中，工程由中小企业承建，即工程施工单位为中小企业；</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在服务采购项目中，服务由中小企业承接，即提供服务的人员为中小企业依照《中华人民共和国劳动合同法》订立劳动合同的从业人员。</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在货物采购项目中，供应商提供的货物既有中小企业制造货物，也有大型企业制造货物的，不享受本款规定的促进中小企业发展政策。</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1.4.2.3本项目标的所属行业在第二章采购需求中规定。供应商根据中小企业划分标准（《关于印发中小企业划型标准规定的通知》（工信部联企业〔2011〕300号）判断是否为中小企业。（见附件）</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符合条件的货物制造商、工程施工单位、服务承接单位为中小企业的，应按招标文件规定在投标文件中提供声明函。</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1.4.2.4视同中小企业情形</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（1）符合中小企业划分标准的个体工商户，视同中小企业。</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（2）以联合体形式参加政府采购活动，联合体各方均为中小企业的，联合体视同中小企业。其中，联合体各方均为小微企业的，联合体视同小微企业。</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符合条件的货物制造商、工程施工单位、服务承接单位为监狱企业或残疾人福利性单位的，应按招标文件规定在投标文件中提供相关证明文件。</w:t>
      </w:r>
      <w:bookmarkEnd w:id="35"/>
    </w:p>
    <w:bookmarkEnd w:id="33"/>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1.5供应商资格要求</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1.5.1供应商资格要求：详见供应商须知前附表</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1.5.2按照招标公告的规定获得招标文件。</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1.5.3本项目是否接受联合体投标，见“供应商须知前附表”规定。</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如接受联合体投标，联合体投标要求如下： </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（1）供应商可以组成一个投标联合体，以一个供应商的身份共同参加投标。联合体投标的，须提供《联合体协议书》（格式后附）</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（4）以联合体形式参加政府采购活动的，联合体各方不得再单独参加或者与其他供应商另外组成联合体参加同一合同项下的政府采购活动。</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（5）联合体中有同类资质的供应商按照联合体分工承担相同工作的，应当按照资质等级较低的供应商确定资质等级。</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（6）联合体投标业绩、履约能力按照联合体各方其中较高的一方认定并计算（招标文件其他章节另有规定的除外）。</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（7）供应商为联合体的，可以由联合体中的一方或者多方共同交纳投标保证金，其交纳的保证金对联合体各方均具有约束力。</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（8）联合体各方均应按照招标文件的规定提交资格证明文件。</w:t>
      </w:r>
    </w:p>
    <w:p>
      <w:pPr>
        <w:spacing w:before="120" w:line="320" w:lineRule="atLeast"/>
        <w:ind w:firstLine="422" w:firstLineChars="200"/>
        <w:outlineLvl w:val="2"/>
        <w:rPr>
          <w:rFonts w:ascii="Arial" w:hAnsi="Arial" w:cs="Arial"/>
          <w:b/>
          <w:bCs/>
          <w:color w:val="auto"/>
          <w:kern w:val="0"/>
          <w:szCs w:val="21"/>
          <w:highlight w:val="none"/>
        </w:rPr>
      </w:pPr>
      <w:bookmarkStart w:id="36" w:name="_Toc254970672"/>
      <w:bookmarkStart w:id="37" w:name="_Toc254970531"/>
      <w:r>
        <w:rPr>
          <w:rFonts w:ascii="Arial" w:hAnsi="Arial" w:cs="Arial"/>
          <w:b/>
          <w:bCs/>
          <w:color w:val="auto"/>
          <w:kern w:val="0"/>
          <w:szCs w:val="21"/>
          <w:highlight w:val="none"/>
        </w:rPr>
        <w:t>1.6现场踏勘及投标费用</w:t>
      </w:r>
      <w:bookmarkEnd w:id="36"/>
      <w:bookmarkEnd w:id="37"/>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1.6.1前附表如规定现场踏勘的，供应商应按规定时间地点参加踏勘。</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1.6.2供应商均应自行承担所有与投标有关的全部费用（招标文件有相关的规定除外）。</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1.7转包与分包</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1.7.1如招标文件其他地方无特别规定，本项目不允许转包。</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1.7.2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pPr>
        <w:spacing w:before="120" w:line="276" w:lineRule="auto"/>
        <w:ind w:firstLine="422" w:firstLineChars="200"/>
        <w:outlineLvl w:val="2"/>
        <w:rPr>
          <w:rFonts w:ascii="Arial" w:hAnsi="Arial" w:cs="Arial"/>
          <w:b/>
          <w:bCs/>
          <w:color w:val="auto"/>
          <w:kern w:val="0"/>
          <w:szCs w:val="21"/>
          <w:highlight w:val="none"/>
        </w:rPr>
      </w:pPr>
      <w:bookmarkStart w:id="38" w:name="_Toc254970532"/>
      <w:bookmarkStart w:id="39" w:name="_Toc254970673"/>
      <w:r>
        <w:rPr>
          <w:rFonts w:ascii="Arial" w:hAnsi="Arial" w:cs="Arial"/>
          <w:b/>
          <w:bCs/>
          <w:color w:val="auto"/>
          <w:kern w:val="0"/>
          <w:szCs w:val="21"/>
          <w:highlight w:val="none"/>
        </w:rPr>
        <w:t>1.8特别说明</w:t>
      </w:r>
      <w:bookmarkEnd w:id="38"/>
      <w:bookmarkEnd w:id="39"/>
    </w:p>
    <w:p>
      <w:pPr>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1.8.1 供应商应保证其提供的联系方式（电话、传真、电子邮件）有效，以保证往来函件（澄清、修改等）能及时通知供应商，并能及时反馈，否则采购人及代理机构不承担由此引起的一切后果。</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1.8.2供应商应仔细阅读招标文件的所有内容，按照招标文件的要求提交投标文件，并对所提供的全部资料的真实性承担法律责任。</w:t>
      </w:r>
    </w:p>
    <w:p>
      <w:pPr>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1.8.3供应商在投标活动中提供任何虚假材料，将报监管部门查处； </w:t>
      </w:r>
    </w:p>
    <w:p>
      <w:pPr>
        <w:spacing w:before="120" w:line="320" w:lineRule="atLeast"/>
        <w:ind w:left="2" w:leftChars="1" w:firstLine="422" w:firstLineChars="200"/>
        <w:outlineLvl w:val="1"/>
        <w:rPr>
          <w:rFonts w:ascii="Arial" w:hAnsi="Arial" w:cs="Arial"/>
          <w:b/>
          <w:bCs/>
          <w:color w:val="auto"/>
          <w:kern w:val="0"/>
          <w:szCs w:val="21"/>
          <w:highlight w:val="none"/>
        </w:rPr>
      </w:pPr>
      <w:bookmarkStart w:id="40" w:name="_Toc254970534"/>
      <w:bookmarkStart w:id="41" w:name="_Toc254970675"/>
      <w:r>
        <w:rPr>
          <w:rFonts w:ascii="Arial" w:hAnsi="Arial" w:cs="Arial"/>
          <w:b/>
          <w:bCs/>
          <w:color w:val="auto"/>
          <w:kern w:val="0"/>
          <w:szCs w:val="21"/>
          <w:highlight w:val="none"/>
        </w:rPr>
        <w:t>2．招标文件</w:t>
      </w:r>
      <w:bookmarkEnd w:id="40"/>
      <w:bookmarkEnd w:id="41"/>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2.1招标文件的构成</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第一章 招标公告</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第二章 项目采购需求</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第三章 供应商须知</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第四章 评标方法及评标标准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第五章 合同主要条款格式</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第六章 投标文件格式</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2.2供应商的风险</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供应商没有按照招标文件要求提供全部资料，或者供应商没有对招标文件在各方面作出实质性响应是供应商的风险，并可能导致其投标被否决。</w:t>
      </w:r>
    </w:p>
    <w:p>
      <w:pPr>
        <w:spacing w:before="120" w:line="320" w:lineRule="atLeast"/>
        <w:ind w:firstLine="422" w:firstLineChars="200"/>
        <w:outlineLvl w:val="2"/>
        <w:rPr>
          <w:rFonts w:ascii="Arial" w:hAnsi="Arial" w:cs="Arial"/>
          <w:b/>
          <w:color w:val="auto"/>
          <w:szCs w:val="21"/>
          <w:highlight w:val="none"/>
        </w:rPr>
      </w:pPr>
      <w:r>
        <w:rPr>
          <w:rFonts w:ascii="Arial" w:hAnsi="Arial" w:cs="Arial"/>
          <w:b/>
          <w:bCs/>
          <w:color w:val="auto"/>
          <w:kern w:val="0"/>
          <w:szCs w:val="21"/>
          <w:highlight w:val="none"/>
        </w:rPr>
        <w:t>2.3招标文件的澄清与修改</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2.3.1任何已获得招标文件的潜在供应商，均可以书面形式要求采购代理机构作出书面解释、澄清。</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2.3.2采购人或者采购代理机构可以对已发出的招标文件进行必要的澄清或者修改。澄清或者修改的内容可能影响投标文件编制的，采购人或者采购代理机构应当在投标截止时间至少15日前，</w:t>
      </w:r>
      <w:bookmarkStart w:id="42" w:name="_Hlk132790706"/>
      <w:r>
        <w:rPr>
          <w:rFonts w:ascii="Arial" w:hAnsi="Arial" w:cs="Arial"/>
          <w:color w:val="auto"/>
          <w:szCs w:val="21"/>
          <w:highlight w:val="none"/>
        </w:rPr>
        <w:t>在投标人须知前附表规定的方式通知所有获取招标文件的潜在投标人</w:t>
      </w:r>
      <w:bookmarkEnd w:id="42"/>
      <w:r>
        <w:rPr>
          <w:rFonts w:ascii="Arial" w:hAnsi="Arial" w:cs="Arial"/>
          <w:color w:val="auto"/>
          <w:szCs w:val="21"/>
          <w:highlight w:val="none"/>
        </w:rPr>
        <w:t>；不足15日的，采购人或者采购代理机构应当顺延提交投标文件的截止时间。</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pPr>
        <w:spacing w:before="120" w:line="320" w:lineRule="atLeast"/>
        <w:ind w:left="2" w:leftChars="1" w:firstLine="422" w:firstLineChars="200"/>
        <w:outlineLvl w:val="1"/>
        <w:rPr>
          <w:rFonts w:ascii="Arial" w:hAnsi="Arial" w:cs="Arial"/>
          <w:b/>
          <w:bCs/>
          <w:color w:val="auto"/>
          <w:kern w:val="0"/>
          <w:szCs w:val="21"/>
          <w:highlight w:val="none"/>
        </w:rPr>
      </w:pPr>
      <w:bookmarkStart w:id="43" w:name="_Toc254970676"/>
      <w:bookmarkStart w:id="44" w:name="_Toc254970535"/>
      <w:r>
        <w:rPr>
          <w:rFonts w:ascii="Arial" w:hAnsi="Arial" w:cs="Arial"/>
          <w:b/>
          <w:bCs/>
          <w:color w:val="auto"/>
          <w:kern w:val="0"/>
          <w:szCs w:val="21"/>
          <w:highlight w:val="none"/>
        </w:rPr>
        <w:t>3．投标文件</w:t>
      </w:r>
      <w:bookmarkEnd w:id="43"/>
      <w:bookmarkEnd w:id="44"/>
    </w:p>
    <w:p>
      <w:pPr>
        <w:spacing w:before="120" w:line="320" w:lineRule="atLeast"/>
        <w:ind w:firstLine="422" w:firstLineChars="200"/>
        <w:outlineLvl w:val="2"/>
        <w:rPr>
          <w:rFonts w:ascii="Arial" w:hAnsi="Arial" w:cs="Arial"/>
          <w:b/>
          <w:bCs/>
          <w:color w:val="auto"/>
          <w:kern w:val="0"/>
          <w:szCs w:val="21"/>
          <w:highlight w:val="none"/>
        </w:rPr>
      </w:pPr>
      <w:bookmarkStart w:id="45" w:name="_Toc254970677"/>
      <w:bookmarkStart w:id="46" w:name="_Toc254970536"/>
      <w:r>
        <w:rPr>
          <w:rFonts w:ascii="Arial" w:hAnsi="Arial" w:cs="Arial"/>
          <w:b/>
          <w:bCs/>
          <w:color w:val="auto"/>
          <w:kern w:val="0"/>
          <w:szCs w:val="21"/>
          <w:highlight w:val="none"/>
        </w:rPr>
        <w:t>3.1投标文件的组成</w:t>
      </w:r>
      <w:bookmarkEnd w:id="45"/>
      <w:bookmarkEnd w:id="46"/>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投标文件由第六章“投标文件格式”规定的内容和供应商所作的一切有效补充、修改和承诺等文件组成。</w:t>
      </w:r>
    </w:p>
    <w:p>
      <w:pPr>
        <w:spacing w:before="120" w:line="320" w:lineRule="atLeast"/>
        <w:ind w:firstLine="422" w:firstLineChars="200"/>
        <w:outlineLvl w:val="2"/>
        <w:rPr>
          <w:rFonts w:ascii="Arial" w:hAnsi="Arial" w:cs="Arial"/>
          <w:b/>
          <w:bCs/>
          <w:color w:val="auto"/>
          <w:kern w:val="0"/>
          <w:szCs w:val="21"/>
          <w:highlight w:val="none"/>
        </w:rPr>
      </w:pPr>
      <w:bookmarkStart w:id="47" w:name="_Toc254970537"/>
      <w:bookmarkStart w:id="48" w:name="_Toc254970678"/>
      <w:r>
        <w:rPr>
          <w:rFonts w:ascii="Arial" w:hAnsi="Arial" w:cs="Arial"/>
          <w:b/>
          <w:color w:val="auto"/>
          <w:szCs w:val="21"/>
          <w:highlight w:val="none"/>
        </w:rPr>
        <w:t>3.2</w:t>
      </w:r>
      <w:r>
        <w:rPr>
          <w:rFonts w:ascii="Arial" w:hAnsi="Arial" w:cs="Arial"/>
          <w:b/>
          <w:bCs/>
          <w:color w:val="auto"/>
          <w:kern w:val="0"/>
          <w:szCs w:val="21"/>
          <w:highlight w:val="none"/>
        </w:rPr>
        <w:t>投标文件的语言及计量</w:t>
      </w:r>
      <w:bookmarkEnd w:id="47"/>
      <w:bookmarkEnd w:id="48"/>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3.2.1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3.2.2计量单位招标文件已有明确规定的，投标使用招标文件规定的计量单位；招标文件没有规定的，应采用中华人民共和国法定计量单位。</w:t>
      </w:r>
    </w:p>
    <w:p>
      <w:pPr>
        <w:spacing w:before="120" w:line="320" w:lineRule="atLeast"/>
        <w:ind w:firstLine="422" w:firstLineChars="200"/>
        <w:outlineLvl w:val="2"/>
        <w:rPr>
          <w:rFonts w:ascii="Arial" w:hAnsi="Arial" w:cs="Arial"/>
          <w:b/>
          <w:bCs/>
          <w:color w:val="auto"/>
          <w:kern w:val="0"/>
          <w:szCs w:val="21"/>
          <w:highlight w:val="none"/>
        </w:rPr>
      </w:pPr>
      <w:bookmarkStart w:id="49" w:name="_Toc254970538"/>
      <w:bookmarkStart w:id="50" w:name="_Toc254970679"/>
      <w:r>
        <w:rPr>
          <w:rFonts w:ascii="Arial" w:hAnsi="Arial" w:cs="Arial"/>
          <w:b/>
          <w:bCs/>
          <w:color w:val="auto"/>
          <w:kern w:val="0"/>
          <w:szCs w:val="21"/>
          <w:highlight w:val="none"/>
        </w:rPr>
        <w:t>3.3投标报价</w:t>
      </w:r>
      <w:bookmarkEnd w:id="49"/>
      <w:bookmarkEnd w:id="50"/>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3.3.1投标报价应按招标文件中相关附表格式填写。</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3.3.2投标文件只允许有一个报价，有选择的或有条件的报价将不予接受。</w:t>
      </w:r>
    </w:p>
    <w:p>
      <w:pPr>
        <w:suppressAutoHyphens/>
        <w:spacing w:before="120" w:line="320" w:lineRule="atLeast"/>
        <w:ind w:firstLine="420" w:firstLineChars="200"/>
        <w:rPr>
          <w:rFonts w:ascii="Arial" w:hAnsi="Arial" w:cs="Arial"/>
          <w:color w:val="auto"/>
          <w:kern w:val="1"/>
          <w:szCs w:val="21"/>
          <w:highlight w:val="none"/>
        </w:rPr>
      </w:pPr>
      <w:r>
        <w:rPr>
          <w:rFonts w:ascii="Arial" w:hAnsi="Arial" w:cs="Arial"/>
          <w:color w:val="auto"/>
          <w:kern w:val="1"/>
          <w:szCs w:val="21"/>
          <w:highlight w:val="none"/>
        </w:rPr>
        <w:t>3.3.3对于本文件中未列明，而供应商认为必需的费用也需列入投标报价。在合同实施时，采购人将不予支付中标人没有列入的项目费用，并认为此项目的费用已包括在投标报价中。</w:t>
      </w:r>
    </w:p>
    <w:p>
      <w:pPr>
        <w:suppressAutoHyphens/>
        <w:spacing w:before="120" w:line="320" w:lineRule="atLeast"/>
        <w:ind w:firstLine="420" w:firstLineChars="200"/>
        <w:rPr>
          <w:rFonts w:ascii="Arial" w:hAnsi="Arial" w:cs="Arial"/>
          <w:b/>
          <w:bCs/>
          <w:color w:val="auto"/>
          <w:kern w:val="1"/>
          <w:szCs w:val="21"/>
          <w:highlight w:val="none"/>
        </w:rPr>
      </w:pPr>
      <w:r>
        <w:rPr>
          <w:rFonts w:ascii="Arial" w:hAnsi="Arial" w:cs="Arial"/>
          <w:color w:val="auto"/>
          <w:kern w:val="1"/>
          <w:szCs w:val="21"/>
          <w:highlight w:val="none"/>
        </w:rPr>
        <w:t>3.3.4采购人不接受供应商给予的赠品、回扣或者与采购无关的其他商品、服务。</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3.4投标有效期</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3.4.1如招标文件其他地方无特别规定，投标有效期则为投标截止之日起90天。在投标有效期内投标文件应保持有效。</w:t>
      </w:r>
      <w:r>
        <w:rPr>
          <w:rFonts w:ascii="Arial" w:hAnsi="Arial" w:cs="Arial"/>
          <w:b/>
          <w:bCs/>
          <w:color w:val="auto"/>
          <w:szCs w:val="21"/>
          <w:highlight w:val="none"/>
        </w:rPr>
        <w:t>有效期不足的投标文件将被否决</w:t>
      </w:r>
      <w:r>
        <w:rPr>
          <w:rFonts w:ascii="Arial" w:hAnsi="Arial" w:cs="Arial"/>
          <w:color w:val="auto"/>
          <w:szCs w:val="21"/>
          <w:highlight w:val="none"/>
        </w:rPr>
        <w:t>。</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3.4.2在特殊情况下，采购人可与供应商协商延长投标文件的有效期，这种要求和答复均以书面形式进行。</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3.4.3供应商同意延长的投标有效期的，如本项目要求提交保证金则应相应延长其投标保证金的有效期，但不得要求或被允许修改或撤销其投标文件；供应商拒绝延长的，其投标无效，但供应商有权收回其投标保证金。</w:t>
      </w:r>
    </w:p>
    <w:p>
      <w:pPr>
        <w:spacing w:before="120" w:line="320" w:lineRule="atLeast"/>
        <w:ind w:firstLine="422" w:firstLineChars="200"/>
        <w:outlineLvl w:val="2"/>
        <w:rPr>
          <w:rFonts w:ascii="Arial" w:hAnsi="Arial" w:cs="Arial"/>
          <w:b/>
          <w:bCs/>
          <w:color w:val="auto"/>
          <w:kern w:val="0"/>
          <w:szCs w:val="21"/>
          <w:highlight w:val="none"/>
        </w:rPr>
      </w:pPr>
      <w:bookmarkStart w:id="51" w:name="_Toc254970682"/>
      <w:bookmarkStart w:id="52" w:name="_Toc254970541"/>
      <w:r>
        <w:rPr>
          <w:rFonts w:ascii="Arial" w:hAnsi="Arial" w:cs="Arial"/>
          <w:b/>
          <w:bCs/>
          <w:color w:val="auto"/>
          <w:kern w:val="0"/>
          <w:szCs w:val="21"/>
          <w:highlight w:val="none"/>
        </w:rPr>
        <w:t>3.5投标保证金</w:t>
      </w:r>
      <w:bookmarkEnd w:id="51"/>
      <w:bookmarkEnd w:id="52"/>
    </w:p>
    <w:p>
      <w:pPr>
        <w:spacing w:before="120" w:line="320" w:lineRule="atLeast"/>
        <w:ind w:left="420"/>
        <w:rPr>
          <w:rFonts w:ascii="Arial" w:hAnsi="Arial" w:cs="Arial"/>
          <w:color w:val="auto"/>
          <w:szCs w:val="21"/>
          <w:highlight w:val="none"/>
        </w:rPr>
      </w:pPr>
      <w:r>
        <w:rPr>
          <w:rFonts w:ascii="Arial" w:hAnsi="Arial" w:cs="Arial"/>
          <w:color w:val="auto"/>
          <w:szCs w:val="21"/>
          <w:highlight w:val="none"/>
        </w:rPr>
        <w:t>本项目无需缴纳投标保证金。</w:t>
      </w:r>
    </w:p>
    <w:p>
      <w:pPr>
        <w:spacing w:before="120" w:line="320" w:lineRule="atLeast"/>
        <w:ind w:firstLine="422" w:firstLineChars="200"/>
        <w:outlineLvl w:val="2"/>
        <w:rPr>
          <w:rFonts w:ascii="Arial" w:hAnsi="Arial" w:cs="Arial"/>
          <w:b/>
          <w:bCs/>
          <w:color w:val="auto"/>
          <w:kern w:val="0"/>
          <w:szCs w:val="21"/>
          <w:highlight w:val="none"/>
        </w:rPr>
      </w:pPr>
      <w:bookmarkStart w:id="53" w:name="_Toc254970542"/>
      <w:bookmarkStart w:id="54" w:name="_Toc254970683"/>
      <w:r>
        <w:rPr>
          <w:rFonts w:ascii="Arial" w:hAnsi="Arial" w:cs="Arial"/>
          <w:b/>
          <w:bCs/>
          <w:color w:val="auto"/>
          <w:kern w:val="0"/>
          <w:szCs w:val="21"/>
          <w:highlight w:val="none"/>
        </w:rPr>
        <w:t>3.6投标文件的</w:t>
      </w:r>
      <w:bookmarkEnd w:id="53"/>
      <w:bookmarkEnd w:id="54"/>
      <w:r>
        <w:rPr>
          <w:rFonts w:ascii="Arial" w:hAnsi="Arial" w:cs="Arial"/>
          <w:b/>
          <w:bCs/>
          <w:color w:val="auto"/>
          <w:kern w:val="0"/>
          <w:szCs w:val="21"/>
          <w:highlight w:val="none"/>
        </w:rPr>
        <w:t>编制要求</w:t>
      </w:r>
    </w:p>
    <w:p>
      <w:pPr>
        <w:spacing w:before="120" w:line="320" w:lineRule="atLeast"/>
        <w:ind w:firstLine="420" w:firstLineChars="200"/>
        <w:rPr>
          <w:rFonts w:ascii="Arial" w:hAnsi="Arial" w:cs="Arial"/>
          <w:b/>
          <w:bCs/>
          <w:color w:val="auto"/>
          <w:kern w:val="0"/>
          <w:szCs w:val="21"/>
          <w:highlight w:val="none"/>
        </w:rPr>
      </w:pPr>
      <w:r>
        <w:rPr>
          <w:rFonts w:ascii="Arial" w:hAnsi="Arial" w:cs="Arial"/>
          <w:color w:val="auto"/>
          <w:kern w:val="0"/>
          <w:szCs w:val="21"/>
          <w:highlight w:val="none"/>
        </w:rPr>
        <w:t>3.6.1</w:t>
      </w:r>
      <w:r>
        <w:rPr>
          <w:rFonts w:ascii="Arial" w:hAnsi="Arial" w:cs="Arial"/>
          <w:color w:val="auto"/>
          <w:szCs w:val="21"/>
          <w:highlight w:val="none"/>
        </w:rPr>
        <w:t>供应商应先安装</w:t>
      </w:r>
      <w:bookmarkStart w:id="55" w:name="_Hlk160184301"/>
      <w:r>
        <w:rPr>
          <w:rFonts w:ascii="Arial" w:hAnsi="Arial" w:cs="Arial"/>
          <w:color w:val="auto"/>
          <w:szCs w:val="21"/>
          <w:highlight w:val="none"/>
        </w:rPr>
        <w:t>广西政府采购云平台新版客户端</w:t>
      </w:r>
      <w:bookmarkEnd w:id="55"/>
      <w:r>
        <w:rPr>
          <w:rFonts w:ascii="Arial" w:hAnsi="Arial" w:cs="Arial"/>
          <w:color w:val="auto"/>
          <w:szCs w:val="21"/>
          <w:highlight w:val="none"/>
        </w:rPr>
        <w:t>，通过账号密码或CA登录客户端制作投标文件。</w:t>
      </w:r>
    </w:p>
    <w:p>
      <w:pPr>
        <w:spacing w:before="120" w:line="320" w:lineRule="atLeast"/>
        <w:ind w:firstLine="420" w:firstLineChars="200"/>
        <w:rPr>
          <w:rFonts w:ascii="Arial" w:hAnsi="Arial" w:cs="Arial"/>
          <w:color w:val="auto"/>
          <w:szCs w:val="21"/>
          <w:highlight w:val="none"/>
        </w:rPr>
      </w:pPr>
      <w:bookmarkStart w:id="56" w:name="_Hlk132791136"/>
      <w:r>
        <w:rPr>
          <w:rFonts w:ascii="Arial" w:hAnsi="Arial" w:cs="Arial"/>
          <w:color w:val="auto"/>
          <w:szCs w:val="21"/>
          <w:highlight w:val="none"/>
        </w:rPr>
        <w:t>3.6.2供应商应按本招标文件规定的格式和顺序编制投标文件并进行关联定位，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pPr>
        <w:spacing w:before="120" w:line="320" w:lineRule="atLeast"/>
        <w:ind w:firstLine="420" w:firstLineChars="200"/>
        <w:rPr>
          <w:rFonts w:ascii="Arial" w:hAnsi="Arial" w:cs="Arial"/>
          <w:color w:val="auto"/>
          <w:szCs w:val="21"/>
          <w:highlight w:val="none"/>
        </w:rPr>
      </w:pPr>
      <w:bookmarkStart w:id="57" w:name="_Hlk93046800"/>
      <w:r>
        <w:rPr>
          <w:rFonts w:ascii="Arial" w:hAnsi="Arial" w:cs="Arial"/>
          <w:color w:val="auto"/>
          <w:szCs w:val="21"/>
          <w:highlight w:val="none"/>
        </w:rPr>
        <w:t>3.6.3 投标人的投标文件未按照招标文件要求签署、盖章的，</w:t>
      </w:r>
      <w:r>
        <w:rPr>
          <w:rFonts w:ascii="Arial" w:hAnsi="Arial" w:cs="Arial"/>
          <w:b/>
          <w:bCs/>
          <w:color w:val="auto"/>
          <w:szCs w:val="21"/>
          <w:highlight w:val="none"/>
        </w:rPr>
        <w:t>其投标无效</w:t>
      </w:r>
      <w:r>
        <w:rPr>
          <w:rFonts w:ascii="Arial" w:hAnsi="Arial" w:cs="Arial"/>
          <w:color w:val="auto"/>
          <w:szCs w:val="21"/>
          <w:highlight w:val="none"/>
        </w:rPr>
        <w:t>。</w:t>
      </w:r>
    </w:p>
    <w:bookmarkEnd w:id="56"/>
    <w:bookmarkEnd w:id="57"/>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3.6.4为确保网上操作合法、有效和安全，供应商应当在投标截止时间前完成在广西政府采购云平台的身份认证，确保在电子投标过程中能够对相关数据电文进行加密和使用电子签名。</w:t>
      </w:r>
    </w:p>
    <w:p>
      <w:pPr>
        <w:spacing w:before="120" w:line="320" w:lineRule="atLeast"/>
        <w:ind w:firstLine="420" w:firstLineChars="200"/>
        <w:rPr>
          <w:rFonts w:ascii="Arial" w:hAnsi="Arial" w:cs="Arial"/>
          <w:b/>
          <w:bCs/>
          <w:color w:val="auto"/>
          <w:szCs w:val="21"/>
          <w:highlight w:val="none"/>
        </w:rPr>
      </w:pPr>
      <w:r>
        <w:rPr>
          <w:rFonts w:ascii="Arial" w:hAnsi="Arial" w:cs="Arial"/>
          <w:color w:val="auto"/>
          <w:szCs w:val="21"/>
          <w:highlight w:val="none"/>
        </w:rPr>
        <w:t>3.6.5投标文件中标注的供应商名称应与主体资格证明（如营业执照、事业单位法人证书、执业许可证、个体工商户营业执照、自然人身份证等）和公章/电子签章一致，</w:t>
      </w:r>
      <w:r>
        <w:rPr>
          <w:rFonts w:ascii="Arial" w:hAnsi="Arial" w:cs="Arial"/>
          <w:b/>
          <w:bCs/>
          <w:color w:val="auto"/>
          <w:szCs w:val="21"/>
          <w:highlight w:val="none"/>
        </w:rPr>
        <w:t>否则作无效投标处理。</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3.7投标文件的递交、修改和撤回</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3.7.1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3.7.2未在规定时间内提交或者未按照招标文件要求签章、加密的电子投标文件，广西政府采购云平台将拒收。 </w:t>
      </w:r>
    </w:p>
    <w:p>
      <w:pPr>
        <w:spacing w:before="120" w:line="320" w:lineRule="atLeast"/>
        <w:ind w:left="2" w:leftChars="1" w:firstLine="420" w:firstLineChars="200"/>
        <w:rPr>
          <w:rFonts w:ascii="Arial" w:hAnsi="Arial" w:cs="Arial"/>
          <w:color w:val="auto"/>
          <w:szCs w:val="21"/>
          <w:highlight w:val="none"/>
        </w:rPr>
      </w:pPr>
      <w:bookmarkStart w:id="58" w:name="_Toc254970685"/>
      <w:bookmarkStart w:id="59" w:name="_Toc254970544"/>
      <w:r>
        <w:rPr>
          <w:rFonts w:ascii="Arial" w:hAnsi="Arial" w:cs="Arial"/>
          <w:color w:val="auto"/>
          <w:szCs w:val="21"/>
          <w:highlight w:val="none"/>
        </w:rPr>
        <w:t>3.7.3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3.7.4在投标截止时间前，除供应商补充、修改或者撤回投标文件外，任何单位和个人不得解密或提取投标文件。</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3.7.5在投标截止时间止提交电子版投标文件的供应商不足3家时，电子版投标文件由代理机构在广西政府采购云平台操作退回，除此之外采购人和采购代理机构对已提交的投标文件概不退回。</w:t>
      </w:r>
    </w:p>
    <w:p>
      <w:pPr>
        <w:spacing w:before="120" w:line="320" w:lineRule="atLeast"/>
        <w:ind w:left="2" w:leftChars="1" w:firstLine="420" w:firstLineChars="200"/>
        <w:rPr>
          <w:rFonts w:ascii="Arial" w:hAnsi="Arial" w:cs="Arial"/>
          <w:color w:val="auto"/>
          <w:szCs w:val="21"/>
          <w:highlight w:val="none"/>
        </w:rPr>
      </w:pPr>
      <w:bookmarkStart w:id="60" w:name="_Hlk93046827"/>
      <w:r>
        <w:rPr>
          <w:rFonts w:ascii="Arial" w:hAnsi="Arial" w:cs="Arial"/>
          <w:color w:val="auto"/>
          <w:szCs w:val="21"/>
          <w:highlight w:val="none"/>
        </w:rPr>
        <w:t>3.7.6招标文件未允许同一供应商提交两个或以上不同的响应文件，但存在</w:t>
      </w:r>
      <w:r>
        <w:rPr>
          <w:rFonts w:ascii="Arial" w:hAnsi="Arial" w:cs="Arial"/>
          <w:color w:val="auto"/>
          <w:highlight w:val="none"/>
        </w:rPr>
        <w:t>同</w:t>
      </w:r>
      <w:r>
        <w:rPr>
          <w:rFonts w:ascii="Arial" w:hAnsi="Arial" w:cs="Arial"/>
          <w:color w:val="auto"/>
          <w:szCs w:val="21"/>
          <w:highlight w:val="none"/>
        </w:rPr>
        <w:t>一供应商提交两个或以上不同的响应文件的，</w:t>
      </w:r>
      <w:r>
        <w:rPr>
          <w:rFonts w:ascii="Arial" w:hAnsi="Arial" w:cs="Arial"/>
          <w:b/>
          <w:bCs/>
          <w:color w:val="auto"/>
          <w:szCs w:val="21"/>
          <w:highlight w:val="none"/>
        </w:rPr>
        <w:t>其投标无效。</w:t>
      </w:r>
    </w:p>
    <w:bookmarkEnd w:id="60"/>
    <w:p>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4．开标</w:t>
      </w:r>
      <w:bookmarkEnd w:id="58"/>
      <w:bookmarkEnd w:id="59"/>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4.1开标准备</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本项目投标截止时间及地点见“供应商须知前附表”规定。</w:t>
      </w:r>
    </w:p>
    <w:p>
      <w:pPr>
        <w:autoSpaceDE w:val="0"/>
        <w:autoSpaceDN w:val="0"/>
        <w:adjustRightInd w:val="0"/>
        <w:spacing w:line="276" w:lineRule="auto"/>
        <w:ind w:firstLine="420" w:firstLineChars="200"/>
        <w:rPr>
          <w:rFonts w:ascii="Arial" w:hAnsi="Arial" w:cs="Arial"/>
          <w:color w:val="auto"/>
          <w:szCs w:val="21"/>
          <w:highlight w:val="none"/>
        </w:rPr>
      </w:pPr>
      <w:r>
        <w:rPr>
          <w:rFonts w:ascii="Arial" w:hAnsi="Arial" w:cs="Arial"/>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如供应商成功解密投标文件，但未在广西政府采购云平台电子开标大厅参加开标的，视同认可开标过程和结果，由此产生的后果由供应商自行负责。 </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4.2开标程序</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4.2.1供应商登录广西政府采购云平台进入开标大厅签到。</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4.2.2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ascii="Arial" w:hAnsi="Arial" w:cs="Arial"/>
          <w:color w:val="auto"/>
          <w:highlight w:val="none"/>
        </w:rPr>
        <w:t>通知后供应商仍未在上述规定时间内解密响应文件</w:t>
      </w:r>
      <w:r>
        <w:rPr>
          <w:rFonts w:ascii="Arial" w:hAnsi="Arial" w:cs="Arial"/>
          <w:color w:val="auto"/>
          <w:szCs w:val="21"/>
          <w:highlight w:val="none"/>
        </w:rPr>
        <w:t>，或者供应商没预留联系方式或预留联系方式无效导致代理机构无法联系到供应商进行解密的，均视为无效投标。</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4.2.3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4.2.4解密异常情况处理：详见本章9.2电子交易活动的中止。</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4.2.5供应商对报价进行确认。</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4.2.6开标结束。</w:t>
      </w:r>
    </w:p>
    <w:p>
      <w:pPr>
        <w:pStyle w:val="29"/>
        <w:snapToGrid w:val="0"/>
        <w:spacing w:line="440" w:lineRule="exact"/>
        <w:ind w:firstLine="422" w:firstLineChars="200"/>
        <w:rPr>
          <w:rFonts w:ascii="Arial" w:hAnsi="Arial" w:cs="Arial"/>
          <w:color w:val="auto"/>
          <w:highlight w:val="none"/>
        </w:rPr>
      </w:pPr>
      <w:r>
        <w:rPr>
          <w:rFonts w:ascii="Arial" w:hAnsi="Arial" w:cs="Arial"/>
          <w:b/>
          <w:bCs/>
          <w:color w:val="auto"/>
          <w:highlight w:val="none"/>
        </w:rPr>
        <w:t>特别说明：</w:t>
      </w:r>
      <w:r>
        <w:rPr>
          <w:rFonts w:ascii="Arial" w:hAnsi="Arial" w:cs="Arial"/>
          <w:color w:val="auto"/>
          <w:highlight w:val="none"/>
        </w:rPr>
        <w:t>如遇广西政府采购云平台电子化开标或评审程序调整的，按调整后的程序执行。</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4.3演示</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本项目无演示。</w:t>
      </w:r>
    </w:p>
    <w:p>
      <w:pPr>
        <w:spacing w:before="120" w:line="320" w:lineRule="atLeast"/>
        <w:ind w:firstLine="422" w:firstLineChars="200"/>
        <w:outlineLvl w:val="2"/>
        <w:rPr>
          <w:rFonts w:ascii="Arial" w:hAnsi="Arial" w:cs="Arial"/>
          <w:color w:val="auto"/>
          <w:szCs w:val="21"/>
          <w:highlight w:val="none"/>
        </w:rPr>
      </w:pPr>
      <w:r>
        <w:rPr>
          <w:rFonts w:ascii="Arial" w:hAnsi="Arial" w:cs="Arial"/>
          <w:b/>
          <w:bCs/>
          <w:color w:val="auto"/>
          <w:kern w:val="0"/>
          <w:szCs w:val="21"/>
          <w:highlight w:val="none"/>
        </w:rPr>
        <w:t>4.4样品</w:t>
      </w:r>
    </w:p>
    <w:p>
      <w:pPr>
        <w:spacing w:before="120" w:line="320" w:lineRule="atLeast"/>
        <w:ind w:firstLine="420" w:firstLineChars="200"/>
        <w:rPr>
          <w:rFonts w:ascii="Arial" w:hAnsi="Arial" w:cs="Arial"/>
          <w:color w:val="auto"/>
          <w:szCs w:val="21"/>
          <w:highlight w:val="none"/>
        </w:rPr>
      </w:pPr>
      <w:bookmarkStart w:id="61" w:name="_Toc254970686"/>
      <w:bookmarkStart w:id="62" w:name="_Toc254970545"/>
      <w:r>
        <w:rPr>
          <w:rFonts w:ascii="Arial" w:hAnsi="Arial" w:cs="Arial"/>
          <w:color w:val="auto"/>
          <w:szCs w:val="21"/>
          <w:highlight w:val="none"/>
        </w:rPr>
        <w:t>本项目无需提供样品。</w:t>
      </w:r>
    </w:p>
    <w:p>
      <w:pPr>
        <w:spacing w:before="120" w:line="320" w:lineRule="atLeast"/>
        <w:ind w:left="2" w:leftChars="1" w:firstLine="422" w:firstLineChars="200"/>
        <w:outlineLvl w:val="1"/>
        <w:rPr>
          <w:rFonts w:ascii="Arial" w:hAnsi="Arial" w:cs="Arial"/>
          <w:b/>
          <w:bCs/>
          <w:color w:val="auto"/>
          <w:kern w:val="0"/>
          <w:szCs w:val="21"/>
          <w:highlight w:val="none"/>
        </w:rPr>
      </w:pPr>
      <w:bookmarkStart w:id="63" w:name="_Hlk93420947"/>
      <w:r>
        <w:rPr>
          <w:rFonts w:ascii="Arial" w:hAnsi="Arial" w:cs="Arial"/>
          <w:b/>
          <w:bCs/>
          <w:color w:val="auto"/>
          <w:kern w:val="0"/>
          <w:szCs w:val="21"/>
          <w:highlight w:val="none"/>
        </w:rPr>
        <w:t>5．资格审查</w:t>
      </w:r>
    </w:p>
    <w:p>
      <w:pPr>
        <w:spacing w:before="120" w:line="320" w:lineRule="atLeast"/>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5.1</w:t>
      </w:r>
      <w:r>
        <w:rPr>
          <w:rFonts w:ascii="Arial" w:hAnsi="Arial" w:cs="Arial"/>
          <w:bCs/>
          <w:color w:val="auto"/>
          <w:szCs w:val="21"/>
          <w:highlight w:val="none"/>
        </w:rPr>
        <w:t>开标结束后，采购人或者采购代理机构通过电子交易平台对供应商的资格进行审查。资格审查</w:t>
      </w:r>
      <w:r>
        <w:rPr>
          <w:rFonts w:ascii="Arial" w:hAnsi="Arial" w:cs="Arial"/>
          <w:bCs/>
          <w:color w:val="auto"/>
          <w:kern w:val="0"/>
          <w:szCs w:val="21"/>
          <w:highlight w:val="none"/>
        </w:rPr>
        <w:t>是根据法律法规和招标文件的规定，对供应商的基本资格条件、特定资格条件进行审查。</w:t>
      </w:r>
    </w:p>
    <w:p>
      <w:pPr>
        <w:spacing w:before="120" w:line="320" w:lineRule="atLeast"/>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5.2资格审查标准在第四章评审方法及标准中规定，符合资格审查标准要求的供应商即为资格审查合格。</w:t>
      </w:r>
    </w:p>
    <w:p>
      <w:pPr>
        <w:spacing w:before="120" w:line="276"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5.3供应商有下列情形之一的，资格审查不合格，作无效投标处理：</w:t>
      </w:r>
    </w:p>
    <w:p>
      <w:pPr>
        <w:spacing w:line="276" w:lineRule="auto"/>
        <w:ind w:firstLine="420" w:firstLineChars="200"/>
        <w:rPr>
          <w:rFonts w:ascii="Arial" w:hAnsi="Arial" w:cs="Arial"/>
          <w:color w:val="auto"/>
          <w:highlight w:val="none"/>
        </w:rPr>
      </w:pPr>
      <w:r>
        <w:rPr>
          <w:rFonts w:ascii="Arial" w:hAnsi="Arial" w:cs="Arial"/>
          <w:color w:val="auto"/>
          <w:szCs w:val="21"/>
          <w:highlight w:val="none"/>
        </w:rPr>
        <w:t xml:space="preserve">5.3.1不具备招标文件中规定的资格要求或资格条件的； </w:t>
      </w:r>
      <w:r>
        <w:rPr>
          <w:rFonts w:ascii="Arial" w:hAnsi="Arial" w:cs="Arial"/>
          <w:color w:val="auto"/>
          <w:highlight w:val="none"/>
        </w:rPr>
        <w:t>（注：其中信用查询规则见“投标人须知前附表”，</w:t>
      </w:r>
      <w:r>
        <w:rPr>
          <w:rFonts w:ascii="Arial" w:hAnsi="Arial" w:cs="Arial"/>
          <w:color w:val="auto"/>
          <w:szCs w:val="21"/>
          <w:highlight w:val="none"/>
        </w:rPr>
        <w:t>广西政府采购云平台</w:t>
      </w:r>
      <w:r>
        <w:rPr>
          <w:rFonts w:ascii="Arial" w:hAnsi="Arial" w:cs="Arial"/>
          <w:color w:val="auto"/>
          <w:highlight w:val="none"/>
        </w:rPr>
        <w:t>已与“信用中国”平台做接口，可直接在线查询）</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5.3.2投标文件缺少任何一项资格证明文件或不符合第四章评审方法及标准中资格审查标准规定的评审内容的；</w:t>
      </w:r>
    </w:p>
    <w:p>
      <w:pPr>
        <w:spacing w:before="120" w:line="276" w:lineRule="auto"/>
        <w:ind w:left="2" w:leftChars="1" w:firstLine="420" w:firstLineChars="200"/>
        <w:outlineLvl w:val="1"/>
        <w:rPr>
          <w:rFonts w:ascii="Arial" w:hAnsi="Arial" w:cs="Arial"/>
          <w:bCs/>
          <w:color w:val="auto"/>
          <w:kern w:val="0"/>
          <w:szCs w:val="21"/>
          <w:highlight w:val="none"/>
        </w:rPr>
      </w:pPr>
      <w:r>
        <w:rPr>
          <w:rFonts w:ascii="Arial" w:hAnsi="Arial" w:cs="Arial"/>
          <w:bCs/>
          <w:color w:val="auto"/>
          <w:kern w:val="0"/>
          <w:szCs w:val="21"/>
          <w:highlight w:val="none"/>
        </w:rPr>
        <w:t>5.4资格审查合格的供应商不足3家的，不得评审。</w:t>
      </w:r>
    </w:p>
    <w:bookmarkEnd w:id="63"/>
    <w:p>
      <w:pPr>
        <w:spacing w:before="120" w:line="320" w:lineRule="atLeast"/>
        <w:ind w:left="2" w:leftChars="1" w:firstLine="422" w:firstLineChars="200"/>
        <w:outlineLvl w:val="1"/>
        <w:rPr>
          <w:rFonts w:ascii="Arial" w:hAnsi="Arial" w:cs="Arial"/>
          <w:b/>
          <w:bCs/>
          <w:color w:val="auto"/>
          <w:kern w:val="0"/>
          <w:szCs w:val="21"/>
          <w:highlight w:val="none"/>
        </w:rPr>
      </w:pPr>
      <w:bookmarkStart w:id="64" w:name="_Hlk93420990"/>
      <w:r>
        <w:rPr>
          <w:rFonts w:ascii="Arial" w:hAnsi="Arial" w:cs="Arial"/>
          <w:b/>
          <w:bCs/>
          <w:color w:val="auto"/>
          <w:kern w:val="0"/>
          <w:szCs w:val="21"/>
          <w:highlight w:val="none"/>
        </w:rPr>
        <w:t>6．评审</w:t>
      </w:r>
      <w:bookmarkEnd w:id="61"/>
      <w:bookmarkEnd w:id="62"/>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6.1评审委员会及评审原则</w:t>
      </w:r>
    </w:p>
    <w:p>
      <w:pPr>
        <w:spacing w:before="120" w:line="320" w:lineRule="atLeast"/>
        <w:ind w:firstLine="420" w:firstLineChars="200"/>
        <w:rPr>
          <w:rFonts w:ascii="Arial" w:hAnsi="Arial" w:cs="Arial"/>
          <w:color w:val="auto"/>
          <w:szCs w:val="21"/>
          <w:highlight w:val="none"/>
        </w:rPr>
      </w:pPr>
      <w:bookmarkStart w:id="65" w:name="_Hlk91249317"/>
      <w:r>
        <w:rPr>
          <w:rFonts w:ascii="Arial" w:hAnsi="Arial" w:cs="Arial"/>
          <w:color w:val="auto"/>
          <w:szCs w:val="21"/>
          <w:highlight w:val="none"/>
        </w:rPr>
        <w:t>6.1.1本项目评审工作由评审委员会负责，评审委员会由评审专家和采购人代表（如有）组成。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利害关系的，应当主动提出回避。</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6.1.4本项目评审过程实行全程网上留痕及录音、录像监控，供应商在评审过程中所进行的试图影响评审结果的不公正活动，可能导致其投标按无效处理。</w:t>
      </w:r>
    </w:p>
    <w:bookmarkEnd w:id="65"/>
    <w:p>
      <w:pPr>
        <w:spacing w:before="120" w:line="320" w:lineRule="atLeast"/>
        <w:ind w:firstLine="422" w:firstLineChars="200"/>
        <w:outlineLvl w:val="2"/>
        <w:rPr>
          <w:rFonts w:ascii="Arial" w:hAnsi="Arial" w:cs="Arial"/>
          <w:b/>
          <w:bCs/>
          <w:color w:val="auto"/>
          <w:kern w:val="0"/>
          <w:szCs w:val="21"/>
          <w:highlight w:val="none"/>
        </w:rPr>
      </w:pPr>
      <w:bookmarkStart w:id="66" w:name="_Hlk91324148"/>
      <w:r>
        <w:rPr>
          <w:rFonts w:ascii="Arial" w:hAnsi="Arial" w:cs="Arial"/>
          <w:b/>
          <w:bCs/>
          <w:color w:val="auto"/>
          <w:kern w:val="0"/>
          <w:szCs w:val="21"/>
          <w:highlight w:val="none"/>
        </w:rPr>
        <w:t>6.2评审方法及依据</w:t>
      </w:r>
    </w:p>
    <w:p>
      <w:pPr>
        <w:spacing w:before="120" w:line="320" w:lineRule="atLeast"/>
        <w:ind w:firstLine="420" w:firstLineChars="200"/>
        <w:rPr>
          <w:rFonts w:ascii="Arial" w:hAnsi="Arial" w:cs="Arial"/>
          <w:bCs/>
          <w:color w:val="auto"/>
          <w:kern w:val="0"/>
          <w:szCs w:val="21"/>
          <w:highlight w:val="none"/>
        </w:rPr>
      </w:pPr>
      <w:r>
        <w:rPr>
          <w:rFonts w:ascii="Arial" w:hAnsi="Arial" w:cs="Arial"/>
          <w:bCs/>
          <w:color w:val="auto"/>
          <w:kern w:val="0"/>
          <w:szCs w:val="21"/>
          <w:highlight w:val="none"/>
        </w:rPr>
        <w:t>6.2.1本项目采用第四章评审方法及标准规定的方法进行评审。</w:t>
      </w:r>
    </w:p>
    <w:p>
      <w:pPr>
        <w:suppressAutoHyphens/>
        <w:spacing w:before="120" w:line="320" w:lineRule="atLeast"/>
        <w:ind w:firstLine="420" w:firstLineChars="200"/>
        <w:rPr>
          <w:rFonts w:ascii="Arial" w:hAnsi="Arial" w:cs="Arial"/>
          <w:bCs/>
          <w:color w:val="auto"/>
          <w:kern w:val="0"/>
          <w:szCs w:val="21"/>
          <w:highlight w:val="none"/>
        </w:rPr>
      </w:pPr>
      <w:r>
        <w:rPr>
          <w:rFonts w:ascii="Arial" w:hAnsi="Arial" w:cs="Arial"/>
          <w:bCs/>
          <w:color w:val="auto"/>
          <w:kern w:val="0"/>
          <w:szCs w:val="21"/>
          <w:highlight w:val="none"/>
        </w:rPr>
        <w:t>6.2.2</w:t>
      </w:r>
      <w:r>
        <w:rPr>
          <w:rFonts w:ascii="Arial" w:hAnsi="Arial" w:cs="Arial"/>
          <w:color w:val="auto"/>
          <w:highlight w:val="none"/>
        </w:rPr>
        <w:t>评审委员会以招标文件、补充文件、投标文件、澄清及答复为评审依据，</w:t>
      </w:r>
      <w:r>
        <w:rPr>
          <w:rFonts w:ascii="Arial" w:hAnsi="Arial" w:cs="Arial"/>
          <w:bCs/>
          <w:color w:val="auto"/>
          <w:kern w:val="0"/>
          <w:szCs w:val="21"/>
          <w:highlight w:val="none"/>
        </w:rPr>
        <w:t>第四章评审方法及标准没有规定的评审方法、标准及因素，不得作为评审依据。</w:t>
      </w:r>
    </w:p>
    <w:bookmarkEnd w:id="66"/>
    <w:p>
      <w:pPr>
        <w:spacing w:before="120" w:line="320" w:lineRule="atLeast"/>
        <w:ind w:firstLine="422" w:firstLineChars="200"/>
        <w:outlineLvl w:val="2"/>
        <w:rPr>
          <w:rFonts w:ascii="Arial" w:hAnsi="Arial" w:cs="Arial"/>
          <w:b/>
          <w:bCs/>
          <w:color w:val="auto"/>
          <w:kern w:val="0"/>
          <w:szCs w:val="21"/>
          <w:highlight w:val="none"/>
        </w:rPr>
      </w:pPr>
      <w:bookmarkStart w:id="67" w:name="_Hlk91324322"/>
      <w:r>
        <w:rPr>
          <w:rFonts w:ascii="Arial" w:hAnsi="Arial" w:cs="Arial"/>
          <w:b/>
          <w:bCs/>
          <w:color w:val="auto"/>
          <w:kern w:val="0"/>
          <w:szCs w:val="21"/>
          <w:highlight w:val="none"/>
        </w:rPr>
        <w:t>6.3评审程序</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6.</w:t>
      </w:r>
      <w:bookmarkStart w:id="68" w:name="_Hlk80956880"/>
      <w:r>
        <w:rPr>
          <w:rFonts w:ascii="Arial" w:hAnsi="Arial" w:cs="Arial"/>
          <w:color w:val="auto"/>
          <w:highlight w:val="none"/>
        </w:rPr>
        <w:t>3.1符合性审查</w:t>
      </w:r>
    </w:p>
    <w:p>
      <w:pPr>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w:t>
      </w:r>
      <w:r>
        <w:rPr>
          <w:rFonts w:ascii="Arial" w:hAnsi="Arial" w:cs="Arial"/>
          <w:color w:val="auto"/>
          <w:highlight w:val="none"/>
        </w:rPr>
        <w:t>评审委员会对通过资格审查的供应商的投标文件报价、商务资信、技术等方面实质性内容进行符合性审查，</w:t>
      </w:r>
      <w:r>
        <w:rPr>
          <w:rFonts w:ascii="Arial" w:hAnsi="Arial" w:cs="Arial"/>
          <w:color w:val="auto"/>
          <w:szCs w:val="21"/>
          <w:highlight w:val="none"/>
        </w:rPr>
        <w:t>符合性审查标准详见第四章评审方法及标准。</w:t>
      </w:r>
    </w:p>
    <w:bookmarkEnd w:id="68"/>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6.3.2</w:t>
      </w:r>
      <w:r>
        <w:rPr>
          <w:rFonts w:ascii="Arial" w:hAnsi="Arial" w:cs="Arial"/>
          <w:color w:val="auto"/>
          <w:highlight w:val="none"/>
        </w:rPr>
        <w:t>强制性</w:t>
      </w:r>
      <w:r>
        <w:rPr>
          <w:rFonts w:ascii="Arial" w:hAnsi="Arial" w:cs="Arial"/>
          <w:color w:val="auto"/>
          <w:szCs w:val="21"/>
          <w:highlight w:val="none"/>
        </w:rPr>
        <w:t>采购要求（仅适用于货物采购项目）</w:t>
      </w:r>
    </w:p>
    <w:p>
      <w:pPr>
        <w:suppressAutoHyphens/>
        <w:spacing w:before="120" w:line="320" w:lineRule="atLeast"/>
        <w:ind w:firstLine="422" w:firstLineChars="201"/>
        <w:rPr>
          <w:rFonts w:ascii="Arial" w:hAnsi="Arial" w:cs="Arial"/>
          <w:color w:val="auto"/>
          <w:szCs w:val="21"/>
          <w:highlight w:val="none"/>
        </w:rPr>
      </w:pPr>
      <w:bookmarkStart w:id="69" w:name="_Hlk47714684"/>
      <w:r>
        <w:rPr>
          <w:rFonts w:ascii="Arial" w:hAnsi="Arial" w:cs="Arial"/>
          <w:color w:val="auto"/>
          <w:szCs w:val="21"/>
          <w:highlight w:val="none"/>
        </w:rPr>
        <w:t>（1）</w:t>
      </w:r>
      <w:bookmarkEnd w:id="69"/>
      <w:r>
        <w:rPr>
          <w:rFonts w:ascii="Arial" w:hAnsi="Arial" w:cs="Arial"/>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spacing w:before="120" w:line="276" w:lineRule="auto"/>
        <w:ind w:firstLine="420" w:firstLineChars="200"/>
        <w:rPr>
          <w:rFonts w:ascii="Arial" w:hAnsi="Arial" w:cs="Arial"/>
          <w:color w:val="auto"/>
          <w:szCs w:val="21"/>
          <w:highlight w:val="none"/>
        </w:rPr>
      </w:pPr>
      <w:bookmarkStart w:id="70" w:name="_Hlk138843020"/>
      <w:r>
        <w:rPr>
          <w:rFonts w:ascii="Arial" w:hAnsi="Arial" w:cs="Arial"/>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bookmarkEnd w:id="70"/>
    <w:p>
      <w:pPr>
        <w:spacing w:before="120" w:line="320" w:lineRule="atLeast"/>
        <w:ind w:firstLine="420" w:firstLineChars="200"/>
        <w:rPr>
          <w:rFonts w:ascii="Arial" w:hAnsi="Arial" w:cs="Arial"/>
          <w:color w:val="auto"/>
          <w:highlight w:val="none"/>
        </w:rPr>
      </w:pPr>
      <w:r>
        <w:rPr>
          <w:rFonts w:ascii="Arial" w:hAnsi="Arial" w:cs="Arial"/>
          <w:color w:val="auto"/>
          <w:highlight w:val="none"/>
        </w:rPr>
        <w:t>6.3.3澄清、说明或补正</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（1）对投标文件中含义不明确、同类问题表述不一致或者有明显文字和计算错误的内容，评审委员会应在</w:t>
      </w:r>
      <w:r>
        <w:rPr>
          <w:rFonts w:ascii="Arial" w:hAnsi="Arial" w:cs="Arial"/>
          <w:color w:val="auto"/>
          <w:szCs w:val="21"/>
          <w:highlight w:val="none"/>
        </w:rPr>
        <w:t>广西政府采购云平台</w:t>
      </w:r>
      <w:r>
        <w:rPr>
          <w:rFonts w:ascii="Arial" w:hAnsi="Arial" w:cs="Arial"/>
          <w:color w:val="auto"/>
          <w:highlight w:val="none"/>
        </w:rPr>
        <w:t>发布电子澄清函，要求供应商在平台设置的时间内作出必要的澄清、说明或者补正。供应商在</w:t>
      </w:r>
      <w:r>
        <w:rPr>
          <w:rFonts w:ascii="Arial" w:hAnsi="Arial" w:cs="Arial"/>
          <w:color w:val="auto"/>
          <w:szCs w:val="21"/>
          <w:highlight w:val="none"/>
        </w:rPr>
        <w:t>广西政府采购云平台</w:t>
      </w:r>
      <w:r>
        <w:rPr>
          <w:rFonts w:ascii="Arial" w:hAnsi="Arial" w:cs="Arial"/>
          <w:color w:val="auto"/>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6.3.4报价修正</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（1）报价出现前后不一致的，按照下列规定修正：</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①投标文件中开标一览表（报价表）内容与投标文件中相应内容不一致的，以开标一览表（报价表）为准；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②大写金额和小写金额不一致的，以大写金额为准；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③单价金额小数点或者百分比有明显错位的，以开标一览表的总价为准，并修改单价；</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④总价金额与按单价汇总金额不一致的，以单价金额计算结果为准。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同时出现两种以上不一致的，按照上述①-④顺序修正。修正后的报价按照上述“6.3.3澄清、说明或补正”的规定经供应商确认后产生约束力，供应商不确认的，其投标无效。</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6.3.3澄清、说明或补正”的规定提交。供应商未按规定提交或不能证明其报价合理性的，评审委员会应当将其作为无效投标处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（3）经供应商确认修正后的报价若超过采购预算金额或者最高限价，其投标文件作无效投标处理。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（4）经供应产确认修正后的报价作为签订合同的依据，并以此报价计算价格分。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6.3.5相同品牌认定（仅适用于货物采购项目）</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（1）单一产品采购项目，</w:t>
      </w:r>
      <w:r>
        <w:rPr>
          <w:rFonts w:ascii="Arial" w:hAnsi="Arial" w:cs="Arial"/>
          <w:color w:val="auto"/>
          <w:highlight w:val="none"/>
        </w:rPr>
        <w:t>不同供应商提供的产品品牌相同时，按以下规定确定</w:t>
      </w:r>
      <w:r>
        <w:rPr>
          <w:rFonts w:ascii="Arial" w:hAnsi="Arial" w:cs="Arial"/>
          <w:bCs/>
          <w:color w:val="auto"/>
          <w:kern w:val="0"/>
          <w:szCs w:val="21"/>
          <w:highlight w:val="none"/>
        </w:rPr>
        <w:t>相同品牌的投标有效性</w:t>
      </w:r>
      <w:r>
        <w:rPr>
          <w:rFonts w:ascii="Arial" w:hAnsi="Arial" w:cs="Arial"/>
          <w:color w:val="auto"/>
          <w:highlight w:val="none"/>
        </w:rPr>
        <w:t>。</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采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（2）非单一产品采购项目，采购人应当确定核心产品，并在招标文件中载明。不同供应商提供的核心产品品牌相同的，按上述规定处理。核心产品在第二章采购需求规定。</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6.3.6串通投标认定</w:t>
      </w:r>
    </w:p>
    <w:p>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评审委员会须根据以下规定认定供应商是否有</w:t>
      </w:r>
      <w:r>
        <w:rPr>
          <w:rFonts w:ascii="Arial" w:hAnsi="Arial" w:cs="Arial"/>
          <w:bCs/>
          <w:color w:val="auto"/>
          <w:kern w:val="0"/>
          <w:szCs w:val="21"/>
          <w:highlight w:val="none"/>
        </w:rPr>
        <w:t>串通投标的行为</w:t>
      </w:r>
      <w:r>
        <w:rPr>
          <w:rFonts w:ascii="Arial" w:hAnsi="Arial" w:cs="Arial"/>
          <w:color w:val="auto"/>
          <w:highlight w:val="none"/>
        </w:rPr>
        <w:t>。</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（1）根据《关于防治政府采购招标中串通投标行为的通知》（桂财采[2016]42号）规定，出现下述情况的，相关供应商的投标作无效投标处理。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①单位负责人为同一人或者存在直接控股、管理关系，参加同一合同项下政府采购活动的不同供应商。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②授权给供应商后参加同一合同项（分标、分包）投标的生产厂商。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③视为或被认定为串通投标的相关供应商。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（2）根据《关于防治政府采购招标中串通投标行为的通知》（桂财采[2016]42号）规定，有下列情形之一的视为供应商相互串通投标，投标文件将被视为无效。</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①不同供应商的投标文件由同一单位或者个人编制；或不同供应商报名的IP地址一致的；</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②不同供应商委托同一单位或者个人办理投标事宜；</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③不同的供应商的投标文件载明的项目管理员为同一个人；</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④不同供应商的投标文件异常一致或投标报价呈规律性差异；</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⑤不同供应商的投标文件相互混装；</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⑥不同供应商的保证金从同一单位或者个人账户转出。</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（3）根据《关于防治政府采购招标中串通投标行为的通知》（桂财采[2016]42号）规定，供应商有下列情形之一的，属于恶意串通行为，投标文件将被视为无效。</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①供应商直接或者间接从采购人或者采购代理机构处获得其他供应商的相关信息并修改其投标文件或者响应文件；</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②供应商按照采购人或者采购代理机构的授意撤换、修改投标文件或者响应文件;；</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③供应商之间协商报价、技术方案等投标文件或者响应文件的实质性内容；</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④属于同一集团、协会、商会等组织成员的供应商按照该组织要求协同参加政府采购活动；</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⑥供应商之间商定部分供应商放弃参加政府采购活动或者放弃中标；</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⑦供应商与采购人或者采购代理机构之间、供应商相互之间，为谋求特定供应商中标或者排斥其他供应商的其他串通行为。</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6.3.7投标无效认定</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（1）在评审过程中如发现下列情形之一的，投标文件将被视为无效：</w:t>
      </w:r>
    </w:p>
    <w:p>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①投标文件存在法律、法规及监督部门有关文件规定的无效情形。</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②投标文件存在招标文件规定的无效情形。</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根据财库《关于促进政府采购公平竞争优化营商环境的通知》（〔2019〕38号）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6.3.8比较与评价</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（1）评审委员会按招标文件中规定的评审方法和标准，对符合性审查合格的投标文件进行综合比较与评价。</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（2）评审委员会各成员独立对每个有效供应商的投标文件进行评价。评价有误的应及时进行修正。评分标准如有客观分定义，评审委员会所有成员的客观分评分分值应当一致。</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（3）评审委员会按综合评分由高到低的排列顺序推荐中标候选人，中标候选人最多不超过3名。若中标候选人综合评分相同的，按投标报价由低到高顺序排列；综合评分且投标报价相同的</w:t>
      </w:r>
      <w:r>
        <w:rPr>
          <w:rFonts w:ascii="Arial" w:hAnsi="Arial" w:cs="Arial"/>
          <w:color w:val="auto"/>
          <w:highlight w:val="none"/>
        </w:rPr>
        <w:t>并列</w:t>
      </w:r>
      <w:r>
        <w:rPr>
          <w:rFonts w:ascii="Arial" w:hAnsi="Arial" w:cs="Arial"/>
          <w:color w:val="auto"/>
          <w:szCs w:val="21"/>
          <w:highlight w:val="none"/>
        </w:rPr>
        <w:t>；中标候选人并列的，按技术部分得分由高到低顺序排列，若综合评分、投标报价、技术部分均相同的，按商务部分得分由高到低顺序排列。</w:t>
      </w:r>
    </w:p>
    <w:p>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（4）评审委员会根据评审记录及评审结果编写评审报告，评审委员会成员均应当在评审报告上签字，对自己的评审意见承担法律责任。</w:t>
      </w:r>
      <w:r>
        <w:rPr>
          <w:rFonts w:ascii="Arial" w:hAnsi="Arial" w:cs="Arial"/>
          <w:color w:val="auto"/>
          <w:highlight w:val="none"/>
        </w:rPr>
        <w:t>评审报告签署前，经复核发现存在以下情形之一的，评审委员会应当当场修改评审结果，并在评审报告中记载；评审报告签署后，采购人或者采购代理机构发现存在以下情形之一的，应当组织原评审委员会进行重新评审。</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分值汇总计算错误的；分项评分超出评分标准范围的；评审委员会成员对客观评审因素评分不一致的；经评审委员会认定评分畸高、畸低的。</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6.4确定中标人</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6.4.1采购代理机构在评审结束后2个工作日内将评审报告送采购人，采购人在5个工作日内按照评审报告中推荐的中标候选人顺序确定中标人。中标候选人并列的，由采购人或者采购人委托评标委员会按照招标文件规定的方式确定中标人；招标文件未规定的，采取随机抽取的方式确定。</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6.4.2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6.5结果公告</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6.5.1自中标人确定后2个工作日内，采购代理机构按照供应商须知</w:t>
      </w:r>
      <w:r>
        <w:rPr>
          <w:rFonts w:ascii="Arial" w:hAnsi="Arial" w:cs="Arial"/>
          <w:color w:val="auto"/>
          <w:kern w:val="0"/>
          <w:szCs w:val="21"/>
          <w:highlight w:val="none"/>
        </w:rPr>
        <w:t>前附表的规定公告</w:t>
      </w:r>
      <w:r>
        <w:rPr>
          <w:rFonts w:ascii="Arial" w:hAnsi="Arial" w:cs="Arial"/>
          <w:color w:val="auto"/>
          <w:szCs w:val="21"/>
          <w:highlight w:val="none"/>
        </w:rPr>
        <w:t>中标结果。</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6.5.2在发布结果公告的同时，采购代理机构以供应商须知前附表规定的形式向中标人发出中标通知书。中标通知书发出后，采购人改变中标结果，或者中标人放弃中标，应当承担相应的法律责任。</w:t>
      </w:r>
    </w:p>
    <w:p>
      <w:pPr>
        <w:spacing w:before="120" w:line="320" w:lineRule="atLeast"/>
        <w:ind w:firstLine="420" w:firstLineChars="200"/>
        <w:rPr>
          <w:rFonts w:ascii="Arial" w:hAnsi="Arial" w:cs="Arial"/>
          <w:b/>
          <w:bCs/>
          <w:color w:val="auto"/>
          <w:kern w:val="0"/>
          <w:szCs w:val="21"/>
          <w:highlight w:val="none"/>
        </w:rPr>
      </w:pPr>
      <w:r>
        <w:rPr>
          <w:rFonts w:ascii="Arial" w:hAnsi="Arial" w:cs="Arial"/>
          <w:color w:val="auto"/>
          <w:szCs w:val="21"/>
          <w:highlight w:val="none"/>
        </w:rPr>
        <w:t>6.5.3在发布结果公告的同时，采购代理机构以供应商须知前附表规定的形式向未中标人发出招标结果通知书，供应商自行承担未及时查收的后果。</w:t>
      </w:r>
    </w:p>
    <w:p>
      <w:pPr>
        <w:suppressAutoHyphens/>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6.6废标</w:t>
      </w:r>
    </w:p>
    <w:p>
      <w:pPr>
        <w:spacing w:before="120" w:line="320" w:lineRule="atLeast"/>
        <w:ind w:firstLine="420" w:firstLineChars="200"/>
        <w:rPr>
          <w:rFonts w:ascii="Arial" w:hAnsi="Arial" w:cs="Arial"/>
          <w:color w:val="auto"/>
          <w:kern w:val="1"/>
          <w:szCs w:val="21"/>
          <w:highlight w:val="none"/>
        </w:rPr>
      </w:pPr>
      <w:r>
        <w:rPr>
          <w:rFonts w:ascii="Arial" w:hAnsi="Arial" w:cs="Arial"/>
          <w:color w:val="auto"/>
          <w:kern w:val="1"/>
          <w:szCs w:val="21"/>
          <w:highlight w:val="none"/>
        </w:rPr>
        <w:t xml:space="preserve">6.6.1出现下列情形之一，将导致项目废标： </w:t>
      </w:r>
    </w:p>
    <w:p>
      <w:pPr>
        <w:spacing w:before="120" w:line="320" w:lineRule="atLeast"/>
        <w:ind w:firstLine="420" w:firstLineChars="200"/>
        <w:rPr>
          <w:rFonts w:ascii="Arial" w:hAnsi="Arial" w:cs="Arial"/>
          <w:color w:val="auto"/>
          <w:szCs w:val="21"/>
          <w:highlight w:val="none"/>
        </w:rPr>
      </w:pPr>
      <w:r>
        <w:rPr>
          <w:rFonts w:ascii="Arial" w:hAnsi="Arial" w:cs="Arial"/>
          <w:color w:val="auto"/>
          <w:kern w:val="1"/>
          <w:szCs w:val="21"/>
          <w:highlight w:val="none"/>
        </w:rPr>
        <w:t>（1</w:t>
      </w:r>
      <w:r>
        <w:rPr>
          <w:rFonts w:ascii="Arial" w:hAnsi="Arial" w:cs="Arial"/>
          <w:color w:val="auto"/>
          <w:szCs w:val="21"/>
          <w:highlight w:val="none"/>
        </w:rPr>
        <w:t>）符合专业条件的供应商或者对招标文件做实质性响应的供应商不足三家；</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（2）出现影响采购公正的违法、违规行为的；</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（3）供应商的报价均超过了采购预算，采购人不能支付的；</w:t>
      </w:r>
    </w:p>
    <w:p>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（4）</w:t>
      </w:r>
      <w:r>
        <w:rPr>
          <w:rFonts w:ascii="Arial" w:hAnsi="Arial" w:cs="Arial"/>
          <w:color w:val="auto"/>
          <w:highlight w:val="none"/>
        </w:rPr>
        <w:t>因发生重大变故或采购任务取消的。</w:t>
      </w:r>
    </w:p>
    <w:p>
      <w:pPr>
        <w:spacing w:before="120" w:line="320" w:lineRule="atLeast"/>
        <w:ind w:firstLine="420" w:firstLineChars="200"/>
        <w:rPr>
          <w:rFonts w:ascii="Arial" w:hAnsi="Arial" w:cs="Arial"/>
          <w:color w:val="auto"/>
          <w:szCs w:val="21"/>
          <w:highlight w:val="none"/>
        </w:rPr>
      </w:pPr>
      <w:r>
        <w:rPr>
          <w:rFonts w:ascii="Arial" w:hAnsi="Arial" w:cs="Arial"/>
          <w:color w:val="auto"/>
          <w:kern w:val="1"/>
          <w:szCs w:val="21"/>
          <w:highlight w:val="none"/>
        </w:rPr>
        <w:t>6.6.2废标后</w:t>
      </w:r>
      <w:r>
        <w:rPr>
          <w:rFonts w:ascii="Arial" w:hAnsi="Arial" w:cs="Arial"/>
          <w:color w:val="auto"/>
          <w:szCs w:val="21"/>
          <w:highlight w:val="none"/>
        </w:rPr>
        <w:t>采购</w:t>
      </w:r>
      <w:r>
        <w:rPr>
          <w:rFonts w:ascii="Arial" w:hAnsi="Arial" w:cs="Arial"/>
          <w:color w:val="auto"/>
          <w:kern w:val="1"/>
          <w:szCs w:val="21"/>
          <w:highlight w:val="none"/>
        </w:rPr>
        <w:t>代理机构将发布废标公告通知供应商。</w:t>
      </w:r>
      <w:bookmarkEnd w:id="67"/>
    </w:p>
    <w:bookmarkEnd w:id="64"/>
    <w:p>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7．合同</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7.1合同授予标准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合同将授予被确定实质上响应招标文件要求，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格条件要求 ，应在中标通知书发出前或签订合同前及时书面告知采购人，未主动告知，给采购人造成损失的，采购人有权取消其中标资格并没收投标保证金。</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7.2签订合同</w:t>
      </w:r>
    </w:p>
    <w:p>
      <w:pPr>
        <w:spacing w:before="120" w:line="320" w:lineRule="atLeast"/>
        <w:ind w:firstLine="420" w:firstLineChars="200"/>
        <w:rPr>
          <w:rFonts w:ascii="Arial" w:hAnsi="Arial" w:cs="Arial"/>
          <w:color w:val="auto"/>
          <w:szCs w:val="21"/>
          <w:highlight w:val="none"/>
        </w:rPr>
      </w:pPr>
      <w:bookmarkStart w:id="71" w:name="_Hlk93421039"/>
      <w:r>
        <w:rPr>
          <w:rFonts w:ascii="Arial" w:hAnsi="Arial" w:cs="Arial"/>
          <w:color w:val="auto"/>
          <w:szCs w:val="21"/>
          <w:highlight w:val="none"/>
        </w:rPr>
        <w:t>7.2.1如招标文件无特别规定，中标人按招标文件确定的事项签订政府采购合同。</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7.2.2政府采购合同应当包括采购人与中标人的名称和住所、标的、数量、质量、价款或者报酬、履行期限及地点和方式、验收要求、违约责任、解决争议的方法等内容。招标文件、中标人的投标文件及澄清文件等，均为签订政府采购合同的依据。</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7.2.3如中标人不按中标通知书的规定签订合同，其投标保证金将不予退还，并报由同级政府采购监督管理部门处理。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7.2.4中标人拒绝与采购人签订合同的，采购人可以按照评审报告推荐的中标候选人名单排序，确定下一候选人为中标人，也可以重新开展政府采购活动。</w:t>
      </w:r>
    </w:p>
    <w:p>
      <w:pPr>
        <w:spacing w:before="120" w:line="320" w:lineRule="atLeast"/>
        <w:ind w:firstLine="420" w:firstLineChars="200"/>
        <w:rPr>
          <w:rFonts w:ascii="Arial" w:hAnsi="Arial" w:cs="Arial"/>
          <w:color w:val="auto"/>
          <w:szCs w:val="21"/>
          <w:highlight w:val="none"/>
        </w:rPr>
      </w:pPr>
      <w:bookmarkStart w:id="72" w:name="_Hlk155170999"/>
      <w:r>
        <w:rPr>
          <w:rFonts w:ascii="Arial" w:hAnsi="Arial" w:cs="Arial"/>
          <w:color w:val="auto"/>
          <w:szCs w:val="21"/>
          <w:highlight w:val="none"/>
        </w:rPr>
        <w:t>7.2.5采购人因不可抗力原因迟延签订合同的，应当自不可抗力事由消除之日起7日内完成合同签订事宜。</w:t>
      </w:r>
    </w:p>
    <w:bookmarkEnd w:id="71"/>
    <w:bookmarkEnd w:id="72"/>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7.3合同公告</w:t>
      </w:r>
    </w:p>
    <w:p>
      <w:pPr>
        <w:spacing w:before="120" w:line="320" w:lineRule="atLeast"/>
        <w:ind w:firstLine="420" w:firstLineChars="200"/>
        <w:rPr>
          <w:rFonts w:ascii="Arial" w:hAnsi="Arial" w:cs="Arial"/>
          <w:color w:val="auto"/>
          <w:szCs w:val="21"/>
          <w:highlight w:val="none"/>
        </w:rPr>
      </w:pPr>
      <w:bookmarkStart w:id="73" w:name="_Hlk93421052"/>
      <w:r>
        <w:rPr>
          <w:rFonts w:ascii="Arial" w:hAnsi="Arial" w:cs="Arial"/>
          <w:color w:val="auto"/>
          <w:szCs w:val="21"/>
          <w:highlight w:val="none"/>
        </w:rPr>
        <w:t>7.3.1如招标文件无特殊规定，中标人应在签订合同后1个工作日内，将政府采购合同副本送采购代理机构存档。</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pPr>
        <w:spacing w:before="120" w:line="320" w:lineRule="atLeast"/>
        <w:ind w:firstLine="420" w:firstLineChars="200"/>
        <w:rPr>
          <w:rFonts w:ascii="Arial" w:hAnsi="Arial" w:cs="Arial"/>
          <w:color w:val="auto"/>
          <w:szCs w:val="21"/>
          <w:highlight w:val="none"/>
        </w:rPr>
      </w:pPr>
      <w:bookmarkStart w:id="74" w:name="_Hlk155171014"/>
      <w:r>
        <w:rPr>
          <w:rFonts w:ascii="Arial" w:hAnsi="Arial" w:cs="Arial"/>
          <w:color w:val="auto"/>
          <w:szCs w:val="21"/>
          <w:highlight w:val="none"/>
        </w:rPr>
        <w:t>7.3.3 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73"/>
    <w:bookmarkEnd w:id="74"/>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7.4 履行合同</w:t>
      </w:r>
    </w:p>
    <w:p>
      <w:pPr>
        <w:spacing w:before="120" w:line="320" w:lineRule="atLeast"/>
        <w:ind w:firstLine="420" w:firstLineChars="200"/>
        <w:rPr>
          <w:rFonts w:ascii="Arial" w:hAnsi="Arial" w:cs="Arial"/>
          <w:color w:val="auto"/>
          <w:szCs w:val="21"/>
          <w:highlight w:val="none"/>
        </w:rPr>
      </w:pPr>
      <w:bookmarkStart w:id="75" w:name="_Hlk93421061"/>
      <w:r>
        <w:rPr>
          <w:rFonts w:ascii="Arial" w:hAnsi="Arial" w:cs="Arial"/>
          <w:color w:val="auto"/>
          <w:szCs w:val="21"/>
          <w:highlight w:val="none"/>
        </w:rPr>
        <w:t>7.4.1</w:t>
      </w:r>
      <w:bookmarkStart w:id="76" w:name="_Toc308164814"/>
      <w:bookmarkStart w:id="77" w:name="_Toc217446070"/>
      <w:r>
        <w:rPr>
          <w:rFonts w:ascii="Arial" w:hAnsi="Arial" w:cs="Arial"/>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75"/>
    <w:p>
      <w:pPr>
        <w:spacing w:before="120" w:line="320" w:lineRule="atLeast"/>
        <w:ind w:firstLine="422" w:firstLineChars="200"/>
        <w:rPr>
          <w:rFonts w:ascii="Arial" w:hAnsi="Arial" w:cs="Arial"/>
          <w:b/>
          <w:bCs/>
          <w:color w:val="auto"/>
          <w:kern w:val="0"/>
          <w:szCs w:val="21"/>
          <w:highlight w:val="none"/>
        </w:rPr>
      </w:pPr>
      <w:r>
        <w:rPr>
          <w:rFonts w:ascii="Arial" w:hAnsi="Arial" w:cs="Arial"/>
          <w:b/>
          <w:bCs/>
          <w:color w:val="auto"/>
          <w:kern w:val="0"/>
          <w:szCs w:val="21"/>
          <w:highlight w:val="none"/>
        </w:rPr>
        <w:t>7.5履约验收</w:t>
      </w:r>
      <w:bookmarkEnd w:id="76"/>
      <w:bookmarkEnd w:id="77"/>
    </w:p>
    <w:p>
      <w:pPr>
        <w:spacing w:before="120" w:line="320" w:lineRule="atLeast"/>
        <w:ind w:firstLine="420" w:firstLineChars="200"/>
        <w:rPr>
          <w:rFonts w:ascii="Arial" w:hAnsi="Arial" w:cs="Arial"/>
          <w:color w:val="auto"/>
          <w:szCs w:val="21"/>
          <w:highlight w:val="none"/>
        </w:rPr>
      </w:pPr>
      <w:bookmarkStart w:id="78" w:name="_Hlk93421069"/>
      <w:r>
        <w:rPr>
          <w:rFonts w:ascii="Arial" w:hAnsi="Arial" w:cs="Arial"/>
          <w:color w:val="auto"/>
          <w:szCs w:val="21"/>
          <w:highlight w:val="none"/>
        </w:rPr>
        <w:t>7.5.1采购人可以根据政府采购项目具体情况自行组织验收，或者委托政府采购代理机构、国家认可的质量检测机构开展采购项目履约验收工作。</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7.5.2验收结果合格</w:t>
      </w:r>
      <w:r>
        <w:rPr>
          <w:rFonts w:hint="eastAsia" w:ascii="Arial" w:hAnsi="Arial" w:cs="Arial"/>
          <w:color w:val="auto"/>
          <w:szCs w:val="21"/>
          <w:highlight w:val="none"/>
        </w:rPr>
        <w:t>且免费质保期（1年）过后</w:t>
      </w:r>
      <w:r>
        <w:rPr>
          <w:rFonts w:ascii="Arial" w:hAnsi="Arial" w:cs="Arial"/>
          <w:color w:val="auto"/>
          <w:szCs w:val="21"/>
          <w:highlight w:val="none"/>
        </w:rPr>
        <w:t>，中标人可向采购人申请办理履约保证金的退付手续</w:t>
      </w:r>
      <w:r>
        <w:rPr>
          <w:rFonts w:hint="eastAsia" w:ascii="Arial" w:hAnsi="Arial" w:cs="Arial"/>
          <w:color w:val="auto"/>
          <w:szCs w:val="21"/>
          <w:highlight w:val="none"/>
        </w:rPr>
        <w:t>，采购人收到合格书面材料后20个工作日内办理退付</w:t>
      </w:r>
      <w:r>
        <w:rPr>
          <w:rFonts w:ascii="Arial" w:hAnsi="Arial" w:cs="Arial"/>
          <w:color w:val="auto"/>
          <w:szCs w:val="21"/>
          <w:highlight w:val="none"/>
        </w:rPr>
        <w:t>；验收结果不合格的，履约保证金将不予退还，并按合同约定处理，还可能会报告本项目同级财政部门并按照政府采购法律法规及有关规定给予行政处罚或者以失信行为记入诚信档案。</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78"/>
    <w:p>
      <w:pPr>
        <w:spacing w:before="120" w:line="320" w:lineRule="atLeast"/>
        <w:ind w:left="2" w:leftChars="1" w:firstLine="422" w:firstLineChars="200"/>
        <w:outlineLvl w:val="1"/>
        <w:rPr>
          <w:rFonts w:ascii="Arial" w:hAnsi="Arial" w:cs="Arial"/>
          <w:b/>
          <w:bCs/>
          <w:color w:val="auto"/>
          <w:kern w:val="0"/>
          <w:szCs w:val="21"/>
          <w:highlight w:val="none"/>
        </w:rPr>
      </w:pPr>
      <w:bookmarkStart w:id="79" w:name="_Toc254970533"/>
      <w:bookmarkStart w:id="80" w:name="_Toc254970674"/>
      <w:r>
        <w:rPr>
          <w:rFonts w:ascii="Arial" w:hAnsi="Arial" w:cs="Arial"/>
          <w:b/>
          <w:bCs/>
          <w:color w:val="auto"/>
          <w:kern w:val="0"/>
          <w:szCs w:val="21"/>
          <w:highlight w:val="none"/>
        </w:rPr>
        <w:t>8．质疑和投诉</w:t>
      </w:r>
      <w:bookmarkEnd w:id="79"/>
      <w:bookmarkEnd w:id="80"/>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8.1质疑</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8.1.1质疑内容、时限</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（1）供应商对政府采购活动有疑问的，可以向采购人或采购代理机构提出询问。采购人或者采购代理机构应当在3个工作日内对供应商依法提出的询问作出答复。</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8.1.2质疑形式</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质疑应当采用供应商须知前附表所规定的形式，质疑书应明确阐述招标文件、采购过程或中标结果中使自己合法权益受到损害的实质性内容，提供相关事实、依据和证据及其来源或线索，便于有关单位调查、答复和处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8.1.3</w:t>
      </w:r>
      <w:r>
        <w:rPr>
          <w:rFonts w:ascii="Arial" w:hAnsi="Arial" w:cs="Arial"/>
          <w:color w:val="auto"/>
          <w:highlight w:val="none"/>
        </w:rPr>
        <w:t xml:space="preserve"> </w:t>
      </w:r>
      <w:r>
        <w:rPr>
          <w:rFonts w:ascii="Arial" w:hAnsi="Arial" w:cs="Arial"/>
          <w:color w:val="auto"/>
          <w:szCs w:val="21"/>
          <w:highlight w:val="none"/>
        </w:rPr>
        <w:t>供应商提出质疑应当提交质疑函和必要的证明材料。质疑函应当包括下列内容：</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w:t>
      </w:r>
      <w:r>
        <w:rPr>
          <w:rFonts w:ascii="Arial" w:hAnsi="Arial" w:cs="Arial"/>
          <w:color w:val="auto"/>
          <w:szCs w:val="21"/>
          <w:highlight w:val="none"/>
        </w:rPr>
        <w:tab/>
      </w:r>
      <w:r>
        <w:rPr>
          <w:rFonts w:ascii="Arial" w:hAnsi="Arial" w:cs="Arial"/>
          <w:color w:val="auto"/>
          <w:szCs w:val="21"/>
          <w:highlight w:val="none"/>
        </w:rPr>
        <w:t>供应商的姓名或者名称、地址、邮编、联系人及联系电话；</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w:t>
      </w:r>
      <w:r>
        <w:rPr>
          <w:rFonts w:ascii="Arial" w:hAnsi="Arial" w:cs="Arial"/>
          <w:color w:val="auto"/>
          <w:szCs w:val="21"/>
          <w:highlight w:val="none"/>
        </w:rPr>
        <w:tab/>
      </w:r>
      <w:r>
        <w:rPr>
          <w:rFonts w:ascii="Arial" w:hAnsi="Arial" w:cs="Arial"/>
          <w:color w:val="auto"/>
          <w:szCs w:val="21"/>
          <w:highlight w:val="none"/>
        </w:rPr>
        <w:t>质疑项目的名称、编号；</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w:t>
      </w:r>
      <w:r>
        <w:rPr>
          <w:rFonts w:ascii="Arial" w:hAnsi="Arial" w:cs="Arial"/>
          <w:color w:val="auto"/>
          <w:szCs w:val="21"/>
          <w:highlight w:val="none"/>
        </w:rPr>
        <w:tab/>
      </w:r>
      <w:r>
        <w:rPr>
          <w:rFonts w:ascii="Arial" w:hAnsi="Arial" w:cs="Arial"/>
          <w:color w:val="auto"/>
          <w:szCs w:val="21"/>
          <w:highlight w:val="none"/>
        </w:rPr>
        <w:t>具体、明确的质疑事项和与质疑事项相关的请求；</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w:t>
      </w:r>
      <w:r>
        <w:rPr>
          <w:rFonts w:ascii="Arial" w:hAnsi="Arial" w:cs="Arial"/>
          <w:color w:val="auto"/>
          <w:szCs w:val="21"/>
          <w:highlight w:val="none"/>
        </w:rPr>
        <w:tab/>
      </w:r>
      <w:r>
        <w:rPr>
          <w:rFonts w:ascii="Arial" w:hAnsi="Arial" w:cs="Arial"/>
          <w:color w:val="auto"/>
          <w:szCs w:val="21"/>
          <w:highlight w:val="none"/>
        </w:rPr>
        <w:t>事实依据；</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（5）</w:t>
      </w:r>
      <w:r>
        <w:rPr>
          <w:rFonts w:ascii="Arial" w:hAnsi="Arial" w:cs="Arial"/>
          <w:color w:val="auto"/>
          <w:szCs w:val="21"/>
          <w:highlight w:val="none"/>
        </w:rPr>
        <w:tab/>
      </w:r>
      <w:r>
        <w:rPr>
          <w:rFonts w:ascii="Arial" w:hAnsi="Arial" w:cs="Arial"/>
          <w:color w:val="auto"/>
          <w:szCs w:val="21"/>
          <w:highlight w:val="none"/>
        </w:rPr>
        <w:t>必要的法律依据；</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（6）</w:t>
      </w:r>
      <w:r>
        <w:rPr>
          <w:rFonts w:ascii="Arial" w:hAnsi="Arial" w:cs="Arial"/>
          <w:color w:val="auto"/>
          <w:szCs w:val="21"/>
          <w:highlight w:val="none"/>
        </w:rPr>
        <w:tab/>
      </w:r>
      <w:r>
        <w:rPr>
          <w:rFonts w:ascii="Arial" w:hAnsi="Arial" w:cs="Arial"/>
          <w:color w:val="auto"/>
          <w:szCs w:val="21"/>
          <w:highlight w:val="none"/>
        </w:rPr>
        <w:t>提出质疑的日期。</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 xml:space="preserve">供应商为自然人的，应当由本人签字；供应商为法人或者其他组织的，应当由法定代表人、主要负责人，或者其授权代表签字或者盖章，并加盖公章。 </w:t>
      </w:r>
    </w:p>
    <w:p>
      <w:pPr>
        <w:spacing w:before="120" w:line="320" w:lineRule="atLeast"/>
        <w:ind w:firstLine="422" w:firstLineChars="200"/>
        <w:outlineLvl w:val="2"/>
        <w:rPr>
          <w:rFonts w:ascii="Arial" w:hAnsi="Arial" w:cs="Arial"/>
          <w:b/>
          <w:bCs/>
          <w:color w:val="auto"/>
          <w:kern w:val="0"/>
          <w:szCs w:val="21"/>
          <w:highlight w:val="none"/>
        </w:rPr>
      </w:pPr>
      <w:r>
        <w:rPr>
          <w:rFonts w:ascii="Arial" w:hAnsi="Arial" w:cs="Arial"/>
          <w:b/>
          <w:bCs/>
          <w:color w:val="auto"/>
          <w:kern w:val="0"/>
          <w:szCs w:val="21"/>
          <w:highlight w:val="none"/>
        </w:rPr>
        <w:t>8.2投诉</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8.2.1供应商对采购人、采购代理机构的答复不满意，或者采购人、采购代理机构未在规定时间内答复的，可在答复期满后15个工作日内按有关规定，向同级财政部门投诉。</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8.2.2投诉书应使用财政部发布的政府采购供应投诉书范本，并应按照“投诉书制作说明”进行编写。</w:t>
      </w:r>
    </w:p>
    <w:p>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9．其他事项</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9.1代理服务收费由采购代理机构向中标人收取。签订合同前，中标人应向采购代理机构一次付清代理服务费。</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9.2电子交易活动的中止。采购过程中出现以下情形，导致电子交易平台无法正常运行，或者无法保证电子交易的公平、公正和安全时，采购机构可中止电子交易活动：</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（1）电子交易平台发生故障而无法登录访问的； </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（2）电子交易平台应用或数据库出现错误，不能进行正常操作的；</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（3）电子交易平台发现严重安全漏洞，有潜在泄密危险的；</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（4）病毒发作导致不能进行正常操作的； </w:t>
      </w:r>
    </w:p>
    <w:p>
      <w:pPr>
        <w:spacing w:before="120" w:line="276" w:lineRule="auto"/>
        <w:ind w:firstLine="420" w:firstLineChars="200"/>
        <w:rPr>
          <w:rFonts w:ascii="Arial" w:hAnsi="Arial" w:cs="Arial"/>
          <w:color w:val="auto"/>
          <w:szCs w:val="21"/>
          <w:highlight w:val="none"/>
        </w:rPr>
      </w:pPr>
      <w:r>
        <w:rPr>
          <w:rFonts w:ascii="Arial" w:hAnsi="Arial" w:cs="Arial"/>
          <w:color w:val="auto"/>
          <w:szCs w:val="21"/>
          <w:highlight w:val="none"/>
        </w:rPr>
        <w:t>（5）其他无法保证电子交易的公平、公正和安全的情况。</w:t>
      </w:r>
    </w:p>
    <w:p>
      <w:pPr>
        <w:tabs>
          <w:tab w:val="left" w:pos="4820"/>
        </w:tabs>
        <w:spacing w:before="120"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9.3本项目的附件及图纸详见供应商须知前附表。</w:t>
      </w:r>
    </w:p>
    <w:p>
      <w:pPr>
        <w:spacing w:before="120" w:line="320" w:lineRule="atLeast"/>
        <w:ind w:left="2" w:leftChars="1" w:firstLine="420" w:firstLineChars="200"/>
        <w:rPr>
          <w:rFonts w:ascii="Arial" w:hAnsi="Arial" w:cs="Arial"/>
          <w:color w:val="auto"/>
          <w:szCs w:val="21"/>
          <w:highlight w:val="none"/>
        </w:rPr>
      </w:pPr>
      <w:r>
        <w:rPr>
          <w:rFonts w:ascii="Arial" w:hAnsi="Arial" w:cs="Arial"/>
          <w:color w:val="auto"/>
          <w:szCs w:val="21"/>
          <w:highlight w:val="none"/>
        </w:rPr>
        <w:t>9.4本项目的其他事项详见供应商须知前附表。</w:t>
      </w:r>
    </w:p>
    <w:p>
      <w:pPr>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10．其他说明</w:t>
      </w:r>
    </w:p>
    <w:p>
      <w:pPr>
        <w:spacing w:before="120" w:line="320" w:lineRule="atLeast"/>
        <w:ind w:left="2" w:leftChars="1" w:firstLine="420" w:firstLineChars="200"/>
        <w:rPr>
          <w:rFonts w:ascii="Arial" w:hAnsi="Arial" w:cs="Arial"/>
          <w:color w:val="auto"/>
          <w:kern w:val="0"/>
          <w:szCs w:val="21"/>
          <w:highlight w:val="none"/>
        </w:rPr>
      </w:pPr>
      <w:r>
        <w:rPr>
          <w:rFonts w:ascii="Arial" w:hAnsi="Arial" w:cs="Arial"/>
          <w:color w:val="auto"/>
          <w:kern w:val="0"/>
          <w:szCs w:val="21"/>
          <w:highlight w:val="none"/>
        </w:rPr>
        <w:t>10.1其余未尽事宜按《中华人民共和国政府采购法》、《中华人民共和国政府采购法实施条例》的相关规定执行。</w:t>
      </w:r>
    </w:p>
    <w:p>
      <w:pPr>
        <w:spacing w:before="120" w:line="320" w:lineRule="atLeast"/>
        <w:ind w:left="2" w:leftChars="1" w:firstLine="420" w:firstLineChars="200"/>
        <w:rPr>
          <w:rFonts w:ascii="Arial" w:hAnsi="Arial" w:cs="Arial"/>
          <w:color w:val="auto"/>
          <w:highlight w:val="none"/>
        </w:rPr>
      </w:pPr>
      <w:r>
        <w:rPr>
          <w:rFonts w:ascii="Arial" w:hAnsi="Arial" w:cs="Arial"/>
          <w:color w:val="auto"/>
          <w:kern w:val="0"/>
          <w:szCs w:val="21"/>
          <w:highlight w:val="none"/>
        </w:rPr>
        <w:t>10.2</w:t>
      </w:r>
      <w:r>
        <w:rPr>
          <w:rFonts w:ascii="Arial" w:hAnsi="Arial" w:cs="Arial"/>
          <w:color w:val="auto"/>
          <w:highlight w:val="none"/>
        </w:rPr>
        <w:t>本招标文件是根据国家有关法律及有关政策、法规和参照国际惯例编制，解释权属采购代理机构。</w:t>
      </w:r>
    </w:p>
    <w:p>
      <w:pPr>
        <w:rPr>
          <w:rFonts w:ascii="Arial" w:hAnsi="Arial" w:cs="Arial"/>
          <w:color w:val="auto"/>
          <w:highlight w:val="none"/>
        </w:rPr>
      </w:pPr>
      <w:r>
        <w:rPr>
          <w:rFonts w:ascii="Arial" w:hAnsi="Arial" w:cs="Arial"/>
          <w:color w:val="auto"/>
          <w:highlight w:val="none"/>
        </w:rPr>
        <w:br w:type="page"/>
      </w:r>
    </w:p>
    <w:bookmarkEnd w:id="27"/>
    <w:p>
      <w:pPr>
        <w:rPr>
          <w:rFonts w:ascii="Arial" w:hAnsi="Arial" w:cs="Arial"/>
          <w:color w:val="auto"/>
          <w:szCs w:val="21"/>
          <w:highlight w:val="none"/>
        </w:rPr>
      </w:pPr>
    </w:p>
    <w:p>
      <w:pPr>
        <w:pStyle w:val="29"/>
        <w:snapToGrid w:val="0"/>
        <w:spacing w:before="120" w:after="120" w:line="320" w:lineRule="exact"/>
        <w:jc w:val="center"/>
        <w:outlineLvl w:val="0"/>
        <w:rPr>
          <w:rFonts w:ascii="Arial" w:hAnsi="Arial" w:cs="Arial"/>
          <w:color w:val="auto"/>
          <w:sz w:val="32"/>
          <w:szCs w:val="32"/>
          <w:highlight w:val="none"/>
        </w:rPr>
      </w:pPr>
      <w:bookmarkStart w:id="81" w:name="_Toc32204"/>
      <w:bookmarkStart w:id="82" w:name="_Toc254970690"/>
      <w:bookmarkStart w:id="83" w:name="_Toc254970549"/>
      <w:r>
        <w:rPr>
          <w:rFonts w:ascii="Arial" w:hAnsi="Arial" w:cs="Arial"/>
          <w:color w:val="auto"/>
          <w:sz w:val="32"/>
          <w:szCs w:val="32"/>
          <w:highlight w:val="none"/>
        </w:rPr>
        <w:t>第四章  评标方法及评标标准</w:t>
      </w:r>
      <w:bookmarkEnd w:id="81"/>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一、评标方法</w:t>
      </w:r>
    </w:p>
    <w:p>
      <w:pPr>
        <w:spacing w:before="120" w:line="320" w:lineRule="atLeast"/>
        <w:ind w:firstLine="411" w:firstLineChars="196"/>
        <w:outlineLvl w:val="1"/>
        <w:rPr>
          <w:rFonts w:ascii="Arial" w:hAnsi="Arial" w:cs="Arial"/>
          <w:bCs/>
          <w:color w:val="auto"/>
          <w:kern w:val="0"/>
          <w:szCs w:val="21"/>
          <w:highlight w:val="none"/>
        </w:rPr>
      </w:pPr>
      <w:r>
        <w:rPr>
          <w:rFonts w:ascii="Arial" w:hAnsi="Arial" w:cs="Arial"/>
          <w:bCs/>
          <w:color w:val="auto"/>
          <w:kern w:val="0"/>
          <w:szCs w:val="21"/>
          <w:highlight w:val="none"/>
        </w:rPr>
        <w:t>1、评标方法</w:t>
      </w:r>
    </w:p>
    <w:p>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本项目采用综合评分法进行评标。综合评分法，是指投标文件满足招标文件全部实质性要求且按照评标因素的量化指标评标得分最高的供应商为中标候选人的评标方法。</w:t>
      </w:r>
    </w:p>
    <w:p>
      <w:pPr>
        <w:spacing w:before="120" w:line="320" w:lineRule="atLeast"/>
        <w:ind w:firstLine="411" w:firstLineChars="196"/>
        <w:outlineLvl w:val="1"/>
        <w:rPr>
          <w:rFonts w:ascii="Arial" w:hAnsi="Arial" w:cs="Arial"/>
          <w:color w:val="auto"/>
          <w:szCs w:val="21"/>
          <w:highlight w:val="none"/>
        </w:rPr>
      </w:pPr>
      <w:r>
        <w:rPr>
          <w:rFonts w:ascii="Arial" w:hAnsi="Arial" w:cs="Arial"/>
          <w:color w:val="auto"/>
          <w:szCs w:val="21"/>
          <w:highlight w:val="none"/>
        </w:rPr>
        <w:t>2、评标依据</w:t>
      </w:r>
    </w:p>
    <w:p>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评标委员会以招标文件、补充文件、投标文件、澄清及答复为评标依据。</w:t>
      </w:r>
    </w:p>
    <w:p>
      <w:pPr>
        <w:spacing w:before="120" w:line="320" w:lineRule="atLeast"/>
        <w:ind w:firstLine="411" w:firstLineChars="196"/>
        <w:outlineLvl w:val="1"/>
        <w:rPr>
          <w:rFonts w:ascii="Arial" w:hAnsi="Arial" w:cs="Arial"/>
          <w:color w:val="auto"/>
          <w:szCs w:val="21"/>
          <w:highlight w:val="none"/>
        </w:rPr>
      </w:pPr>
      <w:r>
        <w:rPr>
          <w:rFonts w:ascii="Arial" w:hAnsi="Arial" w:cs="Arial"/>
          <w:color w:val="auto"/>
          <w:szCs w:val="21"/>
          <w:highlight w:val="none"/>
        </w:rPr>
        <w:t>3、评标委员会</w:t>
      </w:r>
      <w:bookmarkStart w:id="84" w:name="_Hlk19051932"/>
    </w:p>
    <w:p>
      <w:pPr>
        <w:suppressAutoHyphens/>
        <w:spacing w:before="120" w:line="320" w:lineRule="atLeast"/>
        <w:ind w:firstLine="420" w:firstLineChars="200"/>
        <w:rPr>
          <w:rFonts w:ascii="Arial" w:hAnsi="Arial" w:cs="Arial"/>
          <w:color w:val="auto"/>
          <w:highlight w:val="none"/>
        </w:rPr>
      </w:pPr>
      <w:r>
        <w:rPr>
          <w:rFonts w:ascii="Arial" w:hAnsi="Arial" w:cs="Arial"/>
          <w:color w:val="auto"/>
          <w:highlight w:val="none"/>
        </w:rPr>
        <w:t>本项目评标委员会由政府采购评审专家和采购人代表组成。</w:t>
      </w:r>
      <w:bookmarkEnd w:id="84"/>
      <w:bookmarkStart w:id="85" w:name="_Hlk19051968"/>
      <w:r>
        <w:rPr>
          <w:rFonts w:ascii="Arial" w:hAnsi="Arial" w:cs="Arial"/>
          <w:color w:val="auto"/>
          <w:highlight w:val="none"/>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85"/>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二、评标程序</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w:t>
      </w:r>
      <w:bookmarkStart w:id="86" w:name="_Hlk19175507"/>
      <w:r>
        <w:rPr>
          <w:rFonts w:ascii="Arial" w:hAnsi="Arial" w:cs="Arial"/>
          <w:color w:val="auto"/>
          <w:szCs w:val="21"/>
          <w:highlight w:val="none"/>
        </w:rPr>
        <w:t>初步评审：初步评审包括资格检查及符合性检查。</w:t>
      </w:r>
      <w:bookmarkEnd w:id="86"/>
    </w:p>
    <w:p>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2、澄清（如需要）。</w:t>
      </w:r>
    </w:p>
    <w:p>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3、详细评审。</w:t>
      </w:r>
    </w:p>
    <w:p>
      <w:pPr>
        <w:suppressAutoHyphens/>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4、推荐中标候选人。</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三、特别说明：</w:t>
      </w:r>
    </w:p>
    <w:p>
      <w:pPr>
        <w:tabs>
          <w:tab w:val="left" w:pos="2190"/>
        </w:tabs>
        <w:spacing w:line="370" w:lineRule="exact"/>
        <w:ind w:firstLine="435"/>
        <w:rPr>
          <w:rFonts w:ascii="Arial" w:hAnsi="Arial" w:cs="Arial"/>
          <w:b/>
          <w:color w:val="auto"/>
          <w:szCs w:val="21"/>
          <w:highlight w:val="none"/>
        </w:rPr>
      </w:pPr>
      <w:r>
        <w:rPr>
          <w:rFonts w:ascii="Arial" w:hAnsi="Arial" w:cs="Arial"/>
          <w:b/>
          <w:color w:val="auto"/>
          <w:szCs w:val="21"/>
          <w:highlight w:val="none"/>
        </w:rPr>
        <w:t>1、注意事项：本项目实行电子投标，供应商应准备电子投标文件。</w:t>
      </w:r>
    </w:p>
    <w:p>
      <w:pPr>
        <w:tabs>
          <w:tab w:val="left" w:pos="2190"/>
        </w:tabs>
        <w:spacing w:line="370" w:lineRule="exact"/>
        <w:ind w:firstLine="435"/>
        <w:rPr>
          <w:rFonts w:ascii="Arial" w:hAnsi="Arial" w:cs="Arial"/>
          <w:b/>
          <w:bCs/>
          <w:color w:val="auto"/>
          <w:kern w:val="0"/>
          <w:szCs w:val="21"/>
          <w:highlight w:val="none"/>
        </w:rPr>
      </w:pPr>
      <w:r>
        <w:rPr>
          <w:rFonts w:ascii="Arial" w:hAnsi="Arial" w:cs="Arial"/>
          <w:b/>
          <w:color w:val="auto"/>
          <w:szCs w:val="21"/>
          <w:highlight w:val="none"/>
        </w:rPr>
        <w:t>2、电子投标文件按广西政府采购云平台要求及本招标文件要求制作、加密并递交。具体操作流程可参考《政府采购项目电子交易管理操作指南-供应商》，指南可在 “http://www.ccgp-guangxi.gov.cn/PurchaseAdvisory/ImportantNotice/2866753.html”下载。</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3、供应商提供的以下相关证明材料属于“必须提供”的</w:t>
      </w:r>
      <w:r>
        <w:rPr>
          <w:rFonts w:ascii="Arial" w:hAnsi="Arial" w:cs="Arial"/>
          <w:b/>
          <w:color w:val="auto"/>
          <w:sz w:val="24"/>
          <w:highlight w:val="none"/>
        </w:rPr>
        <w:t>文件</w:t>
      </w:r>
      <w:r>
        <w:rPr>
          <w:rFonts w:ascii="Arial" w:hAnsi="Arial" w:cs="Arial"/>
          <w:b/>
          <w:bCs/>
          <w:color w:val="auto"/>
          <w:kern w:val="0"/>
          <w:szCs w:val="21"/>
          <w:highlight w:val="none"/>
        </w:rPr>
        <w:t>应加盖供应商公章（CA签章）/自然人签字或加盖个人CA签章，否则投标无效。</w:t>
      </w:r>
    </w:p>
    <w:p>
      <w:pPr>
        <w:pStyle w:val="29"/>
        <w:spacing w:line="370" w:lineRule="exact"/>
        <w:ind w:firstLine="420"/>
        <w:rPr>
          <w:rFonts w:ascii="Arial" w:hAnsi="Arial" w:cs="Arial"/>
          <w:b/>
          <w:bCs/>
          <w:color w:val="auto"/>
          <w:highlight w:val="none"/>
        </w:rPr>
      </w:pPr>
      <w:r>
        <w:rPr>
          <w:rFonts w:ascii="Arial" w:hAnsi="Arial" w:cs="Arial"/>
          <w:b/>
          <w:bCs/>
          <w:color w:val="auto"/>
          <w:kern w:val="0"/>
          <w:highlight w:val="none"/>
        </w:rPr>
        <w:t>4、</w:t>
      </w:r>
      <w:r>
        <w:rPr>
          <w:rFonts w:ascii="Arial" w:hAnsi="Arial" w:cs="Arial"/>
          <w:b/>
          <w:bCs/>
          <w:color w:val="auto"/>
          <w:highlight w:val="none"/>
        </w:rPr>
        <w:t>投标文件（电子响应文件），其中电子投标文件中所须加盖公章部分均采用CA签章。若招标文件中有专门标注的某关联点，并要求供应商在电子投标系统中作出响应的，如供应商未对关联点进行响应或者在投标文件其它内容进行描述，造成电子评审不能查询的责任由供应商自行承担。</w:t>
      </w:r>
    </w:p>
    <w:p>
      <w:pPr>
        <w:pStyle w:val="29"/>
        <w:spacing w:line="370" w:lineRule="exact"/>
        <w:ind w:firstLine="420"/>
        <w:rPr>
          <w:rFonts w:ascii="Arial" w:hAnsi="Arial" w:cs="Arial"/>
          <w:b/>
          <w:bCs/>
          <w:color w:val="auto"/>
          <w:highlight w:val="none"/>
        </w:rPr>
      </w:pPr>
      <w:r>
        <w:rPr>
          <w:rFonts w:ascii="Arial" w:hAnsi="Arial" w:cs="Arial"/>
          <w:b/>
          <w:bCs/>
          <w:color w:val="auto"/>
          <w:highlight w:val="none"/>
        </w:rPr>
        <w:t>5、招标文件要求法定代表人（负责人）或委托代理人签字的部分必须签字然后扫描或者拍照做成 pdf 格式上传（或加盖个人CA签章），无签字的视为投标无效。</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6、电子投标文件中须加盖供应商公章部分均采用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7、供应商法人（负责人）或授权代表持有广西政府采购云平台个人CA签章的，应在投标文件中涉及到签字的位置使用个人CA签章，没有办理广西政府采购云平台个人CA签章的可在投标文件中涉及到签字的位置手写签字后扫描或者拍照做成 PDF 的格式上传即可。</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8、投标文件不得涂改，若有修改错漏处，须法定代表人（负责人）或授权委托人签字（或个人CA签章）。投标文件因字迹潦草或表达不清所引起的后果由供应商负责。</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9、本项目实行网上评审，采用电子投标文件；若供应商参与投标，自行承担投标一切费用。各供应商在截标前应确保成为广西政府采购云平台正式注册入库供应商，并完成 CA 数字证书申领。因未注册入库、未办理 CA 数字证书等原因造成无法投标或投标失败等后果由供应商自行承担。供应商将广西政府采购云平台电子交易客户端下载、安装完成后，可通过账号密码或 CA 登录客户端进行投标文件制作。客户端请至网站下载专区查看，如有问题可拨打广西政府采购云平台客户服务热线95763 进行咨询。</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10、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如有特殊情况，采购代理机构延长截止时间和开标时间，采购代理机构和供应商的权利和义务将受到新的截止时间和开标时间的约束。</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四、评标内容</w:t>
      </w:r>
    </w:p>
    <w:p>
      <w:pPr>
        <w:spacing w:before="120" w:line="320" w:lineRule="atLeast"/>
        <w:ind w:firstLine="551" w:firstLineChars="196"/>
        <w:jc w:val="center"/>
        <w:outlineLvl w:val="1"/>
        <w:rPr>
          <w:rFonts w:ascii="Arial" w:hAnsi="Arial" w:cs="Arial"/>
          <w:b/>
          <w:bCs/>
          <w:color w:val="auto"/>
          <w:kern w:val="0"/>
          <w:sz w:val="28"/>
          <w:szCs w:val="28"/>
          <w:highlight w:val="none"/>
        </w:rPr>
      </w:pPr>
      <w:bookmarkStart w:id="87" w:name="_Hlk19052412"/>
      <w:r>
        <w:rPr>
          <w:rFonts w:ascii="Arial" w:hAnsi="Arial" w:cs="Arial"/>
          <w:b/>
          <w:bCs/>
          <w:color w:val="auto"/>
          <w:kern w:val="0"/>
          <w:sz w:val="28"/>
          <w:szCs w:val="28"/>
          <w:highlight w:val="none"/>
        </w:rPr>
        <w:t>1、资格审查</w:t>
      </w:r>
    </w:p>
    <w:p>
      <w:pPr>
        <w:suppressAutoHyphens/>
        <w:spacing w:before="120" w:line="320" w:lineRule="atLeast"/>
        <w:ind w:firstLine="420" w:firstLineChars="200"/>
        <w:rPr>
          <w:rFonts w:ascii="Arial" w:hAnsi="Arial" w:cs="Arial"/>
          <w:color w:val="auto"/>
          <w:szCs w:val="21"/>
          <w:highlight w:val="none"/>
        </w:rPr>
      </w:pPr>
      <w:r>
        <w:rPr>
          <w:rFonts w:ascii="Arial" w:hAnsi="Arial" w:cs="Arial"/>
          <w:color w:val="auto"/>
          <w:highlight w:val="none"/>
        </w:rPr>
        <w:t>采购人代表对所有供应商的投标文件进行资格审查。</w:t>
      </w:r>
      <w:r>
        <w:rPr>
          <w:rFonts w:ascii="Arial" w:hAnsi="Arial" w:cs="Arial"/>
          <w:color w:val="auto"/>
          <w:szCs w:val="21"/>
          <w:highlight w:val="none"/>
        </w:rPr>
        <w:t>以确定供应商是否具备投标资格。资格审查表如下，缺少任何一项或有任何一项不合格者，其资格审查视为不合格。</w:t>
      </w:r>
    </w:p>
    <w:p>
      <w:pPr>
        <w:suppressAutoHyphens/>
        <w:spacing w:before="120" w:line="288" w:lineRule="auto"/>
        <w:ind w:firstLine="440" w:firstLineChars="200"/>
        <w:rPr>
          <w:rFonts w:ascii="Arial" w:hAnsi="Arial" w:cs="Arial"/>
          <w:color w:val="auto"/>
          <w:highlight w:val="none"/>
        </w:rPr>
      </w:pPr>
      <w:r>
        <w:rPr>
          <w:rFonts w:ascii="Arial" w:hAnsi="Arial" w:cs="Arial"/>
          <w:color w:val="auto"/>
          <w:sz w:val="22"/>
          <w:szCs w:val="22"/>
          <w:highlight w:val="none"/>
        </w:rPr>
        <w:t>1.1</w:t>
      </w:r>
      <w:r>
        <w:rPr>
          <w:rFonts w:ascii="Arial" w:hAnsi="Arial" w:cs="Arial"/>
          <w:b/>
          <w:bCs/>
          <w:color w:val="auto"/>
          <w:sz w:val="22"/>
          <w:szCs w:val="22"/>
          <w:highlight w:val="none"/>
        </w:rPr>
        <w:t>供应商具备有效的“营业执照”或“事业单位法人证书”或“自然人的身份证明”副本复印件。</w:t>
      </w:r>
    </w:p>
    <w:p>
      <w:pPr>
        <w:suppressAutoHyphens/>
        <w:spacing w:before="120" w:line="288" w:lineRule="auto"/>
        <w:ind w:firstLine="420" w:firstLineChars="200"/>
        <w:rPr>
          <w:rFonts w:ascii="Arial" w:hAnsi="Arial" w:cs="Arial"/>
          <w:color w:val="auto"/>
          <w:highlight w:val="none"/>
        </w:rPr>
      </w:pPr>
      <w:r>
        <w:rPr>
          <w:rFonts w:ascii="Arial" w:hAnsi="Arial" w:cs="Arial"/>
          <w:color w:val="auto"/>
          <w:szCs w:val="21"/>
          <w:highlight w:val="none"/>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p>
      <w:pPr>
        <w:suppressAutoHyphens/>
        <w:spacing w:before="120" w:line="288" w:lineRule="auto"/>
        <w:ind w:firstLine="440" w:firstLineChars="200"/>
        <w:rPr>
          <w:rFonts w:ascii="Arial" w:hAnsi="Arial" w:cs="Arial"/>
          <w:color w:val="auto"/>
          <w:szCs w:val="21"/>
          <w:highlight w:val="none"/>
        </w:rPr>
      </w:pPr>
      <w:r>
        <w:rPr>
          <w:rFonts w:ascii="Arial" w:hAnsi="Arial" w:cs="Arial"/>
          <w:color w:val="auto"/>
          <w:sz w:val="22"/>
          <w:szCs w:val="22"/>
          <w:highlight w:val="none"/>
        </w:rPr>
        <w:t>1.</w:t>
      </w:r>
      <w:r>
        <w:rPr>
          <w:rFonts w:hint="eastAsia" w:ascii="Arial" w:hAnsi="Arial" w:cs="Arial"/>
          <w:color w:val="auto"/>
          <w:sz w:val="22"/>
          <w:szCs w:val="22"/>
          <w:highlight w:val="none"/>
        </w:rPr>
        <w:t>2</w:t>
      </w:r>
      <w:r>
        <w:rPr>
          <w:rFonts w:ascii="Arial" w:hAnsi="Arial" w:cs="Arial"/>
          <w:color w:val="auto"/>
          <w:sz w:val="22"/>
          <w:szCs w:val="22"/>
          <w:highlight w:val="none"/>
        </w:rPr>
        <w:t xml:space="preserve"> </w:t>
      </w:r>
      <w:r>
        <w:rPr>
          <w:rFonts w:ascii="Arial" w:hAnsi="Arial" w:cs="Arial"/>
          <w:b/>
          <w:bCs/>
          <w:color w:val="auto"/>
          <w:sz w:val="22"/>
          <w:szCs w:val="22"/>
          <w:highlight w:val="none"/>
        </w:rPr>
        <w:t>供应商</w:t>
      </w:r>
      <w:r>
        <w:rPr>
          <w:rFonts w:hint="eastAsia" w:ascii="Arial" w:hAnsi="Arial" w:cs="Arial"/>
          <w:b/>
          <w:bCs/>
          <w:color w:val="auto"/>
          <w:sz w:val="22"/>
          <w:szCs w:val="22"/>
          <w:highlight w:val="none"/>
        </w:rPr>
        <w:t>2024年</w:t>
      </w:r>
      <w:r>
        <w:rPr>
          <w:rFonts w:ascii="Arial" w:hAnsi="Arial" w:cs="Arial"/>
          <w:b/>
          <w:bCs/>
          <w:color w:val="auto"/>
          <w:sz w:val="22"/>
          <w:szCs w:val="22"/>
          <w:highlight w:val="none"/>
        </w:rPr>
        <w:t>财务状况报告（表）复印件或202</w:t>
      </w:r>
      <w:r>
        <w:rPr>
          <w:rFonts w:hint="eastAsia" w:ascii="Arial" w:hAnsi="Arial" w:cs="Arial"/>
          <w:b/>
          <w:bCs/>
          <w:color w:val="auto"/>
          <w:sz w:val="22"/>
          <w:szCs w:val="22"/>
          <w:highlight w:val="none"/>
        </w:rPr>
        <w:t>5</w:t>
      </w:r>
      <w:r>
        <w:rPr>
          <w:rFonts w:ascii="Arial" w:hAnsi="Arial" w:cs="Arial"/>
          <w:b/>
          <w:bCs/>
          <w:color w:val="auto"/>
          <w:sz w:val="22"/>
          <w:szCs w:val="22"/>
          <w:highlight w:val="none"/>
        </w:rPr>
        <w:t>年银行出具的资信证明复印件。</w:t>
      </w:r>
      <w:r>
        <w:rPr>
          <w:rFonts w:ascii="Arial" w:hAnsi="Arial" w:cs="Arial"/>
          <w:color w:val="auto"/>
          <w:szCs w:val="21"/>
          <w:highlight w:val="none"/>
        </w:rPr>
        <w:t>对于从取得营业执照时间起到投标文件递交截止时间为止不足1年的供应商，只需提交投标文件递交截止时间前一个月的财务状况报告（表）复印件。</w:t>
      </w:r>
    </w:p>
    <w:p>
      <w:pPr>
        <w:suppressAutoHyphens/>
        <w:spacing w:before="120" w:line="288" w:lineRule="auto"/>
        <w:ind w:firstLine="440" w:firstLineChars="200"/>
        <w:rPr>
          <w:rFonts w:ascii="Arial" w:hAnsi="Arial" w:cs="Arial"/>
          <w:color w:val="auto"/>
          <w:szCs w:val="21"/>
          <w:highlight w:val="none"/>
          <w:lang w:val="zh-CN"/>
        </w:rPr>
      </w:pPr>
      <w:r>
        <w:rPr>
          <w:rFonts w:ascii="Arial" w:hAnsi="Arial" w:cs="Arial"/>
          <w:color w:val="auto"/>
          <w:sz w:val="22"/>
          <w:szCs w:val="22"/>
          <w:highlight w:val="none"/>
        </w:rPr>
        <w:t>1.</w:t>
      </w:r>
      <w:r>
        <w:rPr>
          <w:rFonts w:hint="eastAsia" w:ascii="Arial" w:hAnsi="Arial" w:cs="Arial"/>
          <w:color w:val="auto"/>
          <w:sz w:val="22"/>
          <w:szCs w:val="22"/>
          <w:highlight w:val="none"/>
        </w:rPr>
        <w:t>3</w:t>
      </w:r>
      <w:r>
        <w:rPr>
          <w:rFonts w:ascii="Arial" w:hAnsi="Arial" w:cs="Arial"/>
          <w:b/>
          <w:bCs/>
          <w:color w:val="auto"/>
          <w:sz w:val="22"/>
          <w:szCs w:val="22"/>
          <w:highlight w:val="none"/>
          <w:lang w:val="zh-CN"/>
        </w:rPr>
        <w:t>①投标截止时间前6个月内，供应商任意1个月依法缴纳税费证明复印件。②投标截止时间前6个月内，供应商任意1个月的社保缴费证明记录复印件。</w:t>
      </w:r>
      <w:r>
        <w:rPr>
          <w:rFonts w:ascii="Arial" w:hAnsi="Arial" w:cs="Arial"/>
          <w:color w:val="auto"/>
          <w:szCs w:val="21"/>
          <w:highlight w:val="none"/>
          <w:lang w:val="zh-CN"/>
        </w:rPr>
        <w:t>供应商成立不足1个月的，无须提供缴纳税费证明及社保缴费证明。依法免税或不需要缴纳社会保障资金的供应商，须提供相应文件证明其依法免税或不需要缴纳社会保障资金。</w:t>
      </w:r>
    </w:p>
    <w:p>
      <w:pPr>
        <w:suppressAutoHyphens/>
        <w:spacing w:before="120" w:line="288" w:lineRule="auto"/>
        <w:ind w:firstLine="442" w:firstLineChars="200"/>
        <w:rPr>
          <w:rFonts w:ascii="Arial" w:hAnsi="Arial" w:cs="Arial"/>
          <w:color w:val="auto"/>
          <w:szCs w:val="21"/>
          <w:highlight w:val="none"/>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4</w:t>
      </w:r>
      <w:r>
        <w:rPr>
          <w:rFonts w:ascii="Arial" w:hAnsi="Arial" w:cs="Arial"/>
          <w:b/>
          <w:bCs/>
          <w:color w:val="auto"/>
          <w:sz w:val="22"/>
          <w:szCs w:val="22"/>
          <w:highlight w:val="none"/>
        </w:rPr>
        <w:t>审查无重大违法记录声明。须提供，格式见第六章投标文件格式“投标声明书”。</w:t>
      </w:r>
      <w:r>
        <w:rPr>
          <w:rFonts w:ascii="Arial" w:hAnsi="Arial" w:cs="Arial"/>
          <w:color w:val="auto"/>
          <w:szCs w:val="21"/>
          <w:highlight w:val="none"/>
        </w:rPr>
        <w:t>一旦发现供应商提供的投标声明书不实时，则按照《政府采购法》有关提供虚假材料的规定给予处罚。</w:t>
      </w:r>
    </w:p>
    <w:p>
      <w:pPr>
        <w:suppressAutoHyphens/>
        <w:spacing w:before="120" w:line="288" w:lineRule="auto"/>
        <w:ind w:firstLine="442" w:firstLineChars="200"/>
        <w:rPr>
          <w:rFonts w:ascii="Arial" w:hAnsi="Arial" w:cs="Arial"/>
          <w:color w:val="auto"/>
          <w:szCs w:val="21"/>
          <w:highlight w:val="none"/>
          <w:lang w:val="zh-CN"/>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5</w:t>
      </w:r>
      <w:r>
        <w:rPr>
          <w:rFonts w:ascii="Arial" w:hAnsi="Arial" w:cs="Arial"/>
          <w:b/>
          <w:bCs/>
          <w:color w:val="auto"/>
          <w:sz w:val="22"/>
          <w:szCs w:val="22"/>
          <w:highlight w:val="none"/>
          <w:lang w:val="zh-CN"/>
        </w:rPr>
        <w:t>诚信要求：</w:t>
      </w:r>
      <w:r>
        <w:rPr>
          <w:rFonts w:ascii="Arial" w:hAnsi="Arial" w:cs="Arial"/>
          <w:color w:val="auto"/>
          <w:szCs w:val="21"/>
          <w:highlight w:val="none"/>
          <w:lang w:val="zh-CN"/>
        </w:rPr>
        <w:t>①</w:t>
      </w:r>
      <w:r>
        <w:rPr>
          <w:rFonts w:ascii="Arial" w:hAnsi="Arial" w:cs="Arial"/>
          <w:color w:val="auto"/>
          <w:szCs w:val="21"/>
          <w:highlight w:val="none"/>
        </w:rPr>
        <w:t>审核标准：供应商如被列入失信被执行人、重大税收违法失信主体、政府采购严重违法失信行为记录名单，则资格审查不予通过，其投标被否决</w:t>
      </w:r>
      <w:r>
        <w:rPr>
          <w:rFonts w:ascii="Arial" w:hAnsi="Arial" w:cs="Arial"/>
          <w:color w:val="auto"/>
          <w:szCs w:val="21"/>
          <w:highlight w:val="none"/>
          <w:lang w:val="zh-CN"/>
        </w:rPr>
        <w:t>。</w:t>
      </w:r>
    </w:p>
    <w:p>
      <w:pPr>
        <w:suppressAutoHyphens/>
        <w:spacing w:before="120" w:line="288"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②信用信息查询渠道：中国政府采购网 “政府采购严重违法失信行为记录名单” 信用中国网：“失信被执行人”、“重大税收违法失信主体”  </w:t>
      </w:r>
    </w:p>
    <w:p>
      <w:pPr>
        <w:suppressAutoHyphens/>
        <w:spacing w:before="120" w:line="288" w:lineRule="auto"/>
        <w:ind w:firstLine="420" w:firstLineChars="200"/>
        <w:rPr>
          <w:rFonts w:ascii="Arial" w:hAnsi="Arial" w:cs="Arial"/>
          <w:color w:val="auto"/>
          <w:szCs w:val="21"/>
          <w:highlight w:val="none"/>
          <w:lang w:val="zh-CN"/>
        </w:rPr>
      </w:pPr>
      <w:r>
        <w:rPr>
          <w:rFonts w:ascii="Arial" w:hAnsi="Arial" w:cs="Arial"/>
          <w:color w:val="auto"/>
          <w:szCs w:val="21"/>
          <w:highlight w:val="none"/>
        </w:rPr>
        <w:t>③查询方式：广西政府采购云平台已与“信用中国”平台做接口，可直接在线查询。</w:t>
      </w:r>
    </w:p>
    <w:p>
      <w:pPr>
        <w:suppressAutoHyphens/>
        <w:spacing w:before="120" w:line="288" w:lineRule="auto"/>
        <w:ind w:firstLine="442" w:firstLineChars="200"/>
        <w:rPr>
          <w:rFonts w:ascii="Arial" w:hAnsi="Arial" w:cs="Arial"/>
          <w:color w:val="auto"/>
          <w:kern w:val="0"/>
          <w:szCs w:val="21"/>
          <w:highlight w:val="none"/>
        </w:rPr>
      </w:pPr>
      <w:r>
        <w:rPr>
          <w:rFonts w:ascii="Arial" w:hAnsi="Arial" w:cs="Arial"/>
          <w:b/>
          <w:bCs/>
          <w:color w:val="auto"/>
          <w:sz w:val="22"/>
          <w:szCs w:val="22"/>
          <w:highlight w:val="none"/>
        </w:rPr>
        <w:t>1.</w:t>
      </w:r>
      <w:r>
        <w:rPr>
          <w:rFonts w:hint="eastAsia" w:ascii="Arial" w:hAnsi="Arial" w:cs="Arial"/>
          <w:b/>
          <w:bCs/>
          <w:color w:val="auto"/>
          <w:sz w:val="22"/>
          <w:szCs w:val="22"/>
          <w:highlight w:val="none"/>
        </w:rPr>
        <w:t>6</w:t>
      </w:r>
      <w:r>
        <w:rPr>
          <w:rFonts w:ascii="Arial" w:hAnsi="Arial" w:cs="Arial"/>
          <w:b/>
          <w:bCs/>
          <w:color w:val="auto"/>
          <w:kern w:val="0"/>
          <w:sz w:val="22"/>
          <w:szCs w:val="22"/>
          <w:highlight w:val="none"/>
        </w:rPr>
        <w:t>供应商不得参加资格性审查的情形：</w:t>
      </w:r>
      <w:r>
        <w:rPr>
          <w:rFonts w:ascii="Arial" w:hAnsi="Arial" w:cs="Arial"/>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before="120" w:line="320" w:lineRule="atLeast"/>
        <w:ind w:firstLine="551" w:firstLineChars="196"/>
        <w:jc w:val="center"/>
        <w:outlineLvl w:val="1"/>
        <w:rPr>
          <w:rFonts w:ascii="Arial" w:hAnsi="Arial" w:cs="Arial"/>
          <w:b/>
          <w:bCs/>
          <w:color w:val="auto"/>
          <w:kern w:val="0"/>
          <w:sz w:val="28"/>
          <w:szCs w:val="28"/>
          <w:highlight w:val="none"/>
        </w:rPr>
      </w:pPr>
      <w:r>
        <w:rPr>
          <w:rFonts w:ascii="Arial" w:hAnsi="Arial" w:cs="Arial"/>
          <w:b/>
          <w:bCs/>
          <w:color w:val="auto"/>
          <w:kern w:val="0"/>
          <w:sz w:val="28"/>
          <w:szCs w:val="28"/>
          <w:highlight w:val="none"/>
        </w:rPr>
        <w:t>2、符合性检查</w:t>
      </w:r>
    </w:p>
    <w:p>
      <w:pPr>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资格审查结束后，由评标委员会对</w:t>
      </w:r>
      <w:r>
        <w:rPr>
          <w:rFonts w:ascii="Arial" w:hAnsi="Arial" w:cs="Arial"/>
          <w:color w:val="auto"/>
          <w:highlight w:val="none"/>
        </w:rPr>
        <w:t>通过资格审查的供应商的投标文件进行符合性审查，以确定其是否满足招标文件的实质性要求。</w:t>
      </w:r>
      <w:r>
        <w:rPr>
          <w:rFonts w:ascii="Arial" w:hAnsi="Arial" w:cs="Arial"/>
          <w:color w:val="auto"/>
          <w:szCs w:val="21"/>
          <w:highlight w:val="none"/>
        </w:rPr>
        <w:t>符合性检查表如下，缺少任何一项或有任何一项不合格者，其符合性检查视为不合格。</w:t>
      </w:r>
    </w:p>
    <w:p>
      <w:pPr>
        <w:spacing w:before="120" w:line="288" w:lineRule="auto"/>
        <w:ind w:firstLine="482" w:firstLineChars="200"/>
        <w:rPr>
          <w:rFonts w:ascii="Arial" w:hAnsi="Arial" w:cs="Arial"/>
          <w:b/>
          <w:bCs/>
          <w:color w:val="auto"/>
          <w:kern w:val="0"/>
          <w:sz w:val="24"/>
          <w:highlight w:val="none"/>
        </w:rPr>
      </w:pPr>
      <w:r>
        <w:rPr>
          <w:rFonts w:ascii="Arial" w:hAnsi="Arial" w:cs="Arial"/>
          <w:b/>
          <w:bCs/>
          <w:color w:val="auto"/>
          <w:sz w:val="24"/>
          <w:highlight w:val="none"/>
        </w:rPr>
        <w:t>2.1</w:t>
      </w:r>
      <w:r>
        <w:rPr>
          <w:rFonts w:ascii="Arial" w:hAnsi="Arial" w:cs="Arial"/>
          <w:b/>
          <w:bCs/>
          <w:color w:val="auto"/>
          <w:kern w:val="0"/>
          <w:sz w:val="24"/>
          <w:highlight w:val="none"/>
        </w:rPr>
        <w:t>有效性审查</w:t>
      </w:r>
    </w:p>
    <w:p>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2.1.1</w:t>
      </w:r>
      <w:r>
        <w:rPr>
          <w:rFonts w:ascii="Arial" w:hAnsi="Arial" w:cs="Arial"/>
          <w:b/>
          <w:bCs/>
          <w:color w:val="auto"/>
          <w:sz w:val="22"/>
          <w:szCs w:val="22"/>
          <w:highlight w:val="none"/>
        </w:rPr>
        <w:t>投标文件签署</w:t>
      </w:r>
      <w:r>
        <w:rPr>
          <w:rFonts w:ascii="Arial" w:hAnsi="Arial" w:cs="Arial"/>
          <w:color w:val="auto"/>
          <w:sz w:val="22"/>
          <w:szCs w:val="22"/>
          <w:highlight w:val="none"/>
        </w:rPr>
        <w:t>：</w:t>
      </w:r>
      <w:r>
        <w:rPr>
          <w:rFonts w:ascii="Arial" w:hAnsi="Arial" w:cs="Arial"/>
          <w:color w:val="auto"/>
          <w:szCs w:val="21"/>
          <w:highlight w:val="none"/>
        </w:rPr>
        <w:t>投标文件上法定代表人或其授权代表人已按要求签字盖章。</w:t>
      </w:r>
    </w:p>
    <w:p>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2.1.2法定代表人身份证明及授权委托书：</w:t>
      </w:r>
      <w:r>
        <w:rPr>
          <w:rFonts w:ascii="Arial" w:hAnsi="Arial" w:cs="Arial"/>
          <w:color w:val="auto"/>
          <w:szCs w:val="21"/>
          <w:highlight w:val="none"/>
        </w:rPr>
        <w:t>供应商无授权代表时审查：法定代表人身份证明及附件，格式及附件见第六章投标文件格式要求；供应商有授权代表时审查：法定代表人授权委托书及附件，格式及附件见第六章投标文件格式要求；法定代表人身份证明及授权委托书须有效，符合招标文件规定的格式，签字或盖章齐全。</w:t>
      </w:r>
    </w:p>
    <w:p>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2.1.3投标文件或者投标报价唯一性：</w:t>
      </w:r>
      <w:r>
        <w:rPr>
          <w:rFonts w:ascii="Arial" w:hAnsi="Arial" w:cs="Arial"/>
          <w:color w:val="auto"/>
          <w:highlight w:val="none"/>
        </w:rPr>
        <w:t>同</w:t>
      </w:r>
      <w:r>
        <w:rPr>
          <w:rFonts w:ascii="Arial" w:hAnsi="Arial" w:cs="Arial"/>
          <w:color w:val="auto"/>
          <w:szCs w:val="21"/>
          <w:highlight w:val="none"/>
        </w:rPr>
        <w:t>一供应商不得提交两个以上不同的投标文件或者投标报价，但招标文件要求提交备选投标的除外。</w:t>
      </w:r>
    </w:p>
    <w:p>
      <w:pPr>
        <w:spacing w:before="120" w:line="288" w:lineRule="auto"/>
        <w:ind w:firstLine="442" w:firstLineChars="200"/>
        <w:rPr>
          <w:rFonts w:ascii="Arial" w:hAnsi="Arial" w:cs="Arial"/>
          <w:color w:val="auto"/>
          <w:szCs w:val="21"/>
          <w:highlight w:val="none"/>
        </w:rPr>
      </w:pPr>
      <w:r>
        <w:rPr>
          <w:rFonts w:ascii="Arial" w:hAnsi="Arial" w:cs="Arial"/>
          <w:b/>
          <w:bCs/>
          <w:color w:val="auto"/>
          <w:kern w:val="0"/>
          <w:sz w:val="22"/>
          <w:szCs w:val="22"/>
          <w:highlight w:val="none"/>
        </w:rPr>
        <w:t>2.1.4投标报价：</w:t>
      </w:r>
      <w:r>
        <w:rPr>
          <w:rFonts w:ascii="Arial" w:hAnsi="Arial" w:cs="Arial"/>
          <w:color w:val="auto"/>
          <w:szCs w:val="21"/>
          <w:highlight w:val="none"/>
        </w:rPr>
        <w:t>报价超出</w:t>
      </w:r>
      <w:r>
        <w:rPr>
          <w:rFonts w:ascii="Arial" w:hAnsi="Arial" w:cs="Arial"/>
          <w:b/>
          <w:bCs/>
          <w:color w:val="auto"/>
          <w:szCs w:val="21"/>
          <w:highlight w:val="none"/>
        </w:rPr>
        <w:t>采购预算金额或最高限价或控制单价</w:t>
      </w:r>
      <w:r>
        <w:rPr>
          <w:rFonts w:ascii="Arial" w:hAnsi="Arial" w:cs="Arial"/>
          <w:color w:val="auto"/>
          <w:szCs w:val="21"/>
          <w:highlight w:val="none"/>
        </w:rPr>
        <w:t>的，否决其投标</w:t>
      </w:r>
      <w:r>
        <w:rPr>
          <w:rFonts w:ascii="Arial" w:hAnsi="Arial" w:cs="Arial"/>
          <w:color w:val="auto"/>
          <w:highlight w:val="none"/>
        </w:rPr>
        <w:t>。</w:t>
      </w:r>
      <w:r>
        <w:rPr>
          <w:rFonts w:ascii="Arial" w:hAnsi="Arial" w:cs="Arial"/>
          <w:color w:val="auto"/>
          <w:szCs w:val="21"/>
          <w:highlight w:val="none"/>
        </w:rPr>
        <w:t>提交选择性报价的，否决其投标。</w:t>
      </w:r>
    </w:p>
    <w:p>
      <w:pPr>
        <w:spacing w:before="120" w:line="288" w:lineRule="auto"/>
        <w:ind w:firstLine="442" w:firstLineChars="200"/>
        <w:rPr>
          <w:rFonts w:ascii="Arial" w:hAnsi="Arial" w:cs="Arial"/>
          <w:b/>
          <w:bCs/>
          <w:color w:val="auto"/>
          <w:kern w:val="0"/>
          <w:sz w:val="22"/>
          <w:szCs w:val="22"/>
          <w:highlight w:val="none"/>
        </w:rPr>
      </w:pPr>
      <w:r>
        <w:rPr>
          <w:rFonts w:ascii="Arial" w:hAnsi="Arial" w:cs="Arial"/>
          <w:b/>
          <w:bCs/>
          <w:color w:val="auto"/>
          <w:sz w:val="22"/>
          <w:szCs w:val="22"/>
          <w:highlight w:val="none"/>
        </w:rPr>
        <w:t>2.2</w:t>
      </w:r>
      <w:r>
        <w:rPr>
          <w:rFonts w:ascii="Arial" w:hAnsi="Arial" w:cs="Arial"/>
          <w:b/>
          <w:bCs/>
          <w:color w:val="auto"/>
          <w:kern w:val="0"/>
          <w:sz w:val="22"/>
          <w:szCs w:val="22"/>
          <w:highlight w:val="none"/>
        </w:rPr>
        <w:t>完整性审查</w:t>
      </w:r>
    </w:p>
    <w:p>
      <w:pPr>
        <w:spacing w:before="120" w:line="320" w:lineRule="atLeast"/>
        <w:ind w:firstLine="433" w:firstLineChars="196"/>
        <w:outlineLvl w:val="1"/>
        <w:rPr>
          <w:rFonts w:ascii="Arial" w:hAnsi="Arial" w:cs="Arial"/>
          <w:b/>
          <w:bCs/>
          <w:color w:val="auto"/>
          <w:kern w:val="0"/>
          <w:szCs w:val="21"/>
          <w:highlight w:val="none"/>
        </w:rPr>
      </w:pPr>
      <w:r>
        <w:rPr>
          <w:rFonts w:ascii="Arial" w:hAnsi="Arial" w:cs="Arial"/>
          <w:b/>
          <w:bCs/>
          <w:color w:val="auto"/>
          <w:kern w:val="0"/>
          <w:sz w:val="22"/>
          <w:szCs w:val="22"/>
          <w:highlight w:val="none"/>
        </w:rPr>
        <w:t>对招标文件的响应程度审查：</w:t>
      </w:r>
      <w:r>
        <w:rPr>
          <w:rFonts w:ascii="Arial" w:hAnsi="Arial" w:cs="Arial"/>
          <w:color w:val="auto"/>
          <w:kern w:val="0"/>
          <w:szCs w:val="21"/>
          <w:highlight w:val="none"/>
        </w:rPr>
        <w:t>（1）</w:t>
      </w:r>
      <w:r>
        <w:rPr>
          <w:rFonts w:ascii="Arial" w:hAnsi="Arial" w:cs="Arial"/>
          <w:color w:val="auto"/>
          <w:szCs w:val="21"/>
          <w:highlight w:val="none"/>
          <w:lang w:val="zh-CN"/>
        </w:rPr>
        <w:t>实质性条款响应：对招标文件中所有标注▲号的实质性条款要求响应均无负偏离。（</w:t>
      </w:r>
      <w:r>
        <w:rPr>
          <w:rFonts w:ascii="Arial" w:hAnsi="Arial" w:cs="Arial"/>
          <w:color w:val="auto"/>
          <w:szCs w:val="21"/>
          <w:highlight w:val="none"/>
        </w:rPr>
        <w:t>2</w:t>
      </w:r>
      <w:r>
        <w:rPr>
          <w:rFonts w:ascii="Arial" w:hAnsi="Arial" w:cs="Arial"/>
          <w:color w:val="auto"/>
          <w:szCs w:val="21"/>
          <w:highlight w:val="none"/>
          <w:lang w:val="zh-CN"/>
        </w:rPr>
        <w:t>）</w:t>
      </w:r>
      <w:r>
        <w:rPr>
          <w:rFonts w:ascii="Arial" w:hAnsi="Arial" w:cs="Arial"/>
          <w:color w:val="auto"/>
          <w:szCs w:val="21"/>
          <w:highlight w:val="none"/>
        </w:rPr>
        <w:t>投标有效期：满足招标文件规定。</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3、强制性采购要求（仅适用于货物采购项目）</w:t>
      </w:r>
    </w:p>
    <w:p>
      <w:pPr>
        <w:spacing w:before="120" w:line="276" w:lineRule="auto"/>
        <w:ind w:firstLine="420" w:firstLineChars="200"/>
        <w:rPr>
          <w:rFonts w:ascii="Arial" w:hAnsi="Arial" w:cs="Arial"/>
          <w:color w:val="auto"/>
          <w:highlight w:val="none"/>
        </w:rPr>
      </w:pPr>
      <w:r>
        <w:rPr>
          <w:rFonts w:ascii="Arial" w:hAnsi="Arial" w:cs="Arial"/>
          <w:color w:val="auto"/>
          <w:highlight w:val="none"/>
        </w:rPr>
        <w:t>（1）根据《财政部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pPr>
        <w:spacing w:before="120" w:line="276" w:lineRule="auto"/>
        <w:ind w:firstLine="420" w:firstLineChars="200"/>
        <w:rPr>
          <w:rFonts w:ascii="Arial" w:hAnsi="Arial" w:cs="Arial"/>
          <w:color w:val="auto"/>
          <w:highlight w:val="none"/>
        </w:rPr>
      </w:pPr>
      <w:r>
        <w:rPr>
          <w:rFonts w:ascii="Arial" w:hAnsi="Arial" w:cs="Arial"/>
          <w:color w:val="auto"/>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pPr>
        <w:spacing w:before="120" w:line="276" w:lineRule="auto"/>
        <w:ind w:firstLine="420" w:firstLineChars="200"/>
        <w:rPr>
          <w:rFonts w:ascii="Arial" w:hAnsi="Arial" w:cs="Arial"/>
          <w:color w:val="auto"/>
          <w:highlight w:val="none"/>
        </w:rPr>
      </w:pPr>
      <w:r>
        <w:rPr>
          <w:rFonts w:ascii="Arial" w:hAnsi="Arial" w:cs="Arial"/>
          <w:color w:val="auto"/>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4、相同品牌投标有效性认定</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不同供应商提供的投标产品品牌相同时，评标委员会须根据以下规定评审</w:t>
      </w:r>
      <w:r>
        <w:rPr>
          <w:rFonts w:ascii="Arial" w:hAnsi="Arial" w:cs="Arial"/>
          <w:bCs/>
          <w:color w:val="auto"/>
          <w:kern w:val="0"/>
          <w:szCs w:val="21"/>
          <w:highlight w:val="none"/>
        </w:rPr>
        <w:t>相同品牌的投标有效性</w:t>
      </w:r>
      <w:r>
        <w:rPr>
          <w:rFonts w:ascii="Arial" w:hAnsi="Arial" w:cs="Arial"/>
          <w:color w:val="auto"/>
          <w:highlight w:val="none"/>
        </w:rPr>
        <w:t>。</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（1）如若提供相同品牌产品且通过资格审查、符合性审查的不同供应商参加同一合同项下投标的，按一家供应商计算，评审后得分最高的同品牌供应商获得中标供应商推荐资格；评审得分相同的，</w:t>
      </w:r>
      <w:r>
        <w:rPr>
          <w:rFonts w:ascii="Arial" w:hAnsi="Arial" w:cs="Arial"/>
          <w:color w:val="auto"/>
          <w:highlight w:val="none"/>
        </w:rPr>
        <w:t>由（</w:t>
      </w:r>
      <w:r>
        <w:rPr>
          <w:rFonts w:ascii="Arial" w:hAnsi="Arial" w:cs="Arial"/>
          <w:color w:val="auto"/>
          <w:szCs w:val="21"/>
          <w:highlight w:val="none"/>
        </w:rPr>
        <w:sym w:font="Wingdings 2" w:char="F052"/>
      </w:r>
      <w:r>
        <w:rPr>
          <w:rFonts w:ascii="Arial" w:hAnsi="Arial" w:cs="Arial"/>
          <w:color w:val="auto"/>
          <w:highlight w:val="none"/>
        </w:rPr>
        <w:t>采购人</w:t>
      </w:r>
      <w:r>
        <w:rPr>
          <w:rFonts w:ascii="Arial" w:hAnsi="Arial" w:cs="Arial"/>
          <w:color w:val="auto"/>
          <w:szCs w:val="21"/>
          <w:highlight w:val="none"/>
        </w:rPr>
        <w:t>；</w:t>
      </w:r>
      <w:r>
        <w:rPr>
          <w:rFonts w:ascii="Arial" w:hAnsi="Arial" w:cs="Arial"/>
          <w:color w:val="auto"/>
          <w:szCs w:val="21"/>
          <w:highlight w:val="none"/>
        </w:rPr>
        <w:sym w:font="Wingdings 2" w:char="F0A3"/>
      </w:r>
      <w:r>
        <w:rPr>
          <w:rFonts w:ascii="Arial" w:hAnsi="Arial" w:cs="Arial"/>
          <w:color w:val="auto"/>
          <w:highlight w:val="none"/>
        </w:rPr>
        <w:t>采购人委托评标委员会）按照报价低者推荐</w:t>
      </w:r>
      <w:r>
        <w:rPr>
          <w:rFonts w:ascii="Arial" w:hAnsi="Arial" w:cs="Arial"/>
          <w:color w:val="auto"/>
          <w:szCs w:val="21"/>
          <w:highlight w:val="none"/>
        </w:rPr>
        <w:t>中标供应商资格</w:t>
      </w:r>
      <w:r>
        <w:rPr>
          <w:rFonts w:ascii="Arial" w:hAnsi="Arial" w:cs="Arial"/>
          <w:color w:val="auto"/>
          <w:highlight w:val="none"/>
        </w:rPr>
        <w:t>，如报价仍相同，则按技术部分得分高者推荐</w:t>
      </w:r>
      <w:r>
        <w:rPr>
          <w:rFonts w:ascii="Arial" w:hAnsi="Arial" w:cs="Arial"/>
          <w:color w:val="auto"/>
          <w:szCs w:val="21"/>
          <w:highlight w:val="none"/>
        </w:rPr>
        <w:t>中标供应商资格</w:t>
      </w:r>
      <w:r>
        <w:rPr>
          <w:rFonts w:ascii="Arial" w:hAnsi="Arial" w:cs="Arial"/>
          <w:color w:val="auto"/>
          <w:highlight w:val="none"/>
        </w:rPr>
        <w:t>，仍相同的，则按商务部分得分高者推荐</w:t>
      </w:r>
      <w:r>
        <w:rPr>
          <w:rFonts w:ascii="Arial" w:hAnsi="Arial" w:cs="Arial"/>
          <w:color w:val="auto"/>
          <w:szCs w:val="21"/>
          <w:highlight w:val="none"/>
        </w:rPr>
        <w:t>中标供应商资格</w:t>
      </w:r>
      <w:r>
        <w:rPr>
          <w:rFonts w:ascii="Arial" w:hAnsi="Arial" w:cs="Arial"/>
          <w:color w:val="auto"/>
          <w:highlight w:val="none"/>
        </w:rPr>
        <w:t>，若仍相同，则按业绩得分高者推荐中标供应商资格，其他同品牌供应商不作为中标候选人。</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（2）非单一产品采购项目，采购人应当确定核心产品，并在招标文件中载明。多家供应商提供的核心产品品牌相同的，按上述规定处理。核心产品的定义见“项目采购需求”规定。</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5、串通投标的认定</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评标委员会须根据以下规定评审</w:t>
      </w:r>
      <w:r>
        <w:rPr>
          <w:rFonts w:ascii="Arial" w:hAnsi="Arial" w:cs="Arial"/>
          <w:bCs/>
          <w:color w:val="auto"/>
          <w:kern w:val="0"/>
          <w:szCs w:val="21"/>
          <w:highlight w:val="none"/>
        </w:rPr>
        <w:t>供应商是否有串通投标的行为，并按规定判定投标是否有效</w:t>
      </w:r>
      <w:r>
        <w:rPr>
          <w:rFonts w:ascii="Arial" w:hAnsi="Arial" w:cs="Arial"/>
          <w:color w:val="auto"/>
          <w:highlight w:val="none"/>
        </w:rPr>
        <w:t>。</w:t>
      </w:r>
    </w:p>
    <w:p>
      <w:pPr>
        <w:spacing w:before="120" w:line="320" w:lineRule="atLeast"/>
        <w:ind w:firstLine="420" w:firstLineChars="200"/>
        <w:rPr>
          <w:rFonts w:ascii="Arial" w:hAnsi="Arial" w:cs="Arial"/>
          <w:color w:val="auto"/>
          <w:szCs w:val="21"/>
          <w:highlight w:val="none"/>
        </w:rPr>
      </w:pPr>
      <w:bookmarkStart w:id="88" w:name="_Hlk19122026"/>
      <w:r>
        <w:rPr>
          <w:rFonts w:ascii="Arial" w:hAnsi="Arial" w:cs="Arial"/>
          <w:color w:val="auto"/>
          <w:szCs w:val="21"/>
          <w:highlight w:val="none"/>
        </w:rPr>
        <w:t>（1）</w:t>
      </w:r>
      <w:bookmarkEnd w:id="88"/>
      <w:r>
        <w:rPr>
          <w:rFonts w:ascii="Arial" w:hAnsi="Arial" w:cs="Arial"/>
          <w:color w:val="auto"/>
          <w:szCs w:val="21"/>
          <w:highlight w:val="none"/>
        </w:rPr>
        <w:t>根据桂财采[2016]42号《关于防治政府采购招标中串通投标行为的通知》规定，出现下述情况的，相关供应商的投标作无效投标处理。</w:t>
      </w:r>
    </w:p>
    <w:p>
      <w:pPr>
        <w:spacing w:before="120" w:line="320" w:lineRule="atLeast"/>
        <w:ind w:firstLine="420" w:firstLineChars="200"/>
        <w:rPr>
          <w:rFonts w:ascii="Arial" w:hAnsi="Arial" w:cs="Arial"/>
          <w:color w:val="auto"/>
          <w:szCs w:val="21"/>
          <w:highlight w:val="none"/>
        </w:rPr>
      </w:pPr>
      <w:bookmarkStart w:id="89" w:name="_Hlk19122039"/>
      <w:r>
        <w:rPr>
          <w:rFonts w:ascii="Arial" w:hAnsi="Arial" w:cs="Arial"/>
          <w:color w:val="auto"/>
          <w:szCs w:val="21"/>
          <w:highlight w:val="none"/>
        </w:rPr>
        <w:t>①单位负责人为同一人或者存在直接控股、管理关系，参加同一合同项下政府采购活动的不同供应商。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②授权给供应商后参加同一合同项（分标、分包）投标的生产厂商。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③视为或被认定为串通投标的相关供应商。</w:t>
      </w:r>
    </w:p>
    <w:bookmarkEnd w:id="89"/>
    <w:p>
      <w:pPr>
        <w:spacing w:before="120" w:line="320" w:lineRule="atLeast"/>
        <w:ind w:firstLine="420" w:firstLineChars="200"/>
        <w:rPr>
          <w:rFonts w:ascii="Arial" w:hAnsi="Arial" w:cs="Arial"/>
          <w:color w:val="auto"/>
          <w:szCs w:val="21"/>
          <w:highlight w:val="none"/>
        </w:rPr>
      </w:pPr>
      <w:bookmarkStart w:id="90" w:name="_Hlk19122058"/>
      <w:r>
        <w:rPr>
          <w:rFonts w:ascii="Arial" w:hAnsi="Arial" w:cs="Arial"/>
          <w:color w:val="auto"/>
          <w:szCs w:val="21"/>
          <w:highlight w:val="none"/>
        </w:rPr>
        <w:t>（2）</w:t>
      </w:r>
      <w:bookmarkEnd w:id="90"/>
      <w:r>
        <w:rPr>
          <w:rFonts w:ascii="Arial" w:hAnsi="Arial" w:cs="Arial"/>
          <w:color w:val="auto"/>
          <w:szCs w:val="21"/>
          <w:highlight w:val="none"/>
        </w:rPr>
        <w:t>根据桂财采[2016]42号《关于防治政府采购招标中串通投标行为的通知》规定，有下列情形之一的视为供应商相互串通投标，投标文件将被视为无效。</w:t>
      </w:r>
    </w:p>
    <w:p>
      <w:pPr>
        <w:spacing w:before="120" w:line="320" w:lineRule="atLeast"/>
        <w:ind w:firstLine="420" w:firstLineChars="200"/>
        <w:rPr>
          <w:rFonts w:ascii="Arial" w:hAnsi="Arial" w:cs="Arial"/>
          <w:color w:val="auto"/>
          <w:szCs w:val="21"/>
          <w:highlight w:val="none"/>
        </w:rPr>
      </w:pPr>
      <w:bookmarkStart w:id="91" w:name="_Hlk19122048"/>
      <w:r>
        <w:rPr>
          <w:rFonts w:ascii="Arial" w:hAnsi="Arial" w:cs="Arial"/>
          <w:color w:val="auto"/>
          <w:szCs w:val="21"/>
          <w:highlight w:val="none"/>
        </w:rPr>
        <w:t>①不同供应商的投标文件由同一单位或者个人编制；</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②不同供应商委托同一单位或者个人办理投标事宜；</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③不同的供应商的投标文件载明的项目管理员为同一个人；</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④不同供应商的投标文件异常一致或投标报价呈规律性差异；</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⑤不同供应商的投标文件相互混装；</w:t>
      </w:r>
    </w:p>
    <w:bookmarkEnd w:id="91"/>
    <w:p>
      <w:pPr>
        <w:spacing w:before="120" w:line="320" w:lineRule="atLeast"/>
        <w:ind w:firstLine="420" w:firstLineChars="200"/>
        <w:rPr>
          <w:rFonts w:ascii="Arial" w:hAnsi="Arial" w:cs="Arial"/>
          <w:color w:val="auto"/>
          <w:szCs w:val="21"/>
          <w:highlight w:val="none"/>
        </w:rPr>
      </w:pPr>
      <w:bookmarkStart w:id="92" w:name="_Hlk19122102"/>
      <w:r>
        <w:rPr>
          <w:rFonts w:ascii="Arial" w:hAnsi="Arial" w:cs="Arial"/>
          <w:color w:val="auto"/>
          <w:szCs w:val="21"/>
          <w:highlight w:val="none"/>
        </w:rPr>
        <w:t>（3）</w:t>
      </w:r>
      <w:bookmarkEnd w:id="92"/>
      <w:r>
        <w:rPr>
          <w:rFonts w:ascii="Arial" w:hAnsi="Arial" w:cs="Arial"/>
          <w:color w:val="auto"/>
          <w:szCs w:val="21"/>
          <w:highlight w:val="none"/>
        </w:rPr>
        <w:t>根据桂财采[2016]42号《关于防治政府采购招标中串通投标行为的通知》规定，供应商有下列情形之一的，属于恶意串通行为，投标文件将被视为无效。</w:t>
      </w:r>
    </w:p>
    <w:p>
      <w:pPr>
        <w:spacing w:before="120" w:line="320" w:lineRule="atLeast"/>
        <w:ind w:firstLine="420" w:firstLineChars="200"/>
        <w:rPr>
          <w:rFonts w:ascii="Arial" w:hAnsi="Arial" w:cs="Arial"/>
          <w:color w:val="auto"/>
          <w:szCs w:val="21"/>
          <w:highlight w:val="none"/>
        </w:rPr>
      </w:pPr>
      <w:bookmarkStart w:id="93" w:name="_Hlk19122095"/>
      <w:r>
        <w:rPr>
          <w:rFonts w:ascii="Arial" w:hAnsi="Arial" w:cs="Arial"/>
          <w:color w:val="auto"/>
          <w:szCs w:val="21"/>
          <w:highlight w:val="none"/>
        </w:rPr>
        <w:t>①供应商直接或者间接从采购人或者采购代理机构处获得其他供应商的相关信息并修改其投标文件或者响应文件；</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②供应商按照采购人或者采购代理机构的授意撤换、修改投标文件或者响应文件;；</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③供应商之间协商报价、技术方案等投标文件或者响应文件的实质性内容；</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④属于同一集团、协会、商会等组织成员的供应商按照该组织要求协同参加政府采购活动；</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⑥供应商之间商定部分供应商放弃参加政府采购活动或者放弃中标；</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⑦供应商与采购人或者采购代理机构之间、供应商相互之间，为谋求特定供应商中标或者排斥其他供应商的其他串通行为。</w:t>
      </w:r>
    </w:p>
    <w:bookmarkEnd w:id="93"/>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6、投标有效性的认定</w:t>
      </w:r>
    </w:p>
    <w:p>
      <w:pPr>
        <w:spacing w:before="120" w:line="320" w:lineRule="atLeast"/>
        <w:ind w:firstLine="420" w:firstLineChars="200"/>
        <w:rPr>
          <w:rFonts w:ascii="Arial" w:hAnsi="Arial" w:cs="Arial"/>
          <w:color w:val="auto"/>
          <w:szCs w:val="21"/>
          <w:highlight w:val="none"/>
        </w:rPr>
      </w:pPr>
      <w:bookmarkStart w:id="94" w:name="_Hlk19113301"/>
      <w:r>
        <w:rPr>
          <w:rFonts w:ascii="Arial" w:hAnsi="Arial" w:cs="Arial"/>
          <w:color w:val="auto"/>
          <w:szCs w:val="21"/>
          <w:highlight w:val="none"/>
        </w:rPr>
        <w:t>（1）资格审查时，如发现下列情形之一的，投标文件将被视为无效：</w:t>
      </w:r>
    </w:p>
    <w:p>
      <w:pPr>
        <w:spacing w:before="120" w:line="320" w:lineRule="atLeast"/>
        <w:ind w:firstLine="420" w:firstLineChars="200"/>
        <w:rPr>
          <w:rStyle w:val="157"/>
          <w:rFonts w:ascii="Arial" w:hAnsi="Arial" w:cs="Arial"/>
          <w:color w:val="auto"/>
          <w:highlight w:val="none"/>
        </w:rPr>
      </w:pPr>
      <w:r>
        <w:rPr>
          <w:rFonts w:ascii="Arial" w:hAnsi="Arial" w:cs="Arial"/>
          <w:color w:val="auto"/>
          <w:szCs w:val="21"/>
          <w:highlight w:val="none"/>
        </w:rPr>
        <w:t>①</w:t>
      </w:r>
      <w:r>
        <w:rPr>
          <w:rFonts w:ascii="Arial" w:hAnsi="Arial" w:cs="Arial"/>
          <w:color w:val="auto"/>
          <w:highlight w:val="none"/>
        </w:rPr>
        <w:t>不具备招标文件中规定的资格要求的；</w:t>
      </w:r>
    </w:p>
    <w:p>
      <w:pPr>
        <w:spacing w:before="120" w:line="320" w:lineRule="atLeast"/>
        <w:ind w:firstLine="420" w:firstLineChars="200"/>
        <w:rPr>
          <w:rStyle w:val="157"/>
          <w:rFonts w:ascii="Arial" w:hAnsi="Arial" w:cs="Arial"/>
          <w:color w:val="auto"/>
          <w:szCs w:val="21"/>
          <w:highlight w:val="none"/>
        </w:rPr>
      </w:pPr>
      <w:r>
        <w:rPr>
          <w:rFonts w:ascii="Arial" w:hAnsi="Arial" w:cs="Arial"/>
          <w:color w:val="auto"/>
          <w:szCs w:val="21"/>
          <w:highlight w:val="none"/>
        </w:rPr>
        <w:t>②投标文件签署（签名）、盖章不符合招标文件要求的</w:t>
      </w:r>
      <w:r>
        <w:rPr>
          <w:rFonts w:ascii="Arial" w:hAnsi="Arial" w:cs="Arial"/>
          <w:color w:val="auto"/>
          <w:highlight w:val="none"/>
        </w:rPr>
        <w:t>；</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（2）在符合性审查、商务和技术评估时，如发现下列情形之一的，投标文件将被视为无效：</w:t>
      </w:r>
    </w:p>
    <w:p>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①</w:t>
      </w:r>
      <w:r>
        <w:rPr>
          <w:rFonts w:ascii="Arial" w:hAnsi="Arial" w:cs="Arial"/>
          <w:color w:val="auto"/>
          <w:highlight w:val="none"/>
        </w:rPr>
        <w:t>投标文件未按招标文件要求签署、盖章的；</w:t>
      </w:r>
    </w:p>
    <w:p>
      <w:pPr>
        <w:spacing w:before="120" w:line="320" w:lineRule="atLeast"/>
        <w:ind w:firstLine="420" w:firstLineChars="200"/>
        <w:rPr>
          <w:rStyle w:val="157"/>
          <w:rFonts w:ascii="Arial" w:hAnsi="Arial" w:cs="Arial"/>
          <w:color w:val="auto"/>
          <w:highlight w:val="none"/>
        </w:rPr>
      </w:pPr>
      <w:r>
        <w:rPr>
          <w:rFonts w:ascii="Arial" w:hAnsi="Arial" w:cs="Arial"/>
          <w:color w:val="auto"/>
          <w:szCs w:val="21"/>
          <w:highlight w:val="none"/>
        </w:rPr>
        <w:t>②</w:t>
      </w:r>
      <w:r>
        <w:rPr>
          <w:rFonts w:ascii="Arial" w:hAnsi="Arial" w:cs="Arial"/>
          <w:color w:val="auto"/>
          <w:highlight w:val="none"/>
        </w:rPr>
        <w:t>投标文件未按招标文件要求提供第六章要求“必须提供”的内容的；</w:t>
      </w:r>
    </w:p>
    <w:p>
      <w:pPr>
        <w:spacing w:before="120" w:line="320" w:lineRule="atLeast"/>
        <w:ind w:firstLine="420" w:firstLineChars="200"/>
        <w:rPr>
          <w:rStyle w:val="157"/>
          <w:rFonts w:ascii="Arial" w:hAnsi="Arial" w:cs="Arial"/>
          <w:color w:val="auto"/>
          <w:highlight w:val="none"/>
        </w:rPr>
      </w:pPr>
      <w:r>
        <w:rPr>
          <w:rFonts w:ascii="Arial" w:hAnsi="Arial" w:cs="Arial"/>
          <w:color w:val="auto"/>
          <w:szCs w:val="21"/>
          <w:highlight w:val="none"/>
        </w:rPr>
        <w:t>③</w:t>
      </w:r>
      <w:r>
        <w:rPr>
          <w:rFonts w:ascii="Arial" w:hAnsi="Arial" w:cs="Arial"/>
          <w:color w:val="auto"/>
          <w:highlight w:val="none"/>
        </w:rPr>
        <w:t>报价超过招标文件中规定的预算金额或者最高限价的；</w:t>
      </w:r>
    </w:p>
    <w:p>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④</w:t>
      </w:r>
      <w:r>
        <w:rPr>
          <w:rFonts w:ascii="Arial" w:hAnsi="Arial" w:cs="Arial"/>
          <w:color w:val="auto"/>
          <w:highlight w:val="none"/>
        </w:rPr>
        <w:t>投标文件含有采购人不能接受的附加条件的；</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⑤评审过程中发现投标文件中提供虚假材料的；</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⑥法律、法规和招标文件规定的其他无效情形。</w:t>
      </w:r>
    </w:p>
    <w:bookmarkEnd w:id="94"/>
    <w:p>
      <w:pPr>
        <w:spacing w:before="120" w:line="320" w:lineRule="atLeast"/>
        <w:ind w:firstLine="422" w:firstLineChars="200"/>
        <w:rPr>
          <w:rFonts w:ascii="Arial" w:hAnsi="Arial" w:cs="Arial"/>
          <w:b/>
          <w:bCs/>
          <w:color w:val="auto"/>
          <w:szCs w:val="21"/>
          <w:highlight w:val="none"/>
        </w:rPr>
      </w:pPr>
      <w:bookmarkStart w:id="95" w:name="_Hlk19113313"/>
      <w:r>
        <w:rPr>
          <w:rFonts w:ascii="Arial" w:hAnsi="Arial" w:cs="Arial"/>
          <w:b/>
          <w:bCs/>
          <w:color w:val="auto"/>
          <w:szCs w:val="21"/>
          <w:highlight w:val="none"/>
        </w:rPr>
        <w:t>（3）根据财库〔2019〕38号《关于促进政府采购公平竞争优化营商环境的通知》以及桂财采〔2019〕41号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bookmarkEnd w:id="95"/>
    <w:p>
      <w:pPr>
        <w:spacing w:before="120" w:line="320" w:lineRule="atLeast"/>
        <w:ind w:firstLine="413" w:firstLineChars="196"/>
        <w:outlineLvl w:val="1"/>
        <w:rPr>
          <w:rFonts w:ascii="Arial" w:hAnsi="Arial" w:cs="Arial"/>
          <w:b/>
          <w:bCs/>
          <w:color w:val="auto"/>
          <w:kern w:val="0"/>
          <w:szCs w:val="21"/>
          <w:highlight w:val="none"/>
        </w:rPr>
      </w:pPr>
      <w:bookmarkStart w:id="96" w:name="_Hlk19176155"/>
      <w:r>
        <w:rPr>
          <w:rFonts w:ascii="Arial" w:hAnsi="Arial" w:cs="Arial"/>
          <w:b/>
          <w:bCs/>
          <w:color w:val="auto"/>
          <w:kern w:val="0"/>
          <w:szCs w:val="21"/>
          <w:highlight w:val="none"/>
        </w:rPr>
        <w:t>7、澄清、说明或补正</w:t>
      </w:r>
    </w:p>
    <w:p>
      <w:pPr>
        <w:spacing w:before="120" w:line="320" w:lineRule="atLeast"/>
        <w:ind w:firstLine="420" w:firstLineChars="200"/>
        <w:rPr>
          <w:rFonts w:ascii="Arial" w:hAnsi="Arial" w:cs="Arial"/>
          <w:color w:val="auto"/>
          <w:szCs w:val="21"/>
          <w:highlight w:val="none"/>
        </w:rPr>
      </w:pPr>
      <w:bookmarkStart w:id="97" w:name="_Hlk19113333"/>
      <w:r>
        <w:rPr>
          <w:rFonts w:ascii="Arial" w:hAnsi="Arial" w:cs="Arial"/>
          <w:color w:val="auto"/>
          <w:szCs w:val="21"/>
          <w:highlight w:val="none"/>
        </w:rPr>
        <w:t>对投标文件中含义不明确、同类问题表述不一致或者有明显文字和计算错误的内容，评标委员会可要求供应商在合理时间内通过在线询标、电话、电子邮件或传真等不见面、不接触的方式作出必要的澄清、说明或者纠正。内容不得超出投标文件的范围或者改变投标文件的实质性内容。逾期未做澄清、说明或者纠正的，经电话催告仍不澄清的，视为放弃。</w:t>
      </w:r>
    </w:p>
    <w:bookmarkEnd w:id="97"/>
    <w:p>
      <w:pPr>
        <w:spacing w:before="120" w:line="320" w:lineRule="atLeast"/>
        <w:ind w:firstLine="413" w:firstLineChars="196"/>
        <w:outlineLvl w:val="1"/>
        <w:rPr>
          <w:rFonts w:ascii="Arial" w:hAnsi="Arial" w:cs="Arial"/>
          <w:b/>
          <w:bCs/>
          <w:color w:val="auto"/>
          <w:kern w:val="0"/>
          <w:szCs w:val="21"/>
          <w:highlight w:val="none"/>
        </w:rPr>
      </w:pPr>
      <w:bookmarkStart w:id="98" w:name="_Hlk19113363"/>
      <w:r>
        <w:rPr>
          <w:rFonts w:ascii="Arial" w:hAnsi="Arial" w:cs="Arial"/>
          <w:b/>
          <w:bCs/>
          <w:color w:val="auto"/>
          <w:kern w:val="0"/>
          <w:szCs w:val="21"/>
          <w:highlight w:val="none"/>
        </w:rPr>
        <w:t>8、报价修正</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投标文件报价如果出现计算或表达上的错误，修正错误的原则如下：</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（1）投标文件中开标一览表（报价表）内容与投标文件中相应内容不一致的，以开标一览表（报价表）为准；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（2）大写金额和小写金额不一致的，以大写金额为准；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（3）单价金额小数点或者百分比有明显错位的，以开标一览表的总价为准，并修改单价；</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（4）总价金额与按单价汇总金额不一致的，以单价金额计算结果为准。</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同时出现两种以上不一致的，按照上述顺序修正。修正后的报价按照上述“7、澄清、说明或补正”的规定经供应商确认后产生约束力，供应商不确认的，其投标无效。</w:t>
      </w:r>
    </w:p>
    <w:bookmarkEnd w:id="96"/>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9、过低报价合理性的审查</w:t>
      </w:r>
    </w:p>
    <w:p>
      <w:pPr>
        <w:spacing w:before="120" w:line="320" w:lineRule="atLeast"/>
        <w:ind w:firstLine="420" w:firstLineChars="200"/>
        <w:rPr>
          <w:rFonts w:ascii="Arial" w:hAnsi="Arial" w:cs="Arial"/>
          <w:color w:val="auto"/>
          <w:szCs w:val="21"/>
          <w:highlight w:val="none"/>
        </w:rPr>
      </w:pPr>
      <w:r>
        <w:rPr>
          <w:rFonts w:ascii="Arial" w:hAnsi="Arial" w:cs="Arial"/>
          <w:color w:val="auto"/>
          <w:highlight w:val="none"/>
        </w:rPr>
        <w:t>评标委员会认为供应商的报价明显低于其他通过符合性审查供应商的报价，有可能影响产品质量或者不能诚信履约的，应当要求其在合理的时间内提供书面说明并提交相关证明材料；评标委员会可以要求供应商就提供货物的主要成本、销售费用、管理费用、财务费用、履约费用、计划利润、税金及附加等成本构成事项进行详细陈述。书面说明应当</w:t>
      </w:r>
      <w:r>
        <w:rPr>
          <w:rFonts w:ascii="Arial" w:hAnsi="Arial" w:cs="Arial"/>
          <w:color w:val="auto"/>
          <w:szCs w:val="21"/>
          <w:highlight w:val="none"/>
        </w:rPr>
        <w:t>按照上述“7、澄清、说明或补正”的规定经供应商确认后提交给评标委员会。</w:t>
      </w:r>
      <w:r>
        <w:rPr>
          <w:rFonts w:ascii="Arial" w:hAnsi="Arial" w:cs="Arial"/>
          <w:color w:val="auto"/>
          <w:highlight w:val="none"/>
        </w:rPr>
        <w:t>供应商未按规定提供说明或不能证明其报价合理性的，评标委员会应当将其作为无效投标处理。</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10、商务和技术评估、综合比较与评价</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评标委员会按招标文件中规定的评标方法和标准，对资格审查和符合性审查合格的投标文件进行商务和技术评估，综合比较与评价。</w:t>
      </w:r>
      <w:r>
        <w:rPr>
          <w:rStyle w:val="157"/>
          <w:rFonts w:ascii="Arial" w:hAnsi="Arial" w:cs="Arial"/>
          <w:color w:val="auto"/>
          <w:highlight w:val="none"/>
        </w:rPr>
        <w:t>具体评标标准见《</w:t>
      </w:r>
      <w:r>
        <w:rPr>
          <w:rFonts w:ascii="Arial" w:hAnsi="Arial" w:cs="Arial"/>
          <w:bCs/>
          <w:color w:val="auto"/>
          <w:kern w:val="0"/>
          <w:szCs w:val="21"/>
          <w:highlight w:val="none"/>
        </w:rPr>
        <w:t>评分表</w:t>
      </w:r>
      <w:r>
        <w:rPr>
          <w:rStyle w:val="157"/>
          <w:rFonts w:ascii="Arial" w:hAnsi="Arial" w:cs="Arial"/>
          <w:color w:val="auto"/>
          <w:highlight w:val="none"/>
        </w:rPr>
        <w:t>》。</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评标委员会各成员独立对每个有效供应商的投标文件进行评价、打分，然后由评标组长组织评标委员会对各成员打分情况进行核查及复核，评分有误的，应及时进行修正。评标标准如有主客观分定义，评标委员会所有成员的客观分打分分数应当一致。</w:t>
      </w:r>
    </w:p>
    <w:p>
      <w:pPr>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复核后，评标委员会汇总每个供应商每项评分因素的得分。</w:t>
      </w:r>
      <w:r>
        <w:rPr>
          <w:rFonts w:ascii="Arial" w:hAnsi="Arial" w:cs="Arial"/>
          <w:color w:val="auto"/>
          <w:highlight w:val="none"/>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11、中标候选人推荐原则</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按评标后得分由高到低的排列顺序推荐综合得分排名第一的为第一中标候选人。若中标候选人综合得分相同的，按投标报价由低到高顺序排列；综合得分且投标报价相同的</w:t>
      </w:r>
      <w:r>
        <w:rPr>
          <w:rFonts w:ascii="Arial" w:hAnsi="Arial" w:cs="Arial"/>
          <w:color w:val="auto"/>
          <w:highlight w:val="none"/>
        </w:rPr>
        <w:t>并列</w:t>
      </w:r>
      <w:r>
        <w:rPr>
          <w:rFonts w:ascii="Arial" w:hAnsi="Arial" w:cs="Arial"/>
          <w:color w:val="auto"/>
          <w:szCs w:val="21"/>
          <w:highlight w:val="none"/>
        </w:rPr>
        <w:t>；中标候选人并列的，</w:t>
      </w:r>
      <w:r>
        <w:rPr>
          <w:rFonts w:ascii="Arial" w:hAnsi="Arial" w:cs="Arial"/>
          <w:color w:val="auto"/>
          <w:highlight w:val="none"/>
        </w:rPr>
        <w:t>由采购人</w:t>
      </w:r>
      <w:r>
        <w:rPr>
          <w:rFonts w:ascii="Arial" w:hAnsi="Arial" w:cs="Arial"/>
          <w:color w:val="auto"/>
          <w:szCs w:val="21"/>
          <w:highlight w:val="none"/>
        </w:rPr>
        <w:t>按综合信誉及履约能力分得分由高到低顺序排列，若综合得分、投标报价、综合信誉及履约能力分均相同的，按技术方案分得分由高到低顺序排列。</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12、评标争议处理</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98"/>
    <w:p>
      <w:pPr>
        <w:spacing w:before="120" w:line="320" w:lineRule="atLeast"/>
        <w:outlineLvl w:val="1"/>
        <w:rPr>
          <w:rFonts w:ascii="Arial" w:hAnsi="Arial" w:cs="Arial"/>
          <w:b/>
          <w:bCs/>
          <w:color w:val="auto"/>
          <w:kern w:val="0"/>
          <w:szCs w:val="21"/>
          <w:highlight w:val="none"/>
        </w:rPr>
      </w:pPr>
      <w:r>
        <w:rPr>
          <w:rFonts w:ascii="Arial" w:hAnsi="Arial" w:cs="Arial"/>
          <w:b/>
          <w:bCs/>
          <w:color w:val="auto"/>
          <w:kern w:val="0"/>
          <w:highlight w:val="none"/>
        </w:rPr>
        <w:br w:type="page"/>
      </w:r>
      <w:bookmarkStart w:id="99" w:name="_Hlk19113393"/>
      <w:r>
        <w:rPr>
          <w:rFonts w:ascii="Arial" w:hAnsi="Arial" w:cs="Arial"/>
          <w:b/>
          <w:bCs/>
          <w:color w:val="auto"/>
          <w:kern w:val="0"/>
          <w:szCs w:val="21"/>
          <w:highlight w:val="none"/>
        </w:rPr>
        <w:t>五、评标标准</w:t>
      </w:r>
    </w:p>
    <w:bookmarkEnd w:id="99"/>
    <w:tbl>
      <w:tblPr>
        <w:tblStyle w:val="54"/>
        <w:tblW w:w="10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57"/>
        <w:gridCol w:w="1200"/>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25" w:type="dxa"/>
            <w:noWrap w:val="0"/>
            <w:vAlign w:val="center"/>
          </w:tcPr>
          <w:p>
            <w:pPr>
              <w:spacing w:line="400" w:lineRule="exact"/>
              <w:jc w:val="center"/>
              <w:textAlignment w:val="baseline"/>
              <w:rPr>
                <w:rFonts w:hint="default" w:ascii="Arial" w:hAnsi="Arial" w:cs="Arial"/>
                <w:sz w:val="21"/>
                <w:szCs w:val="21"/>
                <w:highlight w:val="none"/>
              </w:rPr>
            </w:pPr>
            <w:r>
              <w:rPr>
                <w:rFonts w:hint="default" w:ascii="Arial" w:hAnsi="Arial" w:cs="Arial"/>
                <w:b/>
                <w:sz w:val="21"/>
                <w:szCs w:val="21"/>
                <w:highlight w:val="none"/>
              </w:rPr>
              <w:t>序号</w:t>
            </w:r>
          </w:p>
        </w:tc>
        <w:tc>
          <w:tcPr>
            <w:tcW w:w="2557" w:type="dxa"/>
            <w:gridSpan w:val="2"/>
            <w:noWrap w:val="0"/>
            <w:vAlign w:val="center"/>
          </w:tcPr>
          <w:p>
            <w:pPr>
              <w:spacing w:line="400" w:lineRule="exact"/>
              <w:jc w:val="center"/>
              <w:textAlignment w:val="baseline"/>
              <w:rPr>
                <w:rFonts w:hint="default" w:ascii="Arial" w:hAnsi="Arial" w:cs="Arial"/>
                <w:sz w:val="21"/>
                <w:szCs w:val="21"/>
                <w:highlight w:val="none"/>
              </w:rPr>
            </w:pPr>
            <w:r>
              <w:rPr>
                <w:rFonts w:hint="default" w:ascii="Arial" w:hAnsi="Arial" w:cs="Arial"/>
                <w:b/>
                <w:sz w:val="21"/>
                <w:szCs w:val="21"/>
                <w:highlight w:val="none"/>
              </w:rPr>
              <w:t>评审因素</w:t>
            </w:r>
          </w:p>
        </w:tc>
        <w:tc>
          <w:tcPr>
            <w:tcW w:w="7206" w:type="dxa"/>
            <w:noWrap w:val="0"/>
            <w:vAlign w:val="center"/>
          </w:tcPr>
          <w:p>
            <w:pPr>
              <w:spacing w:line="400" w:lineRule="exact"/>
              <w:jc w:val="center"/>
              <w:textAlignment w:val="baseline"/>
              <w:rPr>
                <w:rFonts w:hint="default" w:ascii="Arial" w:hAnsi="Arial" w:cs="Arial"/>
                <w:sz w:val="21"/>
                <w:szCs w:val="21"/>
                <w:highlight w:val="none"/>
              </w:rPr>
            </w:pPr>
            <w:r>
              <w:rPr>
                <w:rFonts w:hint="default" w:ascii="Arial" w:hAnsi="Arial" w:cs="Arial"/>
                <w:b/>
                <w:sz w:val="21"/>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noWrap w:val="0"/>
            <w:vAlign w:val="center"/>
          </w:tcPr>
          <w:p>
            <w:pPr>
              <w:spacing w:line="400" w:lineRule="exact"/>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1</w:t>
            </w:r>
          </w:p>
        </w:tc>
        <w:tc>
          <w:tcPr>
            <w:tcW w:w="1357" w:type="dxa"/>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价格分</w:t>
            </w:r>
          </w:p>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（满分20分）</w:t>
            </w:r>
          </w:p>
        </w:tc>
        <w:tc>
          <w:tcPr>
            <w:tcW w:w="1200" w:type="dxa"/>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投标报价</w:t>
            </w:r>
          </w:p>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（20分）</w:t>
            </w:r>
          </w:p>
        </w:tc>
        <w:tc>
          <w:tcPr>
            <w:tcW w:w="7206" w:type="dxa"/>
            <w:noWrap w:val="0"/>
            <w:vAlign w:val="center"/>
          </w:tcPr>
          <w:p>
            <w:pPr>
              <w:spacing w:line="400" w:lineRule="exact"/>
              <w:jc w:val="both"/>
              <w:rPr>
                <w:rFonts w:hint="default" w:ascii="Arial" w:hAnsi="Arial" w:cs="Arial"/>
                <w:sz w:val="21"/>
                <w:szCs w:val="21"/>
                <w:highlight w:val="none"/>
              </w:rPr>
            </w:pPr>
            <w:r>
              <w:rPr>
                <w:rFonts w:hint="default" w:ascii="Arial" w:hAnsi="Arial" w:cs="Arial"/>
                <w:sz w:val="21"/>
                <w:szCs w:val="21"/>
                <w:highlight w:val="none"/>
              </w:rPr>
              <w:t>（1）政府采购政策扣除</w:t>
            </w:r>
          </w:p>
          <w:p>
            <w:pPr>
              <w:spacing w:line="400" w:lineRule="exact"/>
              <w:jc w:val="both"/>
              <w:rPr>
                <w:rFonts w:hint="default" w:ascii="Arial" w:hAnsi="Arial" w:cs="Arial"/>
                <w:sz w:val="21"/>
                <w:szCs w:val="21"/>
                <w:highlight w:val="none"/>
              </w:rPr>
            </w:pPr>
            <w:r>
              <w:rPr>
                <w:rFonts w:hint="default" w:ascii="Arial" w:hAnsi="Arial" w:cs="Arial"/>
                <w:sz w:val="21"/>
                <w:szCs w:val="21"/>
                <w:highlight w:val="none"/>
              </w:rPr>
              <w:t>①根据《政府采购促进中小企业发展管理办法》的规定，投标人属于《政府采购促进中小企业发展管理办法》规定的小微企业的</w:t>
            </w:r>
            <w:r>
              <w:rPr>
                <w:rFonts w:hint="default" w:ascii="Arial" w:hAnsi="Arial" w:cs="Arial"/>
                <w:color w:val="auto"/>
                <w:sz w:val="21"/>
                <w:szCs w:val="21"/>
                <w:highlight w:val="none"/>
              </w:rPr>
              <w:t>，对投标报价给予</w:t>
            </w:r>
            <w:r>
              <w:rPr>
                <w:rFonts w:hint="default" w:ascii="Arial" w:hAnsi="Arial" w:cs="Arial"/>
                <w:color w:val="auto"/>
                <w:sz w:val="21"/>
                <w:szCs w:val="21"/>
                <w:highlight w:val="none"/>
                <w:lang w:val="en-US" w:eastAsia="zh-CN"/>
              </w:rPr>
              <w:t>1</w:t>
            </w:r>
            <w:r>
              <w:rPr>
                <w:rFonts w:hint="default" w:ascii="Arial" w:hAnsi="Arial" w:cs="Arial"/>
                <w:color w:val="auto"/>
                <w:sz w:val="21"/>
                <w:szCs w:val="21"/>
                <w:highlight w:val="none"/>
              </w:rPr>
              <w:t>0%</w:t>
            </w:r>
            <w:r>
              <w:rPr>
                <w:rFonts w:hint="default" w:ascii="Arial" w:hAnsi="Arial" w:cs="Arial"/>
                <w:sz w:val="21"/>
                <w:szCs w:val="21"/>
                <w:highlight w:val="none"/>
              </w:rPr>
              <w:t>的扣除，用扣除后的价格参加评审，扣除后的价格为评标价，即评标价=投标报价×（1-扣除比例）；不符合上述给予扣除情形的，评标价=投标报价。</w:t>
            </w:r>
          </w:p>
          <w:p>
            <w:pPr>
              <w:spacing w:line="400" w:lineRule="exact"/>
              <w:jc w:val="both"/>
              <w:rPr>
                <w:rFonts w:hint="default" w:ascii="Arial" w:hAnsi="Arial" w:cs="Arial"/>
                <w:sz w:val="21"/>
                <w:szCs w:val="21"/>
                <w:highlight w:val="none"/>
              </w:rPr>
            </w:pPr>
            <w:r>
              <w:rPr>
                <w:rFonts w:hint="default" w:ascii="Arial" w:hAnsi="Arial" w:cs="Arial"/>
                <w:sz w:val="21"/>
                <w:szCs w:val="21"/>
                <w:highlight w:val="none"/>
              </w:rPr>
              <w:t>②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400" w:lineRule="exact"/>
              <w:jc w:val="both"/>
              <w:rPr>
                <w:rFonts w:hint="default" w:ascii="Arial" w:hAnsi="Arial" w:cs="Arial"/>
                <w:sz w:val="21"/>
                <w:szCs w:val="21"/>
                <w:highlight w:val="none"/>
              </w:rPr>
            </w:pPr>
            <w:r>
              <w:rPr>
                <w:rFonts w:hint="default" w:ascii="Arial" w:hAnsi="Arial" w:cs="Arial"/>
                <w:sz w:val="21"/>
                <w:szCs w:val="21"/>
                <w:highlight w:val="none"/>
              </w:rPr>
              <w:t>③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jc w:val="both"/>
              <w:rPr>
                <w:rFonts w:hint="default" w:ascii="Arial" w:hAnsi="Arial" w:cs="Arial"/>
                <w:sz w:val="21"/>
                <w:szCs w:val="21"/>
                <w:highlight w:val="none"/>
              </w:rPr>
            </w:pPr>
            <w:r>
              <w:rPr>
                <w:rFonts w:hint="default" w:ascii="Arial" w:hAnsi="Arial" w:cs="Arial"/>
                <w:sz w:val="21"/>
                <w:szCs w:val="21"/>
                <w:highlight w:val="none"/>
              </w:rPr>
              <w:t>（2）投标报价分（满分20分）</w:t>
            </w:r>
          </w:p>
          <w:p>
            <w:pPr>
              <w:pStyle w:val="29"/>
              <w:spacing w:line="400" w:lineRule="exact"/>
              <w:ind w:firstLine="210" w:firstLineChars="100"/>
              <w:jc w:val="both"/>
              <w:rPr>
                <w:rFonts w:hint="default" w:ascii="Arial" w:hAnsi="Arial" w:eastAsia="宋体" w:cs="Arial"/>
                <w:bCs/>
                <w:sz w:val="21"/>
                <w:szCs w:val="21"/>
                <w:highlight w:val="none"/>
              </w:rPr>
            </w:pPr>
            <w:r>
              <w:rPr>
                <w:rFonts w:hint="default" w:ascii="Arial" w:hAnsi="Arial" w:eastAsia="宋体" w:cs="Arial"/>
                <w:sz w:val="21"/>
                <w:szCs w:val="21"/>
                <w:highlight w:val="none"/>
              </w:rPr>
              <w:t>以进入评标程序、满足招标文件要求且报价最低的投标报价为评标基准价，其价格分为满分20分。其他供应商的价格分统一按照下列公式计算：投标报价得分=(评标基准价／投标报价)×20 【注：供应商报价明显低于其他有效供应商报价，有可能影响产品质量或者不能诚信履约的，评标委员会应当要求该供应商在规定的时间内提供成本构成书面说明，若供应商不能证明其报价的合理性，评标委员会应当认定该供应商以低于成本价报价，其投标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525" w:type="dxa"/>
            <w:vMerge w:val="restart"/>
            <w:noWrap w:val="0"/>
            <w:vAlign w:val="center"/>
          </w:tcPr>
          <w:p>
            <w:pPr>
              <w:spacing w:line="400" w:lineRule="exact"/>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2</w:t>
            </w:r>
          </w:p>
        </w:tc>
        <w:tc>
          <w:tcPr>
            <w:tcW w:w="1357" w:type="dxa"/>
            <w:vMerge w:val="restart"/>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技术分</w:t>
            </w:r>
          </w:p>
          <w:p>
            <w:pPr>
              <w:pStyle w:val="69"/>
              <w:adjustRightInd/>
              <w:spacing w:line="400" w:lineRule="exact"/>
              <w:rPr>
                <w:rFonts w:hint="default" w:ascii="Arial" w:hAnsi="Arial" w:cs="Arial"/>
                <w:sz w:val="21"/>
                <w:szCs w:val="21"/>
                <w:highlight w:val="none"/>
              </w:rPr>
            </w:pPr>
            <w:r>
              <w:rPr>
                <w:rFonts w:hint="default" w:ascii="Arial" w:hAnsi="Arial" w:cs="Arial"/>
                <w:sz w:val="21"/>
                <w:szCs w:val="21"/>
                <w:highlight w:val="none"/>
              </w:rPr>
              <w:t>(满分5</w:t>
            </w:r>
            <w:r>
              <w:rPr>
                <w:rFonts w:hint="default" w:ascii="Arial" w:hAnsi="Arial" w:cs="Arial"/>
                <w:sz w:val="21"/>
                <w:szCs w:val="21"/>
                <w:highlight w:val="none"/>
                <w:lang w:val="en-US" w:eastAsia="zh-CN"/>
              </w:rPr>
              <w:t>7</w:t>
            </w:r>
            <w:r>
              <w:rPr>
                <w:rFonts w:hint="default" w:ascii="Arial" w:hAnsi="Arial" w:cs="Arial"/>
                <w:sz w:val="21"/>
                <w:szCs w:val="21"/>
                <w:highlight w:val="none"/>
              </w:rPr>
              <w:t>分)</w:t>
            </w:r>
          </w:p>
        </w:tc>
        <w:tc>
          <w:tcPr>
            <w:tcW w:w="1200" w:type="dxa"/>
            <w:noWrap w:val="0"/>
            <w:vAlign w:val="center"/>
          </w:tcPr>
          <w:p>
            <w:pPr>
              <w:spacing w:line="400" w:lineRule="exact"/>
              <w:jc w:val="center"/>
              <w:rPr>
                <w:rFonts w:hint="default" w:ascii="Arial" w:hAnsi="Arial" w:cs="Arial"/>
                <w:color w:val="auto"/>
                <w:kern w:val="0"/>
                <w:sz w:val="21"/>
                <w:szCs w:val="21"/>
                <w:highlight w:val="none"/>
              </w:rPr>
            </w:pPr>
            <w:r>
              <w:rPr>
                <w:rFonts w:hint="default" w:ascii="Arial" w:hAnsi="Arial" w:cs="Arial"/>
                <w:color w:val="auto"/>
                <w:kern w:val="0"/>
                <w:sz w:val="21"/>
                <w:szCs w:val="21"/>
                <w:highlight w:val="none"/>
              </w:rPr>
              <w:t>服务要求响应（10分）</w:t>
            </w:r>
          </w:p>
        </w:tc>
        <w:tc>
          <w:tcPr>
            <w:tcW w:w="720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210" w:firstLineChars="100"/>
              <w:jc w:val="both"/>
              <w:textAlignment w:val="auto"/>
              <w:rPr>
                <w:rFonts w:hint="default" w:ascii="Arial" w:hAnsi="Arial" w:cs="Arial"/>
                <w:color w:val="auto"/>
                <w:kern w:val="0"/>
                <w:sz w:val="21"/>
                <w:szCs w:val="21"/>
                <w:highlight w:val="none"/>
              </w:rPr>
            </w:pPr>
            <w:r>
              <w:rPr>
                <w:rFonts w:hint="default" w:ascii="Arial" w:hAnsi="Arial" w:cs="Arial"/>
                <w:color w:val="auto"/>
                <w:kern w:val="0"/>
                <w:sz w:val="21"/>
                <w:szCs w:val="21"/>
                <w:highlight w:val="none"/>
              </w:rPr>
              <w:t>根据投标人对招标文件中“第</w:t>
            </w:r>
            <w:r>
              <w:rPr>
                <w:rFonts w:hint="default" w:ascii="Arial" w:hAnsi="Arial" w:cs="Arial"/>
                <w:color w:val="auto"/>
                <w:kern w:val="0"/>
                <w:sz w:val="21"/>
                <w:szCs w:val="21"/>
                <w:highlight w:val="none"/>
                <w:u w:val="single"/>
              </w:rPr>
              <w:t xml:space="preserve"> </w:t>
            </w:r>
            <w:r>
              <w:rPr>
                <w:rFonts w:hint="eastAsia" w:ascii="Arial" w:hAnsi="Arial" w:cs="Arial"/>
                <w:color w:val="auto"/>
                <w:kern w:val="0"/>
                <w:sz w:val="21"/>
                <w:szCs w:val="21"/>
                <w:highlight w:val="none"/>
                <w:u w:val="single"/>
                <w:lang w:val="en-US" w:eastAsia="zh-CN"/>
              </w:rPr>
              <w:t>二</w:t>
            </w:r>
            <w:r>
              <w:rPr>
                <w:rFonts w:hint="default" w:ascii="Arial" w:hAnsi="Arial" w:cs="Arial"/>
                <w:color w:val="auto"/>
                <w:kern w:val="0"/>
                <w:sz w:val="21"/>
                <w:szCs w:val="21"/>
                <w:highlight w:val="none"/>
                <w:u w:val="single"/>
              </w:rPr>
              <w:t xml:space="preserve"> </w:t>
            </w:r>
            <w:r>
              <w:rPr>
                <w:rFonts w:hint="default" w:ascii="Arial" w:hAnsi="Arial" w:cs="Arial"/>
                <w:color w:val="auto"/>
                <w:kern w:val="0"/>
                <w:sz w:val="21"/>
                <w:szCs w:val="21"/>
                <w:highlight w:val="none"/>
              </w:rPr>
              <w:t>章</w:t>
            </w:r>
            <w:r>
              <w:rPr>
                <w:rFonts w:hint="eastAsia" w:ascii="Arial" w:hAnsi="Arial" w:cs="Arial"/>
                <w:color w:val="auto"/>
                <w:kern w:val="0"/>
                <w:sz w:val="21"/>
                <w:szCs w:val="21"/>
                <w:highlight w:val="none"/>
                <w:lang w:val="en-US" w:eastAsia="zh-CN"/>
              </w:rPr>
              <w:t>项目采购</w:t>
            </w:r>
            <w:r>
              <w:rPr>
                <w:rFonts w:hint="default" w:ascii="Arial" w:hAnsi="Arial" w:cs="Arial"/>
                <w:color w:val="auto"/>
                <w:kern w:val="0"/>
                <w:sz w:val="21"/>
                <w:szCs w:val="21"/>
                <w:highlight w:val="none"/>
              </w:rPr>
              <w:t>需求”逐项响应，完整响应招标文件采购需求的，得满分10分，带“★”的服务要求条款未响应或未按要求提供证明资料的为负偏离，每负偏离一项扣2分；扣完为止。其他非“★”的服务要求条款发生负偏离的，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vMerge w:val="continue"/>
            <w:noWrap w:val="0"/>
            <w:vAlign w:val="center"/>
          </w:tcPr>
          <w:p>
            <w:pPr>
              <w:spacing w:line="400" w:lineRule="exact"/>
              <w:jc w:val="center"/>
              <w:textAlignment w:val="baseline"/>
              <w:rPr>
                <w:rFonts w:hint="default" w:ascii="Arial" w:hAnsi="Arial" w:cs="Arial"/>
                <w:bCs/>
                <w:sz w:val="21"/>
                <w:szCs w:val="21"/>
                <w:highlight w:val="none"/>
              </w:rPr>
            </w:pPr>
          </w:p>
        </w:tc>
        <w:tc>
          <w:tcPr>
            <w:tcW w:w="1357" w:type="dxa"/>
            <w:vMerge w:val="continue"/>
            <w:noWrap w:val="0"/>
            <w:vAlign w:val="center"/>
          </w:tcPr>
          <w:p>
            <w:pPr>
              <w:pStyle w:val="69"/>
              <w:adjustRightInd/>
              <w:spacing w:line="400" w:lineRule="exact"/>
              <w:jc w:val="center"/>
              <w:rPr>
                <w:rFonts w:hint="default" w:ascii="Arial" w:hAnsi="Arial" w:cs="Arial"/>
                <w:sz w:val="21"/>
                <w:szCs w:val="21"/>
                <w:highlight w:val="none"/>
              </w:rPr>
            </w:pPr>
          </w:p>
        </w:tc>
        <w:tc>
          <w:tcPr>
            <w:tcW w:w="1200" w:type="dxa"/>
            <w:noWrap w:val="0"/>
            <w:vAlign w:val="center"/>
          </w:tcPr>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项目实施</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方案</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（12分）</w:t>
            </w:r>
          </w:p>
        </w:tc>
        <w:tc>
          <w:tcPr>
            <w:tcW w:w="720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Arial" w:hAnsi="Arial" w:eastAsia="宋体" w:cs="Arial"/>
                <w:bCs/>
                <w:color w:val="auto"/>
                <w:sz w:val="21"/>
                <w:szCs w:val="21"/>
                <w:highlight w:val="none"/>
              </w:rPr>
            </w:pPr>
            <w:r>
              <w:rPr>
                <w:rFonts w:hint="default" w:ascii="Arial" w:hAnsi="Arial" w:eastAsia="宋体" w:cs="Arial"/>
                <w:bCs/>
                <w:color w:val="auto"/>
                <w:sz w:val="21"/>
                <w:szCs w:val="21"/>
                <w:highlight w:val="none"/>
                <w:lang w:val="en-US" w:eastAsia="zh-CN"/>
              </w:rPr>
              <w:t>评委</w:t>
            </w:r>
            <w:r>
              <w:rPr>
                <w:rFonts w:hint="default" w:ascii="Arial" w:hAnsi="Arial" w:eastAsia="宋体" w:cs="Arial"/>
                <w:bCs/>
                <w:color w:val="auto"/>
                <w:sz w:val="21"/>
                <w:szCs w:val="21"/>
                <w:highlight w:val="none"/>
              </w:rPr>
              <w:t>根据</w:t>
            </w:r>
            <w:r>
              <w:rPr>
                <w:rFonts w:hint="default" w:ascii="Arial" w:hAnsi="Arial" w:eastAsia="宋体" w:cs="Arial"/>
                <w:bCs/>
                <w:color w:val="auto"/>
                <w:sz w:val="21"/>
                <w:szCs w:val="21"/>
                <w:highlight w:val="none"/>
                <w:lang w:val="en-US" w:eastAsia="zh-CN"/>
              </w:rPr>
              <w:t>各</w:t>
            </w:r>
            <w:r>
              <w:rPr>
                <w:rFonts w:hint="default" w:ascii="Arial" w:hAnsi="Arial" w:eastAsia="宋体" w:cs="Arial"/>
                <w:bCs/>
                <w:color w:val="auto"/>
                <w:sz w:val="21"/>
                <w:szCs w:val="21"/>
                <w:highlight w:val="none"/>
              </w:rPr>
              <w:t>投标人结合本项目情况提供的项目实施方案的</w:t>
            </w:r>
            <w:r>
              <w:rPr>
                <w:rFonts w:hint="default" w:ascii="Arial" w:hAnsi="Arial" w:eastAsia="宋体" w:cs="Arial"/>
                <w:bCs/>
                <w:color w:val="auto"/>
                <w:sz w:val="21"/>
                <w:szCs w:val="21"/>
                <w:highlight w:val="none"/>
                <w:lang w:val="en-US" w:eastAsia="zh-CN"/>
              </w:rPr>
              <w:t>可行</w:t>
            </w:r>
            <w:r>
              <w:rPr>
                <w:rFonts w:hint="default" w:ascii="Arial" w:hAnsi="Arial" w:eastAsia="宋体" w:cs="Arial"/>
                <w:bCs/>
                <w:color w:val="auto"/>
                <w:sz w:val="21"/>
                <w:szCs w:val="21"/>
                <w:highlight w:val="none"/>
              </w:rPr>
              <w:t>性、针对性、完整性、前瞻性、保障措施等方面</w:t>
            </w:r>
            <w:r>
              <w:rPr>
                <w:rFonts w:hint="default" w:ascii="Arial" w:hAnsi="Arial" w:eastAsia="宋体" w:cs="Arial"/>
                <w:color w:val="auto"/>
                <w:sz w:val="21"/>
                <w:szCs w:val="21"/>
                <w:highlight w:val="none"/>
              </w:rPr>
              <w:t>进行</w:t>
            </w:r>
            <w:r>
              <w:rPr>
                <w:rFonts w:hint="default" w:ascii="Arial" w:hAnsi="Arial" w:eastAsia="宋体" w:cs="Arial"/>
                <w:color w:val="auto"/>
                <w:sz w:val="21"/>
                <w:szCs w:val="21"/>
                <w:highlight w:val="none"/>
                <w:lang w:val="en-US" w:eastAsia="zh-CN"/>
              </w:rPr>
              <w:t>独立</w:t>
            </w:r>
            <w:r>
              <w:rPr>
                <w:rFonts w:hint="default" w:ascii="Arial" w:hAnsi="Arial" w:eastAsia="宋体" w:cs="Arial"/>
                <w:color w:val="auto"/>
                <w:sz w:val="21"/>
                <w:szCs w:val="21"/>
                <w:highlight w:val="none"/>
              </w:rPr>
              <w:t>评审</w:t>
            </w:r>
            <w:r>
              <w:rPr>
                <w:rFonts w:hint="default" w:ascii="Arial" w:hAnsi="Arial" w:eastAsia="宋体" w:cs="Arial"/>
                <w:color w:val="auto"/>
                <w:spacing w:val="-4"/>
                <w:sz w:val="21"/>
                <w:szCs w:val="21"/>
                <w:highlight w:val="none"/>
              </w:rPr>
              <w:t>并按以下规则独立打分</w:t>
            </w:r>
            <w:r>
              <w:rPr>
                <w:rFonts w:hint="default" w:ascii="Arial" w:hAnsi="Arial" w:eastAsia="宋体" w:cs="Arial"/>
                <w:bCs/>
                <w:color w:val="auto"/>
                <w:sz w:val="21"/>
                <w:szCs w:val="21"/>
                <w:highlight w:val="none"/>
                <w:lang w:val="zh-CN"/>
              </w:rPr>
              <w:t>（</w:t>
            </w:r>
            <w:r>
              <w:rPr>
                <w:rFonts w:hint="default" w:ascii="Arial" w:hAnsi="Arial" w:eastAsia="宋体" w:cs="Arial"/>
                <w:bCs/>
                <w:color w:val="auto"/>
                <w:sz w:val="21"/>
                <w:szCs w:val="21"/>
                <w:highlight w:val="none"/>
              </w:rPr>
              <w:t>投标人所提供的方案不符合任一档次进档所有要求的，不予进入该档评分</w:t>
            </w:r>
            <w:r>
              <w:rPr>
                <w:rFonts w:hint="default" w:ascii="Arial" w:hAnsi="Arial" w:eastAsia="宋体" w:cs="Arial"/>
                <w:bCs/>
                <w:color w:val="auto"/>
                <w:sz w:val="21"/>
                <w:szCs w:val="21"/>
                <w:highlight w:val="none"/>
                <w:lang w:val="zh-CN"/>
              </w:rPr>
              <w:t>）</w:t>
            </w:r>
            <w:r>
              <w:rPr>
                <w:rFonts w:hint="default" w:ascii="Arial" w:hAnsi="Arial" w:eastAsia="宋体" w:cs="Arial"/>
                <w:color w:val="auto"/>
                <w:spacing w:val="-4"/>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Arial" w:hAnsi="Arial" w:eastAsia="宋体" w:cs="Arial"/>
                <w:bCs/>
                <w:color w:val="auto"/>
                <w:sz w:val="21"/>
                <w:szCs w:val="21"/>
                <w:highlight w:val="none"/>
                <w:lang w:eastAsia="zh-CN"/>
              </w:rPr>
            </w:pPr>
            <w:r>
              <w:rPr>
                <w:rFonts w:hint="default" w:ascii="Arial" w:hAnsi="Arial" w:eastAsia="宋体" w:cs="Arial"/>
                <w:bCs/>
                <w:color w:val="auto"/>
                <w:sz w:val="21"/>
                <w:szCs w:val="21"/>
                <w:highlight w:val="none"/>
              </w:rPr>
              <w:t>一档（0分)：未提供方案或方案不可行</w:t>
            </w:r>
            <w:r>
              <w:rPr>
                <w:rFonts w:hint="default" w:ascii="Arial" w:hAnsi="Arial" w:eastAsia="宋体" w:cs="Arial"/>
                <w:bCs/>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Arial" w:hAnsi="Arial" w:eastAsia="宋体" w:cs="Arial"/>
                <w:bCs/>
                <w:color w:val="auto"/>
                <w:sz w:val="21"/>
                <w:szCs w:val="21"/>
                <w:highlight w:val="none"/>
                <w:lang w:eastAsia="zh-CN"/>
              </w:rPr>
            </w:pPr>
            <w:r>
              <w:rPr>
                <w:rFonts w:hint="default" w:ascii="Arial" w:hAnsi="Arial" w:eastAsia="宋体" w:cs="Arial"/>
                <w:bCs/>
                <w:color w:val="auto"/>
                <w:sz w:val="21"/>
                <w:szCs w:val="21"/>
                <w:highlight w:val="none"/>
              </w:rPr>
              <w:t>二档（3分）：项目实施方案</w:t>
            </w:r>
            <w:r>
              <w:rPr>
                <w:rFonts w:hint="default" w:ascii="Arial" w:hAnsi="Arial" w:eastAsia="宋体" w:cs="Arial"/>
                <w:bCs/>
                <w:color w:val="auto"/>
                <w:sz w:val="21"/>
                <w:szCs w:val="21"/>
                <w:highlight w:val="none"/>
                <w:lang w:val="en-US" w:eastAsia="zh-CN"/>
              </w:rPr>
              <w:t>不完整</w:t>
            </w:r>
            <w:r>
              <w:rPr>
                <w:rFonts w:hint="default" w:ascii="Arial" w:hAnsi="Arial" w:eastAsia="宋体" w:cs="Arial"/>
                <w:bCs/>
                <w:color w:val="auto"/>
                <w:sz w:val="21"/>
                <w:szCs w:val="21"/>
                <w:highlight w:val="none"/>
              </w:rPr>
              <w:t>，基本复制采购需求内容而并未针对采购文件基本要求进行实质性的细化，或方案没有从项目具体需求出发，表述内容对满足本项目基本需求无整体保障性，保障措施无法</w:t>
            </w:r>
            <w:r>
              <w:rPr>
                <w:rFonts w:hint="default" w:ascii="Arial" w:hAnsi="Arial" w:eastAsia="宋体" w:cs="Arial"/>
                <w:bCs/>
                <w:color w:val="auto"/>
                <w:sz w:val="21"/>
                <w:szCs w:val="21"/>
                <w:highlight w:val="none"/>
                <w:lang w:val="en-US" w:eastAsia="zh-CN"/>
              </w:rPr>
              <w:t>完全</w:t>
            </w:r>
            <w:r>
              <w:rPr>
                <w:rFonts w:hint="default" w:ascii="Arial" w:hAnsi="Arial" w:eastAsia="宋体" w:cs="Arial"/>
                <w:bCs/>
                <w:color w:val="auto"/>
                <w:sz w:val="21"/>
                <w:szCs w:val="21"/>
                <w:highlight w:val="none"/>
              </w:rPr>
              <w:t>满足项目的实施</w:t>
            </w:r>
            <w:r>
              <w:rPr>
                <w:rFonts w:hint="default" w:ascii="Arial" w:hAnsi="Arial" w:eastAsia="宋体" w:cs="Arial"/>
                <w:bCs/>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Arial" w:hAnsi="Arial" w:eastAsia="宋体" w:cs="Arial"/>
                <w:bCs/>
                <w:color w:val="auto"/>
                <w:sz w:val="21"/>
                <w:szCs w:val="21"/>
                <w:highlight w:val="none"/>
                <w:lang w:eastAsia="zh-CN"/>
              </w:rPr>
            </w:pPr>
            <w:r>
              <w:rPr>
                <w:rFonts w:hint="default" w:ascii="Arial" w:hAnsi="Arial" w:eastAsia="宋体" w:cs="Arial"/>
                <w:bCs/>
                <w:color w:val="auto"/>
                <w:sz w:val="21"/>
                <w:szCs w:val="21"/>
                <w:highlight w:val="none"/>
              </w:rPr>
              <w:t>三档（6分）：实施方案仅对采购单位提出的要求进行了部分细化，对项目实施目标、实施过程、实现思路有基本</w:t>
            </w:r>
            <w:r>
              <w:rPr>
                <w:rFonts w:hint="default" w:ascii="Arial" w:hAnsi="Arial" w:eastAsia="宋体" w:cs="Arial"/>
                <w:bCs/>
                <w:color w:val="auto"/>
                <w:sz w:val="21"/>
                <w:szCs w:val="21"/>
                <w:highlight w:val="none"/>
                <w:lang w:val="en-US" w:eastAsia="zh-CN"/>
              </w:rPr>
              <w:t>可行的</w:t>
            </w:r>
            <w:r>
              <w:rPr>
                <w:rFonts w:hint="default" w:ascii="Arial" w:hAnsi="Arial" w:eastAsia="宋体" w:cs="Arial"/>
                <w:bCs/>
                <w:color w:val="auto"/>
                <w:sz w:val="21"/>
                <w:szCs w:val="21"/>
                <w:highlight w:val="none"/>
              </w:rPr>
              <w:t>描述，但各项措施缺乏针对性，提供的内容对采购单位使用需求响应的具体措施缺乏充分的合理性</w:t>
            </w:r>
            <w:r>
              <w:rPr>
                <w:rFonts w:hint="default" w:ascii="Arial" w:hAnsi="Arial" w:eastAsia="宋体" w:cs="Arial"/>
                <w:bCs/>
                <w:color w:val="auto"/>
                <w:sz w:val="21"/>
                <w:szCs w:val="21"/>
                <w:highlight w:val="none"/>
                <w:lang w:val="en-US" w:eastAsia="zh-CN"/>
              </w:rPr>
              <w:t>和</w:t>
            </w:r>
            <w:r>
              <w:rPr>
                <w:rFonts w:hint="default" w:ascii="Arial" w:hAnsi="Arial" w:eastAsia="宋体" w:cs="Arial"/>
                <w:bCs/>
                <w:color w:val="auto"/>
                <w:sz w:val="21"/>
                <w:szCs w:val="21"/>
                <w:highlight w:val="none"/>
              </w:rPr>
              <w:t>前瞻性，实现方式</w:t>
            </w:r>
            <w:r>
              <w:rPr>
                <w:rFonts w:hint="default" w:ascii="Arial" w:hAnsi="Arial" w:eastAsia="宋体" w:cs="Arial"/>
                <w:bCs/>
                <w:color w:val="auto"/>
                <w:sz w:val="21"/>
                <w:szCs w:val="21"/>
                <w:highlight w:val="none"/>
                <w:lang w:val="en-US" w:eastAsia="zh-CN"/>
              </w:rPr>
              <w:t>基本</w:t>
            </w:r>
            <w:r>
              <w:rPr>
                <w:rFonts w:hint="default" w:ascii="Arial" w:hAnsi="Arial" w:eastAsia="宋体" w:cs="Arial"/>
                <w:bCs/>
                <w:color w:val="auto"/>
                <w:sz w:val="21"/>
                <w:szCs w:val="21"/>
                <w:highlight w:val="none"/>
              </w:rPr>
              <w:t>能满足项目基本需求</w:t>
            </w:r>
            <w:r>
              <w:rPr>
                <w:rFonts w:hint="default" w:ascii="Arial" w:hAnsi="Arial" w:eastAsia="宋体" w:cs="Arial"/>
                <w:bCs/>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Arial" w:hAnsi="Arial" w:eastAsia="宋体" w:cs="Arial"/>
                <w:bCs/>
                <w:color w:val="auto"/>
                <w:sz w:val="21"/>
                <w:szCs w:val="21"/>
                <w:highlight w:val="none"/>
                <w:lang w:eastAsia="zh-CN"/>
              </w:rPr>
            </w:pPr>
            <w:r>
              <w:rPr>
                <w:rFonts w:hint="default" w:ascii="Arial" w:hAnsi="Arial" w:eastAsia="宋体" w:cs="Arial"/>
                <w:bCs/>
                <w:color w:val="auto"/>
                <w:sz w:val="21"/>
                <w:szCs w:val="21"/>
                <w:highlight w:val="none"/>
              </w:rPr>
              <w:t>四档（9分）：</w:t>
            </w:r>
            <w:r>
              <w:rPr>
                <w:rFonts w:hint="default" w:ascii="Arial" w:hAnsi="Arial" w:eastAsia="宋体" w:cs="Arial"/>
                <w:bCs/>
                <w:color w:val="auto"/>
                <w:sz w:val="21"/>
                <w:szCs w:val="21"/>
                <w:highlight w:val="none"/>
                <w:lang w:val="en-US" w:eastAsia="zh-CN"/>
              </w:rPr>
              <w:t>在三档基础上</w:t>
            </w:r>
            <w:r>
              <w:rPr>
                <w:rFonts w:hint="default" w:ascii="Arial" w:hAnsi="Arial" w:eastAsia="宋体" w:cs="Arial"/>
                <w:bCs/>
                <w:color w:val="auto"/>
                <w:sz w:val="21"/>
                <w:szCs w:val="21"/>
                <w:highlight w:val="none"/>
              </w:rPr>
              <w:t>实施方案</w:t>
            </w:r>
            <w:r>
              <w:rPr>
                <w:rFonts w:hint="default" w:ascii="Arial" w:hAnsi="Arial" w:eastAsia="宋体" w:cs="Arial"/>
                <w:bCs/>
                <w:color w:val="auto"/>
                <w:sz w:val="21"/>
                <w:szCs w:val="21"/>
                <w:highlight w:val="none"/>
                <w:lang w:val="en-US" w:eastAsia="zh-CN"/>
              </w:rPr>
              <w:t>完整且</w:t>
            </w:r>
            <w:r>
              <w:rPr>
                <w:rFonts w:hint="default" w:ascii="Arial" w:hAnsi="Arial" w:eastAsia="宋体" w:cs="Arial"/>
                <w:bCs/>
                <w:color w:val="auto"/>
                <w:sz w:val="21"/>
                <w:szCs w:val="21"/>
                <w:highlight w:val="none"/>
              </w:rPr>
              <w:t>满足项目实施要求，对项目实施目标、实施过程、实现思路设计进行了全面细化，</w:t>
            </w:r>
            <w:r>
              <w:rPr>
                <w:rFonts w:hint="default" w:ascii="Arial" w:hAnsi="Arial" w:eastAsia="宋体" w:cs="Arial"/>
                <w:bCs/>
                <w:color w:val="auto"/>
                <w:sz w:val="21"/>
                <w:szCs w:val="21"/>
                <w:highlight w:val="none"/>
                <w:lang w:val="en-US" w:eastAsia="zh-CN"/>
              </w:rPr>
              <w:t>有一定的针对性，</w:t>
            </w:r>
            <w:r>
              <w:rPr>
                <w:rFonts w:hint="default" w:ascii="Arial" w:hAnsi="Arial" w:eastAsia="宋体" w:cs="Arial"/>
                <w:bCs/>
                <w:color w:val="auto"/>
                <w:sz w:val="21"/>
                <w:szCs w:val="21"/>
                <w:highlight w:val="none"/>
              </w:rPr>
              <w:t>各项</w:t>
            </w:r>
            <w:r>
              <w:rPr>
                <w:rFonts w:hint="default" w:ascii="Arial" w:hAnsi="Arial" w:eastAsia="宋体" w:cs="Arial"/>
                <w:bCs/>
                <w:color w:val="auto"/>
                <w:sz w:val="21"/>
                <w:szCs w:val="21"/>
                <w:highlight w:val="none"/>
                <w:lang w:val="en-US" w:eastAsia="zh-CN"/>
              </w:rPr>
              <w:t>保障</w:t>
            </w:r>
            <w:r>
              <w:rPr>
                <w:rFonts w:hint="default" w:ascii="Arial" w:hAnsi="Arial" w:eastAsia="宋体" w:cs="Arial"/>
                <w:bCs/>
                <w:color w:val="auto"/>
                <w:sz w:val="21"/>
                <w:szCs w:val="21"/>
                <w:highlight w:val="none"/>
              </w:rPr>
              <w:t>措施针对采购单位需求提出，考虑到了项目实际需求、设置合理</w:t>
            </w:r>
            <w:r>
              <w:rPr>
                <w:rFonts w:hint="default" w:ascii="Arial" w:hAnsi="Arial" w:eastAsia="宋体" w:cs="Arial"/>
                <w:bCs/>
                <w:color w:val="auto"/>
                <w:sz w:val="21"/>
                <w:szCs w:val="21"/>
                <w:highlight w:val="none"/>
                <w:lang w:eastAsia="zh-CN"/>
              </w:rPr>
              <w:t>，</w:t>
            </w:r>
            <w:r>
              <w:rPr>
                <w:rFonts w:hint="default" w:ascii="Arial" w:hAnsi="Arial" w:eastAsia="宋体" w:cs="Arial"/>
                <w:bCs/>
                <w:color w:val="auto"/>
                <w:sz w:val="21"/>
                <w:szCs w:val="21"/>
                <w:highlight w:val="none"/>
                <w:lang w:val="en-US" w:eastAsia="zh-CN"/>
              </w:rPr>
              <w:t>具有</w:t>
            </w:r>
            <w:r>
              <w:rPr>
                <w:rFonts w:hint="default" w:ascii="Arial" w:hAnsi="Arial" w:eastAsia="宋体" w:cs="Arial"/>
                <w:bCs/>
                <w:color w:val="auto"/>
                <w:sz w:val="21"/>
                <w:szCs w:val="21"/>
                <w:highlight w:val="none"/>
              </w:rPr>
              <w:t>前瞻性</w:t>
            </w:r>
            <w:r>
              <w:rPr>
                <w:rFonts w:hint="default" w:ascii="Arial" w:hAnsi="Arial" w:eastAsia="宋体" w:cs="Arial"/>
                <w:bCs/>
                <w:color w:val="auto"/>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default" w:ascii="Arial" w:hAnsi="Arial" w:eastAsia="宋体" w:cs="Arial"/>
                <w:bCs/>
                <w:color w:val="auto"/>
                <w:sz w:val="21"/>
                <w:szCs w:val="21"/>
                <w:highlight w:val="none"/>
              </w:rPr>
            </w:pPr>
            <w:r>
              <w:rPr>
                <w:rFonts w:hint="default" w:ascii="Arial" w:hAnsi="Arial" w:eastAsia="宋体" w:cs="Arial"/>
                <w:bCs/>
                <w:color w:val="auto"/>
                <w:sz w:val="21"/>
                <w:szCs w:val="21"/>
                <w:highlight w:val="none"/>
              </w:rPr>
              <w:t>五档（(12分)：实施方案</w:t>
            </w:r>
            <w:r>
              <w:rPr>
                <w:rFonts w:hint="default" w:ascii="Arial" w:hAnsi="Arial" w:eastAsia="宋体" w:cs="Arial"/>
                <w:bCs/>
                <w:color w:val="auto"/>
                <w:sz w:val="21"/>
                <w:szCs w:val="21"/>
                <w:highlight w:val="none"/>
                <w:lang w:val="en-US" w:eastAsia="zh-CN"/>
              </w:rPr>
              <w:t>完整</w:t>
            </w:r>
            <w:r>
              <w:rPr>
                <w:rFonts w:hint="default" w:ascii="Arial" w:hAnsi="Arial" w:eastAsia="宋体" w:cs="Arial"/>
                <w:bCs/>
                <w:color w:val="auto"/>
                <w:sz w:val="21"/>
                <w:szCs w:val="21"/>
                <w:highlight w:val="none"/>
              </w:rPr>
              <w:t>详细，对项目实施目标、实施过程、实现思路有详细的阐述且方案内容能够提供科学合理</w:t>
            </w:r>
            <w:r>
              <w:rPr>
                <w:rFonts w:hint="default" w:ascii="Arial" w:hAnsi="Arial" w:eastAsia="宋体" w:cs="Arial"/>
                <w:bCs/>
                <w:color w:val="auto"/>
                <w:sz w:val="21"/>
                <w:szCs w:val="21"/>
                <w:highlight w:val="none"/>
                <w:lang w:eastAsia="zh-CN"/>
              </w:rPr>
              <w:t>、</w:t>
            </w:r>
            <w:r>
              <w:rPr>
                <w:rFonts w:hint="default" w:ascii="Arial" w:hAnsi="Arial" w:eastAsia="宋体" w:cs="Arial"/>
                <w:bCs/>
                <w:color w:val="auto"/>
                <w:sz w:val="21"/>
                <w:szCs w:val="21"/>
                <w:highlight w:val="none"/>
              </w:rPr>
              <w:t>前瞻性的项目实施标准化流程；对设备科的日常工作有全盘统筹性管理计划且详细完善；项目实施的</w:t>
            </w:r>
            <w:r>
              <w:rPr>
                <w:rFonts w:hint="default" w:ascii="Arial" w:hAnsi="Arial" w:eastAsia="宋体" w:cs="Arial"/>
                <w:bCs/>
                <w:color w:val="auto"/>
                <w:sz w:val="21"/>
                <w:szCs w:val="21"/>
                <w:highlight w:val="none"/>
                <w:lang w:val="en-US" w:eastAsia="zh-CN"/>
              </w:rPr>
              <w:t>保障措施、</w:t>
            </w:r>
            <w:r>
              <w:rPr>
                <w:rFonts w:hint="default" w:ascii="Arial" w:hAnsi="Arial" w:eastAsia="宋体" w:cs="Arial"/>
                <w:bCs/>
                <w:color w:val="auto"/>
                <w:sz w:val="21"/>
                <w:szCs w:val="21"/>
                <w:highlight w:val="none"/>
              </w:rPr>
              <w:t>技术力量和人力资源保障完全满足项目实施要求。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vMerge w:val="continue"/>
            <w:noWrap w:val="0"/>
            <w:vAlign w:val="center"/>
          </w:tcPr>
          <w:p>
            <w:pPr>
              <w:spacing w:line="400" w:lineRule="exact"/>
              <w:jc w:val="center"/>
              <w:textAlignment w:val="baseline"/>
              <w:rPr>
                <w:rFonts w:hint="default" w:ascii="Arial" w:hAnsi="Arial" w:cs="Arial"/>
                <w:bCs/>
                <w:sz w:val="21"/>
                <w:szCs w:val="21"/>
                <w:highlight w:val="none"/>
              </w:rPr>
            </w:pPr>
          </w:p>
        </w:tc>
        <w:tc>
          <w:tcPr>
            <w:tcW w:w="1357" w:type="dxa"/>
            <w:vMerge w:val="continue"/>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p>
        </w:tc>
        <w:tc>
          <w:tcPr>
            <w:tcW w:w="1200" w:type="dxa"/>
            <w:noWrap w:val="0"/>
            <w:vAlign w:val="center"/>
          </w:tcPr>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医疗设备管理体系方案</w:t>
            </w:r>
          </w:p>
          <w:p>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Arial" w:hAnsi="Arial" w:cs="Arial"/>
                <w:color w:val="auto"/>
                <w:sz w:val="21"/>
                <w:szCs w:val="21"/>
                <w:highlight w:val="none"/>
              </w:rPr>
            </w:pPr>
            <w:r>
              <w:rPr>
                <w:rFonts w:hint="default" w:ascii="Arial" w:hAnsi="Arial" w:cs="Arial"/>
                <w:color w:val="auto"/>
                <w:sz w:val="21"/>
                <w:szCs w:val="21"/>
                <w:highlight w:val="none"/>
              </w:rPr>
              <w:t>（6分）</w:t>
            </w:r>
          </w:p>
        </w:tc>
        <w:tc>
          <w:tcPr>
            <w:tcW w:w="720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rPr>
                <w:rFonts w:hint="default" w:ascii="Arial" w:hAnsi="Arial" w:eastAsia="宋体" w:cs="Arial"/>
                <w:bCs/>
                <w:color w:val="auto"/>
                <w:sz w:val="21"/>
                <w:szCs w:val="21"/>
                <w:highlight w:val="none"/>
              </w:rPr>
            </w:pPr>
            <w:r>
              <w:rPr>
                <w:rFonts w:hint="default" w:ascii="Arial" w:hAnsi="Arial" w:eastAsia="宋体" w:cs="Arial"/>
                <w:bCs/>
                <w:color w:val="auto"/>
                <w:sz w:val="21"/>
                <w:szCs w:val="21"/>
                <w:highlight w:val="none"/>
                <w:lang w:val="en-US" w:eastAsia="zh-CN" w:bidi="ar"/>
              </w:rPr>
              <w:t>评委</w:t>
            </w:r>
            <w:r>
              <w:rPr>
                <w:rFonts w:hint="default" w:ascii="Arial" w:hAnsi="Arial" w:eastAsia="宋体" w:cs="Arial"/>
                <w:bCs/>
                <w:color w:val="auto"/>
                <w:sz w:val="21"/>
                <w:szCs w:val="21"/>
                <w:highlight w:val="none"/>
                <w:lang w:bidi="ar"/>
              </w:rPr>
              <w:t>根据</w:t>
            </w:r>
            <w:r>
              <w:rPr>
                <w:rFonts w:hint="default" w:ascii="Arial" w:hAnsi="Arial" w:eastAsia="宋体" w:cs="Arial"/>
                <w:bCs/>
                <w:color w:val="auto"/>
                <w:sz w:val="21"/>
                <w:szCs w:val="21"/>
                <w:highlight w:val="none"/>
                <w:lang w:val="en-US" w:eastAsia="zh-CN" w:bidi="ar"/>
              </w:rPr>
              <w:t>各</w:t>
            </w:r>
            <w:r>
              <w:rPr>
                <w:rFonts w:hint="default" w:ascii="Arial" w:hAnsi="Arial" w:eastAsia="宋体" w:cs="Arial"/>
                <w:bCs/>
                <w:color w:val="auto"/>
                <w:sz w:val="21"/>
                <w:szCs w:val="21"/>
                <w:highlight w:val="none"/>
                <w:lang w:bidi="ar"/>
              </w:rPr>
              <w:t>投标人提供的</w:t>
            </w:r>
            <w:r>
              <w:rPr>
                <w:rFonts w:hint="default" w:ascii="Arial" w:hAnsi="Arial" w:eastAsia="宋体" w:cs="Arial"/>
                <w:color w:val="auto"/>
                <w:sz w:val="21"/>
                <w:szCs w:val="21"/>
                <w:highlight w:val="none"/>
              </w:rPr>
              <w:t>医疗设备管理体系方案</w:t>
            </w:r>
            <w:r>
              <w:rPr>
                <w:rFonts w:hint="default" w:ascii="Arial" w:hAnsi="Arial" w:eastAsia="宋体" w:cs="Arial"/>
                <w:color w:val="auto"/>
                <w:sz w:val="21"/>
                <w:szCs w:val="21"/>
                <w:highlight w:val="none"/>
                <w:lang w:val="en-US" w:eastAsia="zh-CN"/>
              </w:rPr>
              <w:t>的完整性、针对性、合理性等方面</w:t>
            </w:r>
            <w:r>
              <w:rPr>
                <w:rFonts w:hint="default" w:ascii="Arial" w:hAnsi="Arial" w:eastAsia="宋体" w:cs="Arial"/>
                <w:color w:val="auto"/>
                <w:sz w:val="21"/>
                <w:szCs w:val="21"/>
                <w:highlight w:val="none"/>
              </w:rPr>
              <w:t>进行</w:t>
            </w:r>
            <w:r>
              <w:rPr>
                <w:rFonts w:hint="default" w:ascii="Arial" w:hAnsi="Arial" w:eastAsia="宋体" w:cs="Arial"/>
                <w:color w:val="auto"/>
                <w:sz w:val="21"/>
                <w:szCs w:val="21"/>
                <w:highlight w:val="none"/>
                <w:lang w:val="en-US" w:eastAsia="zh-CN"/>
              </w:rPr>
              <w:t>独立</w:t>
            </w:r>
            <w:r>
              <w:rPr>
                <w:rFonts w:hint="default" w:ascii="Arial" w:hAnsi="Arial" w:eastAsia="宋体" w:cs="Arial"/>
                <w:color w:val="auto"/>
                <w:sz w:val="21"/>
                <w:szCs w:val="21"/>
                <w:highlight w:val="none"/>
              </w:rPr>
              <w:t>评审</w:t>
            </w:r>
            <w:r>
              <w:rPr>
                <w:rFonts w:hint="default" w:ascii="Arial" w:hAnsi="Arial" w:eastAsia="宋体" w:cs="Arial"/>
                <w:color w:val="auto"/>
                <w:spacing w:val="-4"/>
                <w:sz w:val="21"/>
                <w:szCs w:val="21"/>
                <w:highlight w:val="none"/>
              </w:rPr>
              <w:t>并按以下规则独立打分</w:t>
            </w:r>
            <w:r>
              <w:rPr>
                <w:rFonts w:hint="default" w:ascii="Arial" w:hAnsi="Arial" w:eastAsia="宋体" w:cs="Arial"/>
                <w:bCs/>
                <w:color w:val="auto"/>
                <w:sz w:val="21"/>
                <w:szCs w:val="21"/>
                <w:highlight w:val="none"/>
                <w:lang w:val="zh-CN"/>
              </w:rPr>
              <w:t>（</w:t>
            </w:r>
            <w:r>
              <w:rPr>
                <w:rFonts w:hint="default" w:ascii="Arial" w:hAnsi="Arial" w:eastAsia="宋体" w:cs="Arial"/>
                <w:bCs/>
                <w:color w:val="auto"/>
                <w:sz w:val="21"/>
                <w:szCs w:val="21"/>
                <w:highlight w:val="none"/>
              </w:rPr>
              <w:t>投标人所提供的方案不符合任一档次进档所有要求的，不予进入该档评分</w:t>
            </w:r>
            <w:r>
              <w:rPr>
                <w:rFonts w:hint="default" w:ascii="Arial" w:hAnsi="Arial" w:eastAsia="宋体" w:cs="Arial"/>
                <w:bCs/>
                <w:color w:val="auto"/>
                <w:sz w:val="21"/>
                <w:szCs w:val="21"/>
                <w:highlight w:val="none"/>
                <w:lang w:val="zh-CN"/>
              </w:rPr>
              <w:t>）</w:t>
            </w:r>
            <w:r>
              <w:rPr>
                <w:rFonts w:hint="default" w:ascii="Arial" w:hAnsi="Arial" w:eastAsia="宋体" w:cs="Arial"/>
                <w:color w:val="auto"/>
                <w:spacing w:val="-4"/>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rPr>
                <w:rFonts w:hint="default" w:ascii="Arial" w:hAnsi="Arial" w:eastAsia="宋体" w:cs="Arial"/>
                <w:bCs/>
                <w:color w:val="auto"/>
                <w:sz w:val="21"/>
                <w:szCs w:val="21"/>
                <w:highlight w:val="none"/>
                <w:lang w:bidi="ar"/>
              </w:rPr>
            </w:pPr>
            <w:r>
              <w:rPr>
                <w:rFonts w:hint="default" w:ascii="Arial" w:hAnsi="Arial" w:eastAsia="宋体" w:cs="Arial"/>
                <w:bCs/>
                <w:color w:val="auto"/>
                <w:sz w:val="21"/>
                <w:szCs w:val="21"/>
                <w:highlight w:val="none"/>
              </w:rPr>
              <w:t>一档（0分)：未提供方案或方案不可行。</w:t>
            </w:r>
          </w:p>
          <w:p>
            <w:pPr>
              <w:pStyle w:val="29"/>
              <w:keepNext w:val="0"/>
              <w:keepLines w:val="0"/>
              <w:pageBreakBefore w:val="0"/>
              <w:widowControl w:val="0"/>
              <w:kinsoku/>
              <w:wordWrap/>
              <w:overflowPunct/>
              <w:topLinePunct w:val="0"/>
              <w:autoSpaceDE/>
              <w:autoSpaceDN/>
              <w:bidi w:val="0"/>
              <w:adjustRightInd/>
              <w:snapToGrid/>
              <w:spacing w:line="400" w:lineRule="exact"/>
              <w:jc w:val="both"/>
              <w:textAlignment w:val="baseline"/>
              <w:rPr>
                <w:rFonts w:hint="default" w:ascii="Arial" w:hAnsi="Arial" w:eastAsia="宋体" w:cs="Arial"/>
                <w:bCs/>
                <w:color w:val="auto"/>
                <w:sz w:val="21"/>
                <w:szCs w:val="21"/>
                <w:highlight w:val="none"/>
                <w:lang w:bidi="ar"/>
              </w:rPr>
            </w:pPr>
            <w:r>
              <w:rPr>
                <w:rFonts w:hint="default" w:ascii="Arial" w:hAnsi="Arial" w:eastAsia="宋体" w:cs="Arial"/>
                <w:bCs/>
                <w:color w:val="auto"/>
                <w:sz w:val="21"/>
                <w:szCs w:val="21"/>
                <w:highlight w:val="none"/>
                <w:lang w:bidi="ar"/>
              </w:rPr>
              <w:t>二档（2分）</w:t>
            </w:r>
            <w:r>
              <w:rPr>
                <w:rFonts w:hint="default" w:ascii="Arial" w:hAnsi="Arial" w:eastAsia="宋体" w:cs="Arial"/>
                <w:bCs/>
                <w:color w:val="auto"/>
                <w:sz w:val="21"/>
                <w:szCs w:val="21"/>
                <w:highlight w:val="none"/>
                <w:lang w:eastAsia="zh-CN" w:bidi="ar"/>
              </w:rPr>
              <w:t>：</w:t>
            </w:r>
            <w:r>
              <w:rPr>
                <w:rFonts w:hint="default" w:ascii="Arial" w:hAnsi="Arial" w:eastAsia="宋体" w:cs="Arial"/>
                <w:bCs/>
                <w:color w:val="auto"/>
                <w:sz w:val="21"/>
                <w:szCs w:val="21"/>
                <w:highlight w:val="none"/>
                <w:lang w:bidi="ar"/>
              </w:rPr>
              <w:t>投标人的医疗设备管理体系内容较简单，</w:t>
            </w:r>
            <w:r>
              <w:rPr>
                <w:rFonts w:hint="default" w:ascii="Arial" w:hAnsi="Arial" w:cs="Arial"/>
                <w:bCs/>
                <w:color w:val="auto"/>
                <w:sz w:val="21"/>
                <w:szCs w:val="21"/>
                <w:highlight w:val="none"/>
                <w:lang w:bidi="ar"/>
              </w:rPr>
              <w:t>方案</w:t>
            </w:r>
            <w:r>
              <w:rPr>
                <w:rFonts w:hint="default" w:ascii="Arial" w:hAnsi="Arial" w:cs="Arial"/>
                <w:bCs/>
                <w:color w:val="auto"/>
                <w:sz w:val="21"/>
                <w:szCs w:val="21"/>
                <w:highlight w:val="none"/>
                <w:lang w:val="en-US" w:eastAsia="zh-CN" w:bidi="ar"/>
              </w:rPr>
              <w:t>在</w:t>
            </w:r>
            <w:r>
              <w:rPr>
                <w:rFonts w:hint="default" w:ascii="Arial" w:hAnsi="Arial" w:eastAsia="宋体" w:cs="Arial"/>
                <w:color w:val="auto"/>
                <w:sz w:val="21"/>
                <w:szCs w:val="21"/>
                <w:highlight w:val="none"/>
                <w:lang w:val="en-US" w:eastAsia="zh-CN"/>
              </w:rPr>
              <w:t>完整性、针对性、合理性</w:t>
            </w:r>
            <w:r>
              <w:rPr>
                <w:rFonts w:hint="default" w:ascii="Arial" w:hAnsi="Arial" w:cs="Arial"/>
                <w:bCs/>
                <w:color w:val="auto"/>
                <w:sz w:val="21"/>
                <w:szCs w:val="21"/>
                <w:highlight w:val="none"/>
                <w:lang w:bidi="ar"/>
              </w:rPr>
              <w:t>等方面</w:t>
            </w:r>
            <w:r>
              <w:rPr>
                <w:rFonts w:hint="default" w:ascii="Arial" w:hAnsi="Arial" w:cs="Arial"/>
                <w:bCs/>
                <w:color w:val="auto"/>
                <w:sz w:val="21"/>
                <w:szCs w:val="21"/>
                <w:highlight w:val="none"/>
                <w:lang w:val="en-US" w:eastAsia="zh-CN" w:bidi="ar"/>
              </w:rPr>
              <w:t>有2项经评审合格的</w:t>
            </w:r>
            <w:r>
              <w:rPr>
                <w:rFonts w:hint="default" w:ascii="Arial" w:hAnsi="Arial" w:eastAsia="宋体" w:cs="Arial"/>
                <w:bCs/>
                <w:color w:val="auto"/>
                <w:sz w:val="21"/>
                <w:szCs w:val="21"/>
                <w:highlight w:val="none"/>
                <w:lang w:bidi="ar"/>
              </w:rPr>
              <w:t>；</w:t>
            </w:r>
          </w:p>
          <w:p>
            <w:pPr>
              <w:pStyle w:val="29"/>
              <w:keepNext w:val="0"/>
              <w:keepLines w:val="0"/>
              <w:pageBreakBefore w:val="0"/>
              <w:widowControl w:val="0"/>
              <w:kinsoku/>
              <w:wordWrap/>
              <w:overflowPunct/>
              <w:topLinePunct w:val="0"/>
              <w:autoSpaceDE/>
              <w:autoSpaceDN/>
              <w:bidi w:val="0"/>
              <w:adjustRightInd/>
              <w:snapToGrid/>
              <w:spacing w:line="400" w:lineRule="exact"/>
              <w:jc w:val="both"/>
              <w:rPr>
                <w:rFonts w:hint="default" w:ascii="Arial" w:hAnsi="Arial" w:eastAsia="宋体" w:cs="Arial"/>
                <w:bCs/>
                <w:color w:val="auto"/>
                <w:sz w:val="21"/>
                <w:szCs w:val="21"/>
                <w:highlight w:val="none"/>
                <w:lang w:bidi="ar"/>
              </w:rPr>
            </w:pPr>
            <w:r>
              <w:rPr>
                <w:rFonts w:hint="default" w:ascii="Arial" w:hAnsi="Arial" w:eastAsia="宋体" w:cs="Arial"/>
                <w:bCs/>
                <w:color w:val="auto"/>
                <w:sz w:val="21"/>
                <w:szCs w:val="21"/>
                <w:highlight w:val="none"/>
                <w:lang w:bidi="ar"/>
              </w:rPr>
              <w:t>三档（4分）：投标人的医疗设备管理体系相对较好，</w:t>
            </w:r>
            <w:r>
              <w:rPr>
                <w:rFonts w:hint="default" w:ascii="Arial" w:hAnsi="Arial" w:cs="Arial"/>
                <w:bCs/>
                <w:color w:val="auto"/>
                <w:sz w:val="21"/>
                <w:szCs w:val="21"/>
                <w:highlight w:val="none"/>
                <w:lang w:bidi="ar"/>
              </w:rPr>
              <w:t>方案</w:t>
            </w:r>
            <w:r>
              <w:rPr>
                <w:rFonts w:hint="default" w:ascii="Arial" w:hAnsi="Arial" w:cs="Arial"/>
                <w:bCs/>
                <w:color w:val="auto"/>
                <w:sz w:val="21"/>
                <w:szCs w:val="21"/>
                <w:highlight w:val="none"/>
                <w:lang w:val="en-US" w:eastAsia="zh-CN" w:bidi="ar"/>
              </w:rPr>
              <w:t>在</w:t>
            </w:r>
            <w:r>
              <w:rPr>
                <w:rFonts w:hint="default" w:ascii="Arial" w:hAnsi="Arial" w:eastAsia="宋体" w:cs="Arial"/>
                <w:color w:val="auto"/>
                <w:sz w:val="21"/>
                <w:szCs w:val="21"/>
                <w:highlight w:val="none"/>
                <w:lang w:val="en-US" w:eastAsia="zh-CN"/>
              </w:rPr>
              <w:t>完整性、针对性、合理性</w:t>
            </w:r>
            <w:r>
              <w:rPr>
                <w:rFonts w:hint="default" w:ascii="Arial" w:hAnsi="Arial" w:cs="Arial"/>
                <w:bCs/>
                <w:color w:val="auto"/>
                <w:sz w:val="21"/>
                <w:szCs w:val="21"/>
                <w:highlight w:val="none"/>
                <w:lang w:bidi="ar"/>
              </w:rPr>
              <w:t>等方面</w:t>
            </w:r>
            <w:r>
              <w:rPr>
                <w:rFonts w:hint="default" w:ascii="Arial" w:hAnsi="Arial" w:cs="Arial"/>
                <w:bCs/>
                <w:color w:val="auto"/>
                <w:sz w:val="21"/>
                <w:szCs w:val="21"/>
                <w:highlight w:val="none"/>
                <w:lang w:val="en-US" w:eastAsia="zh-CN" w:bidi="ar"/>
              </w:rPr>
              <w:t>有3项经评审合格的；</w:t>
            </w:r>
            <w:r>
              <w:rPr>
                <w:rFonts w:hint="default" w:ascii="Arial" w:hAnsi="Arial" w:eastAsia="宋体" w:cs="Arial"/>
                <w:bCs/>
                <w:color w:val="auto"/>
                <w:sz w:val="21"/>
                <w:szCs w:val="21"/>
                <w:highlight w:val="none"/>
                <w:lang w:bidi="ar"/>
              </w:rPr>
              <w:t>有对临床科室进行监督考核的方案，可提供医疗设备管理体系实施和对临床科室监督考核的案例；</w:t>
            </w:r>
          </w:p>
          <w:p>
            <w:pPr>
              <w:pStyle w:val="29"/>
              <w:keepNext w:val="0"/>
              <w:keepLines w:val="0"/>
              <w:pageBreakBefore w:val="0"/>
              <w:widowControl w:val="0"/>
              <w:kinsoku/>
              <w:wordWrap/>
              <w:overflowPunct/>
              <w:topLinePunct w:val="0"/>
              <w:autoSpaceDE/>
              <w:autoSpaceDN/>
              <w:bidi w:val="0"/>
              <w:adjustRightInd/>
              <w:snapToGrid/>
              <w:spacing w:line="400" w:lineRule="exact"/>
              <w:jc w:val="both"/>
              <w:rPr>
                <w:rFonts w:hint="default" w:ascii="Arial" w:hAnsi="Arial" w:eastAsia="宋体" w:cs="Arial"/>
                <w:bCs/>
                <w:color w:val="auto"/>
                <w:sz w:val="21"/>
                <w:szCs w:val="21"/>
                <w:highlight w:val="none"/>
                <w:lang w:bidi="ar"/>
              </w:rPr>
            </w:pPr>
            <w:r>
              <w:rPr>
                <w:rFonts w:hint="default" w:ascii="Arial" w:hAnsi="Arial" w:eastAsia="宋体" w:cs="Arial"/>
                <w:bCs/>
                <w:color w:val="auto"/>
                <w:sz w:val="21"/>
                <w:szCs w:val="21"/>
                <w:highlight w:val="none"/>
                <w:lang w:bidi="ar"/>
              </w:rPr>
              <w:t>四档（6分）：</w:t>
            </w:r>
            <w:r>
              <w:rPr>
                <w:rFonts w:hint="default" w:ascii="Arial" w:hAnsi="Arial" w:eastAsia="宋体" w:cs="Arial"/>
                <w:bCs/>
                <w:color w:val="auto"/>
                <w:sz w:val="21"/>
                <w:szCs w:val="21"/>
                <w:highlight w:val="none"/>
                <w:lang w:val="en-US" w:eastAsia="zh-CN" w:bidi="ar"/>
              </w:rPr>
              <w:t>在三档基础上</w:t>
            </w:r>
            <w:r>
              <w:rPr>
                <w:rFonts w:hint="default" w:ascii="Arial" w:hAnsi="Arial" w:eastAsia="宋体" w:cs="Arial"/>
                <w:bCs/>
                <w:color w:val="auto"/>
                <w:sz w:val="21"/>
                <w:szCs w:val="21"/>
                <w:highlight w:val="none"/>
                <w:lang w:bidi="ar"/>
              </w:rPr>
              <w:t>投标人有成熟的医疗设备管理体系，专业性、可操作性强；有对临床科室的设备使用质量安全进行监督考核的方案，可提供具体的、完整的医疗设备管理体系实施和对临床科室监督考核案例材料。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525" w:type="dxa"/>
            <w:vMerge w:val="continue"/>
            <w:noWrap w:val="0"/>
            <w:vAlign w:val="center"/>
          </w:tcPr>
          <w:p>
            <w:pPr>
              <w:spacing w:line="400" w:lineRule="exact"/>
              <w:jc w:val="center"/>
              <w:textAlignment w:val="baseline"/>
              <w:rPr>
                <w:rFonts w:hint="default" w:ascii="Arial" w:hAnsi="Arial" w:cs="Arial"/>
                <w:bCs/>
                <w:sz w:val="21"/>
                <w:szCs w:val="21"/>
                <w:highlight w:val="none"/>
              </w:rPr>
            </w:pPr>
          </w:p>
        </w:tc>
        <w:tc>
          <w:tcPr>
            <w:tcW w:w="1357" w:type="dxa"/>
            <w:vMerge w:val="continue"/>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p>
        </w:tc>
        <w:tc>
          <w:tcPr>
            <w:tcW w:w="1200" w:type="dxa"/>
            <w:noWrap w:val="0"/>
            <w:vAlign w:val="center"/>
          </w:tcPr>
          <w:p>
            <w:pPr>
              <w:pStyle w:val="49"/>
              <w:spacing w:line="400" w:lineRule="exact"/>
              <w:jc w:val="center"/>
              <w:rPr>
                <w:rFonts w:hint="default" w:ascii="Arial" w:hAnsi="Arial" w:cs="Arial"/>
                <w:color w:val="auto"/>
                <w:sz w:val="21"/>
                <w:szCs w:val="21"/>
                <w:highlight w:val="none"/>
              </w:rPr>
            </w:pPr>
            <w:r>
              <w:rPr>
                <w:rFonts w:hint="default" w:ascii="Arial" w:hAnsi="Arial" w:cs="Arial"/>
                <w:color w:val="auto"/>
                <w:sz w:val="21"/>
                <w:szCs w:val="21"/>
                <w:highlight w:val="none"/>
              </w:rPr>
              <w:t>培训方案（6分）</w:t>
            </w:r>
          </w:p>
        </w:tc>
        <w:tc>
          <w:tcPr>
            <w:tcW w:w="720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Arial" w:hAnsi="Arial" w:cs="Arial"/>
                <w:bCs/>
                <w:color w:val="auto"/>
                <w:sz w:val="21"/>
                <w:szCs w:val="21"/>
                <w:highlight w:val="none"/>
                <w:lang w:bidi="ar"/>
              </w:rPr>
            </w:pPr>
            <w:r>
              <w:rPr>
                <w:rFonts w:hint="default" w:ascii="Arial" w:hAnsi="Arial" w:cs="Arial"/>
                <w:bCs/>
                <w:color w:val="auto"/>
                <w:sz w:val="21"/>
                <w:szCs w:val="21"/>
                <w:highlight w:val="none"/>
                <w:lang w:bidi="ar"/>
              </w:rPr>
              <w:t>根据投标人提供的培训方案（包括不限于设备安全使用及设备日常维护保养培训、设备科工程师维修保养培训）内容，由评委根据方案的可行性、专业性、全面性等方面</w:t>
            </w:r>
            <w:r>
              <w:rPr>
                <w:rFonts w:hint="default" w:ascii="Arial" w:hAnsi="Arial" w:eastAsia="宋体" w:cs="Arial"/>
                <w:color w:val="auto"/>
                <w:sz w:val="21"/>
                <w:szCs w:val="21"/>
                <w:highlight w:val="none"/>
              </w:rPr>
              <w:t>进行</w:t>
            </w:r>
            <w:r>
              <w:rPr>
                <w:rFonts w:hint="default" w:ascii="Arial" w:hAnsi="Arial" w:eastAsia="宋体" w:cs="Arial"/>
                <w:color w:val="auto"/>
                <w:sz w:val="21"/>
                <w:szCs w:val="21"/>
                <w:highlight w:val="none"/>
                <w:lang w:val="en-US" w:eastAsia="zh-CN"/>
              </w:rPr>
              <w:t>独立</w:t>
            </w:r>
            <w:r>
              <w:rPr>
                <w:rFonts w:hint="default" w:ascii="Arial" w:hAnsi="Arial" w:eastAsia="宋体" w:cs="Arial"/>
                <w:color w:val="auto"/>
                <w:sz w:val="21"/>
                <w:szCs w:val="21"/>
                <w:highlight w:val="none"/>
              </w:rPr>
              <w:t>评审</w:t>
            </w:r>
            <w:r>
              <w:rPr>
                <w:rFonts w:hint="default" w:ascii="Arial" w:hAnsi="Arial" w:eastAsia="宋体" w:cs="Arial"/>
                <w:color w:val="auto"/>
                <w:spacing w:val="-4"/>
                <w:sz w:val="21"/>
                <w:szCs w:val="21"/>
                <w:highlight w:val="none"/>
              </w:rPr>
              <w:t>并按以下规则独立打分</w:t>
            </w:r>
            <w:r>
              <w:rPr>
                <w:rFonts w:hint="default" w:ascii="Arial" w:hAnsi="Arial" w:eastAsia="宋体" w:cs="Arial"/>
                <w:bCs/>
                <w:color w:val="auto"/>
                <w:sz w:val="21"/>
                <w:szCs w:val="21"/>
                <w:highlight w:val="none"/>
                <w:lang w:val="zh-CN"/>
              </w:rPr>
              <w:t>（</w:t>
            </w:r>
            <w:r>
              <w:rPr>
                <w:rFonts w:hint="default" w:ascii="Arial" w:hAnsi="Arial" w:eastAsia="宋体" w:cs="Arial"/>
                <w:bCs/>
                <w:color w:val="auto"/>
                <w:sz w:val="21"/>
                <w:szCs w:val="21"/>
                <w:highlight w:val="none"/>
              </w:rPr>
              <w:t>投标人所提供的方案不符合任一档次进档所有要求的，不予进入该档评分</w:t>
            </w:r>
            <w:r>
              <w:rPr>
                <w:rFonts w:hint="default" w:ascii="Arial" w:hAnsi="Arial" w:eastAsia="宋体" w:cs="Arial"/>
                <w:bCs/>
                <w:color w:val="auto"/>
                <w:sz w:val="21"/>
                <w:szCs w:val="21"/>
                <w:highlight w:val="none"/>
                <w:lang w:val="zh-CN"/>
              </w:rPr>
              <w:t>）</w:t>
            </w:r>
            <w:r>
              <w:rPr>
                <w:rFonts w:hint="default" w:ascii="Arial" w:hAnsi="Arial" w:eastAsia="宋体" w:cs="Arial"/>
                <w:color w:val="auto"/>
                <w:spacing w:val="-4"/>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Arial" w:hAnsi="Arial" w:eastAsia="宋体" w:cs="Arial"/>
                <w:bCs/>
                <w:color w:val="auto"/>
                <w:sz w:val="21"/>
                <w:szCs w:val="21"/>
                <w:highlight w:val="none"/>
                <w:lang w:eastAsia="zh-CN" w:bidi="ar"/>
              </w:rPr>
            </w:pPr>
            <w:r>
              <w:rPr>
                <w:rFonts w:hint="default" w:ascii="Arial" w:hAnsi="Arial" w:eastAsia="宋体" w:cs="Arial"/>
                <w:bCs/>
                <w:color w:val="auto"/>
                <w:sz w:val="21"/>
                <w:szCs w:val="21"/>
                <w:highlight w:val="none"/>
              </w:rPr>
              <w:t>一档（0分)：未提供方案或方案不可行不得分</w:t>
            </w:r>
            <w:r>
              <w:rPr>
                <w:rFonts w:hint="default" w:ascii="Arial" w:hAnsi="Arial" w:eastAsia="宋体" w:cs="Arial"/>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Arial" w:hAnsi="Arial" w:cs="Arial"/>
                <w:bCs/>
                <w:color w:val="auto"/>
                <w:sz w:val="21"/>
                <w:szCs w:val="21"/>
                <w:highlight w:val="none"/>
              </w:rPr>
            </w:pPr>
            <w:r>
              <w:rPr>
                <w:rFonts w:hint="default" w:ascii="Arial" w:hAnsi="Arial" w:cs="Arial"/>
                <w:bCs/>
                <w:color w:val="auto"/>
                <w:sz w:val="21"/>
                <w:szCs w:val="21"/>
                <w:highlight w:val="none"/>
                <w:lang w:bidi="ar"/>
              </w:rPr>
              <w:t>二档（2分）：能提供基础培训方案，内容较简单，无培训课件、培训设施</w:t>
            </w:r>
            <w:r>
              <w:rPr>
                <w:rFonts w:hint="default" w:ascii="Arial" w:hAnsi="Arial" w:cs="Arial"/>
                <w:bCs/>
                <w:color w:val="auto"/>
                <w:sz w:val="21"/>
                <w:szCs w:val="21"/>
                <w:highlight w:val="none"/>
                <w:lang w:eastAsia="zh-CN" w:bidi="ar"/>
              </w:rPr>
              <w:t>，</w:t>
            </w:r>
            <w:r>
              <w:rPr>
                <w:rFonts w:hint="default" w:ascii="Arial" w:hAnsi="Arial" w:cs="Arial"/>
                <w:bCs/>
                <w:color w:val="auto"/>
                <w:sz w:val="21"/>
                <w:szCs w:val="21"/>
                <w:highlight w:val="none"/>
                <w:lang w:bidi="ar"/>
              </w:rPr>
              <w:t>方案</w:t>
            </w:r>
            <w:r>
              <w:rPr>
                <w:rFonts w:hint="default" w:ascii="Arial" w:hAnsi="Arial" w:cs="Arial"/>
                <w:bCs/>
                <w:color w:val="auto"/>
                <w:sz w:val="21"/>
                <w:szCs w:val="21"/>
                <w:highlight w:val="none"/>
                <w:lang w:val="en-US" w:eastAsia="zh-CN" w:bidi="ar"/>
              </w:rPr>
              <w:t>在</w:t>
            </w:r>
            <w:r>
              <w:rPr>
                <w:rFonts w:hint="default" w:ascii="Arial" w:hAnsi="Arial" w:cs="Arial"/>
                <w:bCs/>
                <w:color w:val="auto"/>
                <w:sz w:val="21"/>
                <w:szCs w:val="21"/>
                <w:highlight w:val="none"/>
                <w:lang w:bidi="ar"/>
              </w:rPr>
              <w:t>可行性、专业性、全面性等方面</w:t>
            </w:r>
            <w:r>
              <w:rPr>
                <w:rFonts w:hint="default" w:ascii="Arial" w:hAnsi="Arial" w:cs="Arial"/>
                <w:bCs/>
                <w:color w:val="auto"/>
                <w:sz w:val="21"/>
                <w:szCs w:val="21"/>
                <w:highlight w:val="none"/>
                <w:lang w:val="en-US" w:eastAsia="zh-CN" w:bidi="ar"/>
              </w:rPr>
              <w:t>仅有1项经评审合格的</w:t>
            </w:r>
            <w:r>
              <w:rPr>
                <w:rFonts w:hint="default" w:ascii="Arial" w:hAnsi="Arial" w:cs="Arial"/>
                <w:bCs/>
                <w:color w:val="auto"/>
                <w:sz w:val="21"/>
                <w:szCs w:val="21"/>
                <w:highlight w:val="none"/>
                <w:lang w:eastAsia="zh-CN" w:bidi="ar"/>
              </w:rPr>
              <w:t>；</w:t>
            </w:r>
            <w:r>
              <w:rPr>
                <w:rFonts w:hint="default" w:ascii="Arial" w:hAnsi="Arial" w:cs="Arial"/>
                <w:bCs/>
                <w:color w:val="auto"/>
                <w:sz w:val="21"/>
                <w:szCs w:val="21"/>
                <w:highlight w:val="none"/>
                <w:lang w:bidi="ar"/>
              </w:rPr>
              <w:br w:type="textWrapping"/>
            </w:r>
            <w:r>
              <w:rPr>
                <w:rFonts w:hint="default" w:ascii="Arial" w:hAnsi="Arial" w:cs="Arial"/>
                <w:bCs/>
                <w:color w:val="auto"/>
                <w:sz w:val="21"/>
                <w:szCs w:val="21"/>
                <w:highlight w:val="none"/>
                <w:lang w:bidi="ar"/>
              </w:rPr>
              <w:t>三档（4分）：提供的培训方案相对较好，内容完整，有具体的培训计划及培训课件，有培训场地及培训设施</w:t>
            </w:r>
            <w:r>
              <w:rPr>
                <w:rFonts w:hint="default" w:ascii="Arial" w:hAnsi="Arial" w:cs="Arial"/>
                <w:bCs/>
                <w:color w:val="auto"/>
                <w:sz w:val="21"/>
                <w:szCs w:val="21"/>
                <w:highlight w:val="none"/>
                <w:lang w:eastAsia="zh-CN" w:bidi="ar"/>
              </w:rPr>
              <w:t>，</w:t>
            </w:r>
            <w:r>
              <w:rPr>
                <w:rFonts w:hint="default" w:ascii="Arial" w:hAnsi="Arial" w:cs="Arial"/>
                <w:bCs/>
                <w:color w:val="auto"/>
                <w:sz w:val="21"/>
                <w:szCs w:val="21"/>
                <w:highlight w:val="none"/>
                <w:lang w:bidi="ar"/>
              </w:rPr>
              <w:t>方案</w:t>
            </w:r>
            <w:r>
              <w:rPr>
                <w:rFonts w:hint="default" w:ascii="Arial" w:hAnsi="Arial" w:cs="Arial"/>
                <w:bCs/>
                <w:color w:val="auto"/>
                <w:sz w:val="21"/>
                <w:szCs w:val="21"/>
                <w:highlight w:val="none"/>
                <w:lang w:val="en-US" w:eastAsia="zh-CN" w:bidi="ar"/>
              </w:rPr>
              <w:t>在</w:t>
            </w:r>
            <w:r>
              <w:rPr>
                <w:rFonts w:hint="default" w:ascii="Arial" w:hAnsi="Arial" w:cs="Arial"/>
                <w:bCs/>
                <w:color w:val="auto"/>
                <w:sz w:val="21"/>
                <w:szCs w:val="21"/>
                <w:highlight w:val="none"/>
                <w:lang w:bidi="ar"/>
              </w:rPr>
              <w:t>可行性、专业性、全面性等方面</w:t>
            </w:r>
            <w:r>
              <w:rPr>
                <w:rFonts w:hint="default" w:ascii="Arial" w:hAnsi="Arial" w:cs="Arial"/>
                <w:bCs/>
                <w:color w:val="auto"/>
                <w:sz w:val="21"/>
                <w:szCs w:val="21"/>
                <w:highlight w:val="none"/>
                <w:lang w:val="en-US" w:eastAsia="zh-CN" w:bidi="ar"/>
              </w:rPr>
              <w:t>有2项经评审合格的</w:t>
            </w:r>
            <w:r>
              <w:rPr>
                <w:rFonts w:hint="default" w:ascii="Arial" w:hAnsi="Arial" w:cs="Arial"/>
                <w:bCs/>
                <w:color w:val="auto"/>
                <w:sz w:val="21"/>
                <w:szCs w:val="21"/>
                <w:highlight w:val="none"/>
                <w:lang w:bidi="ar"/>
              </w:rPr>
              <w:t>；</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Arial" w:hAnsi="Arial" w:cs="Arial"/>
                <w:b/>
                <w:color w:val="auto"/>
                <w:sz w:val="21"/>
                <w:szCs w:val="21"/>
                <w:highlight w:val="none"/>
              </w:rPr>
            </w:pPr>
            <w:r>
              <w:rPr>
                <w:rFonts w:hint="default" w:ascii="Arial" w:hAnsi="Arial" w:cs="Arial"/>
                <w:bCs/>
                <w:color w:val="auto"/>
                <w:sz w:val="21"/>
                <w:szCs w:val="21"/>
                <w:highlight w:val="none"/>
                <w:lang w:bidi="ar"/>
              </w:rPr>
              <w:t>四档（6分）：提供的培训方案满足三档的基础上，进一步丰富和完善，有具体的培训计划、培训课件、三年及以上维修经验、培训场地及完善的培训设施等内容，方案内容完整度高，</w:t>
            </w:r>
            <w:r>
              <w:rPr>
                <w:rFonts w:hint="default" w:ascii="Arial" w:hAnsi="Arial" w:cs="Arial"/>
                <w:bCs/>
                <w:color w:val="auto"/>
                <w:sz w:val="21"/>
                <w:szCs w:val="21"/>
                <w:highlight w:val="none"/>
                <w:lang w:val="en-US" w:eastAsia="zh-CN" w:bidi="ar"/>
              </w:rPr>
              <w:t>可行性、</w:t>
            </w:r>
            <w:r>
              <w:rPr>
                <w:rFonts w:hint="default" w:ascii="Arial" w:hAnsi="Arial" w:cs="Arial"/>
                <w:bCs/>
                <w:color w:val="auto"/>
                <w:sz w:val="21"/>
                <w:szCs w:val="21"/>
                <w:highlight w:val="none"/>
                <w:lang w:bidi="ar"/>
              </w:rPr>
              <w:t>专业性、</w:t>
            </w:r>
            <w:r>
              <w:rPr>
                <w:rFonts w:hint="default" w:ascii="Arial" w:hAnsi="Arial" w:eastAsia="宋体" w:cs="Arial"/>
                <w:bCs/>
                <w:color w:val="auto"/>
                <w:sz w:val="21"/>
                <w:szCs w:val="21"/>
                <w:highlight w:val="none"/>
                <w:lang w:val="en-US" w:eastAsia="zh-CN" w:bidi="ar"/>
              </w:rPr>
              <w:t>全面性</w:t>
            </w:r>
            <w:r>
              <w:rPr>
                <w:rFonts w:hint="default" w:ascii="Arial" w:hAnsi="Arial" w:cs="Arial"/>
                <w:bCs/>
                <w:color w:val="auto"/>
                <w:sz w:val="21"/>
                <w:szCs w:val="21"/>
                <w:highlight w:val="none"/>
                <w:lang w:val="en-US" w:eastAsia="zh-CN" w:bidi="ar"/>
              </w:rPr>
              <w:t>经评审均合格且</w:t>
            </w:r>
            <w:r>
              <w:rPr>
                <w:rFonts w:hint="default" w:ascii="Arial" w:hAnsi="Arial" w:cs="Arial"/>
                <w:bCs/>
                <w:color w:val="auto"/>
                <w:sz w:val="21"/>
                <w:szCs w:val="21"/>
                <w:highlight w:val="none"/>
                <w:lang w:bidi="ar"/>
              </w:rPr>
              <w:t>可操作性强；有医院现场培训经验，可提供现场培训的材料。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atLeast"/>
        </w:trPr>
        <w:tc>
          <w:tcPr>
            <w:tcW w:w="525" w:type="dxa"/>
            <w:vMerge w:val="continue"/>
            <w:noWrap w:val="0"/>
            <w:vAlign w:val="center"/>
          </w:tcPr>
          <w:p>
            <w:pPr>
              <w:spacing w:line="400" w:lineRule="exact"/>
              <w:jc w:val="center"/>
              <w:textAlignment w:val="baseline"/>
              <w:rPr>
                <w:rFonts w:hint="default" w:ascii="Arial" w:hAnsi="Arial" w:cs="Arial"/>
                <w:bCs/>
                <w:sz w:val="21"/>
                <w:szCs w:val="21"/>
                <w:highlight w:val="none"/>
              </w:rPr>
            </w:pPr>
          </w:p>
        </w:tc>
        <w:tc>
          <w:tcPr>
            <w:tcW w:w="1357" w:type="dxa"/>
            <w:vMerge w:val="continue"/>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p>
        </w:tc>
        <w:tc>
          <w:tcPr>
            <w:tcW w:w="1200" w:type="dxa"/>
            <w:noWrap w:val="0"/>
            <w:vAlign w:val="center"/>
          </w:tcPr>
          <w:p>
            <w:pPr>
              <w:widowControl/>
              <w:spacing w:line="400" w:lineRule="exact"/>
              <w:jc w:val="center"/>
              <w:rPr>
                <w:rFonts w:hint="default" w:ascii="Arial" w:hAnsi="Arial" w:cs="Arial"/>
                <w:bCs/>
                <w:color w:val="auto"/>
                <w:sz w:val="21"/>
                <w:szCs w:val="21"/>
                <w:highlight w:val="none"/>
              </w:rPr>
            </w:pPr>
            <w:r>
              <w:rPr>
                <w:rFonts w:hint="default" w:ascii="Arial" w:hAnsi="Arial" w:cs="Arial"/>
                <w:bCs/>
                <w:color w:val="auto"/>
                <w:sz w:val="21"/>
                <w:szCs w:val="21"/>
                <w:highlight w:val="none"/>
              </w:rPr>
              <w:t>应急服务方案（6分）</w:t>
            </w:r>
          </w:p>
        </w:tc>
        <w:tc>
          <w:tcPr>
            <w:tcW w:w="720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210" w:firstLineChars="100"/>
              <w:jc w:val="left"/>
              <w:textAlignment w:val="auto"/>
              <w:rPr>
                <w:rFonts w:hint="default" w:ascii="Arial" w:hAnsi="Arial" w:eastAsia="宋体" w:cs="Arial"/>
                <w:bCs/>
                <w:color w:val="auto"/>
                <w:sz w:val="21"/>
                <w:szCs w:val="21"/>
                <w:highlight w:val="none"/>
              </w:rPr>
            </w:pPr>
            <w:r>
              <w:rPr>
                <w:rFonts w:hint="default" w:ascii="Arial" w:hAnsi="Arial" w:eastAsia="宋体" w:cs="Arial"/>
                <w:color w:val="auto"/>
                <w:sz w:val="21"/>
                <w:szCs w:val="21"/>
                <w:highlight w:val="none"/>
                <w:lang w:val="en-US" w:eastAsia="zh-CN"/>
              </w:rPr>
              <w:t>评委</w:t>
            </w:r>
            <w:r>
              <w:rPr>
                <w:rFonts w:hint="default" w:ascii="Arial" w:hAnsi="Arial" w:eastAsia="宋体" w:cs="Arial"/>
                <w:color w:val="auto"/>
                <w:sz w:val="21"/>
                <w:szCs w:val="21"/>
                <w:highlight w:val="none"/>
              </w:rPr>
              <w:t>根据各投标人提供的应急服务方案</w:t>
            </w:r>
            <w:r>
              <w:rPr>
                <w:rFonts w:hint="default" w:ascii="Arial" w:hAnsi="Arial" w:eastAsia="宋体" w:cs="Arial"/>
                <w:color w:val="auto"/>
                <w:sz w:val="21"/>
                <w:szCs w:val="21"/>
                <w:highlight w:val="none"/>
                <w:lang w:val="en-US" w:eastAsia="zh-CN"/>
              </w:rPr>
              <w:t>的可行</w:t>
            </w:r>
            <w:r>
              <w:rPr>
                <w:rFonts w:hint="default" w:ascii="Arial" w:hAnsi="Arial" w:eastAsia="宋体" w:cs="Arial"/>
                <w:bCs/>
                <w:color w:val="auto"/>
                <w:sz w:val="21"/>
                <w:szCs w:val="21"/>
                <w:highlight w:val="none"/>
              </w:rPr>
              <w:t>性、合理性、针对性</w:t>
            </w:r>
            <w:r>
              <w:rPr>
                <w:rFonts w:hint="default" w:ascii="Arial" w:hAnsi="Arial" w:eastAsia="宋体" w:cs="Arial"/>
                <w:bCs/>
                <w:color w:val="auto"/>
                <w:sz w:val="21"/>
                <w:szCs w:val="21"/>
                <w:highlight w:val="none"/>
                <w:lang w:val="en-US" w:eastAsia="zh-CN"/>
              </w:rPr>
              <w:t>方面</w:t>
            </w:r>
            <w:r>
              <w:rPr>
                <w:rFonts w:hint="default" w:ascii="Arial" w:hAnsi="Arial" w:eastAsia="宋体" w:cs="Arial"/>
                <w:color w:val="auto"/>
                <w:sz w:val="21"/>
                <w:szCs w:val="21"/>
                <w:highlight w:val="none"/>
              </w:rPr>
              <w:t>进行</w:t>
            </w:r>
            <w:r>
              <w:rPr>
                <w:rFonts w:hint="default" w:ascii="Arial" w:hAnsi="Arial" w:eastAsia="宋体" w:cs="Arial"/>
                <w:color w:val="auto"/>
                <w:sz w:val="21"/>
                <w:szCs w:val="21"/>
                <w:highlight w:val="none"/>
                <w:lang w:val="en-US" w:eastAsia="zh-CN"/>
              </w:rPr>
              <w:t>独立</w:t>
            </w:r>
            <w:r>
              <w:rPr>
                <w:rFonts w:hint="default" w:ascii="Arial" w:hAnsi="Arial" w:eastAsia="宋体" w:cs="Arial"/>
                <w:color w:val="auto"/>
                <w:sz w:val="21"/>
                <w:szCs w:val="21"/>
                <w:highlight w:val="none"/>
              </w:rPr>
              <w:t>评审</w:t>
            </w:r>
            <w:r>
              <w:rPr>
                <w:rFonts w:hint="default" w:ascii="Arial" w:hAnsi="Arial" w:eastAsia="宋体" w:cs="Arial"/>
                <w:color w:val="auto"/>
                <w:spacing w:val="-4"/>
                <w:sz w:val="21"/>
                <w:szCs w:val="21"/>
                <w:highlight w:val="none"/>
              </w:rPr>
              <w:t>并按以下规则独立打分</w:t>
            </w:r>
            <w:r>
              <w:rPr>
                <w:rFonts w:hint="default" w:ascii="Arial" w:hAnsi="Arial" w:eastAsia="宋体" w:cs="Arial"/>
                <w:bCs/>
                <w:color w:val="auto"/>
                <w:sz w:val="21"/>
                <w:szCs w:val="21"/>
                <w:highlight w:val="none"/>
                <w:lang w:val="zh-CN"/>
              </w:rPr>
              <w:t>（</w:t>
            </w:r>
            <w:r>
              <w:rPr>
                <w:rFonts w:hint="default" w:ascii="Arial" w:hAnsi="Arial" w:eastAsia="宋体" w:cs="Arial"/>
                <w:bCs/>
                <w:color w:val="auto"/>
                <w:sz w:val="21"/>
                <w:szCs w:val="21"/>
                <w:highlight w:val="none"/>
              </w:rPr>
              <w:t>投标人所提供的方案不符合任一档次进档所有要求的，不予进入该档评分</w:t>
            </w:r>
            <w:r>
              <w:rPr>
                <w:rFonts w:hint="default" w:ascii="Arial" w:hAnsi="Arial" w:eastAsia="宋体" w:cs="Arial"/>
                <w:bCs/>
                <w:color w:val="auto"/>
                <w:sz w:val="21"/>
                <w:szCs w:val="21"/>
                <w:highlight w:val="none"/>
                <w:lang w:val="zh-CN"/>
              </w:rPr>
              <w:t>）</w:t>
            </w:r>
            <w:r>
              <w:rPr>
                <w:rFonts w:hint="default" w:ascii="Arial" w:hAnsi="Arial" w:eastAsia="宋体" w:cs="Arial"/>
                <w:color w:val="auto"/>
                <w:spacing w:val="-4"/>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left"/>
              <w:textAlignment w:val="auto"/>
              <w:rPr>
                <w:rFonts w:hint="default" w:ascii="Arial" w:hAnsi="Arial" w:eastAsia="宋体" w:cs="Arial"/>
                <w:bCs/>
                <w:color w:val="auto"/>
                <w:sz w:val="21"/>
                <w:szCs w:val="21"/>
                <w:highlight w:val="none"/>
              </w:rPr>
            </w:pPr>
            <w:r>
              <w:rPr>
                <w:rFonts w:hint="default" w:ascii="Arial" w:hAnsi="Arial" w:eastAsia="宋体" w:cs="Arial"/>
                <w:bCs/>
                <w:color w:val="auto"/>
                <w:sz w:val="21"/>
                <w:szCs w:val="21"/>
                <w:highlight w:val="none"/>
              </w:rPr>
              <w:t>一档（0分)：未提供方案或方案不可行不得分。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Cs/>
                <w:color w:val="auto"/>
                <w:sz w:val="21"/>
                <w:szCs w:val="21"/>
                <w:highlight w:val="none"/>
              </w:rPr>
            </w:pPr>
            <w:r>
              <w:rPr>
                <w:rFonts w:hint="default" w:ascii="Arial" w:hAnsi="Arial" w:cs="Arial"/>
                <w:bCs/>
                <w:color w:val="auto"/>
                <w:sz w:val="21"/>
                <w:szCs w:val="21"/>
                <w:highlight w:val="none"/>
              </w:rPr>
              <w:t>二档（2分）：投标人能够提供应急处理</w:t>
            </w:r>
            <w:r>
              <w:rPr>
                <w:rFonts w:hint="default" w:ascii="Arial" w:hAnsi="Arial" w:cs="Arial"/>
                <w:bCs/>
                <w:color w:val="auto"/>
                <w:sz w:val="21"/>
                <w:szCs w:val="21"/>
                <w:highlight w:val="none"/>
                <w:lang w:val="en-US" w:eastAsia="zh-CN"/>
              </w:rPr>
              <w:t>的</w:t>
            </w:r>
            <w:r>
              <w:rPr>
                <w:rFonts w:hint="default" w:ascii="Arial" w:hAnsi="Arial" w:cs="Arial"/>
                <w:bCs/>
                <w:color w:val="auto"/>
                <w:sz w:val="21"/>
                <w:szCs w:val="21"/>
                <w:highlight w:val="none"/>
              </w:rPr>
              <w:t>基础方案，方案</w:t>
            </w:r>
            <w:r>
              <w:rPr>
                <w:rFonts w:hint="default" w:ascii="Arial" w:hAnsi="Arial" w:cs="Arial"/>
                <w:bCs/>
                <w:color w:val="auto"/>
                <w:sz w:val="21"/>
                <w:szCs w:val="21"/>
                <w:highlight w:val="none"/>
                <w:lang w:val="en-US" w:eastAsia="zh-CN" w:bidi="ar"/>
              </w:rPr>
              <w:t>在</w:t>
            </w:r>
            <w:r>
              <w:rPr>
                <w:rFonts w:hint="default" w:ascii="Arial" w:hAnsi="Arial" w:eastAsia="宋体" w:cs="Arial"/>
                <w:bCs/>
                <w:color w:val="auto"/>
                <w:sz w:val="21"/>
                <w:szCs w:val="21"/>
                <w:highlight w:val="none"/>
                <w:lang w:val="en-US" w:eastAsia="zh-CN"/>
              </w:rPr>
              <w:t>可行</w:t>
            </w:r>
            <w:r>
              <w:rPr>
                <w:rFonts w:hint="default" w:ascii="Arial" w:hAnsi="Arial" w:eastAsia="宋体" w:cs="Arial"/>
                <w:bCs/>
                <w:color w:val="auto"/>
                <w:sz w:val="21"/>
                <w:szCs w:val="21"/>
                <w:highlight w:val="none"/>
              </w:rPr>
              <w:t>性、合理性、针对性</w:t>
            </w:r>
            <w:r>
              <w:rPr>
                <w:rFonts w:hint="default" w:ascii="Arial" w:hAnsi="Arial" w:cs="Arial"/>
                <w:bCs/>
                <w:color w:val="auto"/>
                <w:sz w:val="21"/>
                <w:szCs w:val="21"/>
                <w:highlight w:val="none"/>
                <w:lang w:bidi="ar"/>
              </w:rPr>
              <w:t>等方面</w:t>
            </w:r>
            <w:r>
              <w:rPr>
                <w:rFonts w:hint="default" w:ascii="Arial" w:hAnsi="Arial" w:cs="Arial"/>
                <w:bCs/>
                <w:color w:val="auto"/>
                <w:sz w:val="21"/>
                <w:szCs w:val="21"/>
                <w:highlight w:val="none"/>
                <w:lang w:val="en-US" w:eastAsia="zh-CN" w:bidi="ar"/>
              </w:rPr>
              <w:t>有2项经评审合格</w:t>
            </w:r>
            <w:r>
              <w:rPr>
                <w:rFonts w:hint="default" w:ascii="Arial" w:hAnsi="Arial" w:cs="Arial"/>
                <w:bCs/>
                <w:color w:val="auto"/>
                <w:sz w:val="21"/>
                <w:szCs w:val="21"/>
                <w:highlight w:val="none"/>
              </w:rPr>
              <w:t>；</w:t>
            </w:r>
            <w:r>
              <w:rPr>
                <w:rFonts w:hint="default" w:ascii="Arial" w:hAnsi="Arial" w:cs="Arial"/>
                <w:bCs/>
                <w:color w:val="auto"/>
                <w:sz w:val="21"/>
                <w:szCs w:val="21"/>
                <w:highlight w:val="none"/>
                <w:lang w:val="en-US" w:eastAsia="zh-CN"/>
              </w:rPr>
              <w:t>在应急处理时投标人</w:t>
            </w:r>
            <w:r>
              <w:rPr>
                <w:rFonts w:hint="default" w:ascii="Arial" w:hAnsi="Arial" w:cs="Arial"/>
                <w:bCs/>
                <w:color w:val="auto"/>
                <w:sz w:val="21"/>
                <w:szCs w:val="21"/>
                <w:highlight w:val="none"/>
              </w:rPr>
              <w:t>如入驻团队达不到采购人要求或有突发事件需要应急支持的，可提供另外的支持团队协助采购人相关维保及管理工作，并在12个小时内到达现场协助解决；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Cs/>
                <w:color w:val="auto"/>
                <w:sz w:val="21"/>
                <w:szCs w:val="21"/>
                <w:highlight w:val="none"/>
              </w:rPr>
            </w:pPr>
            <w:r>
              <w:rPr>
                <w:rFonts w:hint="default" w:ascii="Arial" w:hAnsi="Arial" w:cs="Arial"/>
                <w:bCs/>
                <w:color w:val="auto"/>
                <w:sz w:val="21"/>
                <w:szCs w:val="21"/>
                <w:highlight w:val="none"/>
              </w:rPr>
              <w:t>三档（4分）：投标人提供的应急处理方案</w:t>
            </w:r>
            <w:r>
              <w:rPr>
                <w:rFonts w:hint="default" w:ascii="Arial" w:hAnsi="Arial" w:cs="Arial"/>
                <w:bCs/>
                <w:color w:val="auto"/>
                <w:sz w:val="21"/>
                <w:szCs w:val="21"/>
                <w:highlight w:val="none"/>
                <w:lang w:val="en-US" w:eastAsia="zh-CN"/>
              </w:rPr>
              <w:t>完整较为详细，并</w:t>
            </w:r>
            <w:r>
              <w:rPr>
                <w:rFonts w:hint="default" w:ascii="Arial" w:hAnsi="Arial" w:cs="Arial"/>
                <w:bCs/>
                <w:color w:val="auto"/>
                <w:sz w:val="21"/>
                <w:szCs w:val="21"/>
                <w:highlight w:val="none"/>
                <w:lang w:val="en-US" w:eastAsia="zh-CN" w:bidi="ar"/>
              </w:rPr>
              <w:t>在</w:t>
            </w:r>
            <w:r>
              <w:rPr>
                <w:rFonts w:hint="default" w:ascii="Arial" w:hAnsi="Arial" w:eastAsia="宋体" w:cs="Arial"/>
                <w:bCs/>
                <w:color w:val="auto"/>
                <w:sz w:val="21"/>
                <w:szCs w:val="21"/>
                <w:highlight w:val="none"/>
                <w:lang w:val="en-US" w:eastAsia="zh-CN"/>
              </w:rPr>
              <w:t>可行</w:t>
            </w:r>
            <w:r>
              <w:rPr>
                <w:rFonts w:hint="default" w:ascii="Arial" w:hAnsi="Arial" w:eastAsia="宋体" w:cs="Arial"/>
                <w:bCs/>
                <w:color w:val="auto"/>
                <w:sz w:val="21"/>
                <w:szCs w:val="21"/>
                <w:highlight w:val="none"/>
              </w:rPr>
              <w:t>性、合理性、针对性</w:t>
            </w:r>
            <w:r>
              <w:rPr>
                <w:rFonts w:hint="default" w:ascii="Arial" w:hAnsi="Arial" w:cs="Arial"/>
                <w:bCs/>
                <w:color w:val="auto"/>
                <w:sz w:val="21"/>
                <w:szCs w:val="21"/>
                <w:highlight w:val="none"/>
                <w:lang w:bidi="ar"/>
              </w:rPr>
              <w:t>等方面</w:t>
            </w:r>
            <w:r>
              <w:rPr>
                <w:rFonts w:hint="default" w:ascii="Arial" w:hAnsi="Arial" w:cs="Arial"/>
                <w:bCs/>
                <w:color w:val="auto"/>
                <w:sz w:val="21"/>
                <w:szCs w:val="21"/>
                <w:highlight w:val="none"/>
                <w:lang w:val="en-US" w:eastAsia="zh-CN" w:bidi="ar"/>
              </w:rPr>
              <w:t>有3项经评审合格</w:t>
            </w:r>
            <w:r>
              <w:rPr>
                <w:rFonts w:hint="default" w:ascii="Arial" w:hAnsi="Arial" w:cs="Arial"/>
                <w:bCs/>
                <w:color w:val="auto"/>
                <w:sz w:val="21"/>
                <w:szCs w:val="21"/>
                <w:highlight w:val="none"/>
              </w:rPr>
              <w:t>；</w:t>
            </w:r>
            <w:r>
              <w:rPr>
                <w:rFonts w:hint="default" w:ascii="Arial" w:hAnsi="Arial" w:cs="Arial"/>
                <w:bCs/>
                <w:color w:val="auto"/>
                <w:sz w:val="21"/>
                <w:szCs w:val="21"/>
                <w:highlight w:val="none"/>
                <w:lang w:val="en-US" w:eastAsia="zh-CN"/>
              </w:rPr>
              <w:t>在应急处理时投标人</w:t>
            </w:r>
            <w:r>
              <w:rPr>
                <w:rFonts w:hint="default" w:ascii="Arial" w:hAnsi="Arial" w:cs="Arial"/>
                <w:bCs/>
                <w:color w:val="auto"/>
                <w:sz w:val="21"/>
                <w:szCs w:val="21"/>
                <w:highlight w:val="none"/>
              </w:rPr>
              <w:t>如入驻团队达不到采购人要求或有突发事件需要应急支持的，可提供另外的支持团队协助采购人相关维保及管理工作，并在6个小时内到达现场协助解决；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bCs/>
                <w:color w:val="auto"/>
                <w:sz w:val="21"/>
                <w:szCs w:val="21"/>
                <w:highlight w:val="none"/>
              </w:rPr>
            </w:pPr>
            <w:r>
              <w:rPr>
                <w:rFonts w:hint="default" w:ascii="Arial" w:hAnsi="Arial" w:cs="Arial"/>
                <w:bCs/>
                <w:color w:val="auto"/>
                <w:sz w:val="21"/>
                <w:szCs w:val="21"/>
                <w:highlight w:val="none"/>
              </w:rPr>
              <w:t>四档（6分）</w:t>
            </w:r>
            <w:r>
              <w:rPr>
                <w:rFonts w:hint="default" w:ascii="Arial" w:hAnsi="Arial" w:cs="Arial"/>
                <w:bCs/>
                <w:color w:val="auto"/>
                <w:sz w:val="21"/>
                <w:szCs w:val="21"/>
                <w:highlight w:val="none"/>
                <w:lang w:eastAsia="zh-CN"/>
              </w:rPr>
              <w:t>：</w:t>
            </w:r>
            <w:r>
              <w:rPr>
                <w:rFonts w:hint="default" w:ascii="Arial" w:hAnsi="Arial" w:cs="Arial"/>
                <w:bCs/>
                <w:color w:val="auto"/>
                <w:sz w:val="21"/>
                <w:szCs w:val="21"/>
                <w:highlight w:val="none"/>
                <w:lang w:val="en-US" w:eastAsia="zh-CN"/>
              </w:rPr>
              <w:t>在三档基础上，</w:t>
            </w:r>
            <w:r>
              <w:rPr>
                <w:rFonts w:hint="default" w:ascii="Arial" w:hAnsi="Arial" w:cs="Arial"/>
                <w:bCs/>
                <w:color w:val="auto"/>
                <w:sz w:val="21"/>
                <w:szCs w:val="21"/>
                <w:highlight w:val="none"/>
              </w:rPr>
              <w:t>投标人提供的应急处理方案保障科学、合理、完善，针对性强，</w:t>
            </w:r>
            <w:r>
              <w:rPr>
                <w:rFonts w:hint="default" w:ascii="Arial" w:hAnsi="Arial" w:cs="Arial"/>
                <w:bCs/>
                <w:color w:val="auto"/>
                <w:sz w:val="21"/>
                <w:szCs w:val="21"/>
                <w:highlight w:val="none"/>
                <w:lang w:val="en-US" w:eastAsia="zh-CN"/>
              </w:rPr>
              <w:t>保障措施</w:t>
            </w:r>
            <w:r>
              <w:rPr>
                <w:rFonts w:hint="default" w:ascii="Arial" w:hAnsi="Arial" w:cs="Arial"/>
                <w:bCs/>
                <w:color w:val="auto"/>
                <w:sz w:val="21"/>
                <w:szCs w:val="21"/>
                <w:highlight w:val="none"/>
              </w:rPr>
              <w:t>能够充分满足采购人的需求；</w:t>
            </w:r>
            <w:r>
              <w:rPr>
                <w:rFonts w:hint="default" w:ascii="Arial" w:hAnsi="Arial" w:cs="Arial"/>
                <w:bCs/>
                <w:color w:val="auto"/>
                <w:sz w:val="21"/>
                <w:szCs w:val="21"/>
                <w:highlight w:val="none"/>
                <w:lang w:val="en-US" w:eastAsia="zh-CN"/>
              </w:rPr>
              <w:t>在应急处理时投标人</w:t>
            </w:r>
            <w:r>
              <w:rPr>
                <w:rFonts w:hint="default" w:ascii="Arial" w:hAnsi="Arial" w:cs="Arial"/>
                <w:bCs/>
                <w:color w:val="auto"/>
                <w:sz w:val="21"/>
                <w:szCs w:val="21"/>
                <w:highlight w:val="none"/>
              </w:rPr>
              <w:t>如入驻团队达不到采购人要求或有突发事件需要应急支持的，可提供另外的支持团队协助采购人相关维保及管理工作，并在2个小时内到达现场协助解决。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eastAsia="宋体" w:cs="Arial"/>
                <w:color w:val="auto"/>
                <w:sz w:val="21"/>
                <w:szCs w:val="21"/>
                <w:highlight w:val="none"/>
                <w:lang w:eastAsia="zh-CN"/>
              </w:rPr>
            </w:pPr>
            <w:r>
              <w:rPr>
                <w:rFonts w:hint="default" w:ascii="Arial" w:hAnsi="Arial" w:cs="Arial"/>
                <w:bCs/>
                <w:color w:val="auto"/>
                <w:sz w:val="21"/>
                <w:szCs w:val="21"/>
                <w:highlight w:val="none"/>
              </w:rPr>
              <w:t>注：需提供支持团队及应急支援时效证明文件</w:t>
            </w:r>
            <w:r>
              <w:rPr>
                <w:rFonts w:hint="default" w:ascii="Arial" w:hAnsi="Arial" w:cs="Arial"/>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25" w:type="dxa"/>
            <w:vMerge w:val="continue"/>
            <w:noWrap w:val="0"/>
            <w:vAlign w:val="center"/>
          </w:tcPr>
          <w:p>
            <w:pPr>
              <w:spacing w:line="400" w:lineRule="exact"/>
              <w:jc w:val="center"/>
              <w:textAlignment w:val="baseline"/>
              <w:rPr>
                <w:rFonts w:hint="default" w:ascii="Arial" w:hAnsi="Arial" w:cs="Arial"/>
                <w:bCs/>
                <w:sz w:val="21"/>
                <w:szCs w:val="21"/>
                <w:highlight w:val="none"/>
              </w:rPr>
            </w:pPr>
          </w:p>
        </w:tc>
        <w:tc>
          <w:tcPr>
            <w:tcW w:w="1357" w:type="dxa"/>
            <w:vMerge w:val="continue"/>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p>
        </w:tc>
        <w:tc>
          <w:tcPr>
            <w:tcW w:w="1200" w:type="dxa"/>
            <w:noWrap w:val="0"/>
            <w:vAlign w:val="center"/>
          </w:tcPr>
          <w:p>
            <w:pPr>
              <w:widowControl/>
              <w:spacing w:line="400" w:lineRule="exact"/>
              <w:jc w:val="center"/>
              <w:rPr>
                <w:rFonts w:hint="default" w:ascii="Arial" w:hAnsi="Arial" w:cs="Arial"/>
                <w:bCs/>
                <w:color w:val="auto"/>
                <w:sz w:val="21"/>
                <w:szCs w:val="21"/>
                <w:highlight w:val="none"/>
              </w:rPr>
            </w:pPr>
            <w:r>
              <w:rPr>
                <w:rFonts w:hint="default" w:ascii="Arial" w:hAnsi="Arial" w:cs="Arial"/>
                <w:bCs/>
                <w:color w:val="auto"/>
                <w:kern w:val="0"/>
                <w:sz w:val="21"/>
                <w:szCs w:val="21"/>
                <w:highlight w:val="none"/>
              </w:rPr>
              <w:t>服务团队（12分）</w:t>
            </w:r>
          </w:p>
        </w:tc>
        <w:tc>
          <w:tcPr>
            <w:tcW w:w="7206" w:type="dxa"/>
            <w:noWrap w:val="0"/>
            <w:vAlign w:val="center"/>
          </w:tcPr>
          <w:p>
            <w:pPr>
              <w:pStyle w:val="69"/>
              <w:keepNext w:val="0"/>
              <w:keepLines w:val="0"/>
              <w:pageBreakBefore w:val="0"/>
              <w:widowControl w:val="0"/>
              <w:kinsoku/>
              <w:wordWrap/>
              <w:overflowPunct/>
              <w:topLinePunct w:val="0"/>
              <w:autoSpaceDE/>
              <w:autoSpaceDN/>
              <w:bidi w:val="0"/>
              <w:adjustRightInd/>
              <w:snapToGrid/>
              <w:spacing w:line="380" w:lineRule="exact"/>
              <w:jc w:val="both"/>
              <w:rPr>
                <w:rFonts w:hint="default" w:ascii="Arial" w:hAnsi="Arial" w:cs="Arial"/>
                <w:color w:val="auto"/>
                <w:sz w:val="21"/>
                <w:szCs w:val="21"/>
                <w:highlight w:val="none"/>
              </w:rPr>
            </w:pPr>
            <w:r>
              <w:rPr>
                <w:rFonts w:hint="default" w:ascii="Arial" w:hAnsi="Arial" w:cs="Arial"/>
                <w:color w:val="auto"/>
                <w:sz w:val="21"/>
                <w:szCs w:val="21"/>
                <w:highlight w:val="none"/>
              </w:rPr>
              <w:t>投标人技术力量优良，人员配置合理，服务团队具有以下证书：</w:t>
            </w:r>
          </w:p>
          <w:p>
            <w:pPr>
              <w:pStyle w:val="69"/>
              <w:keepNext w:val="0"/>
              <w:keepLines w:val="0"/>
              <w:pageBreakBefore w:val="0"/>
              <w:widowControl w:val="0"/>
              <w:kinsoku/>
              <w:wordWrap/>
              <w:overflowPunct/>
              <w:topLinePunct w:val="0"/>
              <w:autoSpaceDE/>
              <w:autoSpaceDN/>
              <w:bidi w:val="0"/>
              <w:adjustRightInd/>
              <w:snapToGrid/>
              <w:spacing w:line="380" w:lineRule="exact"/>
              <w:jc w:val="both"/>
              <w:rPr>
                <w:rFonts w:hint="default" w:ascii="Arial" w:hAnsi="Arial" w:cs="Arial"/>
                <w:color w:val="auto"/>
                <w:sz w:val="21"/>
                <w:szCs w:val="21"/>
                <w:highlight w:val="none"/>
              </w:rPr>
            </w:pPr>
            <w:r>
              <w:rPr>
                <w:rFonts w:hint="default" w:ascii="Arial" w:hAnsi="Arial" w:cs="Arial"/>
                <w:color w:val="auto"/>
                <w:sz w:val="21"/>
                <w:szCs w:val="21"/>
                <w:highlight w:val="none"/>
              </w:rPr>
              <w:t>1.投标人团队具有医疗设备管理类培训证书，每提供1个得1分，最高得2分。</w:t>
            </w:r>
          </w:p>
          <w:p>
            <w:pPr>
              <w:pStyle w:val="69"/>
              <w:keepNext w:val="0"/>
              <w:keepLines w:val="0"/>
              <w:pageBreakBefore w:val="0"/>
              <w:widowControl w:val="0"/>
              <w:kinsoku/>
              <w:wordWrap/>
              <w:overflowPunct/>
              <w:topLinePunct w:val="0"/>
              <w:autoSpaceDE/>
              <w:autoSpaceDN/>
              <w:bidi w:val="0"/>
              <w:adjustRightInd/>
              <w:snapToGrid/>
              <w:spacing w:line="380" w:lineRule="exact"/>
              <w:jc w:val="both"/>
              <w:rPr>
                <w:rFonts w:hint="default" w:ascii="Arial" w:hAnsi="Arial" w:cs="Arial"/>
                <w:color w:val="auto"/>
                <w:sz w:val="21"/>
                <w:szCs w:val="21"/>
                <w:highlight w:val="none"/>
              </w:rPr>
            </w:pPr>
            <w:r>
              <w:rPr>
                <w:rFonts w:hint="default" w:ascii="Arial" w:hAnsi="Arial" w:cs="Arial"/>
                <w:color w:val="auto"/>
                <w:sz w:val="21"/>
                <w:szCs w:val="21"/>
                <w:highlight w:val="none"/>
              </w:rPr>
              <w:t>2.投标人团队具有血液透析类设备维修或维护培训证书，每提供1个得1分，最高得2分。</w:t>
            </w:r>
          </w:p>
          <w:p>
            <w:pPr>
              <w:pStyle w:val="69"/>
              <w:keepNext w:val="0"/>
              <w:keepLines w:val="0"/>
              <w:pageBreakBefore w:val="0"/>
              <w:widowControl w:val="0"/>
              <w:kinsoku/>
              <w:wordWrap/>
              <w:overflowPunct/>
              <w:topLinePunct w:val="0"/>
              <w:autoSpaceDE/>
              <w:autoSpaceDN/>
              <w:bidi w:val="0"/>
              <w:adjustRightInd/>
              <w:snapToGrid/>
              <w:spacing w:line="380" w:lineRule="exact"/>
              <w:jc w:val="both"/>
              <w:rPr>
                <w:rFonts w:hint="default" w:ascii="Arial" w:hAnsi="Arial" w:cs="Arial"/>
                <w:color w:val="auto"/>
                <w:sz w:val="21"/>
                <w:szCs w:val="21"/>
                <w:highlight w:val="none"/>
              </w:rPr>
            </w:pPr>
            <w:r>
              <w:rPr>
                <w:rFonts w:hint="default" w:ascii="Arial" w:hAnsi="Arial" w:cs="Arial"/>
                <w:color w:val="auto"/>
                <w:sz w:val="21"/>
                <w:szCs w:val="21"/>
                <w:highlight w:val="none"/>
              </w:rPr>
              <w:t>3.投标人团队具有影像类设备维修或维护培训证书，每提供1个得1分，最高得2分。</w:t>
            </w:r>
          </w:p>
          <w:p>
            <w:pPr>
              <w:pStyle w:val="69"/>
              <w:keepNext w:val="0"/>
              <w:keepLines w:val="0"/>
              <w:pageBreakBefore w:val="0"/>
              <w:widowControl w:val="0"/>
              <w:kinsoku/>
              <w:wordWrap/>
              <w:overflowPunct/>
              <w:topLinePunct w:val="0"/>
              <w:autoSpaceDE/>
              <w:autoSpaceDN/>
              <w:bidi w:val="0"/>
              <w:adjustRightInd/>
              <w:snapToGrid/>
              <w:spacing w:line="380" w:lineRule="exact"/>
              <w:jc w:val="both"/>
              <w:rPr>
                <w:rFonts w:hint="default" w:ascii="Arial" w:hAnsi="Arial" w:cs="Arial"/>
                <w:color w:val="auto"/>
                <w:sz w:val="21"/>
                <w:szCs w:val="21"/>
                <w:highlight w:val="none"/>
              </w:rPr>
            </w:pPr>
            <w:r>
              <w:rPr>
                <w:rFonts w:hint="default" w:ascii="Arial" w:hAnsi="Arial" w:cs="Arial"/>
                <w:color w:val="auto"/>
                <w:sz w:val="21"/>
                <w:szCs w:val="21"/>
                <w:highlight w:val="none"/>
              </w:rPr>
              <w:t>4.投标人团队具有内窥镜设备维修或维护培训证书，每提供1个得1分，最高得2分。</w:t>
            </w:r>
          </w:p>
          <w:p>
            <w:pPr>
              <w:keepNext w:val="0"/>
              <w:keepLines w:val="0"/>
              <w:pageBreakBefore w:val="0"/>
              <w:widowControl w:val="0"/>
              <w:kinsoku/>
              <w:wordWrap/>
              <w:overflowPunct/>
              <w:topLinePunct w:val="0"/>
              <w:autoSpaceDE/>
              <w:autoSpaceDN/>
              <w:bidi w:val="0"/>
              <w:adjustRightInd/>
              <w:snapToGrid/>
              <w:spacing w:line="380" w:lineRule="exact"/>
              <w:jc w:val="both"/>
              <w:rPr>
                <w:rFonts w:hint="default" w:ascii="Arial" w:hAnsi="Arial" w:cs="Arial"/>
                <w:color w:val="auto"/>
                <w:spacing w:val="-4"/>
                <w:kern w:val="0"/>
                <w:sz w:val="21"/>
                <w:szCs w:val="21"/>
                <w:highlight w:val="none"/>
              </w:rPr>
            </w:pPr>
            <w:r>
              <w:rPr>
                <w:rFonts w:hint="default" w:ascii="Arial" w:hAnsi="Arial" w:cs="Arial"/>
                <w:color w:val="auto"/>
                <w:spacing w:val="-4"/>
                <w:kern w:val="0"/>
                <w:sz w:val="21"/>
                <w:szCs w:val="21"/>
                <w:highlight w:val="none"/>
              </w:rPr>
              <w:t>5.投标人团队具有医疗设备维护保养类的职业能力证书，每提供一个得2分，最高得4分。</w:t>
            </w:r>
          </w:p>
          <w:p>
            <w:pPr>
              <w:pStyle w:val="69"/>
              <w:keepNext w:val="0"/>
              <w:keepLines w:val="0"/>
              <w:pageBreakBefore w:val="0"/>
              <w:widowControl w:val="0"/>
              <w:kinsoku/>
              <w:wordWrap/>
              <w:overflowPunct/>
              <w:topLinePunct w:val="0"/>
              <w:autoSpaceDE/>
              <w:autoSpaceDN/>
              <w:bidi w:val="0"/>
              <w:adjustRightInd/>
              <w:snapToGrid/>
              <w:spacing w:line="380" w:lineRule="exact"/>
              <w:jc w:val="both"/>
              <w:rPr>
                <w:rFonts w:hint="default" w:ascii="Arial" w:hAnsi="Arial" w:cs="Arial"/>
                <w:bCs/>
                <w:color w:val="auto"/>
                <w:sz w:val="21"/>
                <w:szCs w:val="21"/>
                <w:highlight w:val="none"/>
              </w:rPr>
            </w:pPr>
            <w:r>
              <w:rPr>
                <w:rFonts w:hint="default" w:ascii="Arial" w:hAnsi="Arial" w:cs="Arial"/>
                <w:color w:val="auto"/>
                <w:sz w:val="21"/>
                <w:szCs w:val="21"/>
                <w:highlight w:val="none"/>
              </w:rPr>
              <w:t>注：同一人具有多个证书的只计一个；投标时提供人员</w:t>
            </w:r>
            <w:r>
              <w:rPr>
                <w:rFonts w:hint="default" w:ascii="Arial" w:hAnsi="Arial" w:cs="Arial"/>
                <w:color w:val="auto"/>
                <w:sz w:val="21"/>
                <w:szCs w:val="21"/>
                <w:highlight w:val="none"/>
                <w:lang w:val="en-US" w:eastAsia="zh-CN"/>
              </w:rPr>
              <w:t>资格</w:t>
            </w:r>
            <w:r>
              <w:rPr>
                <w:rFonts w:hint="default" w:ascii="Arial" w:hAnsi="Arial" w:cs="Arial"/>
                <w:color w:val="auto"/>
                <w:sz w:val="21"/>
                <w:szCs w:val="21"/>
                <w:highlight w:val="none"/>
              </w:rPr>
              <w:t>证书</w:t>
            </w:r>
            <w:r>
              <w:rPr>
                <w:rFonts w:hint="default" w:ascii="Arial" w:hAnsi="Arial" w:cs="Arial"/>
                <w:color w:val="auto"/>
                <w:sz w:val="21"/>
                <w:szCs w:val="21"/>
                <w:highlight w:val="none"/>
                <w:lang w:val="en-US" w:eastAsia="zh-CN"/>
              </w:rPr>
              <w:t>证明</w:t>
            </w:r>
            <w:r>
              <w:rPr>
                <w:rFonts w:hint="default" w:ascii="Arial" w:hAnsi="Arial" w:cs="Arial"/>
                <w:color w:val="auto"/>
                <w:sz w:val="21"/>
                <w:szCs w:val="21"/>
                <w:highlight w:val="none"/>
              </w:rPr>
              <w:t>文件、在职证明材料（包括但不限于开标前六个月内任意一个月缴纳社保证明或工资流水证明或劳动合同复印件等</w:t>
            </w:r>
            <w:r>
              <w:rPr>
                <w:rFonts w:hint="default" w:ascii="Arial" w:hAnsi="Arial" w:cs="Arial"/>
                <w:color w:val="auto"/>
                <w:sz w:val="21"/>
                <w:szCs w:val="21"/>
                <w:highlight w:val="none"/>
                <w:lang w:bidi="ar"/>
              </w:rPr>
              <w:t>的有效证明材料）</w:t>
            </w:r>
            <w:r>
              <w:rPr>
                <w:rFonts w:hint="default" w:ascii="Arial" w:hAnsi="Arial" w:cs="Arial"/>
                <w:color w:val="auto"/>
                <w:sz w:val="21"/>
                <w:szCs w:val="21"/>
                <w:highlight w:val="none"/>
              </w:rPr>
              <w:t>，不提供或材料不全不得分。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5" w:type="dxa"/>
            <w:vMerge w:val="continue"/>
            <w:noWrap w:val="0"/>
            <w:vAlign w:val="center"/>
          </w:tcPr>
          <w:p>
            <w:pPr>
              <w:spacing w:line="400" w:lineRule="exact"/>
              <w:jc w:val="center"/>
              <w:textAlignment w:val="baseline"/>
              <w:rPr>
                <w:rFonts w:hint="default" w:ascii="Arial" w:hAnsi="Arial" w:cs="Arial"/>
                <w:bCs/>
                <w:sz w:val="21"/>
                <w:szCs w:val="21"/>
                <w:highlight w:val="none"/>
              </w:rPr>
            </w:pPr>
          </w:p>
        </w:tc>
        <w:tc>
          <w:tcPr>
            <w:tcW w:w="1357" w:type="dxa"/>
            <w:vMerge w:val="continue"/>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p>
        </w:tc>
        <w:tc>
          <w:tcPr>
            <w:tcW w:w="1200" w:type="dxa"/>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服务能力</w:t>
            </w:r>
          </w:p>
          <w:p>
            <w:pPr>
              <w:spacing w:line="400" w:lineRule="exact"/>
              <w:ind w:left="-105" w:leftChars="-50" w:right="-105" w:rightChars="-50"/>
              <w:jc w:val="center"/>
              <w:textAlignment w:val="baseline"/>
              <w:rPr>
                <w:rFonts w:hint="default" w:ascii="Arial" w:hAnsi="Arial" w:cs="Arial"/>
                <w:bCs/>
                <w:kern w:val="0"/>
                <w:sz w:val="21"/>
                <w:szCs w:val="21"/>
                <w:highlight w:val="none"/>
              </w:rPr>
            </w:pPr>
            <w:r>
              <w:rPr>
                <w:rFonts w:hint="default" w:ascii="Arial" w:hAnsi="Arial" w:cs="Arial"/>
                <w:bCs/>
                <w:sz w:val="21"/>
                <w:szCs w:val="21"/>
                <w:highlight w:val="none"/>
              </w:rPr>
              <w:t>（5分）</w:t>
            </w:r>
          </w:p>
        </w:tc>
        <w:tc>
          <w:tcPr>
            <w:tcW w:w="7206" w:type="dxa"/>
            <w:noWrap w:val="0"/>
            <w:vAlign w:val="center"/>
          </w:tcPr>
          <w:p>
            <w:pPr>
              <w:spacing w:line="400" w:lineRule="exact"/>
              <w:ind w:firstLine="210" w:firstLineChars="100"/>
              <w:jc w:val="both"/>
              <w:textAlignment w:val="baseline"/>
              <w:rPr>
                <w:rFonts w:hint="default" w:ascii="Arial" w:hAnsi="Arial" w:cs="Arial"/>
                <w:sz w:val="21"/>
                <w:szCs w:val="21"/>
                <w:highlight w:val="none"/>
              </w:rPr>
            </w:pPr>
            <w:r>
              <w:rPr>
                <w:rFonts w:hint="default" w:ascii="Arial" w:hAnsi="Arial" w:cs="Arial"/>
                <w:sz w:val="21"/>
                <w:szCs w:val="21"/>
                <w:highlight w:val="none"/>
              </w:rPr>
              <w:t>供应商具备优良的服务能力，与超声设备、血液透析设备、内窥镜设备、监护仪、心电图机、呼吸机、麻醉机、除颤仪、注射泵、输液泵、灭菌器、培养箱、排痰机的厂家建立有合作关系，每提供1个品类设备的证明得0.5分，满分5分。</w:t>
            </w:r>
            <w:r>
              <w:rPr>
                <w:rFonts w:hint="default" w:ascii="Arial" w:hAnsi="Arial" w:cs="Arial"/>
                <w:sz w:val="21"/>
                <w:szCs w:val="21"/>
                <w:highlight w:val="none"/>
                <w:lang w:eastAsia="zh-CN"/>
              </w:rPr>
              <w:t>（</w:t>
            </w:r>
            <w:r>
              <w:rPr>
                <w:rFonts w:hint="default" w:ascii="Arial" w:hAnsi="Arial" w:cs="Arial"/>
                <w:sz w:val="21"/>
                <w:szCs w:val="21"/>
                <w:highlight w:val="none"/>
                <w:lang w:val="en-US" w:eastAsia="zh-CN"/>
              </w:rPr>
              <w:t>投标时</w:t>
            </w:r>
            <w:r>
              <w:rPr>
                <w:rFonts w:hint="default" w:ascii="Arial" w:hAnsi="Arial" w:cs="Arial"/>
                <w:sz w:val="21"/>
                <w:szCs w:val="21"/>
                <w:highlight w:val="none"/>
              </w:rPr>
              <w:t>提供相关厂家的授权证明资料并加投标人公章，不提供不得分</w:t>
            </w:r>
            <w:r>
              <w:rPr>
                <w:rFonts w:hint="default" w:ascii="Arial" w:hAnsi="Arial" w:cs="Arial"/>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525" w:type="dxa"/>
            <w:vMerge w:val="restart"/>
            <w:noWrap w:val="0"/>
            <w:vAlign w:val="center"/>
          </w:tcPr>
          <w:p>
            <w:pPr>
              <w:spacing w:line="400" w:lineRule="exact"/>
              <w:jc w:val="center"/>
              <w:rPr>
                <w:rFonts w:hint="default" w:ascii="Arial" w:hAnsi="Arial" w:cs="Arial"/>
                <w:bCs/>
                <w:sz w:val="21"/>
                <w:szCs w:val="21"/>
                <w:highlight w:val="none"/>
              </w:rPr>
            </w:pPr>
            <w:r>
              <w:rPr>
                <w:rFonts w:hint="default" w:ascii="Arial" w:hAnsi="Arial" w:cs="Arial"/>
                <w:bCs/>
                <w:sz w:val="21"/>
                <w:szCs w:val="21"/>
                <w:highlight w:val="none"/>
              </w:rPr>
              <w:t>3</w:t>
            </w:r>
          </w:p>
        </w:tc>
        <w:tc>
          <w:tcPr>
            <w:tcW w:w="1357" w:type="dxa"/>
            <w:vMerge w:val="restart"/>
            <w:noWrap w:val="0"/>
            <w:vAlign w:val="center"/>
          </w:tcPr>
          <w:p>
            <w:pPr>
              <w:spacing w:line="400" w:lineRule="exact"/>
              <w:ind w:left="-105" w:leftChars="-50" w:right="-105" w:rightChars="-50"/>
              <w:jc w:val="center"/>
              <w:textAlignment w:val="baseline"/>
              <w:rPr>
                <w:rFonts w:hint="default" w:ascii="Arial" w:hAnsi="Arial" w:cs="Arial"/>
                <w:sz w:val="21"/>
                <w:szCs w:val="21"/>
                <w:highlight w:val="none"/>
              </w:rPr>
            </w:pPr>
            <w:r>
              <w:rPr>
                <w:rFonts w:hint="default" w:ascii="Arial" w:hAnsi="Arial" w:cs="Arial"/>
                <w:sz w:val="21"/>
                <w:szCs w:val="21"/>
                <w:highlight w:val="none"/>
              </w:rPr>
              <w:t>商务分</w:t>
            </w:r>
          </w:p>
          <w:p>
            <w:pPr>
              <w:spacing w:line="400" w:lineRule="exact"/>
              <w:ind w:left="-105" w:leftChars="-50" w:right="-105" w:rightChars="-50"/>
              <w:jc w:val="center"/>
              <w:textAlignment w:val="baseline"/>
              <w:rPr>
                <w:rFonts w:hint="default" w:ascii="Arial" w:hAnsi="Arial" w:cs="Arial"/>
                <w:sz w:val="21"/>
                <w:szCs w:val="21"/>
                <w:highlight w:val="none"/>
              </w:rPr>
            </w:pPr>
            <w:r>
              <w:rPr>
                <w:rFonts w:hint="default" w:ascii="Arial" w:hAnsi="Arial" w:cs="Arial"/>
                <w:sz w:val="21"/>
                <w:szCs w:val="21"/>
                <w:highlight w:val="none"/>
              </w:rPr>
              <w:t>（满分2</w:t>
            </w:r>
            <w:r>
              <w:rPr>
                <w:rFonts w:hint="default" w:ascii="Arial" w:hAnsi="Arial" w:cs="Arial"/>
                <w:sz w:val="21"/>
                <w:szCs w:val="21"/>
                <w:highlight w:val="none"/>
                <w:lang w:val="en-US" w:eastAsia="zh-CN"/>
              </w:rPr>
              <w:t>3</w:t>
            </w:r>
            <w:r>
              <w:rPr>
                <w:rFonts w:hint="default" w:ascii="Arial" w:hAnsi="Arial" w:cs="Arial"/>
                <w:sz w:val="21"/>
                <w:szCs w:val="21"/>
                <w:highlight w:val="none"/>
              </w:rPr>
              <w:t>分）</w:t>
            </w:r>
          </w:p>
        </w:tc>
        <w:tc>
          <w:tcPr>
            <w:tcW w:w="1200" w:type="dxa"/>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p>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质量保障</w:t>
            </w:r>
          </w:p>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（5分）</w:t>
            </w:r>
          </w:p>
        </w:tc>
        <w:tc>
          <w:tcPr>
            <w:tcW w:w="7206" w:type="dxa"/>
            <w:noWrap w:val="0"/>
            <w:tcMar>
              <w:left w:w="57" w:type="dxa"/>
              <w:right w:w="57" w:type="dxa"/>
            </w:tcMar>
            <w:vAlign w:val="center"/>
          </w:tcPr>
          <w:p>
            <w:pPr>
              <w:widowControl/>
              <w:spacing w:line="400" w:lineRule="exact"/>
              <w:ind w:firstLine="210" w:firstLineChars="100"/>
              <w:jc w:val="both"/>
              <w:rPr>
                <w:rFonts w:hint="default" w:ascii="Arial" w:hAnsi="Arial" w:cs="Arial"/>
                <w:sz w:val="21"/>
                <w:szCs w:val="21"/>
                <w:highlight w:val="none"/>
              </w:rPr>
            </w:pPr>
            <w:r>
              <w:rPr>
                <w:rFonts w:hint="default" w:ascii="Arial" w:hAnsi="Arial" w:cs="Arial"/>
                <w:sz w:val="21"/>
                <w:szCs w:val="21"/>
                <w:highlight w:val="none"/>
              </w:rPr>
              <w:t>投标人能提供以下经计量机构检测合格的专业医疗设备质控设备：生命体征模拟仪、除颤分析仪、输注泵检测仪、呼吸机检测仪、血透机检测仪、电气安全检测仪</w:t>
            </w:r>
            <w:r>
              <w:rPr>
                <w:rFonts w:hint="default" w:ascii="Arial" w:hAnsi="Arial" w:cs="Arial"/>
                <w:sz w:val="21"/>
                <w:szCs w:val="21"/>
                <w:highlight w:val="none"/>
                <w:lang w:val="en-US" w:eastAsia="zh-CN"/>
              </w:rPr>
              <w:t>的，</w:t>
            </w:r>
            <w:r>
              <w:rPr>
                <w:rFonts w:hint="default" w:ascii="Arial" w:hAnsi="Arial" w:cs="Arial"/>
                <w:sz w:val="21"/>
                <w:szCs w:val="21"/>
                <w:highlight w:val="none"/>
              </w:rPr>
              <w:t>每提供1个得1分，满分5分。</w:t>
            </w:r>
          </w:p>
          <w:p>
            <w:pPr>
              <w:widowControl/>
              <w:spacing w:line="400" w:lineRule="exact"/>
              <w:jc w:val="both"/>
              <w:rPr>
                <w:rFonts w:hint="default" w:ascii="Arial" w:hAnsi="Arial" w:cs="Arial"/>
                <w:b/>
                <w:bCs/>
                <w:sz w:val="21"/>
                <w:szCs w:val="21"/>
                <w:highlight w:val="none"/>
              </w:rPr>
            </w:pPr>
            <w:r>
              <w:rPr>
                <w:rFonts w:hint="default" w:ascii="Arial" w:hAnsi="Arial" w:cs="Arial"/>
                <w:kern w:val="0"/>
                <w:sz w:val="21"/>
                <w:szCs w:val="21"/>
                <w:highlight w:val="none"/>
              </w:rPr>
              <w:t>注：投标人</w:t>
            </w:r>
            <w:r>
              <w:rPr>
                <w:rFonts w:hint="default" w:ascii="Arial" w:hAnsi="Arial" w:cs="Arial"/>
                <w:kern w:val="0"/>
                <w:sz w:val="21"/>
                <w:szCs w:val="21"/>
                <w:highlight w:val="none"/>
                <w:lang w:val="en-US" w:eastAsia="zh-CN"/>
              </w:rPr>
              <w:t>以</w:t>
            </w:r>
            <w:r>
              <w:rPr>
                <w:rFonts w:hint="default" w:ascii="Arial" w:hAnsi="Arial" w:cs="Arial"/>
                <w:kern w:val="0"/>
                <w:sz w:val="21"/>
                <w:szCs w:val="21"/>
                <w:highlight w:val="none"/>
              </w:rPr>
              <w:t>提供的质控设备须提供设备图片、设备合法使用权证明材料（如采购发票或采购合同或设备租赁合同）及第三方计量检测机构出具的有效检测校准证书原件扫描件</w:t>
            </w:r>
            <w:r>
              <w:rPr>
                <w:rFonts w:hint="default" w:ascii="Arial" w:hAnsi="Arial" w:cs="Arial"/>
                <w:kern w:val="0"/>
                <w:sz w:val="21"/>
                <w:szCs w:val="21"/>
                <w:highlight w:val="none"/>
                <w:lang w:val="en-US" w:eastAsia="zh-CN"/>
              </w:rPr>
              <w:t>为准</w:t>
            </w:r>
            <w:r>
              <w:rPr>
                <w:rFonts w:hint="default" w:ascii="Arial" w:hAnsi="Arial" w:cs="Arial"/>
                <w:sz w:val="21"/>
                <w:szCs w:val="21"/>
                <w:highlight w:val="none"/>
              </w:rPr>
              <w:t>，未提供或提供不完整不得分</w:t>
            </w:r>
            <w:r>
              <w:rPr>
                <w:rFonts w:hint="default" w:ascii="Arial" w:hAnsi="Arial" w:cs="Arial"/>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525" w:type="dxa"/>
            <w:vMerge w:val="continue"/>
            <w:noWrap w:val="0"/>
            <w:vAlign w:val="center"/>
          </w:tcPr>
          <w:p>
            <w:pPr>
              <w:spacing w:line="400" w:lineRule="exact"/>
              <w:jc w:val="center"/>
              <w:rPr>
                <w:rFonts w:hint="default" w:ascii="Arial" w:hAnsi="Arial" w:cs="Arial"/>
                <w:bCs/>
                <w:sz w:val="21"/>
                <w:szCs w:val="21"/>
                <w:highlight w:val="none"/>
              </w:rPr>
            </w:pPr>
          </w:p>
        </w:tc>
        <w:tc>
          <w:tcPr>
            <w:tcW w:w="1357" w:type="dxa"/>
            <w:vMerge w:val="continue"/>
            <w:noWrap w:val="0"/>
            <w:vAlign w:val="center"/>
          </w:tcPr>
          <w:p>
            <w:pPr>
              <w:spacing w:line="400" w:lineRule="exact"/>
              <w:ind w:left="-105" w:leftChars="-50" w:right="-105" w:rightChars="-50"/>
              <w:jc w:val="center"/>
              <w:textAlignment w:val="baseline"/>
              <w:rPr>
                <w:rFonts w:hint="default" w:ascii="Arial" w:hAnsi="Arial" w:cs="Arial"/>
                <w:sz w:val="21"/>
                <w:szCs w:val="21"/>
                <w:highlight w:val="none"/>
              </w:rPr>
            </w:pPr>
          </w:p>
        </w:tc>
        <w:tc>
          <w:tcPr>
            <w:tcW w:w="1200" w:type="dxa"/>
            <w:noWrap w:val="0"/>
            <w:vAlign w:val="center"/>
          </w:tcPr>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技术支持</w:t>
            </w:r>
          </w:p>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能力</w:t>
            </w:r>
          </w:p>
          <w:p>
            <w:pPr>
              <w:spacing w:line="400" w:lineRule="exact"/>
              <w:ind w:left="-105" w:leftChars="-50" w:right="-105" w:rightChars="-50"/>
              <w:jc w:val="center"/>
              <w:textAlignment w:val="baseline"/>
              <w:rPr>
                <w:rFonts w:hint="default" w:ascii="Arial" w:hAnsi="Arial" w:cs="Arial"/>
                <w:bCs/>
                <w:sz w:val="21"/>
                <w:szCs w:val="21"/>
                <w:highlight w:val="none"/>
              </w:rPr>
            </w:pPr>
            <w:r>
              <w:rPr>
                <w:rFonts w:hint="default" w:ascii="Arial" w:hAnsi="Arial" w:cs="Arial"/>
                <w:bCs/>
                <w:sz w:val="21"/>
                <w:szCs w:val="21"/>
                <w:highlight w:val="none"/>
              </w:rPr>
              <w:t>（8分）</w:t>
            </w:r>
          </w:p>
        </w:tc>
        <w:tc>
          <w:tcPr>
            <w:tcW w:w="7206" w:type="dxa"/>
            <w:noWrap w:val="0"/>
            <w:tcMar>
              <w:left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jc w:val="both"/>
              <w:textAlignment w:val="auto"/>
              <w:rPr>
                <w:rFonts w:hint="default" w:ascii="Arial" w:hAnsi="Arial" w:cs="Arial"/>
                <w:sz w:val="21"/>
                <w:szCs w:val="21"/>
                <w:highlight w:val="none"/>
              </w:rPr>
            </w:pPr>
            <w:r>
              <w:rPr>
                <w:rFonts w:hint="default" w:ascii="Arial" w:hAnsi="Arial" w:cs="Arial"/>
                <w:sz w:val="21"/>
                <w:szCs w:val="21"/>
                <w:highlight w:val="none"/>
                <w:lang w:val="en-US" w:eastAsia="zh-CN"/>
              </w:rPr>
              <w:t>1.</w:t>
            </w:r>
            <w:r>
              <w:rPr>
                <w:rFonts w:hint="default" w:ascii="Arial" w:hAnsi="Arial" w:cs="Arial"/>
                <w:sz w:val="21"/>
                <w:szCs w:val="21"/>
                <w:highlight w:val="none"/>
              </w:rPr>
              <w:t>投标人具有大型医疗设备监测系统，可在设备故障发生前进行预警，提前到场进行维护维修，避免故障停机，具有保障设备稳定运行和维护的能力的，得2分。（投标时提供系统名称、功能介绍、功能界面截图，并提供该系统的合法使用权证明材料（如软件著作或专利证书或授权书），未提供或提供不完整不得分）</w:t>
            </w:r>
          </w:p>
          <w:p>
            <w:pPr>
              <w:pStyle w:val="2"/>
              <w:keepNext w:val="0"/>
              <w:keepLines w:val="0"/>
              <w:pageBreakBefore w:val="0"/>
              <w:widowControl w:val="0"/>
              <w:kinsoku/>
              <w:wordWrap/>
              <w:overflowPunct/>
              <w:topLinePunct w:val="0"/>
              <w:autoSpaceDE/>
              <w:autoSpaceDN/>
              <w:bidi w:val="0"/>
              <w:adjustRightInd/>
              <w:snapToGrid/>
              <w:spacing w:after="0" w:line="288" w:lineRule="auto"/>
              <w:ind w:left="0" w:leftChars="0" w:firstLine="0" w:firstLineChars="0"/>
              <w:jc w:val="both"/>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2.投标人有良好的技术人员支持能力，可有效保障项目顺利实施、高效解决技术难题：投标人有医学工程类或医疗设备维修或仪器类高级职称的工程师，每提供1名符合要求的工程师得 2 分，此项最多得6分。</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both"/>
              <w:textAlignment w:val="auto"/>
              <w:rPr>
                <w:rFonts w:hint="default" w:ascii="Arial" w:hAnsi="Arial" w:cs="Arial"/>
                <w:sz w:val="21"/>
                <w:szCs w:val="21"/>
                <w:highlight w:val="none"/>
              </w:rPr>
            </w:pPr>
            <w:r>
              <w:rPr>
                <w:rFonts w:hint="default" w:ascii="Arial" w:hAnsi="Arial" w:cs="Arial"/>
                <w:sz w:val="21"/>
                <w:szCs w:val="21"/>
                <w:highlight w:val="none"/>
              </w:rPr>
              <w:t>注：投标时提供</w:t>
            </w:r>
            <w:r>
              <w:rPr>
                <w:rFonts w:hint="default" w:ascii="Arial" w:hAnsi="Arial" w:cs="Arial"/>
                <w:sz w:val="21"/>
                <w:szCs w:val="21"/>
                <w:highlight w:val="none"/>
                <w:lang w:val="en-US" w:eastAsia="zh-CN"/>
              </w:rPr>
              <w:t>工程师职称</w:t>
            </w:r>
            <w:r>
              <w:rPr>
                <w:rFonts w:hint="default" w:ascii="Arial" w:hAnsi="Arial" w:cs="Arial"/>
                <w:sz w:val="21"/>
                <w:szCs w:val="21"/>
                <w:highlight w:val="none"/>
              </w:rPr>
              <w:t>证书扫描件、</w:t>
            </w:r>
            <w:r>
              <w:rPr>
                <w:rFonts w:hint="default" w:ascii="Arial" w:hAnsi="Arial" w:eastAsia="宋体" w:cs="Arial"/>
                <w:sz w:val="21"/>
                <w:szCs w:val="21"/>
                <w:highlight w:val="none"/>
                <w:lang w:val="en-US" w:eastAsia="zh-CN"/>
              </w:rPr>
              <w:t>任职证明材料扫描件(开标前六个月内任意一个月缴纳社保证明或劳动合同等任职证明材料）</w:t>
            </w:r>
            <w:r>
              <w:rPr>
                <w:rFonts w:hint="default" w:ascii="Arial" w:hAnsi="Arial" w:cs="Arial"/>
                <w:sz w:val="21"/>
                <w:szCs w:val="21"/>
                <w:highlight w:val="none"/>
              </w:rPr>
              <w:t>作为评审依据，未提供或</w:t>
            </w:r>
            <w:r>
              <w:rPr>
                <w:rFonts w:hint="default" w:ascii="Arial" w:hAnsi="Arial" w:cs="Arial"/>
                <w:sz w:val="21"/>
                <w:szCs w:val="21"/>
                <w:highlight w:val="none"/>
                <w:lang w:val="en-US" w:eastAsia="zh-CN"/>
              </w:rPr>
              <w:t>不能证明的</w:t>
            </w:r>
            <w:r>
              <w:rPr>
                <w:rFonts w:hint="default" w:ascii="Arial" w:hAnsi="Arial" w:cs="Arial"/>
                <w:sz w:val="21"/>
                <w:szCs w:val="21"/>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5" w:type="dxa"/>
            <w:vMerge w:val="continue"/>
            <w:noWrap w:val="0"/>
            <w:vAlign w:val="center"/>
          </w:tcPr>
          <w:p>
            <w:pPr>
              <w:spacing w:line="400" w:lineRule="exact"/>
              <w:jc w:val="center"/>
              <w:rPr>
                <w:rFonts w:hint="default" w:ascii="Arial" w:hAnsi="Arial" w:cs="Arial"/>
                <w:bCs/>
                <w:sz w:val="21"/>
                <w:szCs w:val="21"/>
                <w:highlight w:val="none"/>
              </w:rPr>
            </w:pPr>
          </w:p>
        </w:tc>
        <w:tc>
          <w:tcPr>
            <w:tcW w:w="1357" w:type="dxa"/>
            <w:vMerge w:val="continue"/>
            <w:noWrap w:val="0"/>
            <w:vAlign w:val="center"/>
          </w:tcPr>
          <w:p>
            <w:pPr>
              <w:spacing w:line="400" w:lineRule="exact"/>
              <w:ind w:left="-105" w:leftChars="-50" w:right="-105" w:rightChars="-50"/>
              <w:jc w:val="center"/>
              <w:textAlignment w:val="baseline"/>
              <w:rPr>
                <w:rFonts w:hint="default" w:ascii="Arial" w:hAnsi="Arial" w:cs="Arial"/>
                <w:sz w:val="21"/>
                <w:szCs w:val="21"/>
                <w:highlight w:val="none"/>
              </w:rPr>
            </w:pPr>
          </w:p>
        </w:tc>
        <w:tc>
          <w:tcPr>
            <w:tcW w:w="1200" w:type="dxa"/>
            <w:noWrap w:val="0"/>
            <w:vAlign w:val="center"/>
          </w:tcPr>
          <w:p>
            <w:pPr>
              <w:spacing w:line="400" w:lineRule="exact"/>
              <w:ind w:left="-105" w:leftChars="-50" w:right="-105" w:rightChars="-50"/>
              <w:jc w:val="center"/>
              <w:textAlignment w:val="baseline"/>
              <w:rPr>
                <w:rFonts w:hint="default" w:ascii="Arial" w:hAnsi="Arial" w:cs="Arial"/>
                <w:color w:val="auto"/>
                <w:sz w:val="21"/>
                <w:szCs w:val="21"/>
                <w:highlight w:val="none"/>
              </w:rPr>
            </w:pPr>
            <w:r>
              <w:rPr>
                <w:rFonts w:hint="default" w:ascii="Arial" w:hAnsi="Arial" w:cs="Arial"/>
                <w:color w:val="auto"/>
                <w:sz w:val="21"/>
                <w:szCs w:val="21"/>
                <w:highlight w:val="none"/>
              </w:rPr>
              <w:t>服务经验</w:t>
            </w:r>
          </w:p>
          <w:p>
            <w:pPr>
              <w:spacing w:line="400" w:lineRule="exact"/>
              <w:ind w:left="-105" w:leftChars="-50" w:right="-105" w:rightChars="-50"/>
              <w:jc w:val="center"/>
              <w:textAlignment w:val="baseline"/>
              <w:rPr>
                <w:rFonts w:hint="default" w:ascii="Arial" w:hAnsi="Arial" w:cs="Arial"/>
                <w:b/>
                <w:bCs/>
                <w:color w:val="auto"/>
                <w:sz w:val="21"/>
                <w:szCs w:val="21"/>
                <w:highlight w:val="none"/>
              </w:rPr>
            </w:pPr>
            <w:r>
              <w:rPr>
                <w:rFonts w:hint="default" w:ascii="Arial" w:hAnsi="Arial" w:cs="Arial"/>
                <w:color w:val="auto"/>
                <w:sz w:val="21"/>
                <w:szCs w:val="21"/>
                <w:highlight w:val="none"/>
              </w:rPr>
              <w:t>（10分）</w:t>
            </w:r>
          </w:p>
        </w:tc>
        <w:tc>
          <w:tcPr>
            <w:tcW w:w="7206" w:type="dxa"/>
            <w:noWrap w:val="0"/>
            <w:tcMar>
              <w:left w:w="57" w:type="dxa"/>
              <w:right w:w="57" w:type="dxa"/>
            </w:tcMar>
            <w:vAlign w:val="center"/>
          </w:tcPr>
          <w:p>
            <w:pPr>
              <w:pStyle w:val="69"/>
              <w:numPr>
                <w:ilvl w:val="0"/>
                <w:numId w:val="0"/>
              </w:numPr>
              <w:adjustRightInd/>
              <w:spacing w:line="400" w:lineRule="exact"/>
              <w:ind w:firstLine="230" w:firstLineChars="100"/>
              <w:jc w:val="both"/>
              <w:rPr>
                <w:rFonts w:hint="default" w:ascii="Arial" w:hAnsi="Arial" w:cs="Arial"/>
                <w:color w:val="auto"/>
                <w:sz w:val="21"/>
                <w:szCs w:val="21"/>
                <w:highlight w:val="none"/>
              </w:rPr>
            </w:pPr>
            <w:r>
              <w:rPr>
                <w:rFonts w:hint="default" w:ascii="Arial" w:hAnsi="Arial" w:cs="Arial"/>
                <w:color w:val="auto"/>
                <w:sz w:val="21"/>
                <w:szCs w:val="21"/>
                <w:highlight w:val="none"/>
                <w:lang w:val="en-US" w:eastAsia="zh-CN"/>
              </w:rPr>
              <w:t>1.</w:t>
            </w:r>
            <w:r>
              <w:rPr>
                <w:rFonts w:hint="default" w:ascii="Arial" w:hAnsi="Arial" w:cs="Arial"/>
                <w:color w:val="auto"/>
                <w:sz w:val="21"/>
                <w:szCs w:val="21"/>
                <w:highlight w:val="none"/>
              </w:rPr>
              <w:t>投标人有丰富的医院医疗设备维保或管理服务经验，有类似医疗设备整体维保或医疗设备全生命管理服务业绩，每提供1个得1分，满分</w:t>
            </w:r>
            <w:r>
              <w:rPr>
                <w:rFonts w:hint="default" w:ascii="Arial" w:hAnsi="Arial" w:cs="Arial"/>
                <w:color w:val="auto"/>
                <w:sz w:val="21"/>
                <w:szCs w:val="21"/>
                <w:highlight w:val="none"/>
                <w:lang w:val="en-US" w:eastAsia="zh-CN"/>
              </w:rPr>
              <w:t>7</w:t>
            </w:r>
            <w:r>
              <w:rPr>
                <w:rFonts w:hint="default" w:ascii="Arial" w:hAnsi="Arial" w:cs="Arial"/>
                <w:color w:val="auto"/>
                <w:sz w:val="21"/>
                <w:szCs w:val="21"/>
                <w:highlight w:val="none"/>
              </w:rPr>
              <w:t>分。</w:t>
            </w:r>
          </w:p>
          <w:p>
            <w:pPr>
              <w:pStyle w:val="69"/>
              <w:adjustRightInd/>
              <w:spacing w:line="400" w:lineRule="exact"/>
              <w:jc w:val="both"/>
              <w:rPr>
                <w:rFonts w:hint="default" w:ascii="Arial" w:hAnsi="Arial" w:cs="Arial"/>
                <w:color w:val="auto"/>
                <w:sz w:val="21"/>
                <w:szCs w:val="21"/>
                <w:highlight w:val="none"/>
              </w:rPr>
            </w:pPr>
            <w:r>
              <w:rPr>
                <w:rFonts w:hint="default" w:ascii="Arial" w:hAnsi="Arial" w:cs="Arial"/>
                <w:color w:val="auto"/>
                <w:sz w:val="21"/>
                <w:szCs w:val="21"/>
                <w:highlight w:val="none"/>
              </w:rPr>
              <w:t>注：以中标（成交）通知书或签订的服务合同为准，无类似业绩或不提供证明材料不得分。</w:t>
            </w:r>
          </w:p>
          <w:p>
            <w:pPr>
              <w:pStyle w:val="69"/>
              <w:adjustRightInd/>
              <w:spacing w:line="400" w:lineRule="exact"/>
              <w:ind w:firstLine="230" w:firstLineChars="100"/>
              <w:jc w:val="both"/>
              <w:rPr>
                <w:rFonts w:hint="default" w:ascii="Arial" w:hAnsi="Arial" w:cs="Arial"/>
                <w:color w:val="auto"/>
                <w:sz w:val="21"/>
                <w:szCs w:val="21"/>
                <w:highlight w:val="none"/>
              </w:rPr>
            </w:pPr>
            <w:r>
              <w:rPr>
                <w:rFonts w:hint="default" w:ascii="Arial" w:hAnsi="Arial" w:cs="Arial"/>
                <w:color w:val="auto"/>
                <w:sz w:val="21"/>
                <w:szCs w:val="21"/>
                <w:highlight w:val="none"/>
              </w:rPr>
              <w:t>2.2019年至今投标人具有协助医院通过等级医院评审的相关服务实例经验，可提供协助医院顺利通过等级评审服务案例，每提供1个医院案例得0.5分，满分</w:t>
            </w:r>
            <w:r>
              <w:rPr>
                <w:rFonts w:hint="default" w:ascii="Arial" w:hAnsi="Arial" w:cs="Arial"/>
                <w:color w:val="auto"/>
                <w:sz w:val="21"/>
                <w:szCs w:val="21"/>
                <w:highlight w:val="none"/>
                <w:lang w:val="en-US" w:eastAsia="zh-CN"/>
              </w:rPr>
              <w:t>3</w:t>
            </w:r>
            <w:r>
              <w:rPr>
                <w:rFonts w:hint="default" w:ascii="Arial" w:hAnsi="Arial" w:cs="Arial"/>
                <w:color w:val="auto"/>
                <w:sz w:val="21"/>
                <w:szCs w:val="21"/>
                <w:highlight w:val="none"/>
              </w:rPr>
              <w:t>分。</w:t>
            </w:r>
          </w:p>
          <w:p>
            <w:pPr>
              <w:pStyle w:val="69"/>
              <w:adjustRightInd/>
              <w:spacing w:line="400" w:lineRule="exact"/>
              <w:jc w:val="both"/>
              <w:rPr>
                <w:rFonts w:hint="default" w:ascii="Arial" w:hAnsi="Arial" w:cs="Arial"/>
                <w:bCs/>
                <w:color w:val="auto"/>
                <w:sz w:val="21"/>
                <w:szCs w:val="21"/>
                <w:highlight w:val="none"/>
              </w:rPr>
            </w:pPr>
            <w:r>
              <w:rPr>
                <w:rFonts w:hint="default" w:ascii="Arial" w:hAnsi="Arial" w:cs="Arial"/>
                <w:color w:val="auto"/>
                <w:sz w:val="21"/>
                <w:szCs w:val="21"/>
                <w:highlight w:val="none"/>
              </w:rPr>
              <w:t>注：投标时提供合同复印件(合同内容需体现等级评审服务条款)或所服务医院通过等级评审的证明材料，同时提供各院方联系人及联系方式供采购人备查），未提供或提供不完整不得分。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288" w:type="dxa"/>
            <w:gridSpan w:val="4"/>
            <w:noWrap w:val="0"/>
            <w:vAlign w:val="center"/>
          </w:tcPr>
          <w:p>
            <w:pPr>
              <w:pStyle w:val="29"/>
              <w:spacing w:line="400" w:lineRule="exact"/>
              <w:rPr>
                <w:rFonts w:hint="default" w:ascii="Arial" w:hAnsi="Arial" w:eastAsia="宋体" w:cs="Arial"/>
                <w:bCs/>
                <w:sz w:val="21"/>
                <w:szCs w:val="21"/>
                <w:highlight w:val="none"/>
              </w:rPr>
            </w:pPr>
            <w:r>
              <w:rPr>
                <w:rFonts w:hint="default" w:ascii="Arial" w:hAnsi="Arial" w:eastAsia="宋体" w:cs="Arial"/>
                <w:b/>
                <w:bCs/>
                <w:sz w:val="21"/>
                <w:szCs w:val="21"/>
                <w:highlight w:val="none"/>
              </w:rPr>
              <w:t>总得分=1+2+3。</w:t>
            </w:r>
          </w:p>
        </w:tc>
      </w:tr>
    </w:tbl>
    <w:p>
      <w:pPr>
        <w:pStyle w:val="226"/>
        <w:snapToGrid w:val="0"/>
        <w:spacing w:line="288" w:lineRule="auto"/>
        <w:ind w:firstLine="0" w:firstLineChars="0"/>
        <w:rPr>
          <w:rFonts w:ascii="Arial" w:hAnsi="Arial" w:cs="Arial"/>
          <w:b/>
          <w:color w:val="auto"/>
          <w:kern w:val="0"/>
          <w:szCs w:val="21"/>
          <w:highlight w:val="none"/>
        </w:rPr>
      </w:pPr>
    </w:p>
    <w:p>
      <w:pPr>
        <w:pStyle w:val="226"/>
        <w:snapToGrid w:val="0"/>
        <w:spacing w:line="288" w:lineRule="auto"/>
        <w:ind w:firstLine="0" w:firstLineChars="0"/>
        <w:rPr>
          <w:rFonts w:ascii="Arial" w:hAnsi="Arial" w:cs="Arial"/>
          <w:b/>
          <w:color w:val="auto"/>
          <w:kern w:val="0"/>
          <w:szCs w:val="21"/>
          <w:highlight w:val="none"/>
        </w:rPr>
      </w:pPr>
    </w:p>
    <w:p>
      <w:pPr>
        <w:pStyle w:val="226"/>
        <w:snapToGrid w:val="0"/>
        <w:spacing w:line="288" w:lineRule="auto"/>
        <w:ind w:firstLine="0" w:firstLineChars="0"/>
        <w:rPr>
          <w:rFonts w:ascii="Arial" w:hAnsi="Arial" w:cs="Arial"/>
          <w:b/>
          <w:color w:val="auto"/>
          <w:kern w:val="0"/>
          <w:szCs w:val="21"/>
          <w:highlight w:val="none"/>
        </w:rPr>
      </w:pPr>
    </w:p>
    <w:bookmarkEnd w:id="82"/>
    <w:bookmarkEnd w:id="83"/>
    <w:p>
      <w:pPr>
        <w:spacing w:line="340" w:lineRule="exact"/>
        <w:ind w:left="-13" w:leftChars="-6" w:firstLine="420" w:firstLineChars="200"/>
        <w:rPr>
          <w:rFonts w:ascii="Arial" w:hAnsi="Arial" w:cs="Arial"/>
          <w:color w:val="auto"/>
          <w:szCs w:val="21"/>
          <w:highlight w:val="none"/>
        </w:rPr>
      </w:pPr>
      <w:r>
        <w:rPr>
          <w:rFonts w:ascii="Arial" w:hAnsi="Arial" w:cs="Arial"/>
          <w:color w:val="auto"/>
          <w:highlight w:val="none"/>
        </w:rPr>
        <w:br w:type="page"/>
      </w:r>
      <w:r>
        <w:rPr>
          <w:rFonts w:ascii="Arial" w:hAnsi="Arial" w:cs="Arial"/>
          <w:color w:val="auto"/>
          <w:szCs w:val="21"/>
          <w:highlight w:val="none"/>
        </w:rPr>
        <w:t>附表</w:t>
      </w:r>
    </w:p>
    <w:p>
      <w:pPr>
        <w:spacing w:line="528" w:lineRule="exact"/>
        <w:ind w:firstLine="280" w:firstLineChars="100"/>
        <w:jc w:val="center"/>
        <w:rPr>
          <w:rFonts w:ascii="Arial" w:hAnsi="Arial" w:cs="Arial"/>
          <w:color w:val="auto"/>
          <w:sz w:val="28"/>
          <w:szCs w:val="28"/>
          <w:highlight w:val="none"/>
        </w:rPr>
      </w:pPr>
      <w:r>
        <w:rPr>
          <w:rFonts w:ascii="Arial" w:hAnsi="Arial" w:cs="Arial"/>
          <w:color w:val="auto"/>
          <w:sz w:val="28"/>
          <w:szCs w:val="28"/>
          <w:highlight w:val="none"/>
        </w:rPr>
        <w:t>中小微企业划型标准</w:t>
      </w:r>
    </w:p>
    <w:tbl>
      <w:tblPr>
        <w:tblStyle w:val="54"/>
        <w:tblW w:w="0" w:type="auto"/>
        <w:tblInd w:w="250" w:type="dxa"/>
        <w:tblLayout w:type="fixed"/>
        <w:tblCellMar>
          <w:top w:w="0" w:type="dxa"/>
          <w:left w:w="108" w:type="dxa"/>
          <w:bottom w:w="0" w:type="dxa"/>
          <w:right w:w="108" w:type="dxa"/>
        </w:tblCellMar>
      </w:tblPr>
      <w:tblGrid>
        <w:gridCol w:w="1446"/>
        <w:gridCol w:w="1701"/>
        <w:gridCol w:w="1134"/>
        <w:gridCol w:w="1976"/>
        <w:gridCol w:w="1720"/>
        <w:gridCol w:w="1220"/>
      </w:tblGrid>
      <w:tr>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计量单位</w:t>
            </w:r>
          </w:p>
        </w:tc>
        <w:tc>
          <w:tcPr>
            <w:tcW w:w="1976" w:type="dxa"/>
            <w:tcBorders>
              <w:top w:val="single" w:color="auto" w:sz="4" w:space="0"/>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中型</w:t>
            </w:r>
          </w:p>
        </w:tc>
        <w:tc>
          <w:tcPr>
            <w:tcW w:w="1720" w:type="dxa"/>
            <w:tcBorders>
              <w:top w:val="single" w:color="auto" w:sz="4" w:space="0"/>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小型</w:t>
            </w:r>
          </w:p>
        </w:tc>
        <w:tc>
          <w:tcPr>
            <w:tcW w:w="1220" w:type="dxa"/>
            <w:tcBorders>
              <w:top w:val="single" w:color="auto" w:sz="4" w:space="0"/>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微型</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农、林、牧、渔</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50≤Y＜500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工业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2000≤Y＜40000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300≤Y＜2000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建筑业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6000≤Y＜80000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300≤Y＜6000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Y＜300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5000≤Z＜80000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300≤Z＜5000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Z＜300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ind w:firstLine="315" w:firstLineChars="150"/>
              <w:rPr>
                <w:rFonts w:ascii="Arial" w:hAnsi="Arial" w:cs="Arial"/>
                <w:color w:val="auto"/>
                <w:szCs w:val="21"/>
                <w:highlight w:val="none"/>
              </w:rPr>
            </w:pPr>
            <w:r>
              <w:rPr>
                <w:rFonts w:ascii="Arial" w:hAnsi="Arial" w:cs="Arial"/>
                <w:color w:val="auto"/>
                <w:szCs w:val="21"/>
                <w:highlight w:val="none"/>
              </w:rPr>
              <w:t>批发业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20≤X＜200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5≤X＜20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X＜5</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5000≤Y＜40000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Y＜1000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零售业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50≤X＜300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10≤X＜50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500≤Y＜20000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100≤Y＜500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交通运输业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3000≤Y＜30000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200≤Y＜3000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Y＜200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仓储业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100≤X＜200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邮政业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X＜20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2000≤Y＜30000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住宿业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餐饮业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100≤Y＜2000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信息传输业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100≤X＜2000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1000≤Y＜100000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1000≤Y＜10000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50≤Y＜1000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Y＜50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1000≤Y＜200000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100≤X＜1000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5000≤Z＜10000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2000≤Y＜5000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Y＜2000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物业管理</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300≤X＜1000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X＜100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营业收入（Y）</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1000≤Y＜5000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500≤Y＜1000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Y＜500</w:t>
            </w:r>
          </w:p>
        </w:tc>
      </w:tr>
      <w:tr>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r>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资产总额（Z）</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万元</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8000≤Z＜120000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100≤Z＜8000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Y＜100</w:t>
            </w:r>
          </w:p>
        </w:tc>
      </w:tr>
      <w:tr>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color w:val="auto"/>
                <w:szCs w:val="21"/>
                <w:highlight w:val="none"/>
              </w:rPr>
            </w:pPr>
            <w:r>
              <w:rPr>
                <w:rFonts w:ascii="Arial" w:hAnsi="Arial" w:cs="Arial"/>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从业人员（X）</w:t>
            </w:r>
          </w:p>
        </w:tc>
        <w:tc>
          <w:tcPr>
            <w:tcW w:w="1134"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人</w:t>
            </w:r>
          </w:p>
        </w:tc>
        <w:tc>
          <w:tcPr>
            <w:tcW w:w="1976"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100≤X＜300</w:t>
            </w:r>
          </w:p>
        </w:tc>
        <w:tc>
          <w:tcPr>
            <w:tcW w:w="17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10≤X＜100</w:t>
            </w:r>
          </w:p>
        </w:tc>
        <w:tc>
          <w:tcPr>
            <w:tcW w:w="1220" w:type="dxa"/>
            <w:tcBorders>
              <w:top w:val="nil"/>
              <w:left w:val="nil"/>
              <w:bottom w:val="single" w:color="auto" w:sz="4" w:space="0"/>
              <w:right w:val="single" w:color="auto" w:sz="4" w:space="0"/>
            </w:tcBorders>
            <w:vAlign w:val="center"/>
          </w:tcPr>
          <w:p>
            <w:pPr>
              <w:widowControl/>
              <w:jc w:val="left"/>
              <w:rPr>
                <w:rFonts w:ascii="Arial" w:hAnsi="Arial" w:cs="Arial"/>
                <w:color w:val="auto"/>
                <w:szCs w:val="21"/>
                <w:highlight w:val="none"/>
              </w:rPr>
            </w:pPr>
            <w:r>
              <w:rPr>
                <w:rFonts w:ascii="Arial" w:hAnsi="Arial" w:cs="Arial"/>
                <w:color w:val="auto"/>
                <w:szCs w:val="21"/>
                <w:highlight w:val="none"/>
              </w:rPr>
              <w:t>X＜10</w:t>
            </w:r>
          </w:p>
        </w:tc>
      </w:tr>
    </w:tbl>
    <w:p>
      <w:pPr>
        <w:spacing w:line="360" w:lineRule="auto"/>
        <w:ind w:firstLine="525" w:firstLineChars="250"/>
        <w:rPr>
          <w:rFonts w:ascii="Arial" w:hAnsi="Arial" w:cs="Arial"/>
          <w:color w:val="auto"/>
          <w:szCs w:val="21"/>
          <w:highlight w:val="none"/>
        </w:r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rPr>
          <w:rFonts w:ascii="Arial" w:hAnsi="Arial" w:cs="Arial"/>
          <w:color w:val="auto"/>
          <w:sz w:val="28"/>
          <w:szCs w:val="28"/>
          <w:highlight w:val="none"/>
        </w:rPr>
      </w:pPr>
      <w:r>
        <w:rPr>
          <w:rFonts w:ascii="Arial" w:hAnsi="Arial" w:cs="Arial"/>
          <w:color w:val="auto"/>
          <w:szCs w:val="21"/>
          <w:highlight w:val="none"/>
        </w:rPr>
        <w:br w:type="page"/>
      </w:r>
      <w:bookmarkStart w:id="100" w:name="_Hlk132788258"/>
      <w:r>
        <w:rPr>
          <w:rFonts w:ascii="Arial" w:hAnsi="Arial" w:cs="Arial"/>
          <w:color w:val="auto"/>
          <w:sz w:val="28"/>
          <w:szCs w:val="28"/>
          <w:highlight w:val="none"/>
        </w:rPr>
        <w:t>附：</w:t>
      </w:r>
    </w:p>
    <w:p>
      <w:pPr>
        <w:spacing w:line="360" w:lineRule="auto"/>
        <w:rPr>
          <w:rFonts w:ascii="Arial" w:hAnsi="Arial" w:cs="Arial"/>
          <w:color w:val="auto"/>
          <w:szCs w:val="21"/>
          <w:highlight w:val="none"/>
        </w:rPr>
      </w:pPr>
      <w:r>
        <w:rPr>
          <w:rFonts w:ascii="Arial" w:hAnsi="Arial" w:cs="Arial"/>
          <w:color w:val="auto"/>
          <w:position w:val="-335"/>
          <w:sz w:val="20"/>
          <w:szCs w:val="20"/>
          <w:highlight w:val="none"/>
        </w:rPr>
        <w:drawing>
          <wp:inline distT="0" distB="0" distL="114300" distR="114300">
            <wp:extent cx="5302885" cy="7731760"/>
            <wp:effectExtent l="0" t="0" r="12065" b="254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9"/>
                    <a:stretch>
                      <a:fillRect/>
                    </a:stretch>
                  </pic:blipFill>
                  <pic:spPr>
                    <a:xfrm>
                      <a:off x="0" y="0"/>
                      <a:ext cx="5302885" cy="7731760"/>
                    </a:xfrm>
                    <a:prstGeom prst="rect">
                      <a:avLst/>
                    </a:prstGeom>
                    <a:noFill/>
                    <a:ln>
                      <a:noFill/>
                    </a:ln>
                  </pic:spPr>
                </pic:pic>
              </a:graphicData>
            </a:graphic>
          </wp:inline>
        </w:drawing>
      </w:r>
    </w:p>
    <w:bookmarkEnd w:id="100"/>
    <w:p>
      <w:pPr>
        <w:rPr>
          <w:rFonts w:ascii="Arial" w:hAnsi="Arial" w:cs="Arial"/>
          <w:color w:val="auto"/>
          <w:highlight w:val="none"/>
        </w:rPr>
      </w:pPr>
    </w:p>
    <w:p>
      <w:pPr>
        <w:spacing w:before="120" w:line="320" w:lineRule="atLeast"/>
        <w:rPr>
          <w:rFonts w:ascii="Arial" w:hAnsi="Arial" w:cs="Arial"/>
          <w:bCs/>
          <w:color w:val="auto"/>
          <w:szCs w:val="21"/>
          <w:highlight w:val="none"/>
        </w:rPr>
      </w:pPr>
    </w:p>
    <w:bookmarkEnd w:id="87"/>
    <w:p>
      <w:pPr>
        <w:pStyle w:val="29"/>
        <w:snapToGrid w:val="0"/>
        <w:spacing w:before="120" w:after="120"/>
        <w:jc w:val="center"/>
        <w:outlineLvl w:val="0"/>
        <w:rPr>
          <w:rFonts w:ascii="Arial" w:hAnsi="Arial" w:cs="Arial"/>
          <w:color w:val="auto"/>
          <w:sz w:val="32"/>
          <w:szCs w:val="32"/>
          <w:highlight w:val="none"/>
        </w:rPr>
      </w:pPr>
      <w:r>
        <w:rPr>
          <w:rFonts w:ascii="Arial" w:hAnsi="Arial" w:cs="Arial"/>
          <w:color w:val="auto"/>
          <w:highlight w:val="none"/>
        </w:rPr>
        <w:br w:type="page"/>
      </w:r>
      <w:bookmarkStart w:id="101" w:name="_Toc25902"/>
      <w:r>
        <w:rPr>
          <w:rFonts w:ascii="Arial" w:hAnsi="Arial" w:cs="Arial"/>
          <w:color w:val="auto"/>
          <w:sz w:val="32"/>
          <w:szCs w:val="32"/>
          <w:highlight w:val="none"/>
        </w:rPr>
        <w:t>第五章  合同主要条款格式</w:t>
      </w:r>
      <w:bookmarkEnd w:id="101"/>
    </w:p>
    <w:p>
      <w:pPr>
        <w:pStyle w:val="29"/>
        <w:adjustRightInd w:val="0"/>
        <w:snapToGrid w:val="0"/>
        <w:spacing w:line="400" w:lineRule="exact"/>
        <w:rPr>
          <w:rFonts w:ascii="Arial" w:hAnsi="Arial" w:cs="Arial"/>
          <w:b/>
          <w:color w:val="auto"/>
          <w:highlight w:val="none"/>
        </w:rPr>
      </w:pPr>
    </w:p>
    <w:p>
      <w:pPr>
        <w:jc w:val="center"/>
        <w:rPr>
          <w:rFonts w:ascii="Arial" w:hAnsi="Arial" w:cs="Arial"/>
          <w:color w:val="auto"/>
          <w:sz w:val="32"/>
          <w:szCs w:val="32"/>
          <w:highlight w:val="none"/>
        </w:rPr>
      </w:pPr>
      <w:r>
        <w:rPr>
          <w:rFonts w:hint="eastAsia" w:ascii="Arial" w:hAnsi="Arial" w:cs="Arial"/>
          <w:color w:val="auto"/>
          <w:sz w:val="32"/>
          <w:szCs w:val="32"/>
          <w:highlight w:val="none"/>
          <w:lang w:eastAsia="zh-CN"/>
        </w:rPr>
        <w:t>南溪山医院医疗设备设施全生命周期管理服务项目</w:t>
      </w:r>
      <w:r>
        <w:rPr>
          <w:rFonts w:hint="eastAsia" w:ascii="Arial" w:hAnsi="Arial" w:cs="Arial"/>
          <w:color w:val="auto"/>
          <w:sz w:val="32"/>
          <w:szCs w:val="32"/>
          <w:highlight w:val="none"/>
        </w:rPr>
        <w:t>采购</w:t>
      </w:r>
      <w:r>
        <w:rPr>
          <w:rFonts w:ascii="Arial" w:hAnsi="Arial" w:cs="Arial"/>
          <w:color w:val="auto"/>
          <w:sz w:val="32"/>
          <w:szCs w:val="32"/>
          <w:highlight w:val="none"/>
        </w:rPr>
        <w:t>合同</w:t>
      </w:r>
    </w:p>
    <w:p>
      <w:pPr>
        <w:rPr>
          <w:rFonts w:ascii="Arial" w:hAnsi="Arial" w:cs="Arial"/>
          <w:color w:val="auto"/>
          <w:highlight w:val="none"/>
        </w:rPr>
      </w:pPr>
    </w:p>
    <w:p>
      <w:pPr>
        <w:adjustRightInd w:val="0"/>
        <w:snapToGrid w:val="0"/>
        <w:spacing w:line="300" w:lineRule="auto"/>
        <w:ind w:firstLine="420" w:firstLineChars="200"/>
        <w:rPr>
          <w:rFonts w:ascii="Arial" w:hAnsi="Arial" w:cs="Arial"/>
          <w:color w:val="auto"/>
          <w:szCs w:val="21"/>
          <w:highlight w:val="none"/>
        </w:rPr>
      </w:pPr>
    </w:p>
    <w:p>
      <w:pPr>
        <w:snapToGrid w:val="0"/>
        <w:spacing w:line="360" w:lineRule="auto"/>
        <w:ind w:right="480"/>
        <w:rPr>
          <w:rFonts w:ascii="宋体" w:hAnsi="宋体" w:cs="宋体"/>
          <w:bCs/>
          <w:color w:val="auto"/>
          <w:szCs w:val="21"/>
          <w:highlight w:val="none"/>
          <w:u w:val="single"/>
        </w:rPr>
      </w:pPr>
      <w:r>
        <w:rPr>
          <w:rFonts w:hint="eastAsia" w:ascii="宋体" w:hAnsi="宋体" w:cs="宋体"/>
          <w:color w:val="auto"/>
          <w:szCs w:val="21"/>
          <w:highlight w:val="none"/>
        </w:rPr>
        <w:t>采购人（甲方）：广西壮族自治区南溪山医院（广西壮族自治区第二人民医院）</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采购计划文号：</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highlight w:val="none"/>
        </w:rPr>
      </w:pPr>
      <w:r>
        <w:rPr>
          <w:rFonts w:hint="eastAsia" w:ascii="宋体" w:hAnsi="宋体" w:cs="宋体"/>
          <w:color w:val="auto"/>
          <w:szCs w:val="21"/>
          <w:highlight w:val="none"/>
        </w:rPr>
        <w:t>合同类型：买卖合同</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签订地点：广西壮族自治区南溪山医院（广西壮族自治区第二人民医院）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根据《中华人民共和国政府采购法》、《政府采购货物和服务招标投标管理办法》、《中华人民共和国</w:t>
      </w:r>
      <w:r>
        <w:rPr>
          <w:rFonts w:hint="default" w:ascii="Arial" w:hAnsi="Arial" w:eastAsia="宋体" w:cs="Arial"/>
          <w:color w:val="auto"/>
          <w:sz w:val="21"/>
          <w:szCs w:val="21"/>
          <w:highlight w:val="none"/>
          <w:lang w:eastAsia="zh-CN"/>
        </w:rPr>
        <w:t>民法典</w:t>
      </w:r>
      <w:r>
        <w:rPr>
          <w:rFonts w:hint="default" w:ascii="Arial" w:hAnsi="Arial" w:eastAsia="宋体" w:cs="Arial"/>
          <w:color w:val="auto"/>
          <w:sz w:val="21"/>
          <w:szCs w:val="21"/>
          <w:highlight w:val="none"/>
        </w:rPr>
        <w:t>》等法律、法规规定，按照招标文件规定条款和乙方投标文件承诺，甲乙双方签订本合同。</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02" w:name="_Toc15396"/>
      <w:r>
        <w:rPr>
          <w:rFonts w:hint="default" w:ascii="Arial" w:hAnsi="Arial" w:cs="Arial"/>
          <w:sz w:val="21"/>
          <w:szCs w:val="21"/>
          <w:highlight w:val="none"/>
        </w:rPr>
        <w:t>第一条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合同标的</w:t>
      </w:r>
      <w:bookmarkEnd w:id="102"/>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0" w:firstLine="448" w:firstLineChars="200"/>
        <w:jc w:val="left"/>
        <w:textAlignment w:val="auto"/>
        <w:rPr>
          <w:rFonts w:hint="default" w:ascii="Arial" w:hAnsi="Arial" w:eastAsia="宋体" w:cs="Arial"/>
          <w:b/>
          <w:color w:val="000000"/>
          <w:sz w:val="21"/>
          <w:szCs w:val="21"/>
          <w:highlight w:val="none"/>
        </w:rPr>
      </w:pPr>
      <w:r>
        <w:rPr>
          <w:rFonts w:hint="default" w:ascii="Arial" w:hAnsi="Arial" w:eastAsia="宋体" w:cs="Arial"/>
          <w:color w:val="000000"/>
          <w:spacing w:val="7"/>
          <w:sz w:val="21"/>
          <w:szCs w:val="21"/>
          <w:highlight w:val="none"/>
          <w:lang w:val="en-US" w:eastAsia="zh-CN"/>
        </w:rPr>
        <w:t>1.</w:t>
      </w:r>
      <w:r>
        <w:rPr>
          <w:rFonts w:hint="default" w:ascii="Arial" w:hAnsi="Arial" w:eastAsia="宋体" w:cs="Arial"/>
          <w:b/>
          <w:color w:val="000000"/>
          <w:sz w:val="21"/>
          <w:szCs w:val="21"/>
          <w:highlight w:val="none"/>
        </w:rPr>
        <w:t>服务设备范围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default" w:ascii="Arial" w:hAnsi="Arial" w:eastAsia="宋体" w:cs="Arial"/>
          <w:color w:val="000000"/>
          <w:sz w:val="21"/>
          <w:szCs w:val="21"/>
          <w:highlight w:val="none"/>
          <w:lang w:val="en-US" w:eastAsia="zh-CN"/>
        </w:rPr>
      </w:pPr>
      <w:r>
        <w:rPr>
          <w:rFonts w:hint="default" w:ascii="Arial" w:hAnsi="Arial" w:eastAsia="宋体" w:cs="Arial"/>
          <w:color w:val="000000"/>
          <w:sz w:val="21"/>
          <w:szCs w:val="21"/>
          <w:highlight w:val="none"/>
          <w:lang w:val="en-US" w:eastAsia="zh-CN"/>
        </w:rPr>
        <w:t>全院所有医疗设备</w:t>
      </w:r>
      <w:r>
        <w:rPr>
          <w:rFonts w:hint="default" w:ascii="Arial" w:hAnsi="Arial" w:eastAsia="宋体" w:cs="Arial"/>
          <w:color w:val="000000"/>
          <w:sz w:val="21"/>
          <w:szCs w:val="21"/>
          <w:highlight w:val="none"/>
        </w:rPr>
        <w:t>，</w:t>
      </w:r>
      <w:r>
        <w:rPr>
          <w:rFonts w:hint="default" w:ascii="Arial" w:hAnsi="Arial" w:eastAsia="宋体" w:cs="Arial"/>
          <w:color w:val="000000"/>
          <w:sz w:val="21"/>
          <w:szCs w:val="21"/>
          <w:highlight w:val="none"/>
          <w:lang w:val="en-US" w:eastAsia="zh-CN"/>
        </w:rPr>
        <w:t>另</w:t>
      </w:r>
      <w:r>
        <w:rPr>
          <w:rFonts w:hint="default" w:ascii="Arial" w:hAnsi="Arial" w:eastAsia="宋体" w:cs="Arial"/>
          <w:color w:val="000000"/>
          <w:sz w:val="21"/>
          <w:szCs w:val="21"/>
          <w:highlight w:val="none"/>
        </w:rPr>
        <w:t>加全院设备带、传呼系统、全院层流系统</w:t>
      </w:r>
      <w:r>
        <w:rPr>
          <w:rFonts w:hint="default" w:ascii="Arial" w:hAnsi="Arial" w:eastAsia="宋体" w:cs="Arial"/>
          <w:color w:val="000000"/>
          <w:sz w:val="21"/>
          <w:szCs w:val="21"/>
          <w:highlight w:val="none"/>
          <w:lang w:eastAsia="zh-CN"/>
        </w:rPr>
        <w:t>、</w:t>
      </w:r>
      <w:r>
        <w:rPr>
          <w:rFonts w:hint="default" w:ascii="Arial" w:hAnsi="Arial" w:eastAsia="宋体" w:cs="Arial"/>
          <w:color w:val="000000"/>
          <w:sz w:val="21"/>
          <w:szCs w:val="21"/>
          <w:highlight w:val="none"/>
          <w:lang w:val="en-US" w:eastAsia="zh-CN"/>
        </w:rPr>
        <w:t>全院正负压系统全部纳入全保范围，包含所有维修备件及层流初·中·高效滤网及更换等。截止至2025年7月</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lang w:val="en-US" w:eastAsia="zh-CN"/>
        </w:rPr>
        <w:t>在用的医疗设备，纳入全保资产约为6.31亿元，</w:t>
      </w:r>
      <w:r>
        <w:rPr>
          <w:rFonts w:hint="default" w:ascii="Arial" w:hAnsi="Arial" w:eastAsia="宋体" w:cs="Arial"/>
          <w:color w:val="000000"/>
          <w:spacing w:val="-6"/>
          <w:sz w:val="21"/>
          <w:szCs w:val="21"/>
          <w:highlight w:val="none"/>
        </w:rPr>
        <w:t>具体服务设备</w:t>
      </w:r>
      <w:r>
        <w:rPr>
          <w:rFonts w:hint="default" w:ascii="Arial" w:hAnsi="Arial" w:eastAsia="宋体" w:cs="Arial"/>
          <w:color w:val="000000"/>
          <w:spacing w:val="-6"/>
          <w:sz w:val="21"/>
          <w:szCs w:val="21"/>
          <w:highlight w:val="none"/>
          <w:lang w:val="en-US" w:eastAsia="zh-CN"/>
        </w:rPr>
        <w:t>范围</w:t>
      </w:r>
      <w:r>
        <w:rPr>
          <w:rFonts w:hint="default" w:ascii="Arial" w:hAnsi="Arial" w:eastAsia="宋体" w:cs="Arial"/>
          <w:color w:val="000000"/>
          <w:spacing w:val="-6"/>
          <w:sz w:val="21"/>
          <w:szCs w:val="21"/>
          <w:highlight w:val="none"/>
        </w:rPr>
        <w:t>详见附件1</w:t>
      </w:r>
      <w:r>
        <w:rPr>
          <w:rFonts w:hint="default" w:ascii="Arial" w:hAnsi="Arial" w:eastAsia="宋体" w:cs="Arial"/>
          <w:color w:val="000000"/>
          <w:spacing w:val="-6"/>
          <w:sz w:val="21"/>
          <w:szCs w:val="21"/>
          <w:highlight w:val="none"/>
          <w:lang w:eastAsia="zh-CN"/>
        </w:rPr>
        <w:t>。</w:t>
      </w:r>
      <w:r>
        <w:rPr>
          <w:rFonts w:hint="default" w:ascii="Arial" w:hAnsi="Arial" w:eastAsia="宋体" w:cs="Arial"/>
          <w:color w:val="000000"/>
          <w:spacing w:val="-6"/>
          <w:sz w:val="21"/>
          <w:szCs w:val="21"/>
          <w:highlight w:val="none"/>
        </w:rPr>
        <w:t>（</w:t>
      </w:r>
      <w:r>
        <w:rPr>
          <w:rFonts w:hint="default" w:ascii="Arial" w:hAnsi="Arial" w:eastAsia="宋体" w:cs="Arial"/>
          <w:color w:val="000000"/>
          <w:sz w:val="21"/>
          <w:szCs w:val="21"/>
          <w:highlight w:val="none"/>
        </w:rPr>
        <w:t>本院的X射线计算机体层摄影设备（IQon Spectra1 CT）、X射线计算机体层摄影设备（SOMATOM Definition AS）、磁共振成像系统（Achieva3.0T TX）、磁共振成像系统（Ingenia 3.0T CX）、PET/CT(X线正电子发射断层扫描仪）、ECT、医用直线加速器（Elekta Infinity）、后装治疗机、X射线计算机体层摄影设备（Discovery RT）、内窥镜手术控制系统及附件（IS4000）、飞秒激光角膜屈光治疗机、X射线计算机体层摄影设备（SOMATOMgo.Top）、医用血管造影机X射线系统（UNIQFD20）、全数字化心脏介入平板造影系统（Artiszee III floor、2台）、医用血管造影X射线系统（Azurion 7 M20）、移动核酸检</w:t>
      </w:r>
      <w:r>
        <w:rPr>
          <w:rFonts w:hint="default" w:ascii="Arial" w:hAnsi="Arial" w:eastAsia="宋体" w:cs="Arial"/>
          <w:color w:val="000000"/>
          <w:spacing w:val="-6"/>
          <w:sz w:val="21"/>
          <w:szCs w:val="21"/>
          <w:highlight w:val="none"/>
        </w:rPr>
        <w:t>测车（2台）共18台大型设备不纳入本次全保范围）。</w:t>
      </w:r>
    </w:p>
    <w:p>
      <w:pPr>
        <w:keepNext w:val="0"/>
        <w:keepLines w:val="0"/>
        <w:pageBreakBefore w:val="0"/>
        <w:widowControl w:val="0"/>
        <w:kinsoku/>
        <w:wordWrap/>
        <w:overflowPunct/>
        <w:topLinePunct w:val="0"/>
        <w:autoSpaceDE/>
        <w:autoSpaceDN/>
        <w:bidi w:val="0"/>
        <w:adjustRightInd/>
        <w:snapToGrid/>
        <w:spacing w:line="312" w:lineRule="auto"/>
        <w:ind w:left="0" w:firstLine="420" w:firstLineChars="200"/>
        <w:textAlignment w:val="auto"/>
        <w:rPr>
          <w:rFonts w:hint="default" w:ascii="Arial" w:hAnsi="Arial" w:eastAsia="宋体" w:cs="Arial"/>
          <w:color w:val="000000"/>
          <w:spacing w:val="7"/>
          <w:sz w:val="21"/>
          <w:szCs w:val="21"/>
          <w:highlight w:val="none"/>
          <w:lang w:val="en-US" w:eastAsia="zh-CN"/>
        </w:rPr>
      </w:pPr>
      <w:r>
        <w:rPr>
          <w:rFonts w:hint="default" w:ascii="Arial" w:hAnsi="Arial" w:eastAsia="宋体" w:cs="Arial"/>
          <w:color w:val="000000"/>
          <w:sz w:val="21"/>
          <w:szCs w:val="21"/>
          <w:highlight w:val="none"/>
          <w:lang w:val="en-US" w:eastAsia="zh-CN"/>
        </w:rPr>
        <w:t>所有</w:t>
      </w:r>
      <w:r>
        <w:rPr>
          <w:rFonts w:hint="default" w:ascii="Arial" w:hAnsi="Arial" w:eastAsia="宋体" w:cs="Arial"/>
          <w:color w:val="000000"/>
          <w:sz w:val="21"/>
          <w:szCs w:val="21"/>
          <w:highlight w:val="none"/>
        </w:rPr>
        <w:t>维保设备范围内的医疗设备</w:t>
      </w:r>
      <w:r>
        <w:rPr>
          <w:rFonts w:hint="default" w:ascii="Arial" w:hAnsi="Arial" w:eastAsia="宋体" w:cs="Arial"/>
          <w:color w:val="000000"/>
          <w:sz w:val="21"/>
          <w:szCs w:val="21"/>
          <w:highlight w:val="none"/>
          <w:lang w:val="en-US" w:eastAsia="zh-CN"/>
        </w:rPr>
        <w:t>乙方</w:t>
      </w:r>
      <w:r>
        <w:rPr>
          <w:rFonts w:hint="default" w:ascii="Arial" w:hAnsi="Arial" w:eastAsia="宋体" w:cs="Arial"/>
          <w:color w:val="000000"/>
          <w:sz w:val="21"/>
          <w:szCs w:val="21"/>
          <w:highlight w:val="none"/>
        </w:rPr>
        <w:t>需免费统一纳入医疗设备智慧化管理体系进行统一信息化管理。</w:t>
      </w:r>
    </w:p>
    <w:p>
      <w:pPr>
        <w:keepNext w:val="0"/>
        <w:keepLines w:val="0"/>
        <w:pageBreakBefore w:val="0"/>
        <w:kinsoku/>
        <w:wordWrap/>
        <w:overflowPunct/>
        <w:topLinePunct w:val="0"/>
        <w:bidi w:val="0"/>
        <w:adjustRightInd/>
        <w:snapToGrid/>
        <w:spacing w:line="312" w:lineRule="auto"/>
        <w:ind w:left="0" w:firstLine="450" w:firstLineChars="200"/>
        <w:textAlignment w:val="auto"/>
        <w:rPr>
          <w:rFonts w:hint="default" w:ascii="Arial" w:hAnsi="Arial" w:eastAsia="宋体" w:cs="Arial"/>
          <w:b/>
          <w:bCs/>
          <w:color w:val="000000"/>
          <w:sz w:val="21"/>
          <w:szCs w:val="21"/>
          <w:highlight w:val="none"/>
          <w:lang w:val="en-US" w:eastAsia="zh-CN"/>
        </w:rPr>
      </w:pPr>
      <w:r>
        <w:rPr>
          <w:rFonts w:hint="default" w:ascii="Arial" w:hAnsi="Arial" w:eastAsia="宋体" w:cs="Arial"/>
          <w:b/>
          <w:bCs/>
          <w:color w:val="000000"/>
          <w:spacing w:val="7"/>
          <w:sz w:val="21"/>
          <w:szCs w:val="21"/>
          <w:highlight w:val="none"/>
          <w:lang w:val="en-US" w:eastAsia="zh-CN"/>
        </w:rPr>
        <w:t>2</w:t>
      </w:r>
      <w:r>
        <w:rPr>
          <w:rFonts w:hint="default" w:ascii="Arial" w:hAnsi="Arial" w:eastAsia="宋体" w:cs="Arial"/>
          <w:b/>
          <w:bCs/>
          <w:color w:val="000000"/>
          <w:spacing w:val="7"/>
          <w:sz w:val="21"/>
          <w:szCs w:val="21"/>
          <w:highlight w:val="none"/>
        </w:rPr>
        <w:t>.</w:t>
      </w:r>
      <w:r>
        <w:rPr>
          <w:rFonts w:hint="default" w:ascii="Arial" w:hAnsi="Arial" w:eastAsia="宋体" w:cs="Arial"/>
          <w:b/>
          <w:bCs/>
          <w:color w:val="000000"/>
          <w:spacing w:val="7"/>
          <w:sz w:val="21"/>
          <w:szCs w:val="21"/>
          <w:highlight w:val="none"/>
          <w:lang w:val="en-US" w:eastAsia="zh-CN"/>
        </w:rPr>
        <w:t>服务明细及价格</w:t>
      </w:r>
    </w:p>
    <w:tbl>
      <w:tblPr>
        <w:tblStyle w:val="262"/>
        <w:tblW w:w="9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821"/>
        <w:gridCol w:w="1718"/>
        <w:gridCol w:w="837"/>
        <w:gridCol w:w="828"/>
        <w:gridCol w:w="1866"/>
        <w:gridCol w:w="2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jc w:val="center"/>
        </w:trPr>
        <w:tc>
          <w:tcPr>
            <w:tcW w:w="796" w:type="dxa"/>
            <w:noWrap w:val="0"/>
            <w:textDirection w:val="tbRlV"/>
            <w:vAlign w:val="center"/>
          </w:tcPr>
          <w:p>
            <w:pPr>
              <w:pStyle w:val="261"/>
              <w:keepNext w:val="0"/>
              <w:keepLines w:val="0"/>
              <w:pageBreakBefore w:val="0"/>
              <w:kinsoku/>
              <w:wordWrap/>
              <w:overflowPunct/>
              <w:topLinePunct w:val="0"/>
              <w:bidi w:val="0"/>
              <w:adjustRightInd/>
              <w:snapToGrid/>
              <w:spacing w:line="312" w:lineRule="auto"/>
              <w:ind w:left="130"/>
              <w:jc w:val="center"/>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rPr>
              <w:t>序号</w:t>
            </w:r>
          </w:p>
        </w:tc>
        <w:tc>
          <w:tcPr>
            <w:tcW w:w="821" w:type="dxa"/>
            <w:noWrap w:val="0"/>
            <w:vAlign w:val="center"/>
          </w:tcPr>
          <w:p>
            <w:pPr>
              <w:pStyle w:val="261"/>
              <w:keepNext w:val="0"/>
              <w:keepLines w:val="0"/>
              <w:pageBreakBefore w:val="0"/>
              <w:kinsoku/>
              <w:wordWrap/>
              <w:overflowPunct/>
              <w:topLinePunct w:val="0"/>
              <w:bidi w:val="0"/>
              <w:adjustRightInd/>
              <w:snapToGrid/>
              <w:spacing w:line="312" w:lineRule="auto"/>
              <w:ind w:left="0"/>
              <w:jc w:val="center"/>
              <w:textAlignment w:val="auto"/>
              <w:rPr>
                <w:rFonts w:hint="default" w:ascii="Arial" w:hAnsi="Arial" w:eastAsia="宋体" w:cs="Arial"/>
                <w:color w:val="000000"/>
                <w:sz w:val="21"/>
                <w:szCs w:val="21"/>
                <w:highlight w:val="none"/>
              </w:rPr>
            </w:pPr>
            <w:r>
              <w:rPr>
                <w:rFonts w:hint="default" w:ascii="Arial" w:hAnsi="Arial" w:eastAsia="宋体" w:cs="Arial"/>
                <w:color w:val="000000"/>
                <w:spacing w:val="7"/>
                <w:sz w:val="21"/>
                <w:szCs w:val="21"/>
                <w:highlight w:val="none"/>
              </w:rPr>
              <w:t>名称</w:t>
            </w:r>
          </w:p>
        </w:tc>
        <w:tc>
          <w:tcPr>
            <w:tcW w:w="1718" w:type="dxa"/>
            <w:noWrap w:val="0"/>
            <w:vAlign w:val="center"/>
          </w:tcPr>
          <w:p>
            <w:pPr>
              <w:pStyle w:val="261"/>
              <w:keepNext w:val="0"/>
              <w:keepLines w:val="0"/>
              <w:pageBreakBefore w:val="0"/>
              <w:kinsoku/>
              <w:wordWrap/>
              <w:overflowPunct/>
              <w:topLinePunct w:val="0"/>
              <w:bidi w:val="0"/>
              <w:adjustRightInd/>
              <w:snapToGrid/>
              <w:spacing w:line="312" w:lineRule="auto"/>
              <w:ind w:left="0"/>
              <w:jc w:val="center"/>
              <w:textAlignment w:val="auto"/>
              <w:rPr>
                <w:rFonts w:hint="default" w:ascii="Arial" w:hAnsi="Arial" w:eastAsia="宋体" w:cs="Arial"/>
                <w:color w:val="000000"/>
                <w:sz w:val="21"/>
                <w:szCs w:val="21"/>
                <w:highlight w:val="none"/>
              </w:rPr>
            </w:pPr>
            <w:r>
              <w:rPr>
                <w:rFonts w:hint="default" w:ascii="Arial" w:hAnsi="Arial" w:eastAsia="宋体" w:cs="Arial"/>
                <w:color w:val="000000"/>
                <w:spacing w:val="3"/>
                <w:sz w:val="21"/>
                <w:szCs w:val="21"/>
                <w:highlight w:val="none"/>
              </w:rPr>
              <w:t>服务内容</w:t>
            </w:r>
          </w:p>
        </w:tc>
        <w:tc>
          <w:tcPr>
            <w:tcW w:w="837" w:type="dxa"/>
            <w:noWrap w:val="0"/>
            <w:vAlign w:val="center"/>
          </w:tcPr>
          <w:p>
            <w:pPr>
              <w:pStyle w:val="261"/>
              <w:keepNext w:val="0"/>
              <w:keepLines w:val="0"/>
              <w:pageBreakBefore w:val="0"/>
              <w:kinsoku/>
              <w:wordWrap/>
              <w:overflowPunct/>
              <w:topLinePunct w:val="0"/>
              <w:bidi w:val="0"/>
              <w:adjustRightInd/>
              <w:snapToGrid/>
              <w:spacing w:line="312" w:lineRule="auto"/>
              <w:ind w:left="0"/>
              <w:jc w:val="center"/>
              <w:textAlignment w:val="auto"/>
              <w:rPr>
                <w:rFonts w:hint="default" w:ascii="Arial" w:hAnsi="Arial" w:eastAsia="宋体" w:cs="Arial"/>
                <w:color w:val="000000"/>
                <w:sz w:val="21"/>
                <w:szCs w:val="21"/>
                <w:highlight w:val="none"/>
              </w:rPr>
            </w:pPr>
            <w:r>
              <w:rPr>
                <w:rFonts w:hint="default" w:ascii="Arial" w:hAnsi="Arial" w:eastAsia="宋体" w:cs="Arial"/>
                <w:color w:val="000000"/>
                <w:spacing w:val="5"/>
                <w:sz w:val="21"/>
                <w:szCs w:val="21"/>
                <w:highlight w:val="none"/>
              </w:rPr>
              <w:t>数量</w:t>
            </w:r>
          </w:p>
        </w:tc>
        <w:tc>
          <w:tcPr>
            <w:tcW w:w="828" w:type="dxa"/>
            <w:noWrap w:val="0"/>
            <w:vAlign w:val="center"/>
          </w:tcPr>
          <w:p>
            <w:pPr>
              <w:pStyle w:val="261"/>
              <w:keepNext w:val="0"/>
              <w:keepLines w:val="0"/>
              <w:pageBreakBefore w:val="0"/>
              <w:kinsoku/>
              <w:wordWrap/>
              <w:overflowPunct/>
              <w:topLinePunct w:val="0"/>
              <w:bidi w:val="0"/>
              <w:adjustRightInd/>
              <w:snapToGrid/>
              <w:spacing w:line="312" w:lineRule="auto"/>
              <w:ind w:left="0"/>
              <w:jc w:val="center"/>
              <w:textAlignment w:val="auto"/>
              <w:rPr>
                <w:rFonts w:hint="default" w:ascii="Arial" w:hAnsi="Arial" w:eastAsia="宋体" w:cs="Arial"/>
                <w:color w:val="000000"/>
                <w:sz w:val="21"/>
                <w:szCs w:val="21"/>
                <w:highlight w:val="none"/>
              </w:rPr>
            </w:pPr>
            <w:r>
              <w:rPr>
                <w:rFonts w:hint="default" w:ascii="Arial" w:hAnsi="Arial" w:eastAsia="宋体" w:cs="Arial"/>
                <w:color w:val="000000"/>
                <w:spacing w:val="5"/>
                <w:sz w:val="21"/>
                <w:szCs w:val="21"/>
                <w:highlight w:val="none"/>
              </w:rPr>
              <w:t>单位</w:t>
            </w:r>
          </w:p>
        </w:tc>
        <w:tc>
          <w:tcPr>
            <w:tcW w:w="1866" w:type="dxa"/>
            <w:noWrap w:val="0"/>
            <w:vAlign w:val="center"/>
          </w:tcPr>
          <w:p>
            <w:pPr>
              <w:pStyle w:val="261"/>
              <w:keepNext w:val="0"/>
              <w:keepLines w:val="0"/>
              <w:pageBreakBefore w:val="0"/>
              <w:kinsoku/>
              <w:wordWrap/>
              <w:overflowPunct/>
              <w:topLinePunct w:val="0"/>
              <w:bidi w:val="0"/>
              <w:adjustRightInd/>
              <w:snapToGrid/>
              <w:spacing w:line="312" w:lineRule="auto"/>
              <w:ind w:left="0"/>
              <w:jc w:val="center"/>
              <w:textAlignment w:val="auto"/>
              <w:rPr>
                <w:rFonts w:hint="default" w:ascii="Arial" w:hAnsi="Arial" w:eastAsia="宋体" w:cs="Arial"/>
                <w:color w:val="000000"/>
                <w:sz w:val="21"/>
                <w:szCs w:val="21"/>
                <w:highlight w:val="none"/>
              </w:rPr>
            </w:pPr>
            <w:r>
              <w:rPr>
                <w:rFonts w:hint="default" w:ascii="Arial" w:hAnsi="Arial" w:eastAsia="宋体" w:cs="Arial"/>
                <w:color w:val="000000"/>
                <w:spacing w:val="12"/>
                <w:sz w:val="21"/>
                <w:szCs w:val="21"/>
                <w:highlight w:val="none"/>
              </w:rPr>
              <w:t>单价(元)</w:t>
            </w:r>
          </w:p>
        </w:tc>
        <w:tc>
          <w:tcPr>
            <w:tcW w:w="2215" w:type="dxa"/>
            <w:noWrap w:val="0"/>
            <w:vAlign w:val="center"/>
          </w:tcPr>
          <w:p>
            <w:pPr>
              <w:pStyle w:val="261"/>
              <w:keepNext w:val="0"/>
              <w:keepLines w:val="0"/>
              <w:pageBreakBefore w:val="0"/>
              <w:kinsoku/>
              <w:wordWrap/>
              <w:overflowPunct/>
              <w:topLinePunct w:val="0"/>
              <w:bidi w:val="0"/>
              <w:adjustRightInd/>
              <w:snapToGrid/>
              <w:spacing w:line="312" w:lineRule="auto"/>
              <w:ind w:left="0"/>
              <w:jc w:val="center"/>
              <w:textAlignment w:val="auto"/>
              <w:rPr>
                <w:rFonts w:hint="default" w:ascii="Arial" w:hAnsi="Arial" w:eastAsia="宋体" w:cs="Arial"/>
                <w:color w:val="000000"/>
                <w:sz w:val="21"/>
                <w:szCs w:val="21"/>
                <w:highlight w:val="none"/>
              </w:rPr>
            </w:pPr>
            <w:r>
              <w:rPr>
                <w:rFonts w:hint="default" w:ascii="Arial" w:hAnsi="Arial" w:eastAsia="宋体" w:cs="Arial"/>
                <w:color w:val="000000"/>
                <w:spacing w:val="12"/>
                <w:sz w:val="21"/>
                <w:szCs w:val="21"/>
                <w:highlight w:val="none"/>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796" w:type="dxa"/>
            <w:noWrap w:val="0"/>
            <w:vAlign w:val="top"/>
          </w:tcPr>
          <w:p>
            <w:pPr>
              <w:keepNext w:val="0"/>
              <w:keepLines w:val="0"/>
              <w:pageBreakBefore w:val="0"/>
              <w:kinsoku/>
              <w:wordWrap/>
              <w:overflowPunct/>
              <w:topLinePunct w:val="0"/>
              <w:bidi w:val="0"/>
              <w:adjustRightInd/>
              <w:snapToGrid/>
              <w:spacing w:line="312" w:lineRule="auto"/>
              <w:textAlignment w:val="auto"/>
              <w:rPr>
                <w:rFonts w:hint="default" w:ascii="Arial" w:hAnsi="Arial" w:eastAsia="宋体" w:cs="Arial"/>
                <w:color w:val="000000"/>
                <w:sz w:val="21"/>
                <w:szCs w:val="21"/>
                <w:highlight w:val="none"/>
              </w:rPr>
            </w:pPr>
          </w:p>
        </w:tc>
        <w:tc>
          <w:tcPr>
            <w:tcW w:w="821" w:type="dxa"/>
            <w:noWrap w:val="0"/>
            <w:vAlign w:val="top"/>
          </w:tcPr>
          <w:p>
            <w:pPr>
              <w:keepNext w:val="0"/>
              <w:keepLines w:val="0"/>
              <w:pageBreakBefore w:val="0"/>
              <w:kinsoku/>
              <w:wordWrap/>
              <w:overflowPunct/>
              <w:topLinePunct w:val="0"/>
              <w:bidi w:val="0"/>
              <w:adjustRightInd/>
              <w:snapToGrid/>
              <w:spacing w:line="312" w:lineRule="auto"/>
              <w:textAlignment w:val="auto"/>
              <w:rPr>
                <w:rFonts w:hint="default" w:ascii="Arial" w:hAnsi="Arial" w:eastAsia="宋体" w:cs="Arial"/>
                <w:color w:val="000000"/>
                <w:sz w:val="21"/>
                <w:szCs w:val="21"/>
                <w:highlight w:val="none"/>
              </w:rPr>
            </w:pPr>
          </w:p>
        </w:tc>
        <w:tc>
          <w:tcPr>
            <w:tcW w:w="1718" w:type="dxa"/>
            <w:noWrap w:val="0"/>
            <w:vAlign w:val="top"/>
          </w:tcPr>
          <w:p>
            <w:pPr>
              <w:keepNext w:val="0"/>
              <w:keepLines w:val="0"/>
              <w:pageBreakBefore w:val="0"/>
              <w:kinsoku/>
              <w:wordWrap/>
              <w:overflowPunct/>
              <w:topLinePunct w:val="0"/>
              <w:bidi w:val="0"/>
              <w:adjustRightInd/>
              <w:snapToGrid/>
              <w:spacing w:line="312" w:lineRule="auto"/>
              <w:textAlignment w:val="auto"/>
              <w:rPr>
                <w:rFonts w:hint="default" w:ascii="Arial" w:hAnsi="Arial" w:eastAsia="宋体" w:cs="Arial"/>
                <w:color w:val="000000"/>
                <w:sz w:val="21"/>
                <w:szCs w:val="21"/>
                <w:highlight w:val="none"/>
              </w:rPr>
            </w:pPr>
          </w:p>
        </w:tc>
        <w:tc>
          <w:tcPr>
            <w:tcW w:w="837" w:type="dxa"/>
            <w:noWrap w:val="0"/>
            <w:vAlign w:val="top"/>
          </w:tcPr>
          <w:p>
            <w:pPr>
              <w:keepNext w:val="0"/>
              <w:keepLines w:val="0"/>
              <w:pageBreakBefore w:val="0"/>
              <w:kinsoku/>
              <w:wordWrap/>
              <w:overflowPunct/>
              <w:topLinePunct w:val="0"/>
              <w:bidi w:val="0"/>
              <w:adjustRightInd/>
              <w:snapToGrid/>
              <w:spacing w:line="312" w:lineRule="auto"/>
              <w:textAlignment w:val="auto"/>
              <w:rPr>
                <w:rFonts w:hint="default" w:ascii="Arial" w:hAnsi="Arial" w:eastAsia="宋体" w:cs="Arial"/>
                <w:color w:val="000000"/>
                <w:sz w:val="21"/>
                <w:szCs w:val="21"/>
                <w:highlight w:val="none"/>
              </w:rPr>
            </w:pPr>
          </w:p>
        </w:tc>
        <w:tc>
          <w:tcPr>
            <w:tcW w:w="828" w:type="dxa"/>
            <w:noWrap w:val="0"/>
            <w:vAlign w:val="top"/>
          </w:tcPr>
          <w:p>
            <w:pPr>
              <w:keepNext w:val="0"/>
              <w:keepLines w:val="0"/>
              <w:pageBreakBefore w:val="0"/>
              <w:kinsoku/>
              <w:wordWrap/>
              <w:overflowPunct/>
              <w:topLinePunct w:val="0"/>
              <w:bidi w:val="0"/>
              <w:adjustRightInd/>
              <w:snapToGrid/>
              <w:spacing w:line="312" w:lineRule="auto"/>
              <w:textAlignment w:val="auto"/>
              <w:rPr>
                <w:rFonts w:hint="default" w:ascii="Arial" w:hAnsi="Arial" w:eastAsia="宋体" w:cs="Arial"/>
                <w:color w:val="000000"/>
                <w:sz w:val="21"/>
                <w:szCs w:val="21"/>
                <w:highlight w:val="none"/>
              </w:rPr>
            </w:pPr>
          </w:p>
        </w:tc>
        <w:tc>
          <w:tcPr>
            <w:tcW w:w="1866" w:type="dxa"/>
            <w:noWrap w:val="0"/>
            <w:vAlign w:val="top"/>
          </w:tcPr>
          <w:p>
            <w:pPr>
              <w:keepNext w:val="0"/>
              <w:keepLines w:val="0"/>
              <w:pageBreakBefore w:val="0"/>
              <w:kinsoku/>
              <w:wordWrap/>
              <w:overflowPunct/>
              <w:topLinePunct w:val="0"/>
              <w:bidi w:val="0"/>
              <w:adjustRightInd/>
              <w:snapToGrid/>
              <w:spacing w:line="312" w:lineRule="auto"/>
              <w:textAlignment w:val="auto"/>
              <w:rPr>
                <w:rFonts w:hint="default" w:ascii="Arial" w:hAnsi="Arial" w:eastAsia="宋体" w:cs="Arial"/>
                <w:color w:val="000000"/>
                <w:sz w:val="21"/>
                <w:szCs w:val="21"/>
                <w:highlight w:val="none"/>
              </w:rPr>
            </w:pPr>
          </w:p>
        </w:tc>
        <w:tc>
          <w:tcPr>
            <w:tcW w:w="2215" w:type="dxa"/>
            <w:noWrap w:val="0"/>
            <w:vAlign w:val="top"/>
          </w:tcPr>
          <w:p>
            <w:pPr>
              <w:keepNext w:val="0"/>
              <w:keepLines w:val="0"/>
              <w:pageBreakBefore w:val="0"/>
              <w:kinsoku/>
              <w:wordWrap/>
              <w:overflowPunct/>
              <w:topLinePunct w:val="0"/>
              <w:bidi w:val="0"/>
              <w:adjustRightInd/>
              <w:snapToGrid/>
              <w:spacing w:line="312" w:lineRule="auto"/>
              <w:textAlignment w:val="auto"/>
              <w:rPr>
                <w:rFonts w:hint="default" w:ascii="Arial" w:hAnsi="Arial" w:eastAsia="宋体" w:cs="Arial"/>
                <w:color w:val="00000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9081" w:type="dxa"/>
            <w:gridSpan w:val="7"/>
            <w:noWrap w:val="0"/>
            <w:vAlign w:val="top"/>
          </w:tcPr>
          <w:p>
            <w:pPr>
              <w:pStyle w:val="261"/>
              <w:keepNext w:val="0"/>
              <w:keepLines w:val="0"/>
              <w:pageBreakBefore w:val="0"/>
              <w:kinsoku/>
              <w:wordWrap/>
              <w:overflowPunct/>
              <w:topLinePunct w:val="0"/>
              <w:bidi w:val="0"/>
              <w:adjustRightInd/>
              <w:snapToGrid/>
              <w:spacing w:line="312" w:lineRule="auto"/>
              <w:ind w:left="135"/>
              <w:textAlignment w:val="auto"/>
              <w:rPr>
                <w:rFonts w:hint="default" w:ascii="Arial" w:hAnsi="Arial" w:eastAsia="宋体" w:cs="Arial"/>
                <w:color w:val="000000"/>
                <w:sz w:val="21"/>
                <w:szCs w:val="21"/>
                <w:highlight w:val="none"/>
              </w:rPr>
            </w:pPr>
            <w:r>
              <w:rPr>
                <w:rFonts w:hint="default" w:ascii="Arial" w:hAnsi="Arial" w:eastAsia="宋体" w:cs="Arial"/>
                <w:color w:val="000000"/>
                <w:spacing w:val="12"/>
                <w:sz w:val="21"/>
                <w:szCs w:val="21"/>
                <w:highlight w:val="none"/>
              </w:rPr>
              <w:t>人民币合计金额(大写):</w:t>
            </w:r>
            <w:r>
              <w:rPr>
                <w:rFonts w:hint="default" w:ascii="Arial" w:hAnsi="Arial" w:eastAsia="宋体" w:cs="Arial"/>
                <w:color w:val="000000"/>
                <w:sz w:val="21"/>
                <w:szCs w:val="21"/>
                <w:highlight w:val="none"/>
              </w:rPr>
              <w:t xml:space="preserve">         </w:t>
            </w:r>
            <w:r>
              <w:rPr>
                <w:rFonts w:hint="default" w:ascii="Arial" w:hAnsi="Arial" w:eastAsia="宋体" w:cs="Arial"/>
                <w:color w:val="000000"/>
                <w:spacing w:val="12"/>
                <w:sz w:val="21"/>
                <w:szCs w:val="21"/>
                <w:highlight w:val="none"/>
              </w:rPr>
              <w:t xml:space="preserve">(小写)¥:       </w:t>
            </w:r>
            <w:r>
              <w:rPr>
                <w:rFonts w:hint="default" w:ascii="Arial" w:hAnsi="Arial" w:eastAsia="宋体" w:cs="Arial"/>
                <w:color w:val="000000"/>
                <w:spacing w:val="11"/>
                <w:sz w:val="21"/>
                <w:szCs w:val="21"/>
                <w:highlight w:val="none"/>
              </w:rPr>
              <w:t xml:space="preserve">    </w:t>
            </w:r>
            <w:r>
              <w:rPr>
                <w:rFonts w:hint="default" w:ascii="Arial" w:hAnsi="Arial" w:eastAsia="宋体" w:cs="Arial"/>
                <w:color w:val="000000"/>
                <w:spacing w:val="11"/>
                <w:position w:val="2"/>
                <w:sz w:val="21"/>
                <w:szCs w:val="21"/>
                <w:highlight w:val="none"/>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70" w:firstLineChars="200"/>
        <w:textAlignment w:val="auto"/>
        <w:rPr>
          <w:rFonts w:hint="default" w:ascii="Arial" w:hAnsi="Arial" w:eastAsia="宋体" w:cs="Arial"/>
          <w:color w:val="000000"/>
          <w:spacing w:val="10"/>
          <w:sz w:val="21"/>
          <w:szCs w:val="21"/>
          <w:highlight w:val="none"/>
        </w:rPr>
      </w:pPr>
      <w:r>
        <w:rPr>
          <w:rFonts w:hint="default" w:ascii="Arial" w:hAnsi="Arial" w:eastAsia="宋体" w:cs="Arial"/>
          <w:b/>
          <w:bCs/>
          <w:color w:val="000000"/>
          <w:spacing w:val="12"/>
          <w:sz w:val="21"/>
          <w:szCs w:val="21"/>
          <w:highlight w:val="none"/>
          <w:lang w:val="en-US" w:eastAsia="zh-CN"/>
        </w:rPr>
        <w:t>3.</w:t>
      </w:r>
      <w:r>
        <w:rPr>
          <w:rFonts w:hint="default" w:ascii="Arial" w:hAnsi="Arial" w:eastAsia="宋体" w:cs="Arial"/>
          <w:b/>
          <w:bCs/>
          <w:color w:val="000000"/>
          <w:spacing w:val="12"/>
          <w:sz w:val="21"/>
          <w:szCs w:val="21"/>
          <w:highlight w:val="none"/>
        </w:rPr>
        <w:t>合同合计金额</w:t>
      </w:r>
      <w:r>
        <w:rPr>
          <w:rFonts w:hint="default" w:ascii="Arial" w:hAnsi="Arial" w:eastAsia="宋体" w:cs="Arial"/>
          <w:b/>
          <w:bCs/>
          <w:color w:val="000000"/>
          <w:sz w:val="21"/>
          <w:szCs w:val="21"/>
          <w:highlight w:val="none"/>
        </w:rPr>
        <w:t>包含：</w:t>
      </w:r>
      <w:r>
        <w:rPr>
          <w:rFonts w:hint="default" w:ascii="Arial" w:hAnsi="Arial" w:eastAsia="宋体" w:cs="Arial"/>
          <w:color w:val="000000"/>
          <w:sz w:val="21"/>
          <w:szCs w:val="21"/>
          <w:highlight w:val="none"/>
        </w:rPr>
        <w:t>设备的定期检查保养费用；为医院提供驻场工程师及其他支持工程师的工资绩效、社保福利、房租差旅费；设备维修及保养中需更换的备件费用；通过电话、网络等手段向医院提供的技术服务费用；设备巡检；医疗设备生命周期管理软件安装使用及日后的维护、升级费用；维修工具</w:t>
      </w:r>
      <w:r>
        <w:rPr>
          <w:rFonts w:hint="default" w:ascii="Arial" w:hAnsi="Arial" w:eastAsia="宋体" w:cs="Arial"/>
          <w:color w:val="000000"/>
          <w:sz w:val="21"/>
          <w:szCs w:val="21"/>
          <w:highlight w:val="none"/>
          <w:lang w:eastAsia="zh-CN"/>
        </w:rPr>
        <w:t>、装</w:t>
      </w:r>
      <w:r>
        <w:rPr>
          <w:rFonts w:hint="default" w:ascii="Arial" w:hAnsi="Arial" w:eastAsia="宋体" w:cs="Arial"/>
          <w:color w:val="000000"/>
          <w:sz w:val="21"/>
          <w:szCs w:val="21"/>
          <w:highlight w:val="none"/>
        </w:rPr>
        <w:t>备</w:t>
      </w:r>
      <w:r>
        <w:rPr>
          <w:rFonts w:hint="default" w:ascii="Arial" w:hAnsi="Arial" w:eastAsia="宋体" w:cs="Arial"/>
          <w:color w:val="000000"/>
          <w:sz w:val="21"/>
          <w:szCs w:val="21"/>
          <w:highlight w:val="none"/>
          <w:lang w:eastAsia="zh-CN"/>
        </w:rPr>
        <w:t>等</w:t>
      </w:r>
      <w:r>
        <w:rPr>
          <w:rFonts w:hint="default" w:ascii="Arial" w:hAnsi="Arial" w:eastAsia="宋体" w:cs="Arial"/>
          <w:color w:val="000000"/>
          <w:sz w:val="21"/>
          <w:szCs w:val="21"/>
          <w:highlight w:val="none"/>
        </w:rPr>
        <w:t>；维修场所装修及办公设施费用；</w:t>
      </w:r>
      <w:r>
        <w:rPr>
          <w:rFonts w:hint="default" w:ascii="Arial" w:hAnsi="Arial" w:eastAsia="宋体" w:cs="Arial"/>
          <w:color w:val="000000"/>
          <w:sz w:val="21"/>
          <w:szCs w:val="21"/>
          <w:highlight w:val="none"/>
          <w:lang w:eastAsia="zh-CN"/>
        </w:rPr>
        <w:t>备用机</w:t>
      </w:r>
      <w:r>
        <w:rPr>
          <w:rFonts w:hint="default" w:ascii="Arial" w:hAnsi="Arial" w:eastAsia="宋体" w:cs="Arial"/>
          <w:color w:val="000000"/>
          <w:sz w:val="21"/>
          <w:szCs w:val="21"/>
          <w:highlight w:val="none"/>
          <w:lang w:val="en-US" w:eastAsia="zh-CN"/>
        </w:rPr>
        <w:t>；</w:t>
      </w:r>
      <w:r>
        <w:rPr>
          <w:rFonts w:hint="default" w:ascii="Arial" w:hAnsi="Arial" w:eastAsia="宋体" w:cs="Arial"/>
          <w:color w:val="000000"/>
          <w:sz w:val="21"/>
          <w:szCs w:val="21"/>
          <w:highlight w:val="none"/>
        </w:rPr>
        <w:t>项目利润、税金等</w:t>
      </w:r>
      <w:r>
        <w:rPr>
          <w:rFonts w:hint="default" w:ascii="Arial" w:hAnsi="Arial" w:eastAsia="宋体" w:cs="Arial"/>
          <w:color w:val="000000"/>
          <w:spacing w:val="10"/>
          <w:sz w:val="21"/>
          <w:szCs w:val="21"/>
          <w:highlight w:val="none"/>
        </w:rPr>
        <w:t>。</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服务</w:t>
      </w:r>
      <w:r>
        <w:rPr>
          <w:rFonts w:hint="default" w:ascii="Arial" w:hAnsi="Arial" w:eastAsia="宋体" w:cs="Arial"/>
          <w:color w:val="000000"/>
          <w:sz w:val="21"/>
          <w:szCs w:val="21"/>
          <w:highlight w:val="none"/>
        </w:rPr>
        <w:t>费用不含：</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eastAsia="zh-CN"/>
        </w:rPr>
        <w:t>（</w:t>
      </w:r>
      <w:r>
        <w:rPr>
          <w:rFonts w:hint="default" w:ascii="Arial" w:hAnsi="Arial" w:eastAsia="宋体" w:cs="Arial"/>
          <w:color w:val="000000"/>
          <w:sz w:val="21"/>
          <w:szCs w:val="21"/>
          <w:highlight w:val="none"/>
          <w:lang w:val="en-US" w:eastAsia="zh-CN"/>
        </w:rPr>
        <w:t>1）</w:t>
      </w:r>
      <w:r>
        <w:rPr>
          <w:rFonts w:hint="default" w:ascii="Arial" w:hAnsi="Arial" w:eastAsia="宋体" w:cs="Arial"/>
          <w:color w:val="000000"/>
          <w:sz w:val="21"/>
          <w:szCs w:val="21"/>
          <w:highlight w:val="none"/>
        </w:rPr>
        <w:t>国家统一规定的计量、强检、质控费用；设备一次性耗材、消耗性耗材；医疗设备软硬件升级费用；项目开展前，设备已有重大故障的维修费用；</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210" w:firstLineChars="100"/>
        <w:jc w:val="left"/>
        <w:textAlignment w:val="auto"/>
        <w:rPr>
          <w:rFonts w:hint="default" w:ascii="Arial" w:hAnsi="Arial" w:eastAsia="宋体" w:cs="Arial"/>
          <w:color w:val="000000"/>
          <w:spacing w:val="10"/>
          <w:sz w:val="21"/>
          <w:szCs w:val="21"/>
          <w:highlight w:val="none"/>
        </w:rPr>
      </w:pPr>
      <w:r>
        <w:rPr>
          <w:rFonts w:hint="default" w:ascii="Arial" w:hAnsi="Arial" w:eastAsia="宋体" w:cs="Arial"/>
          <w:color w:val="000000"/>
          <w:sz w:val="21"/>
          <w:szCs w:val="21"/>
          <w:highlight w:val="none"/>
          <w:lang w:val="en-US" w:eastAsia="zh-CN"/>
        </w:rPr>
        <w:t>（2）</w:t>
      </w:r>
      <w:r>
        <w:rPr>
          <w:rFonts w:hint="default" w:ascii="Arial" w:hAnsi="Arial" w:eastAsia="宋体" w:cs="Arial"/>
          <w:color w:val="auto"/>
          <w:sz w:val="21"/>
          <w:szCs w:val="21"/>
          <w:highlight w:val="none"/>
        </w:rPr>
        <w:t>超过厂家建议正常使用年限的设备发生故障，如原厂或其他渠道均无法提供维修所需备件或耗材，</w:t>
      </w:r>
      <w:r>
        <w:rPr>
          <w:rFonts w:hint="default" w:ascii="Arial" w:hAnsi="Arial" w:eastAsia="宋体" w:cs="Arial"/>
          <w:color w:val="auto"/>
          <w:sz w:val="21"/>
          <w:szCs w:val="21"/>
          <w:highlight w:val="none"/>
          <w:lang w:val="en-US" w:eastAsia="zh-CN"/>
        </w:rPr>
        <w:t>导致</w:t>
      </w:r>
      <w:r>
        <w:rPr>
          <w:rFonts w:hint="default" w:ascii="Arial" w:hAnsi="Arial" w:eastAsia="宋体" w:cs="Arial"/>
          <w:color w:val="auto"/>
          <w:sz w:val="21"/>
          <w:szCs w:val="21"/>
          <w:highlight w:val="none"/>
        </w:rPr>
        <w:t>设备无法修复，经医院同意后按相关程序报废。</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firstLine="230" w:firstLineChars="100"/>
        <w:textAlignment w:val="auto"/>
        <w:rPr>
          <w:rFonts w:hint="default" w:ascii="Arial" w:hAnsi="Arial" w:eastAsia="宋体" w:cs="Arial"/>
          <w:b/>
          <w:bCs/>
          <w:color w:val="auto"/>
          <w:spacing w:val="4"/>
          <w:sz w:val="21"/>
          <w:szCs w:val="21"/>
          <w:highlight w:val="none"/>
        </w:rPr>
      </w:pPr>
      <w:r>
        <w:rPr>
          <w:rFonts w:hint="default" w:ascii="Arial" w:hAnsi="Arial" w:eastAsia="宋体" w:cs="Arial"/>
          <w:color w:val="auto"/>
          <w:spacing w:val="10"/>
          <w:sz w:val="21"/>
          <w:szCs w:val="21"/>
          <w:highlight w:val="none"/>
        </w:rPr>
        <w:t>如</w:t>
      </w:r>
      <w:r>
        <w:rPr>
          <w:rFonts w:hint="default" w:ascii="Arial" w:hAnsi="Arial" w:eastAsia="宋体" w:cs="Arial"/>
          <w:color w:val="auto"/>
          <w:spacing w:val="10"/>
          <w:sz w:val="21"/>
          <w:szCs w:val="21"/>
          <w:highlight w:val="none"/>
          <w:lang w:eastAsia="zh-CN"/>
        </w:rPr>
        <w:t>招标</w:t>
      </w:r>
      <w:r>
        <w:rPr>
          <w:rFonts w:hint="default" w:ascii="Arial" w:hAnsi="Arial" w:eastAsia="宋体" w:cs="Arial"/>
          <w:color w:val="auto"/>
          <w:spacing w:val="10"/>
          <w:sz w:val="21"/>
          <w:szCs w:val="21"/>
          <w:highlight w:val="none"/>
        </w:rPr>
        <w:t>文件、响应文件对其</w:t>
      </w:r>
      <w:r>
        <w:rPr>
          <w:rFonts w:hint="default" w:ascii="Arial" w:hAnsi="Arial" w:eastAsia="宋体" w:cs="Arial"/>
          <w:color w:val="auto"/>
          <w:spacing w:val="9"/>
          <w:sz w:val="21"/>
          <w:szCs w:val="21"/>
          <w:highlight w:val="none"/>
        </w:rPr>
        <w:t>另有规定的，</w:t>
      </w:r>
      <w:r>
        <w:rPr>
          <w:rFonts w:hint="default" w:ascii="Arial" w:hAnsi="Arial" w:eastAsia="宋体" w:cs="Arial"/>
          <w:color w:val="auto"/>
          <w:spacing w:val="7"/>
          <w:sz w:val="21"/>
          <w:szCs w:val="21"/>
          <w:highlight w:val="none"/>
        </w:rPr>
        <w:t>从其规定。</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lang w:val="en-US" w:eastAsia="zh-CN"/>
        </w:rPr>
      </w:pPr>
      <w:bookmarkStart w:id="103" w:name="_Toc24399"/>
      <w:r>
        <w:rPr>
          <w:rFonts w:hint="default" w:ascii="Arial" w:hAnsi="Arial" w:cs="Arial"/>
          <w:sz w:val="21"/>
          <w:szCs w:val="21"/>
          <w:highlight w:val="none"/>
        </w:rPr>
        <w:t>第二条</w:t>
      </w:r>
      <w:r>
        <w:rPr>
          <w:rFonts w:hint="default" w:ascii="Arial" w:hAnsi="Arial" w:cs="Arial"/>
          <w:sz w:val="21"/>
          <w:szCs w:val="21"/>
          <w:highlight w:val="none"/>
          <w:lang w:val="en-US" w:eastAsia="zh-CN"/>
        </w:rPr>
        <w:t xml:space="preserve"> 服务</w:t>
      </w:r>
      <w:r>
        <w:rPr>
          <w:rFonts w:hint="default" w:ascii="Arial" w:hAnsi="Arial" w:cs="Arial"/>
          <w:sz w:val="21"/>
          <w:szCs w:val="21"/>
          <w:highlight w:val="none"/>
        </w:rPr>
        <w:t>质量</w:t>
      </w:r>
      <w:r>
        <w:rPr>
          <w:rFonts w:hint="default" w:ascii="Arial" w:hAnsi="Arial" w:cs="Arial"/>
          <w:sz w:val="21"/>
          <w:szCs w:val="21"/>
          <w:highlight w:val="none"/>
          <w:lang w:val="en-US" w:eastAsia="zh-CN"/>
        </w:rPr>
        <w:t>要求</w:t>
      </w:r>
      <w:bookmarkEnd w:id="103"/>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175" w:right="0" w:rightChars="0" w:firstLine="210" w:firstLineChars="1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1.</w:t>
      </w:r>
      <w:r>
        <w:rPr>
          <w:rFonts w:hint="default" w:ascii="Arial" w:hAnsi="Arial" w:eastAsia="宋体" w:cs="Arial"/>
          <w:color w:val="000000"/>
          <w:sz w:val="21"/>
          <w:szCs w:val="21"/>
          <w:highlight w:val="none"/>
        </w:rPr>
        <w:t>服务期间，原厂质保到期的设备</w:t>
      </w:r>
      <w:r>
        <w:rPr>
          <w:rFonts w:hint="default" w:ascii="Arial" w:hAnsi="Arial" w:eastAsia="宋体" w:cs="Arial"/>
          <w:color w:val="000000"/>
          <w:sz w:val="21"/>
          <w:szCs w:val="21"/>
          <w:highlight w:val="none"/>
          <w:lang w:val="en-US"/>
        </w:rPr>
        <w:t>自动纳入维保</w:t>
      </w:r>
      <w:r>
        <w:rPr>
          <w:rFonts w:hint="default" w:ascii="Arial" w:hAnsi="Arial" w:eastAsia="宋体" w:cs="Arial"/>
          <w:color w:val="000000"/>
          <w:sz w:val="21"/>
          <w:szCs w:val="21"/>
          <w:highlight w:val="none"/>
        </w:rPr>
        <w:t>。</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647" w:leftChars="308" w:right="0" w:rightChars="0" w:firstLine="0" w:firstLineChars="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2.</w:t>
      </w:r>
      <w:r>
        <w:rPr>
          <w:rFonts w:hint="default" w:ascii="Arial" w:hAnsi="Arial" w:eastAsia="宋体" w:cs="Arial"/>
          <w:color w:val="000000"/>
          <w:sz w:val="21"/>
          <w:szCs w:val="21"/>
          <w:highlight w:val="none"/>
        </w:rPr>
        <w:t>管理系统</w:t>
      </w:r>
      <w:r>
        <w:rPr>
          <w:rFonts w:hint="default" w:ascii="Arial" w:hAnsi="Arial" w:eastAsia="宋体" w:cs="Arial"/>
          <w:color w:val="000000"/>
          <w:sz w:val="21"/>
          <w:szCs w:val="21"/>
          <w:highlight w:val="none"/>
          <w:lang w:val="en-US"/>
        </w:rPr>
        <w:t>实现</w:t>
      </w:r>
      <w:r>
        <w:rPr>
          <w:rFonts w:hint="default" w:ascii="Arial" w:hAnsi="Arial" w:eastAsia="宋体" w:cs="Arial"/>
          <w:color w:val="000000"/>
          <w:sz w:val="21"/>
          <w:szCs w:val="21"/>
          <w:highlight w:val="none"/>
        </w:rPr>
        <w:t>全院医疗设备、医疗设施以及其他固定资产信息化</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rPr>
        <w:t>管理、贴签及建立固定资产数据库。</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647" w:leftChars="308" w:right="0" w:rightChars="0" w:firstLine="0" w:firstLineChars="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3.</w:t>
      </w:r>
      <w:r>
        <w:rPr>
          <w:rFonts w:hint="default" w:ascii="Arial" w:hAnsi="Arial" w:eastAsia="宋体" w:cs="Arial"/>
          <w:color w:val="000000"/>
          <w:sz w:val="21"/>
          <w:szCs w:val="21"/>
          <w:highlight w:val="none"/>
        </w:rPr>
        <w:t>实现全院医疗设备、医疗设施维修的分类管理，并实现医疗设备、</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rPr>
        <w:t>医疗设施、总务设备、信息类设备故障的维修信息推送。</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175" w:right="0" w:rightChars="0" w:firstLine="210" w:firstLineChars="100"/>
        <w:jc w:val="left"/>
        <w:textAlignment w:val="auto"/>
        <w:rPr>
          <w:rFonts w:hint="default" w:ascii="Arial" w:hAnsi="Arial" w:eastAsia="宋体" w:cs="Arial"/>
          <w:color w:val="000000"/>
          <w:sz w:val="21"/>
          <w:szCs w:val="21"/>
          <w:highlight w:val="none"/>
          <w:lang w:val="en-US"/>
        </w:rPr>
      </w:pPr>
      <w:r>
        <w:rPr>
          <w:rFonts w:hint="default" w:ascii="Arial" w:hAnsi="Arial" w:eastAsia="宋体" w:cs="Arial"/>
          <w:color w:val="000000"/>
          <w:sz w:val="21"/>
          <w:szCs w:val="21"/>
          <w:highlight w:val="none"/>
          <w:lang w:val="en-US" w:eastAsia="zh-CN"/>
        </w:rPr>
        <w:t>4.</w:t>
      </w:r>
      <w:r>
        <w:rPr>
          <w:rFonts w:hint="default" w:ascii="Arial" w:hAnsi="Arial" w:eastAsia="宋体" w:cs="Arial"/>
          <w:color w:val="000000"/>
          <w:sz w:val="21"/>
          <w:szCs w:val="21"/>
          <w:highlight w:val="none"/>
          <w:lang w:val="en-US"/>
        </w:rPr>
        <w:t>信息需求：</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1277" w:leftChars="308" w:right="0" w:rightChars="0" w:hanging="630" w:hangingChars="3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rPr>
        <w:t>4.1报价含信息</w:t>
      </w:r>
      <w:r>
        <w:rPr>
          <w:rFonts w:hint="default" w:ascii="Arial" w:hAnsi="Arial" w:eastAsia="宋体" w:cs="Arial"/>
          <w:color w:val="000000"/>
          <w:sz w:val="21"/>
          <w:szCs w:val="21"/>
          <w:highlight w:val="none"/>
        </w:rPr>
        <w:t>接口</w:t>
      </w:r>
      <w:r>
        <w:rPr>
          <w:rFonts w:hint="default" w:ascii="Arial" w:hAnsi="Arial" w:eastAsia="宋体" w:cs="Arial"/>
          <w:color w:val="000000"/>
          <w:sz w:val="21"/>
          <w:szCs w:val="21"/>
          <w:highlight w:val="none"/>
          <w:lang w:val="en-US"/>
        </w:rPr>
        <w:t>费，接口</w:t>
      </w:r>
      <w:r>
        <w:rPr>
          <w:rFonts w:hint="default" w:ascii="Arial" w:hAnsi="Arial" w:eastAsia="宋体" w:cs="Arial"/>
          <w:color w:val="000000"/>
          <w:sz w:val="21"/>
          <w:szCs w:val="21"/>
          <w:highlight w:val="none"/>
        </w:rPr>
        <w:t>要求按医院集成平台总线标准开发对</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rPr>
          <w:rFonts w:hint="default" w:ascii="Arial" w:hAnsi="Arial" w:eastAsia="宋体" w:cs="Arial"/>
          <w:b/>
          <w:bCs/>
          <w:color w:val="000000"/>
          <w:sz w:val="21"/>
          <w:szCs w:val="21"/>
          <w:highlight w:val="none"/>
        </w:rPr>
      </w:pPr>
      <w:r>
        <w:rPr>
          <w:rFonts w:hint="default" w:ascii="Arial" w:hAnsi="Arial" w:eastAsia="宋体" w:cs="Arial"/>
          <w:color w:val="000000"/>
          <w:sz w:val="21"/>
          <w:szCs w:val="21"/>
          <w:highlight w:val="none"/>
        </w:rPr>
        <w:t>接。包括但不限于HRP、HIS、PACS、LIS等系统</w:t>
      </w:r>
      <w:r>
        <w:rPr>
          <w:rFonts w:hint="default" w:ascii="Arial" w:hAnsi="Arial" w:eastAsia="宋体" w:cs="Arial"/>
          <w:color w:val="000000"/>
          <w:sz w:val="21"/>
          <w:szCs w:val="21"/>
          <w:highlight w:val="none"/>
          <w:lang w:val="en-US"/>
        </w:rPr>
        <w:t>。</w:t>
      </w:r>
      <w:r>
        <w:rPr>
          <w:rFonts w:hint="default" w:ascii="Arial" w:hAnsi="Arial" w:eastAsia="宋体" w:cs="Arial"/>
          <w:color w:val="000000"/>
          <w:sz w:val="21"/>
          <w:szCs w:val="21"/>
          <w:highlight w:val="none"/>
        </w:rPr>
        <w:t>以满足系统功能及管理功能正常运行需要。系统最终须接入</w:t>
      </w:r>
      <w:r>
        <w:rPr>
          <w:rFonts w:hint="eastAsia" w:ascii="Arial" w:hAnsi="Arial" w:cs="Arial"/>
          <w:color w:val="000000"/>
          <w:sz w:val="21"/>
          <w:szCs w:val="21"/>
          <w:highlight w:val="none"/>
          <w:lang w:eastAsia="zh-CN"/>
        </w:rPr>
        <w:t>采购人</w:t>
      </w:r>
      <w:r>
        <w:rPr>
          <w:rFonts w:hint="default" w:ascii="Arial" w:hAnsi="Arial" w:eastAsia="宋体" w:cs="Arial"/>
          <w:color w:val="000000"/>
          <w:sz w:val="21"/>
          <w:szCs w:val="21"/>
          <w:highlight w:val="none"/>
        </w:rPr>
        <w:t>数据中心，供数据中心进行整合及共享。同时，提供标准接口，提供资产信息，状态，科室，地点等信息并与第三方系统交互。</w:t>
      </w:r>
      <w:r>
        <w:rPr>
          <w:rFonts w:hint="default" w:ascii="Arial" w:hAnsi="Arial" w:eastAsia="宋体" w:cs="Arial"/>
          <w:b/>
          <w:bCs/>
          <w:color w:val="000000"/>
          <w:sz w:val="21"/>
          <w:szCs w:val="21"/>
          <w:highlight w:val="none"/>
        </w:rPr>
        <w:t>（</w:t>
      </w:r>
      <w:r>
        <w:rPr>
          <w:rFonts w:hint="default" w:ascii="Arial" w:hAnsi="Arial" w:eastAsia="宋体" w:cs="Arial"/>
          <w:b/>
          <w:bCs/>
          <w:color w:val="000000"/>
          <w:sz w:val="21"/>
          <w:szCs w:val="21"/>
          <w:highlight w:val="none"/>
          <w:lang w:val="en-US"/>
        </w:rPr>
        <w:t>总报价含本系统与第三方系统对接时产生的第三方接口费，按不少于10万/年累计，三年共不低于30万元，按实际发生结算。</w:t>
      </w:r>
      <w:r>
        <w:rPr>
          <w:rFonts w:hint="default" w:ascii="Arial" w:hAnsi="Arial" w:eastAsia="宋体" w:cs="Arial"/>
          <w:b/>
          <w:bCs/>
          <w:color w:val="000000"/>
          <w:sz w:val="21"/>
          <w:szCs w:val="21"/>
          <w:highlight w:val="none"/>
        </w:rPr>
        <w:t>）</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175" w:right="0" w:rightChars="0" w:firstLine="210" w:firstLineChars="1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rPr>
        <w:t>4</w:t>
      </w:r>
      <w:r>
        <w:rPr>
          <w:rFonts w:hint="default" w:ascii="Arial" w:hAnsi="Arial" w:eastAsia="宋体" w:cs="Arial"/>
          <w:color w:val="000000"/>
          <w:sz w:val="21"/>
          <w:szCs w:val="21"/>
          <w:highlight w:val="none"/>
          <w:lang w:val="en-US"/>
        </w:rPr>
        <w:t>.2</w:t>
      </w:r>
      <w:r>
        <w:rPr>
          <w:rFonts w:hint="default" w:ascii="Arial" w:hAnsi="Arial" w:eastAsia="宋体" w:cs="Arial"/>
          <w:color w:val="000000"/>
          <w:sz w:val="21"/>
          <w:szCs w:val="21"/>
          <w:highlight w:val="none"/>
        </w:rPr>
        <w:t>负责服务器、操作系统、数据库等软件的安装部署。</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175" w:right="0" w:rightChars="0" w:firstLine="210" w:firstLineChars="100"/>
        <w:jc w:val="left"/>
        <w:textAlignment w:val="auto"/>
        <w:rPr>
          <w:rFonts w:hint="default" w:ascii="Arial" w:hAnsi="Arial" w:eastAsia="宋体" w:cs="Arial"/>
          <w:color w:val="000000"/>
          <w:sz w:val="21"/>
          <w:szCs w:val="21"/>
          <w:highlight w:val="none"/>
          <w:lang w:val="en-US"/>
        </w:rPr>
      </w:pPr>
      <w:r>
        <w:rPr>
          <w:rFonts w:hint="default" w:ascii="Arial" w:hAnsi="Arial" w:eastAsia="宋体" w:cs="Arial"/>
          <w:color w:val="000000"/>
          <w:sz w:val="21"/>
          <w:szCs w:val="21"/>
          <w:highlight w:val="none"/>
        </w:rPr>
        <w:t>4</w:t>
      </w:r>
      <w:r>
        <w:rPr>
          <w:rFonts w:hint="default" w:ascii="Arial" w:hAnsi="Arial" w:eastAsia="宋体" w:cs="Arial"/>
          <w:color w:val="000000"/>
          <w:sz w:val="21"/>
          <w:szCs w:val="21"/>
          <w:highlight w:val="none"/>
          <w:lang w:val="en-US"/>
        </w:rPr>
        <w:t>.3</w:t>
      </w:r>
      <w:r>
        <w:rPr>
          <w:rFonts w:hint="default" w:ascii="Arial" w:hAnsi="Arial" w:eastAsia="宋体" w:cs="Arial"/>
          <w:color w:val="000000"/>
          <w:sz w:val="21"/>
          <w:szCs w:val="21"/>
          <w:highlight w:val="none"/>
        </w:rPr>
        <w:t>系统可根据医院管理要求二次开发，不另行收费。</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857" w:leftChars="308" w:right="0" w:rightChars="0" w:hanging="210" w:hangingChars="1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rPr>
        <w:t>4.4</w:t>
      </w:r>
      <w:r>
        <w:rPr>
          <w:rFonts w:hint="default" w:ascii="Arial" w:hAnsi="Arial" w:eastAsia="宋体" w:cs="Arial"/>
          <w:color w:val="000000"/>
          <w:sz w:val="21"/>
          <w:szCs w:val="21"/>
          <w:highlight w:val="none"/>
        </w:rPr>
        <w:t>软件正版化原则。必须保证提供的产品（软件、服务内容）系</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right="0" w:rightChars="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rPr>
        <w:t>自主研发或者依法享有完全的</w:t>
      </w:r>
      <w:r>
        <w:rPr>
          <w:rFonts w:hint="default" w:ascii="Arial" w:hAnsi="Arial" w:eastAsia="宋体" w:cs="Arial"/>
          <w:color w:val="000000"/>
          <w:sz w:val="21"/>
          <w:szCs w:val="21"/>
          <w:highlight w:val="none"/>
          <w:lang w:val="en-US"/>
        </w:rPr>
        <w:t>使用权</w:t>
      </w:r>
      <w:r>
        <w:rPr>
          <w:rFonts w:hint="default" w:ascii="Arial" w:hAnsi="Arial" w:eastAsia="宋体" w:cs="Arial"/>
          <w:color w:val="000000"/>
          <w:sz w:val="21"/>
          <w:szCs w:val="21"/>
          <w:highlight w:val="none"/>
        </w:rPr>
        <w:t>，</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在中华人民共和国境内使用</w:t>
      </w:r>
      <w:r>
        <w:rPr>
          <w:rFonts w:hint="default" w:ascii="Arial" w:hAnsi="Arial" w:eastAsia="宋体" w:cs="Arial"/>
          <w:color w:val="000000"/>
          <w:sz w:val="21"/>
          <w:szCs w:val="21"/>
          <w:highlight w:val="none"/>
          <w:lang w:val="en-US" w:eastAsia="zh-CN"/>
        </w:rPr>
        <w:t>乙方</w:t>
      </w:r>
      <w:r>
        <w:rPr>
          <w:rFonts w:hint="default" w:ascii="Arial" w:hAnsi="Arial" w:eastAsia="宋体" w:cs="Arial"/>
          <w:color w:val="000000"/>
          <w:sz w:val="21"/>
          <w:szCs w:val="21"/>
          <w:highlight w:val="none"/>
        </w:rPr>
        <w:t>提供的产品及服务时免受第三方提出的侵犯其专利权或其它知识产权的起诉。如果第三方提出侵权指控，</w:t>
      </w:r>
      <w:r>
        <w:rPr>
          <w:rFonts w:hint="default" w:ascii="Arial" w:hAnsi="Arial" w:eastAsia="宋体" w:cs="Arial"/>
          <w:color w:val="000000"/>
          <w:sz w:val="21"/>
          <w:szCs w:val="21"/>
          <w:highlight w:val="none"/>
          <w:lang w:val="en-US" w:eastAsia="zh-CN"/>
        </w:rPr>
        <w:t>乙方</w:t>
      </w:r>
      <w:r>
        <w:rPr>
          <w:rFonts w:hint="default" w:ascii="Arial" w:hAnsi="Arial" w:eastAsia="宋体" w:cs="Arial"/>
          <w:color w:val="000000"/>
          <w:sz w:val="21"/>
          <w:szCs w:val="21"/>
          <w:highlight w:val="none"/>
        </w:rPr>
        <w:t>应承担由此而引起的一切法律责任和费用。</w:t>
      </w:r>
    </w:p>
    <w:p>
      <w:pPr>
        <w:pStyle w:val="203"/>
        <w:keepNext w:val="0"/>
        <w:keepLines w:val="0"/>
        <w:pageBreakBefore w:val="0"/>
        <w:widowControl w:val="0"/>
        <w:numPr>
          <w:ilvl w:val="0"/>
          <w:numId w:val="0"/>
        </w:numPr>
        <w:kinsoku/>
        <w:wordWrap/>
        <w:overflowPunct/>
        <w:topLinePunct w:val="0"/>
        <w:autoSpaceDE/>
        <w:autoSpaceDN/>
        <w:bidi w:val="0"/>
        <w:adjustRightInd/>
        <w:snapToGrid/>
        <w:spacing w:line="312" w:lineRule="auto"/>
        <w:ind w:left="647" w:leftChars="308" w:right="0" w:rightChars="0" w:firstLine="0" w:firstLineChars="0"/>
        <w:jc w:val="left"/>
        <w:textAlignment w:val="auto"/>
        <w:rPr>
          <w:rFonts w:hint="default" w:ascii="Arial" w:hAnsi="Arial" w:eastAsia="宋体" w:cs="Arial"/>
          <w:color w:val="000000"/>
          <w:sz w:val="21"/>
          <w:szCs w:val="21"/>
          <w:highlight w:val="none"/>
          <w:lang w:val="en-US"/>
        </w:rPr>
      </w:pPr>
      <w:r>
        <w:rPr>
          <w:rFonts w:hint="default" w:ascii="Arial" w:hAnsi="Arial" w:eastAsia="宋体" w:cs="Arial"/>
          <w:b w:val="0"/>
          <w:bCs w:val="0"/>
          <w:color w:val="000000"/>
          <w:sz w:val="21"/>
          <w:szCs w:val="21"/>
          <w:highlight w:val="none"/>
          <w:lang w:val="en-US" w:eastAsia="zh-CN"/>
        </w:rPr>
        <w:t>5.</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b w:val="0"/>
          <w:bCs w:val="0"/>
          <w:color w:val="000000"/>
          <w:sz w:val="21"/>
          <w:szCs w:val="21"/>
          <w:highlight w:val="none"/>
          <w:lang w:val="en-US"/>
        </w:rPr>
        <w:t>与</w:t>
      </w:r>
      <w:r>
        <w:rPr>
          <w:rFonts w:hint="default" w:ascii="Arial" w:hAnsi="Arial" w:eastAsia="宋体" w:cs="Arial"/>
          <w:b w:val="0"/>
          <w:bCs w:val="0"/>
          <w:color w:val="000000"/>
          <w:sz w:val="21"/>
          <w:szCs w:val="21"/>
          <w:highlight w:val="none"/>
          <w:lang w:val="en-US" w:eastAsia="zh-CN"/>
        </w:rPr>
        <w:t>乙方</w:t>
      </w:r>
      <w:r>
        <w:rPr>
          <w:rFonts w:hint="default" w:ascii="Arial" w:hAnsi="Arial" w:eastAsia="宋体" w:cs="Arial"/>
          <w:b w:val="0"/>
          <w:bCs w:val="0"/>
          <w:color w:val="000000"/>
          <w:sz w:val="21"/>
          <w:szCs w:val="21"/>
          <w:highlight w:val="none"/>
          <w:lang w:val="en-US"/>
        </w:rPr>
        <w:t>合同履行结束后，信息系统、软件、二次开发成果及服务器等无偿移交</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b w:val="0"/>
          <w:bCs w:val="0"/>
          <w:color w:val="000000"/>
          <w:sz w:val="21"/>
          <w:szCs w:val="21"/>
          <w:highlight w:val="none"/>
          <w:lang w:val="en-US"/>
        </w:rPr>
        <w:t>。</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04" w:name="_Toc12372"/>
      <w:r>
        <w:rPr>
          <w:rFonts w:hint="default" w:ascii="Arial" w:hAnsi="Arial" w:cs="Arial"/>
          <w:sz w:val="21"/>
          <w:szCs w:val="21"/>
          <w:highlight w:val="none"/>
        </w:rPr>
        <w:t>第三条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甲方权利与义务</w:t>
      </w:r>
      <w:bookmarkEnd w:id="104"/>
    </w:p>
    <w:p>
      <w:pPr>
        <w:keepNext w:val="0"/>
        <w:keepLines w:val="0"/>
        <w:pageBreakBefore w:val="0"/>
        <w:widowControl w:val="0"/>
        <w:kinsoku/>
        <w:wordWrap/>
        <w:overflowPunct/>
        <w:topLinePunct w:val="0"/>
        <w:autoSpaceDE/>
        <w:autoSpaceDN/>
        <w:bidi w:val="0"/>
        <w:adjustRightInd/>
        <w:snapToGrid/>
        <w:spacing w:line="312" w:lineRule="auto"/>
        <w:ind w:right="164" w:firstLine="448"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pacing w:val="7"/>
          <w:sz w:val="21"/>
          <w:szCs w:val="21"/>
          <w:highlight w:val="none"/>
          <w:lang w:val="en-US" w:eastAsia="zh-CN"/>
        </w:rPr>
        <w:t>1</w:t>
      </w:r>
      <w:r>
        <w:rPr>
          <w:rFonts w:hint="default" w:ascii="Arial" w:hAnsi="Arial" w:eastAsia="宋体" w:cs="Arial"/>
          <w:color w:val="auto"/>
          <w:spacing w:val="7"/>
          <w:sz w:val="21"/>
          <w:szCs w:val="21"/>
          <w:highlight w:val="none"/>
        </w:rPr>
        <w:t>.</w:t>
      </w:r>
      <w:r>
        <w:rPr>
          <w:rFonts w:hint="default" w:ascii="Arial" w:hAnsi="Arial" w:eastAsia="宋体" w:cs="Arial"/>
          <w:color w:val="auto"/>
          <w:spacing w:val="-66"/>
          <w:sz w:val="21"/>
          <w:szCs w:val="21"/>
          <w:highlight w:val="none"/>
        </w:rPr>
        <w:t xml:space="preserve"> </w:t>
      </w:r>
      <w:r>
        <w:rPr>
          <w:rFonts w:hint="default" w:ascii="Arial" w:hAnsi="Arial" w:eastAsia="宋体" w:cs="Arial"/>
          <w:color w:val="auto"/>
          <w:spacing w:val="-6"/>
          <w:sz w:val="21"/>
          <w:szCs w:val="21"/>
          <w:highlight w:val="none"/>
        </w:rPr>
        <w:t>甲方应在合理期间积极协调院内各部门配合乙方相关</w:t>
      </w:r>
      <w:r>
        <w:rPr>
          <w:rFonts w:hint="default" w:ascii="Arial" w:hAnsi="Arial" w:eastAsia="宋体" w:cs="Arial"/>
          <w:color w:val="auto"/>
          <w:spacing w:val="-6"/>
          <w:sz w:val="21"/>
          <w:szCs w:val="21"/>
          <w:highlight w:val="none"/>
          <w:lang w:val="en-US" w:eastAsia="zh-CN"/>
        </w:rPr>
        <w:t>维保</w:t>
      </w:r>
      <w:r>
        <w:rPr>
          <w:rFonts w:hint="default" w:ascii="Arial" w:hAnsi="Arial" w:eastAsia="宋体" w:cs="Arial"/>
          <w:color w:val="auto"/>
          <w:spacing w:val="-6"/>
          <w:sz w:val="21"/>
          <w:szCs w:val="21"/>
          <w:highlight w:val="none"/>
        </w:rPr>
        <w:t>工作。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2.</w:t>
      </w:r>
      <w:r>
        <w:rPr>
          <w:rFonts w:hint="default" w:ascii="Arial" w:hAnsi="Arial" w:eastAsia="宋体" w:cs="Arial"/>
          <w:color w:val="000000"/>
          <w:sz w:val="21"/>
          <w:szCs w:val="21"/>
          <w:highlight w:val="none"/>
        </w:rPr>
        <w:t>积极配合乙方进入医院接收医疗设备托管服务工作，为乙方免费提供现有的办公室和仓库，不能满足乙方要求的由乙方自行解决；配合乙方进行医疗设备盘点和设备性能管理，建立管理体系。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3.</w:t>
      </w:r>
      <w:r>
        <w:rPr>
          <w:rFonts w:hint="default" w:ascii="Arial" w:hAnsi="Arial" w:eastAsia="宋体" w:cs="Arial"/>
          <w:color w:val="000000"/>
          <w:sz w:val="21"/>
          <w:szCs w:val="21"/>
          <w:highlight w:val="none"/>
        </w:rPr>
        <w:t>经常监督检查和指导乙方，认真履行招投标文件中各项内容和工作安排以及承诺；双方拟定考核方案，认真进行考核和处罚。</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4.</w:t>
      </w:r>
      <w:r>
        <w:rPr>
          <w:rFonts w:hint="default" w:ascii="Arial" w:hAnsi="Arial" w:eastAsia="宋体" w:cs="Arial"/>
          <w:color w:val="000000"/>
          <w:sz w:val="21"/>
          <w:szCs w:val="21"/>
          <w:highlight w:val="none"/>
        </w:rPr>
        <w:t>审核确定乙方对医疗设备的维修和保养管理服务方案、年度工作计划、总结、工作流程以及相关管理措施和制度，积极接受乙方合理化建议，积极协助乙方，提高乙方工作效率和质量。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5.</w:t>
      </w:r>
      <w:r>
        <w:rPr>
          <w:rFonts w:hint="default" w:ascii="Arial" w:hAnsi="Arial" w:eastAsia="宋体" w:cs="Arial"/>
          <w:color w:val="000000"/>
          <w:sz w:val="21"/>
          <w:szCs w:val="21"/>
          <w:highlight w:val="none"/>
        </w:rPr>
        <w:t>若乙方不认真履行合同，影响医院工作，有权及时采取措施（含解除合同），保证甲方各项工作不受影响，因此产生的费用由乙方承担；有权扣乙方合同未支付款来支付甲方造成的损失，并有追究乙方责任的权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6.</w:t>
      </w:r>
      <w:r>
        <w:rPr>
          <w:rFonts w:hint="default" w:ascii="Arial" w:hAnsi="Arial" w:eastAsia="宋体" w:cs="Arial"/>
          <w:color w:val="000000"/>
          <w:sz w:val="21"/>
          <w:szCs w:val="21"/>
          <w:highlight w:val="none"/>
        </w:rPr>
        <w:t>定期或不定期对乙方检查考核，发现乙方工作不到位，及时给予纠正以及惩罚。</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Arial" w:hAnsi="Arial" w:eastAsia="宋体" w:cs="Arial"/>
          <w:b/>
          <w:bCs/>
          <w:color w:val="000000"/>
          <w:sz w:val="21"/>
          <w:szCs w:val="21"/>
          <w:highlight w:val="none"/>
        </w:rPr>
      </w:pPr>
      <w:r>
        <w:rPr>
          <w:rFonts w:hint="default" w:ascii="Arial" w:hAnsi="Arial" w:eastAsia="宋体" w:cs="Arial"/>
          <w:color w:val="000000"/>
          <w:sz w:val="21"/>
          <w:szCs w:val="21"/>
          <w:highlight w:val="none"/>
          <w:lang w:val="en-US" w:eastAsia="zh-CN"/>
        </w:rPr>
        <w:t>7.</w:t>
      </w:r>
      <w:r>
        <w:rPr>
          <w:rFonts w:hint="default" w:ascii="Arial" w:hAnsi="Arial" w:eastAsia="宋体" w:cs="Arial"/>
          <w:color w:val="000000"/>
          <w:sz w:val="21"/>
          <w:szCs w:val="21"/>
          <w:highlight w:val="none"/>
        </w:rPr>
        <w:t>积极协助配合乙方宣传和教育工作人员，遵守医疗设备使用注意事项，保证设备安全有效运行，共同搞好医院医疗设备管理、维修、保养工作；积极协助乙方处理相关不良事件以及产生的赔偿和责任。</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lang w:eastAsia="zh-CN"/>
        </w:rPr>
      </w:pPr>
      <w:bookmarkStart w:id="105" w:name="_Toc3621"/>
      <w:r>
        <w:rPr>
          <w:rFonts w:hint="default" w:ascii="Arial" w:hAnsi="Arial" w:cs="Arial"/>
          <w:sz w:val="21"/>
          <w:szCs w:val="21"/>
          <w:highlight w:val="none"/>
        </w:rPr>
        <w:t>第四条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乙方权利义务</w:t>
      </w:r>
      <w:r>
        <w:rPr>
          <w:rFonts w:hint="default" w:ascii="Arial" w:hAnsi="Arial" w:cs="Arial"/>
          <w:sz w:val="21"/>
          <w:szCs w:val="21"/>
          <w:highlight w:val="none"/>
          <w:lang w:eastAsia="zh-CN"/>
        </w:rPr>
        <w:t>（</w:t>
      </w:r>
      <w:r>
        <w:rPr>
          <w:rFonts w:hint="default" w:ascii="Arial" w:hAnsi="Arial" w:cs="Arial"/>
          <w:sz w:val="21"/>
          <w:szCs w:val="21"/>
          <w:highlight w:val="none"/>
          <w:lang w:val="en-US" w:eastAsia="zh-CN"/>
        </w:rPr>
        <w:t>服务内容</w:t>
      </w:r>
      <w:r>
        <w:rPr>
          <w:rFonts w:hint="default" w:ascii="Arial" w:hAnsi="Arial" w:cs="Arial"/>
          <w:sz w:val="21"/>
          <w:szCs w:val="21"/>
          <w:highlight w:val="none"/>
          <w:lang w:eastAsia="zh-CN"/>
        </w:rPr>
        <w:t>）</w:t>
      </w:r>
      <w:bookmarkEnd w:id="105"/>
    </w:p>
    <w:p>
      <w:pPr>
        <w:keepNext w:val="0"/>
        <w:keepLines w:val="0"/>
        <w:pageBreakBefore w:val="0"/>
        <w:widowControl w:val="0"/>
        <w:kinsoku/>
        <w:wordWrap/>
        <w:overflowPunct/>
        <w:topLinePunct w:val="0"/>
        <w:autoSpaceDE/>
        <w:autoSpaceDN/>
        <w:bidi w:val="0"/>
        <w:adjustRightInd/>
        <w:snapToGrid/>
        <w:spacing w:line="312" w:lineRule="auto"/>
        <w:ind w:left="0" w:firstLine="452" w:firstLineChars="200"/>
        <w:textAlignment w:val="auto"/>
        <w:rPr>
          <w:rFonts w:hint="default" w:ascii="Arial" w:hAnsi="Arial" w:eastAsia="宋体" w:cs="Arial"/>
          <w:color w:val="auto"/>
          <w:spacing w:val="8"/>
          <w:sz w:val="21"/>
          <w:szCs w:val="21"/>
          <w:highlight w:val="none"/>
        </w:rPr>
      </w:pPr>
      <w:r>
        <w:rPr>
          <w:rFonts w:hint="default" w:ascii="Arial" w:hAnsi="Arial" w:eastAsia="宋体" w:cs="Arial"/>
          <w:color w:val="auto"/>
          <w:spacing w:val="8"/>
          <w:sz w:val="21"/>
          <w:szCs w:val="21"/>
          <w:highlight w:val="none"/>
        </w:rPr>
        <w:t>1.乙方为甲方提供</w:t>
      </w:r>
      <w:r>
        <w:rPr>
          <w:rFonts w:hint="default" w:ascii="Arial" w:hAnsi="Arial" w:eastAsia="宋体" w:cs="Arial"/>
          <w:color w:val="auto"/>
          <w:spacing w:val="8"/>
          <w:sz w:val="21"/>
          <w:szCs w:val="21"/>
          <w:highlight w:val="none"/>
          <w:lang w:eastAsia="zh-CN"/>
        </w:rPr>
        <w:t>南溪山医院</w:t>
      </w:r>
      <w:r>
        <w:rPr>
          <w:rFonts w:hint="default" w:ascii="Arial" w:hAnsi="Arial" w:eastAsia="宋体" w:cs="Arial"/>
          <w:color w:val="auto"/>
          <w:spacing w:val="8"/>
          <w:sz w:val="21"/>
          <w:szCs w:val="21"/>
          <w:highlight w:val="none"/>
          <w:u w:val="single"/>
          <w:lang w:val="en-US" w:eastAsia="zh-CN"/>
        </w:rPr>
        <w:t xml:space="preserve">        </w:t>
      </w:r>
      <w:r>
        <w:rPr>
          <w:rFonts w:hint="default" w:ascii="Arial" w:hAnsi="Arial" w:eastAsia="宋体" w:cs="Arial"/>
          <w:color w:val="auto"/>
          <w:spacing w:val="8"/>
          <w:sz w:val="21"/>
          <w:szCs w:val="21"/>
          <w:highlight w:val="none"/>
          <w:lang w:val="en-US" w:eastAsia="zh-CN"/>
        </w:rPr>
        <w:t>设备</w:t>
      </w:r>
      <w:r>
        <w:rPr>
          <w:rFonts w:hint="default" w:ascii="Arial" w:hAnsi="Arial" w:eastAsia="宋体" w:cs="Arial"/>
          <w:color w:val="auto"/>
          <w:spacing w:val="8"/>
          <w:sz w:val="21"/>
          <w:szCs w:val="21"/>
          <w:highlight w:val="none"/>
          <w:lang w:eastAsia="zh-CN"/>
        </w:rPr>
        <w:t>维保</w:t>
      </w:r>
      <w:r>
        <w:rPr>
          <w:rFonts w:hint="default" w:ascii="Arial" w:hAnsi="Arial" w:eastAsia="宋体" w:cs="Arial"/>
          <w:color w:val="auto"/>
          <w:spacing w:val="8"/>
          <w:sz w:val="21"/>
          <w:szCs w:val="21"/>
          <w:highlight w:val="none"/>
          <w:lang w:val="en-US" w:eastAsia="zh-CN"/>
        </w:rPr>
        <w:t>服务</w:t>
      </w:r>
      <w:r>
        <w:rPr>
          <w:rFonts w:hint="default" w:ascii="Arial" w:hAnsi="Arial" w:eastAsia="宋体" w:cs="Arial"/>
          <w:color w:val="auto"/>
          <w:spacing w:val="8"/>
          <w:sz w:val="21"/>
          <w:szCs w:val="21"/>
          <w:highlight w:val="none"/>
        </w:rPr>
        <w:t>。</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2.</w:t>
      </w:r>
      <w:r>
        <w:rPr>
          <w:rFonts w:hint="default" w:ascii="Arial" w:hAnsi="Arial" w:eastAsia="宋体" w:cs="Arial"/>
          <w:color w:val="000000"/>
          <w:sz w:val="21"/>
          <w:szCs w:val="21"/>
          <w:highlight w:val="none"/>
        </w:rPr>
        <w:t>按招标文件和投标内容以及承诺，制定医院医疗设备维修和维保计划和方案，报甲方批准同意后认真组织实施。</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3.</w:t>
      </w:r>
      <w:r>
        <w:rPr>
          <w:rFonts w:hint="default" w:ascii="Arial" w:hAnsi="Arial" w:eastAsia="宋体" w:cs="Arial"/>
          <w:color w:val="000000"/>
          <w:sz w:val="21"/>
          <w:szCs w:val="21"/>
          <w:highlight w:val="none"/>
        </w:rPr>
        <w:t>盘点医院医疗设备，规范分类管理和维修以及保养；建立完善医疗设备卡和管理制度，逐步实行信息化管理。</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4.</w:t>
      </w:r>
      <w:r>
        <w:rPr>
          <w:rFonts w:hint="default" w:ascii="Arial" w:hAnsi="Arial" w:eastAsia="宋体" w:cs="Arial"/>
          <w:color w:val="000000"/>
          <w:sz w:val="21"/>
          <w:szCs w:val="21"/>
          <w:highlight w:val="none"/>
        </w:rPr>
        <w:t>做好日常维修和保养以及管理工作，有日、周、月、半年、年医院签字认可的维修和保养记录；按要求建立完善操作流程，定期检查医疗设备使用情况，根据使用情况进行指导和培训；定期组织急救类、生命支持类医学装备应急演练；积极参与新增验收，并指导使用和规范操作流程。</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5.</w:t>
      </w:r>
      <w:r>
        <w:rPr>
          <w:rFonts w:hint="default" w:ascii="Arial" w:hAnsi="Arial" w:eastAsia="宋体" w:cs="Arial"/>
          <w:color w:val="000000"/>
          <w:sz w:val="21"/>
          <w:szCs w:val="21"/>
          <w:highlight w:val="none"/>
        </w:rPr>
        <w:t>认真履行合同内容，积极与甲方沟通，不断改进工作方法，提高工作效率：积极接受甲方的监督</w:t>
      </w:r>
      <w:r>
        <w:rPr>
          <w:rFonts w:hint="default" w:ascii="Arial" w:hAnsi="Arial" w:eastAsia="宋体" w:cs="Arial"/>
          <w:color w:val="000000"/>
          <w:sz w:val="21"/>
          <w:szCs w:val="21"/>
          <w:highlight w:val="none"/>
          <w:lang w:eastAsia="zh-CN"/>
        </w:rPr>
        <w:t>、</w:t>
      </w:r>
      <w:r>
        <w:rPr>
          <w:rFonts w:hint="default" w:ascii="Arial" w:hAnsi="Arial" w:eastAsia="宋体" w:cs="Arial"/>
          <w:color w:val="000000"/>
          <w:sz w:val="21"/>
          <w:szCs w:val="21"/>
          <w:highlight w:val="none"/>
        </w:rPr>
        <w:t>指导</w:t>
      </w:r>
      <w:r>
        <w:rPr>
          <w:rFonts w:hint="default" w:ascii="Arial" w:hAnsi="Arial" w:eastAsia="宋体" w:cs="Arial"/>
          <w:color w:val="000000"/>
          <w:sz w:val="21"/>
          <w:szCs w:val="21"/>
          <w:highlight w:val="none"/>
          <w:lang w:eastAsia="zh-CN"/>
        </w:rPr>
        <w:t>、</w:t>
      </w:r>
      <w:r>
        <w:rPr>
          <w:rFonts w:hint="default" w:ascii="Arial" w:hAnsi="Arial" w:eastAsia="宋体" w:cs="Arial"/>
          <w:color w:val="000000"/>
          <w:sz w:val="21"/>
          <w:szCs w:val="21"/>
          <w:highlight w:val="none"/>
        </w:rPr>
        <w:t>检查</w:t>
      </w:r>
      <w:r>
        <w:rPr>
          <w:rFonts w:hint="default" w:ascii="Arial" w:hAnsi="Arial" w:eastAsia="宋体" w:cs="Arial"/>
          <w:color w:val="000000"/>
          <w:sz w:val="21"/>
          <w:szCs w:val="21"/>
          <w:highlight w:val="none"/>
          <w:lang w:eastAsia="zh-CN"/>
        </w:rPr>
        <w:t>、</w:t>
      </w:r>
      <w:r>
        <w:rPr>
          <w:rFonts w:hint="default" w:ascii="Arial" w:hAnsi="Arial" w:eastAsia="宋体" w:cs="Arial"/>
          <w:color w:val="000000"/>
          <w:sz w:val="21"/>
          <w:szCs w:val="21"/>
          <w:highlight w:val="none"/>
        </w:rPr>
        <w:t>考核以及奖惩；及时纠正和整改工作中存在的问题；有问题或建议书面反映；保证工作质量。</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6.</w:t>
      </w:r>
      <w:r>
        <w:rPr>
          <w:rFonts w:hint="default" w:ascii="Arial" w:hAnsi="Arial" w:eastAsia="宋体" w:cs="Arial"/>
          <w:color w:val="000000"/>
          <w:sz w:val="21"/>
          <w:szCs w:val="21"/>
          <w:highlight w:val="none"/>
        </w:rPr>
        <w:t>负责本项目使用人员招聘，按《劳动法》和相关规定，与招聘人员</w:t>
      </w:r>
      <w:r>
        <w:rPr>
          <w:rFonts w:hint="default" w:ascii="Arial" w:hAnsi="Arial" w:eastAsia="宋体" w:cs="Arial"/>
          <w:color w:val="000000"/>
          <w:spacing w:val="-6"/>
          <w:sz w:val="21"/>
          <w:szCs w:val="21"/>
          <w:highlight w:val="none"/>
        </w:rPr>
        <w:t>建立劳务关系，认真履行劳动用工义务和责任，保证劳动用工的合法性</w:t>
      </w:r>
      <w:r>
        <w:rPr>
          <w:rFonts w:hint="default" w:ascii="Arial" w:hAnsi="Arial" w:eastAsia="宋体" w:cs="Arial"/>
          <w:color w:val="000000"/>
          <w:sz w:val="21"/>
          <w:szCs w:val="21"/>
          <w:highlight w:val="none"/>
        </w:rPr>
        <w:t>。</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7.</w:t>
      </w:r>
      <w:r>
        <w:rPr>
          <w:rFonts w:hint="default" w:ascii="Arial" w:hAnsi="Arial" w:eastAsia="宋体" w:cs="Arial"/>
          <w:color w:val="000000"/>
          <w:sz w:val="21"/>
          <w:szCs w:val="21"/>
          <w:highlight w:val="none"/>
        </w:rPr>
        <w:t>遵守甲方相关制度和规定，按时完成甲方交办的临时工作；交办临时工作产生的耗材和设备费用，在合同内的乙方承担，合同外的甲方承担</w:t>
      </w:r>
      <w:r>
        <w:rPr>
          <w:rFonts w:hint="default" w:ascii="Arial" w:hAnsi="Arial" w:eastAsia="宋体" w:cs="Arial"/>
          <w:color w:val="000000"/>
          <w:sz w:val="21"/>
          <w:szCs w:val="21"/>
          <w:highlight w:val="none"/>
          <w:lang w:eastAsia="zh-CN"/>
        </w:rPr>
        <w:t>；</w:t>
      </w:r>
      <w:r>
        <w:rPr>
          <w:rFonts w:hint="default" w:ascii="Arial" w:hAnsi="Arial" w:eastAsia="宋体" w:cs="Arial"/>
          <w:color w:val="000000"/>
          <w:sz w:val="21"/>
          <w:szCs w:val="21"/>
          <w:highlight w:val="none"/>
        </w:rPr>
        <w:t>每月按时上报维修和保养以及巡查记录表等。</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8.</w:t>
      </w:r>
      <w:r>
        <w:rPr>
          <w:rFonts w:hint="default" w:ascii="Arial" w:hAnsi="Arial" w:eastAsia="宋体" w:cs="Arial"/>
          <w:color w:val="000000"/>
          <w:sz w:val="21"/>
          <w:szCs w:val="21"/>
          <w:highlight w:val="none"/>
        </w:rPr>
        <w:t>积极引进新方法、新技术和管理办法，提高设备维修和保养工作效率和质量。在入驻3个月内按投标免费安装好管理软件。</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9.</w:t>
      </w:r>
      <w:r>
        <w:rPr>
          <w:rFonts w:hint="default" w:ascii="Arial" w:hAnsi="Arial" w:eastAsia="宋体" w:cs="Arial"/>
          <w:color w:val="000000"/>
          <w:sz w:val="21"/>
          <w:szCs w:val="21"/>
          <w:highlight w:val="none"/>
        </w:rPr>
        <w:t>如</w:t>
      </w:r>
      <w:r>
        <w:rPr>
          <w:rFonts w:hint="default" w:ascii="Arial" w:hAnsi="Arial" w:eastAsia="宋体" w:cs="Arial"/>
          <w:color w:val="000000"/>
          <w:sz w:val="21"/>
          <w:szCs w:val="21"/>
          <w:highlight w:val="none"/>
          <w:lang w:val="en-US" w:eastAsia="zh-CN"/>
        </w:rPr>
        <w:t>一年</w:t>
      </w:r>
      <w:r>
        <w:rPr>
          <w:rFonts w:hint="default" w:ascii="Arial" w:hAnsi="Arial" w:eastAsia="宋体" w:cs="Arial"/>
          <w:color w:val="000000"/>
          <w:sz w:val="21"/>
          <w:szCs w:val="21"/>
          <w:highlight w:val="none"/>
        </w:rPr>
        <w:t>合同期满，乙方</w:t>
      </w:r>
      <w:r>
        <w:rPr>
          <w:rFonts w:hint="default" w:ascii="Arial" w:hAnsi="Arial" w:eastAsia="宋体" w:cs="Arial"/>
          <w:color w:val="000000"/>
          <w:sz w:val="21"/>
          <w:szCs w:val="21"/>
          <w:highlight w:val="none"/>
          <w:lang w:val="en-US" w:eastAsia="zh-CN"/>
        </w:rPr>
        <w:t>因考评</w:t>
      </w:r>
      <w:r>
        <w:rPr>
          <w:rFonts w:hint="default" w:ascii="Arial" w:hAnsi="Arial" w:eastAsia="宋体" w:cs="Arial"/>
          <w:color w:val="000000"/>
          <w:sz w:val="21"/>
          <w:szCs w:val="21"/>
          <w:highlight w:val="none"/>
        </w:rPr>
        <w:t>未能继续签订下个</w:t>
      </w:r>
      <w:r>
        <w:rPr>
          <w:rFonts w:hint="default" w:ascii="Arial" w:hAnsi="Arial" w:eastAsia="宋体" w:cs="Arial"/>
          <w:color w:val="000000"/>
          <w:sz w:val="21"/>
          <w:szCs w:val="21"/>
          <w:highlight w:val="none"/>
          <w:lang w:val="en-US" w:eastAsia="zh-CN"/>
        </w:rPr>
        <w:t>年度</w:t>
      </w:r>
      <w:r>
        <w:rPr>
          <w:rFonts w:hint="default" w:ascii="Arial" w:hAnsi="Arial" w:eastAsia="宋体" w:cs="Arial"/>
          <w:color w:val="000000"/>
          <w:sz w:val="21"/>
          <w:szCs w:val="21"/>
          <w:highlight w:val="none"/>
        </w:rPr>
        <w:t>的合同</w:t>
      </w:r>
      <w:r>
        <w:rPr>
          <w:rFonts w:hint="default" w:ascii="Arial" w:hAnsi="Arial" w:eastAsia="宋体" w:cs="Arial"/>
          <w:color w:val="000000"/>
          <w:sz w:val="21"/>
          <w:szCs w:val="21"/>
          <w:highlight w:val="none"/>
          <w:lang w:eastAsia="zh-CN"/>
        </w:rPr>
        <w:t>，</w:t>
      </w:r>
      <w:r>
        <w:rPr>
          <w:rFonts w:hint="default" w:ascii="Arial" w:hAnsi="Arial" w:eastAsia="宋体" w:cs="Arial"/>
          <w:color w:val="000000"/>
          <w:sz w:val="21"/>
          <w:szCs w:val="21"/>
          <w:highlight w:val="none"/>
          <w:lang w:val="en-US" w:eastAsia="zh-CN"/>
        </w:rPr>
        <w:t>需提供至少一个月的维保服务且不收取任何费用；</w:t>
      </w:r>
      <w:r>
        <w:rPr>
          <w:rFonts w:hint="default" w:ascii="Arial" w:hAnsi="Arial" w:eastAsia="宋体" w:cs="Arial"/>
          <w:color w:val="000000"/>
          <w:sz w:val="21"/>
          <w:szCs w:val="21"/>
          <w:highlight w:val="none"/>
        </w:rPr>
        <w:t>在履行合同的过程中中途退出，需提前3个月以书面形式通知甲方并积极配合甲方做好交接工作</w:t>
      </w:r>
      <w:r>
        <w:rPr>
          <w:rFonts w:hint="default" w:ascii="Arial" w:hAnsi="Arial" w:eastAsia="宋体" w:cs="Arial"/>
          <w:color w:val="000000"/>
          <w:spacing w:val="-6"/>
          <w:sz w:val="21"/>
          <w:szCs w:val="21"/>
          <w:highlight w:val="none"/>
        </w:rPr>
        <w:t>，否则甲方不</w:t>
      </w:r>
      <w:r>
        <w:rPr>
          <w:rFonts w:hint="default" w:ascii="Arial" w:hAnsi="Arial" w:eastAsia="宋体" w:cs="Arial"/>
          <w:color w:val="000000"/>
          <w:spacing w:val="-6"/>
          <w:sz w:val="21"/>
          <w:szCs w:val="21"/>
          <w:highlight w:val="none"/>
          <w:lang w:val="en-US" w:eastAsia="zh-CN"/>
        </w:rPr>
        <w:t>再支付</w:t>
      </w:r>
      <w:r>
        <w:rPr>
          <w:rFonts w:hint="default" w:ascii="Arial" w:hAnsi="Arial" w:eastAsia="宋体" w:cs="Arial"/>
          <w:color w:val="000000"/>
          <w:spacing w:val="-6"/>
          <w:sz w:val="21"/>
          <w:szCs w:val="21"/>
          <w:highlight w:val="none"/>
        </w:rPr>
        <w:t>未支付的费用，并承担甲</w:t>
      </w:r>
      <w:r>
        <w:rPr>
          <w:rFonts w:hint="default" w:ascii="Arial" w:hAnsi="Arial" w:eastAsia="宋体" w:cs="Arial"/>
          <w:color w:val="000000"/>
          <w:spacing w:val="-6"/>
          <w:sz w:val="21"/>
          <w:szCs w:val="21"/>
          <w:highlight w:val="none"/>
          <w:lang w:val="en-US" w:eastAsia="zh-CN"/>
        </w:rPr>
        <w:t>方</w:t>
      </w:r>
      <w:r>
        <w:rPr>
          <w:rFonts w:hint="default" w:ascii="Arial" w:hAnsi="Arial" w:eastAsia="宋体" w:cs="Arial"/>
          <w:color w:val="000000"/>
          <w:spacing w:val="-6"/>
          <w:sz w:val="21"/>
          <w:szCs w:val="21"/>
          <w:highlight w:val="none"/>
        </w:rPr>
        <w:t>因此所受到的相应损失。</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10.</w:t>
      </w:r>
      <w:r>
        <w:rPr>
          <w:rFonts w:hint="default" w:ascii="Arial" w:hAnsi="Arial" w:eastAsia="宋体" w:cs="Arial"/>
          <w:color w:val="000000"/>
          <w:sz w:val="21"/>
          <w:szCs w:val="21"/>
          <w:highlight w:val="none"/>
        </w:rPr>
        <w:t>甲方因业务扩展，需增加相关服务内容，在同等条件下，根据甲方工作需求，乙方有优先权，双方协商签订补充协议。</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rPr>
        <w:t>1</w:t>
      </w:r>
      <w:r>
        <w:rPr>
          <w:rFonts w:hint="default" w:ascii="Arial" w:hAnsi="Arial" w:eastAsia="宋体" w:cs="Arial"/>
          <w:color w:val="000000"/>
          <w:sz w:val="21"/>
          <w:szCs w:val="21"/>
          <w:highlight w:val="none"/>
          <w:lang w:val="en-US" w:eastAsia="zh-CN"/>
        </w:rPr>
        <w:t>1.</w:t>
      </w:r>
      <w:r>
        <w:rPr>
          <w:rFonts w:hint="default" w:ascii="Arial" w:hAnsi="Arial" w:eastAsia="宋体" w:cs="Arial"/>
          <w:color w:val="000000"/>
          <w:sz w:val="21"/>
          <w:szCs w:val="21"/>
          <w:highlight w:val="none"/>
        </w:rPr>
        <w:t>乙方因失职或责任，给甲方或第三人造成损失的，由乙方承担全部责任。</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lang w:val="en-US" w:eastAsia="zh-CN"/>
        </w:rPr>
      </w:pPr>
      <w:bookmarkStart w:id="106" w:name="_Toc16579"/>
      <w:r>
        <w:rPr>
          <w:rFonts w:hint="default" w:ascii="Arial" w:hAnsi="Arial" w:cs="Arial"/>
          <w:sz w:val="21"/>
          <w:szCs w:val="21"/>
          <w:highlight w:val="none"/>
        </w:rPr>
        <w:t>第五条</w:t>
      </w:r>
      <w:r>
        <w:rPr>
          <w:rFonts w:hint="default" w:ascii="Arial" w:hAnsi="Arial" w:cs="Arial"/>
          <w:sz w:val="21"/>
          <w:szCs w:val="21"/>
          <w:highlight w:val="none"/>
          <w:lang w:val="en-US" w:eastAsia="zh-CN"/>
        </w:rPr>
        <w:t xml:space="preserve"> 服务时间及服务地点</w:t>
      </w:r>
      <w:bookmarkEnd w:id="106"/>
    </w:p>
    <w:p>
      <w:pPr>
        <w:keepNext w:val="0"/>
        <w:keepLines w:val="0"/>
        <w:pageBreakBefore w:val="0"/>
        <w:widowControl w:val="0"/>
        <w:kinsoku/>
        <w:wordWrap/>
        <w:overflowPunct/>
        <w:topLinePunct w:val="0"/>
        <w:autoSpaceDE/>
        <w:autoSpaceDN/>
        <w:bidi w:val="0"/>
        <w:adjustRightInd/>
        <w:snapToGrid/>
        <w:spacing w:line="312" w:lineRule="auto"/>
        <w:ind w:right="0" w:firstLine="468" w:firstLineChars="200"/>
        <w:jc w:val="left"/>
        <w:textAlignment w:val="auto"/>
        <w:rPr>
          <w:rFonts w:hint="default" w:ascii="Arial" w:hAnsi="Arial" w:eastAsia="宋体" w:cs="Arial"/>
          <w:color w:val="auto"/>
          <w:spacing w:val="12"/>
          <w:sz w:val="21"/>
          <w:szCs w:val="21"/>
          <w:highlight w:val="none"/>
        </w:rPr>
      </w:pPr>
      <w:r>
        <w:rPr>
          <w:rFonts w:hint="default" w:ascii="Arial" w:hAnsi="Arial" w:eastAsia="宋体" w:cs="Arial"/>
          <w:color w:val="auto"/>
          <w:spacing w:val="12"/>
          <w:sz w:val="21"/>
          <w:szCs w:val="21"/>
          <w:highlight w:val="none"/>
        </w:rPr>
        <w:t>1</w:t>
      </w:r>
      <w:r>
        <w:rPr>
          <w:rFonts w:hint="default" w:ascii="Arial" w:hAnsi="Arial" w:eastAsia="宋体" w:cs="Arial"/>
          <w:color w:val="auto"/>
          <w:spacing w:val="12"/>
          <w:sz w:val="21"/>
          <w:szCs w:val="21"/>
          <w:highlight w:val="none"/>
          <w:lang w:val="en-US" w:eastAsia="zh-CN"/>
        </w:rPr>
        <w:t>.</w:t>
      </w:r>
      <w:r>
        <w:rPr>
          <w:rFonts w:hint="default" w:ascii="Arial" w:hAnsi="Arial" w:eastAsia="宋体" w:cs="Arial"/>
          <w:color w:val="auto"/>
          <w:spacing w:val="0"/>
          <w:sz w:val="21"/>
          <w:szCs w:val="21"/>
          <w:highlight w:val="none"/>
          <w:lang w:val="en-US" w:eastAsia="zh-CN"/>
        </w:rPr>
        <w:t>服务期限</w:t>
      </w:r>
      <w:r>
        <w:rPr>
          <w:rFonts w:hint="default" w:ascii="Arial" w:hAnsi="Arial" w:eastAsia="宋体" w:cs="Arial"/>
          <w:color w:val="auto"/>
          <w:spacing w:val="0"/>
          <w:sz w:val="21"/>
          <w:szCs w:val="21"/>
          <w:highlight w:val="none"/>
        </w:rPr>
        <w:t>：自合同签订之日起</w:t>
      </w:r>
      <w:r>
        <w:rPr>
          <w:rFonts w:hint="default" w:ascii="Arial" w:hAnsi="Arial" w:eastAsia="宋体" w:cs="Arial"/>
          <w:color w:val="auto"/>
          <w:spacing w:val="0"/>
          <w:sz w:val="21"/>
          <w:szCs w:val="21"/>
          <w:highlight w:val="none"/>
          <w:u w:val="single"/>
          <w:lang w:val="en-US" w:eastAsia="zh-CN"/>
        </w:rPr>
        <w:t>3</w:t>
      </w:r>
      <w:r>
        <w:rPr>
          <w:rFonts w:hint="default" w:ascii="Arial" w:hAnsi="Arial" w:eastAsia="宋体" w:cs="Arial"/>
          <w:color w:val="000000"/>
          <w:spacing w:val="0"/>
          <w:sz w:val="21"/>
          <w:szCs w:val="21"/>
          <w:highlight w:val="none"/>
        </w:rPr>
        <w:t>年。</w:t>
      </w:r>
      <w:r>
        <w:rPr>
          <w:rFonts w:hint="default" w:ascii="Arial" w:hAnsi="Arial" w:eastAsia="宋体" w:cs="Arial"/>
          <w:color w:val="000000"/>
          <w:spacing w:val="0"/>
          <w:sz w:val="21"/>
          <w:szCs w:val="21"/>
          <w:highlight w:val="none"/>
          <w:lang w:eastAsia="zh-CN"/>
        </w:rPr>
        <w:t>合同模式为一年一签订，</w:t>
      </w:r>
      <w:r>
        <w:rPr>
          <w:rFonts w:hint="default" w:ascii="Arial" w:hAnsi="Arial" w:eastAsia="宋体" w:cs="Arial"/>
          <w:color w:val="000000"/>
          <w:spacing w:val="0"/>
          <w:sz w:val="21"/>
          <w:szCs w:val="21"/>
          <w:highlight w:val="none"/>
        </w:rPr>
        <w:t>从签订</w:t>
      </w:r>
      <w:r>
        <w:rPr>
          <w:rFonts w:hint="default" w:ascii="Arial" w:hAnsi="Arial" w:eastAsia="宋体" w:cs="Arial"/>
          <w:spacing w:val="0"/>
          <w:sz w:val="21"/>
          <w:szCs w:val="21"/>
          <w:highlight w:val="none"/>
        </w:rPr>
        <w:t>合同之日开始计算服务日期。合同签订后每年度由医院各使用部门和设备管理部门进行考评，若无法达到医院服务要求，</w:t>
      </w:r>
      <w:r>
        <w:rPr>
          <w:rFonts w:hint="default" w:ascii="Arial" w:hAnsi="Arial" w:eastAsia="宋体" w:cs="Arial"/>
          <w:color w:val="auto"/>
          <w:spacing w:val="0"/>
          <w:sz w:val="21"/>
          <w:szCs w:val="21"/>
          <w:highlight w:val="none"/>
        </w:rPr>
        <w:t>甲方</w:t>
      </w:r>
      <w:r>
        <w:rPr>
          <w:rFonts w:hint="default" w:ascii="Arial" w:hAnsi="Arial" w:eastAsia="宋体" w:cs="Arial"/>
          <w:spacing w:val="0"/>
          <w:sz w:val="21"/>
          <w:szCs w:val="21"/>
          <w:highlight w:val="none"/>
        </w:rPr>
        <w:t>有权解除合同，不再顺延。</w:t>
      </w:r>
      <w:r>
        <w:rPr>
          <w:rFonts w:hint="default" w:ascii="Arial" w:hAnsi="Arial" w:eastAsia="宋体" w:cs="Arial"/>
          <w:color w:val="auto"/>
          <w:spacing w:val="12"/>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right="0" w:firstLine="468" w:firstLineChars="200"/>
        <w:jc w:val="left"/>
        <w:textAlignment w:val="auto"/>
        <w:rPr>
          <w:rFonts w:hint="default" w:ascii="Arial" w:hAnsi="Arial" w:eastAsia="宋体" w:cs="Arial"/>
          <w:color w:val="auto"/>
          <w:spacing w:val="12"/>
          <w:sz w:val="21"/>
          <w:szCs w:val="21"/>
          <w:highlight w:val="none"/>
        </w:rPr>
      </w:pPr>
      <w:r>
        <w:rPr>
          <w:rFonts w:hint="default" w:ascii="Arial" w:hAnsi="Arial" w:eastAsia="宋体" w:cs="Arial"/>
          <w:color w:val="auto"/>
          <w:spacing w:val="12"/>
          <w:sz w:val="21"/>
          <w:szCs w:val="21"/>
          <w:highlight w:val="none"/>
        </w:rPr>
        <w:t>2</w:t>
      </w:r>
      <w:r>
        <w:rPr>
          <w:rFonts w:hint="default" w:ascii="Arial" w:hAnsi="Arial" w:eastAsia="宋体" w:cs="Arial"/>
          <w:color w:val="auto"/>
          <w:spacing w:val="12"/>
          <w:sz w:val="21"/>
          <w:szCs w:val="21"/>
          <w:highlight w:val="none"/>
          <w:lang w:val="en-US" w:eastAsia="zh-CN"/>
        </w:rPr>
        <w:t>.服务</w:t>
      </w:r>
      <w:r>
        <w:rPr>
          <w:rFonts w:hint="default" w:ascii="Arial" w:hAnsi="Arial" w:eastAsia="宋体" w:cs="Arial"/>
          <w:color w:val="auto"/>
          <w:spacing w:val="12"/>
          <w:sz w:val="21"/>
          <w:szCs w:val="21"/>
          <w:highlight w:val="none"/>
        </w:rPr>
        <w:t>地点：广西桂林市内甲方指定地点。</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07" w:name="_Toc18602"/>
      <w:r>
        <w:rPr>
          <w:rFonts w:hint="default" w:ascii="Arial" w:hAnsi="Arial" w:cs="Arial"/>
          <w:sz w:val="21"/>
          <w:szCs w:val="21"/>
          <w:highlight w:val="none"/>
        </w:rPr>
        <w:t>第六条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项目服务内容安装、验收、临床培训及考核</w:t>
      </w:r>
      <w:bookmarkEnd w:id="107"/>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1.</w:t>
      </w:r>
      <w:r>
        <w:rPr>
          <w:rFonts w:hint="default" w:ascii="Arial" w:hAnsi="Arial" w:eastAsia="宋体" w:cs="Arial"/>
          <w:color w:val="000000"/>
          <w:sz w:val="21"/>
          <w:szCs w:val="21"/>
          <w:highlight w:val="none"/>
        </w:rPr>
        <w:t>免费提供院内医疗设备安装验收工作。针对新购设备，必须严格按合同条款或议价结果落实检查、安装、验收工作，严格把关质量，验收合格后正式交付</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使用。</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2.</w:t>
      </w:r>
      <w:r>
        <w:rPr>
          <w:rFonts w:hint="default" w:ascii="Arial" w:hAnsi="Arial" w:eastAsia="宋体" w:cs="Arial"/>
          <w:color w:val="000000"/>
          <w:sz w:val="21"/>
          <w:szCs w:val="21"/>
          <w:highlight w:val="none"/>
        </w:rPr>
        <w:t>根据</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制作的设备分配资料，沟通业务科室、经销商，落实送货时间，协助</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做好前置布线、基建等配套准备工作。</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3.</w:t>
      </w:r>
      <w:r>
        <w:rPr>
          <w:rFonts w:hint="default" w:ascii="Arial" w:hAnsi="Arial" w:eastAsia="宋体" w:cs="Arial"/>
          <w:color w:val="000000"/>
          <w:sz w:val="21"/>
          <w:szCs w:val="21"/>
          <w:highlight w:val="none"/>
        </w:rPr>
        <w:t>设备送货后，与业务科室、经销商应共同参与拆装、点检（需商检的医学装备还须通知商检部门到场），要根据分配资料，逐项核实外包装是否完好、设备是否全新完好、规格型号及附件是否符合配置要求等项目。</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4.</w:t>
      </w:r>
      <w:r>
        <w:rPr>
          <w:rFonts w:hint="default" w:ascii="Arial" w:hAnsi="Arial" w:eastAsia="宋体" w:cs="Arial"/>
          <w:color w:val="000000"/>
          <w:sz w:val="21"/>
          <w:szCs w:val="21"/>
          <w:highlight w:val="none"/>
        </w:rPr>
        <w:t>装机工程师完成设备安装、调试并确保能正常使用后，应督管经销商、装机工程师据实填写设备安装验收报告。</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5.</w:t>
      </w:r>
      <w:r>
        <w:rPr>
          <w:rFonts w:hint="default" w:ascii="Arial" w:hAnsi="Arial" w:eastAsia="宋体" w:cs="Arial"/>
          <w:color w:val="000000"/>
          <w:sz w:val="21"/>
          <w:szCs w:val="21"/>
          <w:highlight w:val="none"/>
        </w:rPr>
        <w:t>业务科室完成新购设备试用后（试用时长根据合同条款或议价结果确定），要提请业务科室据实填写设备安装验收报告。</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6.</w:t>
      </w:r>
      <w:r>
        <w:rPr>
          <w:rFonts w:hint="default" w:ascii="Arial" w:hAnsi="Arial" w:eastAsia="宋体" w:cs="Arial"/>
          <w:color w:val="000000"/>
          <w:sz w:val="21"/>
          <w:szCs w:val="21"/>
          <w:highlight w:val="none"/>
        </w:rPr>
        <w:t>新购设备拆装、点检、试用期间发现有质量问题的，要及时通报</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，并与经销商交涉增补、换货或退货等处理事项，并收集经经销商盖章确认的备忘录（独立于《安装验收报告》，单独成文）。</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7.</w:t>
      </w:r>
      <w:r>
        <w:rPr>
          <w:rFonts w:hint="default" w:ascii="Arial" w:hAnsi="Arial" w:eastAsia="宋体" w:cs="Arial"/>
          <w:color w:val="000000"/>
          <w:spacing w:val="-6"/>
          <w:sz w:val="21"/>
          <w:szCs w:val="21"/>
          <w:highlight w:val="none"/>
        </w:rPr>
        <w:t>根据设备拆装、点检、安装、调试情况，据实填写设备安装验收报告后交</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pacing w:val="-6"/>
          <w:sz w:val="21"/>
          <w:szCs w:val="21"/>
          <w:highlight w:val="none"/>
        </w:rPr>
        <w:t>。</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8.</w:t>
      </w:r>
      <w:r>
        <w:rPr>
          <w:rFonts w:hint="default" w:ascii="Arial" w:hAnsi="Arial" w:eastAsia="宋体" w:cs="Arial"/>
          <w:color w:val="000000"/>
          <w:sz w:val="21"/>
          <w:szCs w:val="21"/>
          <w:highlight w:val="none"/>
        </w:rPr>
        <w:t>如设备验收不合格，要及时通报</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，并沟通经销商，要求在十五个工作日内解决问题。如经销商拖延、不解决，要协助</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撰写公函，要求经销商限期解决问题，否则追究法律责任。</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9.</w:t>
      </w:r>
      <w:r>
        <w:rPr>
          <w:rFonts w:hint="default" w:ascii="Arial" w:hAnsi="Arial" w:eastAsia="宋体" w:cs="Arial"/>
          <w:color w:val="000000"/>
          <w:sz w:val="21"/>
          <w:szCs w:val="21"/>
          <w:highlight w:val="none"/>
        </w:rPr>
        <w:t>针对新引进设备在投入使用前，要按</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制度要求协助组织足够的操作人员参加培训，熟悉操作，经考核合格后才能正式操作使用。</w:t>
      </w:r>
      <w:r>
        <w:rPr>
          <w:rFonts w:hint="default" w:ascii="Arial" w:hAnsi="Arial" w:eastAsia="宋体" w:cs="Arial"/>
          <w:color w:val="000000"/>
          <w:spacing w:val="5"/>
          <w:sz w:val="21"/>
          <w:szCs w:val="21"/>
          <w:highlight w:val="none"/>
          <w:lang w:val="en-US" w:eastAsia="zh-CN"/>
        </w:rPr>
        <w:t>乙方</w:t>
      </w:r>
      <w:r>
        <w:rPr>
          <w:rFonts w:hint="default" w:ascii="Arial" w:hAnsi="Arial" w:eastAsia="宋体" w:cs="Arial"/>
          <w:color w:val="000000"/>
          <w:sz w:val="21"/>
          <w:szCs w:val="21"/>
          <w:highlight w:val="none"/>
        </w:rPr>
        <w:t>工程师必须同时参加培训，主要学习开机、关机及测试/自检操作等。</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10.</w:t>
      </w:r>
      <w:r>
        <w:rPr>
          <w:rFonts w:hint="default" w:ascii="Arial" w:hAnsi="Arial" w:eastAsia="宋体" w:cs="Arial"/>
          <w:color w:val="000000"/>
          <w:sz w:val="21"/>
          <w:szCs w:val="21"/>
          <w:highlight w:val="none"/>
        </w:rPr>
        <w:t>负责联系厂家工程师</w:t>
      </w:r>
      <w:r>
        <w:rPr>
          <w:rFonts w:hint="default" w:ascii="Arial" w:hAnsi="Arial" w:eastAsia="宋体" w:cs="Arial"/>
          <w:color w:val="000000"/>
          <w:spacing w:val="-6"/>
          <w:sz w:val="21"/>
          <w:szCs w:val="21"/>
          <w:highlight w:val="none"/>
        </w:rPr>
        <w:t>，协助院方组织培训考核并如实填写设备临床使用培训、考核记录。</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11.</w:t>
      </w:r>
      <w:r>
        <w:rPr>
          <w:rFonts w:hint="default" w:ascii="Arial" w:hAnsi="Arial" w:eastAsia="宋体" w:cs="Arial"/>
          <w:color w:val="000000"/>
          <w:sz w:val="21"/>
          <w:szCs w:val="21"/>
          <w:highlight w:val="none"/>
        </w:rPr>
        <w:t>针对急救生命支持类设备，要协助</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组织院级专题培训。</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12.</w:t>
      </w:r>
      <w:r>
        <w:rPr>
          <w:rFonts w:hint="default" w:ascii="Arial" w:hAnsi="Arial" w:eastAsia="宋体" w:cs="Arial"/>
          <w:color w:val="000000"/>
          <w:sz w:val="21"/>
          <w:szCs w:val="21"/>
          <w:highlight w:val="none"/>
        </w:rPr>
        <w:t>要不定期协助</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抽检设备操作人员培训情况，及时通报未培训操作情况至</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13.</w:t>
      </w:r>
      <w:r>
        <w:rPr>
          <w:rFonts w:hint="default" w:ascii="Arial" w:hAnsi="Arial" w:eastAsia="宋体" w:cs="Arial"/>
          <w:color w:val="000000"/>
          <w:sz w:val="21"/>
          <w:szCs w:val="21"/>
          <w:highlight w:val="none"/>
        </w:rPr>
        <w:t>要不定期协助</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抽检急救生命支持类设备操作人员是否具备按规程操作的能力，经考核不合格者进行面授培训并通报至</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w:t>
      </w:r>
    </w:p>
    <w:p>
      <w:pPr>
        <w:keepNext w:val="0"/>
        <w:keepLines w:val="0"/>
        <w:pageBreakBefore w:val="0"/>
        <w:widowControl w:val="0"/>
        <w:tabs>
          <w:tab w:val="left" w:pos="640"/>
        </w:tabs>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lang w:val="en-US" w:eastAsia="zh-CN"/>
        </w:rPr>
        <w:t>14.</w:t>
      </w:r>
      <w:r>
        <w:rPr>
          <w:rFonts w:hint="default" w:ascii="Arial" w:hAnsi="Arial" w:eastAsia="宋体" w:cs="Arial"/>
          <w:color w:val="000000"/>
          <w:sz w:val="21"/>
          <w:szCs w:val="21"/>
          <w:highlight w:val="none"/>
        </w:rPr>
        <w:t>开展</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z w:val="21"/>
          <w:szCs w:val="21"/>
          <w:highlight w:val="none"/>
        </w:rPr>
        <w:t>相关制度变更后的其他工作。</w:t>
      </w:r>
    </w:p>
    <w:p>
      <w:pPr>
        <w:keepNext w:val="0"/>
        <w:keepLines w:val="0"/>
        <w:pageBreakBefore w:val="0"/>
        <w:widowControl w:val="0"/>
        <w:kinsoku/>
        <w:wordWrap/>
        <w:overflowPunct/>
        <w:topLinePunct w:val="0"/>
        <w:autoSpaceDE/>
        <w:autoSpaceDN/>
        <w:bidi w:val="0"/>
        <w:adjustRightInd/>
        <w:snapToGrid/>
        <w:spacing w:line="312" w:lineRule="auto"/>
        <w:ind w:right="91" w:firstLine="440" w:firstLineChars="200"/>
        <w:jc w:val="left"/>
        <w:textAlignment w:val="auto"/>
        <w:rPr>
          <w:rFonts w:hint="default" w:ascii="Arial" w:hAnsi="Arial" w:eastAsia="宋体" w:cs="Arial"/>
          <w:color w:val="000000"/>
          <w:spacing w:val="5"/>
          <w:sz w:val="21"/>
          <w:szCs w:val="21"/>
          <w:highlight w:val="none"/>
        </w:rPr>
      </w:pPr>
      <w:r>
        <w:rPr>
          <w:rFonts w:hint="default" w:ascii="Arial" w:hAnsi="Arial" w:eastAsia="宋体" w:cs="Arial"/>
          <w:color w:val="000000"/>
          <w:spacing w:val="5"/>
          <w:sz w:val="21"/>
          <w:szCs w:val="21"/>
          <w:highlight w:val="none"/>
          <w:lang w:val="en-US" w:eastAsia="zh-CN"/>
        </w:rPr>
        <w:t>15.</w:t>
      </w:r>
      <w:r>
        <w:rPr>
          <w:rFonts w:hint="default" w:ascii="Arial" w:hAnsi="Arial" w:eastAsia="宋体" w:cs="Arial"/>
          <w:color w:val="000000"/>
          <w:spacing w:val="8"/>
          <w:sz w:val="21"/>
          <w:szCs w:val="21"/>
          <w:highlight w:val="none"/>
          <w:lang w:val="en-US" w:eastAsia="zh-CN"/>
        </w:rPr>
        <w:t>乙方</w:t>
      </w:r>
      <w:r>
        <w:rPr>
          <w:rFonts w:hint="default" w:ascii="Arial" w:hAnsi="Arial" w:eastAsia="宋体" w:cs="Arial"/>
          <w:color w:val="000000"/>
          <w:spacing w:val="5"/>
          <w:sz w:val="21"/>
          <w:szCs w:val="21"/>
          <w:highlight w:val="none"/>
        </w:rPr>
        <w:t>委派的工程师必须严格遵守</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pacing w:val="5"/>
          <w:sz w:val="21"/>
          <w:szCs w:val="21"/>
          <w:highlight w:val="none"/>
        </w:rPr>
        <w:t>的各项规章制度，接受</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pacing w:val="5"/>
          <w:sz w:val="21"/>
          <w:szCs w:val="21"/>
          <w:highlight w:val="none"/>
        </w:rPr>
        <w:t>的监督与检查，确保作业合规有序。如</w:t>
      </w:r>
      <w:r>
        <w:rPr>
          <w:rFonts w:hint="default" w:ascii="Arial" w:hAnsi="Arial" w:eastAsia="宋体" w:cs="Arial"/>
          <w:color w:val="000000"/>
          <w:spacing w:val="5"/>
          <w:sz w:val="21"/>
          <w:szCs w:val="21"/>
          <w:highlight w:val="none"/>
          <w:lang w:val="en-US" w:eastAsia="zh-CN"/>
        </w:rPr>
        <w:t>涉及</w:t>
      </w:r>
      <w:r>
        <w:rPr>
          <w:rFonts w:hint="default" w:ascii="Arial" w:hAnsi="Arial" w:eastAsia="宋体" w:cs="Arial"/>
          <w:color w:val="000000"/>
          <w:spacing w:val="5"/>
          <w:sz w:val="21"/>
          <w:szCs w:val="21"/>
          <w:highlight w:val="none"/>
        </w:rPr>
        <w:t>高空、电焊、电工等高险</w:t>
      </w:r>
      <w:r>
        <w:rPr>
          <w:rFonts w:hint="default" w:ascii="Arial" w:hAnsi="Arial" w:eastAsia="宋体" w:cs="Arial"/>
          <w:color w:val="000000"/>
          <w:spacing w:val="5"/>
          <w:sz w:val="21"/>
          <w:szCs w:val="21"/>
          <w:highlight w:val="none"/>
          <w:lang w:eastAsia="zh-CN"/>
        </w:rPr>
        <w:t>、</w:t>
      </w:r>
      <w:r>
        <w:rPr>
          <w:rFonts w:hint="default" w:ascii="Arial" w:hAnsi="Arial" w:eastAsia="宋体" w:cs="Arial"/>
          <w:color w:val="000000"/>
          <w:spacing w:val="5"/>
          <w:sz w:val="21"/>
          <w:szCs w:val="21"/>
          <w:highlight w:val="none"/>
          <w:lang w:val="en-US" w:eastAsia="zh-CN"/>
        </w:rPr>
        <w:t>特种</w:t>
      </w:r>
      <w:r>
        <w:rPr>
          <w:rFonts w:hint="default" w:ascii="Arial" w:hAnsi="Arial" w:eastAsia="宋体" w:cs="Arial"/>
          <w:color w:val="000000"/>
          <w:spacing w:val="5"/>
          <w:sz w:val="21"/>
          <w:szCs w:val="21"/>
          <w:highlight w:val="none"/>
        </w:rPr>
        <w:t>作业</w:t>
      </w:r>
      <w:r>
        <w:rPr>
          <w:rFonts w:hint="default" w:ascii="Arial" w:hAnsi="Arial" w:eastAsia="宋体" w:cs="Arial"/>
          <w:color w:val="000000"/>
          <w:spacing w:val="5"/>
          <w:sz w:val="21"/>
          <w:szCs w:val="21"/>
          <w:highlight w:val="none"/>
          <w:lang w:eastAsia="zh-CN"/>
        </w:rPr>
        <w:t>，</w:t>
      </w:r>
      <w:r>
        <w:rPr>
          <w:rFonts w:hint="default" w:ascii="Arial" w:hAnsi="Arial" w:eastAsia="宋体" w:cs="Arial"/>
          <w:color w:val="000000"/>
          <w:spacing w:val="5"/>
          <w:sz w:val="21"/>
          <w:szCs w:val="21"/>
          <w:highlight w:val="none"/>
          <w:lang w:val="en-US" w:eastAsia="zh-CN"/>
        </w:rPr>
        <w:t>乙方委派</w:t>
      </w:r>
      <w:r>
        <w:rPr>
          <w:rFonts w:hint="default" w:ascii="Arial" w:hAnsi="Arial" w:eastAsia="宋体" w:cs="Arial"/>
          <w:color w:val="000000"/>
          <w:spacing w:val="5"/>
          <w:sz w:val="21"/>
          <w:szCs w:val="21"/>
          <w:highlight w:val="none"/>
        </w:rPr>
        <w:t>人员</w:t>
      </w:r>
      <w:r>
        <w:rPr>
          <w:rFonts w:hint="default" w:ascii="Arial" w:hAnsi="Arial" w:eastAsia="宋体" w:cs="Arial"/>
          <w:color w:val="000000"/>
          <w:spacing w:val="5"/>
          <w:sz w:val="21"/>
          <w:szCs w:val="21"/>
          <w:highlight w:val="none"/>
          <w:lang w:val="en-US" w:eastAsia="zh-CN"/>
        </w:rPr>
        <w:t>必须</w:t>
      </w:r>
      <w:r>
        <w:rPr>
          <w:rFonts w:hint="default" w:ascii="Arial" w:hAnsi="Arial" w:eastAsia="宋体" w:cs="Arial"/>
          <w:color w:val="000000"/>
          <w:spacing w:val="5"/>
          <w:sz w:val="21"/>
          <w:szCs w:val="21"/>
          <w:highlight w:val="none"/>
        </w:rPr>
        <w:t>持相应从业证件上岗；</w:t>
      </w:r>
      <w:r>
        <w:rPr>
          <w:rFonts w:hint="default" w:ascii="Arial" w:hAnsi="Arial" w:eastAsia="宋体" w:cs="Arial"/>
          <w:color w:val="000000"/>
          <w:spacing w:val="5"/>
          <w:sz w:val="21"/>
          <w:szCs w:val="21"/>
          <w:highlight w:val="none"/>
          <w:lang w:val="en-US" w:eastAsia="zh-CN"/>
        </w:rPr>
        <w:t>乙方应当为其人员购买人身、财产损害保险并承担相关费用</w:t>
      </w:r>
      <w:r>
        <w:rPr>
          <w:rFonts w:hint="default" w:ascii="Arial" w:hAnsi="Arial" w:eastAsia="宋体" w:cs="Arial"/>
          <w:color w:val="000000"/>
          <w:spacing w:val="5"/>
          <w:sz w:val="21"/>
          <w:szCs w:val="21"/>
          <w:highlight w:val="none"/>
        </w:rPr>
        <w:t>。</w:t>
      </w:r>
      <w:r>
        <w:rPr>
          <w:rFonts w:hint="default" w:ascii="Arial" w:hAnsi="Arial" w:eastAsia="宋体" w:cs="Arial"/>
          <w:color w:val="000000"/>
          <w:spacing w:val="8"/>
          <w:sz w:val="21"/>
          <w:szCs w:val="21"/>
          <w:highlight w:val="none"/>
          <w:lang w:val="en-US" w:eastAsia="zh-CN"/>
        </w:rPr>
        <w:t>乙方</w:t>
      </w:r>
      <w:r>
        <w:rPr>
          <w:rFonts w:hint="default" w:ascii="Arial" w:hAnsi="Arial" w:eastAsia="宋体" w:cs="Arial"/>
          <w:color w:val="000000"/>
          <w:spacing w:val="5"/>
          <w:sz w:val="21"/>
          <w:szCs w:val="21"/>
          <w:highlight w:val="none"/>
        </w:rPr>
        <w:t>应为委派的工程师配备必要的劳动保护装备，确保其作业安全。</w:t>
      </w:r>
    </w:p>
    <w:p>
      <w:pPr>
        <w:keepNext w:val="0"/>
        <w:keepLines w:val="0"/>
        <w:pageBreakBefore w:val="0"/>
        <w:widowControl w:val="0"/>
        <w:kinsoku/>
        <w:wordWrap/>
        <w:overflowPunct/>
        <w:topLinePunct w:val="0"/>
        <w:autoSpaceDE/>
        <w:autoSpaceDN/>
        <w:bidi w:val="0"/>
        <w:adjustRightInd/>
        <w:snapToGrid/>
        <w:spacing w:line="312" w:lineRule="auto"/>
        <w:ind w:right="91" w:firstLine="440" w:firstLineChars="200"/>
        <w:jc w:val="left"/>
        <w:textAlignment w:val="auto"/>
        <w:rPr>
          <w:rFonts w:hint="default" w:ascii="Arial" w:hAnsi="Arial" w:eastAsia="宋体" w:cs="Arial"/>
          <w:color w:val="000000"/>
          <w:spacing w:val="5"/>
          <w:sz w:val="21"/>
          <w:szCs w:val="21"/>
          <w:highlight w:val="none"/>
        </w:rPr>
      </w:pPr>
      <w:r>
        <w:rPr>
          <w:rFonts w:hint="default" w:ascii="Arial" w:hAnsi="Arial" w:eastAsia="宋体" w:cs="Arial"/>
          <w:color w:val="000000"/>
          <w:spacing w:val="5"/>
          <w:sz w:val="21"/>
          <w:szCs w:val="21"/>
          <w:highlight w:val="none"/>
          <w:lang w:val="en-US" w:eastAsia="zh-CN"/>
        </w:rPr>
        <w:t>16.</w:t>
      </w:r>
      <w:r>
        <w:rPr>
          <w:rFonts w:hint="default" w:ascii="Arial" w:hAnsi="Arial" w:eastAsia="宋体" w:cs="Arial"/>
          <w:color w:val="000000"/>
          <w:spacing w:val="5"/>
          <w:sz w:val="21"/>
          <w:szCs w:val="21"/>
          <w:highlight w:val="none"/>
        </w:rPr>
        <w:t>若</w:t>
      </w:r>
      <w:r>
        <w:rPr>
          <w:rFonts w:hint="default" w:ascii="Arial" w:hAnsi="Arial" w:eastAsia="宋体" w:cs="Arial"/>
          <w:color w:val="000000"/>
          <w:spacing w:val="8"/>
          <w:sz w:val="21"/>
          <w:szCs w:val="21"/>
          <w:highlight w:val="none"/>
          <w:lang w:val="en-US" w:eastAsia="zh-CN"/>
        </w:rPr>
        <w:t>乙方</w:t>
      </w:r>
      <w:r>
        <w:rPr>
          <w:rFonts w:hint="default" w:ascii="Arial" w:hAnsi="Arial" w:eastAsia="宋体" w:cs="Arial"/>
          <w:color w:val="000000"/>
          <w:spacing w:val="5"/>
          <w:sz w:val="21"/>
          <w:szCs w:val="21"/>
          <w:highlight w:val="none"/>
        </w:rPr>
        <w:t>委派的工程师在作业过程中违反安全规定，</w:t>
      </w:r>
      <w:r>
        <w:rPr>
          <w:rFonts w:hint="default" w:ascii="Arial" w:hAnsi="Arial" w:eastAsia="宋体" w:cs="Arial"/>
          <w:color w:val="000000"/>
          <w:spacing w:val="5"/>
          <w:sz w:val="21"/>
          <w:szCs w:val="21"/>
          <w:highlight w:val="none"/>
          <w:lang w:val="en-US" w:eastAsia="zh-CN"/>
        </w:rPr>
        <w:t>甲方</w:t>
      </w:r>
      <w:r>
        <w:rPr>
          <w:rFonts w:hint="default" w:ascii="Arial" w:hAnsi="Arial" w:eastAsia="宋体" w:cs="Arial"/>
          <w:color w:val="000000"/>
          <w:spacing w:val="5"/>
          <w:sz w:val="21"/>
          <w:szCs w:val="21"/>
          <w:highlight w:val="none"/>
        </w:rPr>
        <w:t>有权暂停其工作。由此产生的经济损失由</w:t>
      </w:r>
      <w:r>
        <w:rPr>
          <w:rFonts w:hint="default" w:ascii="Arial" w:hAnsi="Arial" w:eastAsia="宋体" w:cs="Arial"/>
          <w:color w:val="000000"/>
          <w:spacing w:val="8"/>
          <w:sz w:val="21"/>
          <w:szCs w:val="21"/>
          <w:highlight w:val="none"/>
          <w:lang w:val="en-US" w:eastAsia="zh-CN"/>
        </w:rPr>
        <w:t>乙方</w:t>
      </w:r>
      <w:r>
        <w:rPr>
          <w:rFonts w:hint="default" w:ascii="Arial" w:hAnsi="Arial" w:eastAsia="宋体" w:cs="Arial"/>
          <w:color w:val="000000"/>
          <w:spacing w:val="5"/>
          <w:sz w:val="21"/>
          <w:szCs w:val="21"/>
          <w:highlight w:val="none"/>
        </w:rPr>
        <w:t>承担。</w:t>
      </w:r>
    </w:p>
    <w:p>
      <w:pPr>
        <w:keepNext w:val="0"/>
        <w:keepLines w:val="0"/>
        <w:pageBreakBefore w:val="0"/>
        <w:widowControl w:val="0"/>
        <w:kinsoku/>
        <w:wordWrap/>
        <w:overflowPunct/>
        <w:topLinePunct w:val="0"/>
        <w:autoSpaceDE/>
        <w:autoSpaceDN/>
        <w:bidi w:val="0"/>
        <w:adjustRightInd/>
        <w:snapToGrid/>
        <w:spacing w:line="312" w:lineRule="auto"/>
        <w:ind w:right="91" w:firstLine="440" w:firstLineChars="200"/>
        <w:jc w:val="left"/>
        <w:textAlignment w:val="auto"/>
        <w:rPr>
          <w:rFonts w:hint="default" w:ascii="Arial" w:hAnsi="Arial" w:eastAsia="宋体" w:cs="Arial"/>
          <w:color w:val="000000"/>
          <w:spacing w:val="5"/>
          <w:sz w:val="21"/>
          <w:szCs w:val="21"/>
          <w:highlight w:val="none"/>
        </w:rPr>
      </w:pPr>
      <w:r>
        <w:rPr>
          <w:rFonts w:hint="default" w:ascii="Arial" w:hAnsi="Arial" w:eastAsia="宋体" w:cs="Arial"/>
          <w:color w:val="000000"/>
          <w:spacing w:val="5"/>
          <w:sz w:val="21"/>
          <w:szCs w:val="21"/>
          <w:highlight w:val="none"/>
          <w:lang w:val="en-US" w:eastAsia="zh-CN"/>
        </w:rPr>
        <w:t>17.</w:t>
      </w:r>
      <w:r>
        <w:rPr>
          <w:rFonts w:hint="default" w:ascii="Arial" w:hAnsi="Arial" w:eastAsia="宋体" w:cs="Arial"/>
          <w:color w:val="000000"/>
          <w:spacing w:val="5"/>
          <w:sz w:val="21"/>
          <w:szCs w:val="21"/>
          <w:highlight w:val="none"/>
        </w:rPr>
        <w:t>在服务期间，若</w:t>
      </w:r>
      <w:r>
        <w:rPr>
          <w:rFonts w:hint="default" w:ascii="Arial" w:hAnsi="Arial" w:eastAsia="宋体" w:cs="Arial"/>
          <w:color w:val="000000"/>
          <w:spacing w:val="5"/>
          <w:sz w:val="21"/>
          <w:szCs w:val="21"/>
          <w:highlight w:val="none"/>
          <w:lang w:val="en-US" w:eastAsia="zh-CN"/>
        </w:rPr>
        <w:t>出现</w:t>
      </w:r>
      <w:r>
        <w:rPr>
          <w:rFonts w:hint="default" w:ascii="Arial" w:hAnsi="Arial" w:eastAsia="宋体" w:cs="Arial"/>
          <w:color w:val="000000"/>
          <w:spacing w:val="5"/>
          <w:sz w:val="21"/>
          <w:szCs w:val="21"/>
          <w:highlight w:val="none"/>
        </w:rPr>
        <w:t>安全事故，</w:t>
      </w:r>
      <w:r>
        <w:rPr>
          <w:rFonts w:hint="default" w:ascii="Arial" w:hAnsi="Arial" w:eastAsia="宋体" w:cs="Arial"/>
          <w:color w:val="000000"/>
          <w:spacing w:val="5"/>
          <w:sz w:val="21"/>
          <w:szCs w:val="21"/>
          <w:highlight w:val="none"/>
          <w:lang w:val="en-US" w:eastAsia="zh-CN"/>
        </w:rPr>
        <w:t>导致人身、财产损害事件发生，</w:t>
      </w:r>
      <w:r>
        <w:rPr>
          <w:rFonts w:hint="default" w:ascii="Arial" w:hAnsi="Arial" w:eastAsia="宋体" w:cs="Arial"/>
          <w:color w:val="000000"/>
          <w:spacing w:val="5"/>
          <w:sz w:val="21"/>
          <w:szCs w:val="21"/>
          <w:highlight w:val="none"/>
        </w:rPr>
        <w:t>全部责任</w:t>
      </w:r>
      <w:r>
        <w:rPr>
          <w:rFonts w:hint="default" w:ascii="Arial" w:hAnsi="Arial" w:eastAsia="宋体" w:cs="Arial"/>
          <w:color w:val="000000"/>
          <w:spacing w:val="5"/>
          <w:sz w:val="21"/>
          <w:szCs w:val="21"/>
          <w:highlight w:val="none"/>
          <w:lang w:val="en-US" w:eastAsia="zh-CN"/>
        </w:rPr>
        <w:t>以及法律后果均</w:t>
      </w:r>
      <w:r>
        <w:rPr>
          <w:rFonts w:hint="default" w:ascii="Arial" w:hAnsi="Arial" w:eastAsia="宋体" w:cs="Arial"/>
          <w:color w:val="000000"/>
          <w:spacing w:val="5"/>
          <w:sz w:val="21"/>
          <w:szCs w:val="21"/>
          <w:highlight w:val="none"/>
        </w:rPr>
        <w:t>由</w:t>
      </w:r>
      <w:r>
        <w:rPr>
          <w:rFonts w:hint="default" w:ascii="Arial" w:hAnsi="Arial" w:eastAsia="宋体" w:cs="Arial"/>
          <w:color w:val="000000"/>
          <w:spacing w:val="8"/>
          <w:sz w:val="21"/>
          <w:szCs w:val="21"/>
          <w:highlight w:val="none"/>
          <w:lang w:val="en-US" w:eastAsia="zh-CN"/>
        </w:rPr>
        <w:t>乙方</w:t>
      </w:r>
      <w:r>
        <w:rPr>
          <w:rFonts w:hint="default" w:ascii="Arial" w:hAnsi="Arial" w:eastAsia="宋体" w:cs="Arial"/>
          <w:color w:val="000000"/>
          <w:spacing w:val="5"/>
          <w:sz w:val="21"/>
          <w:szCs w:val="21"/>
          <w:highlight w:val="none"/>
        </w:rPr>
        <w:t>承担。</w:t>
      </w:r>
    </w:p>
    <w:p>
      <w:pPr>
        <w:keepNext w:val="0"/>
        <w:keepLines w:val="0"/>
        <w:pageBreakBefore w:val="0"/>
        <w:widowControl w:val="0"/>
        <w:kinsoku/>
        <w:wordWrap/>
        <w:overflowPunct/>
        <w:topLinePunct w:val="0"/>
        <w:autoSpaceDE/>
        <w:autoSpaceDN/>
        <w:bidi w:val="0"/>
        <w:adjustRightInd/>
        <w:snapToGrid/>
        <w:spacing w:line="312" w:lineRule="auto"/>
        <w:ind w:right="91" w:firstLine="440" w:firstLineChars="200"/>
        <w:jc w:val="left"/>
        <w:textAlignment w:val="auto"/>
        <w:rPr>
          <w:rFonts w:hint="default" w:ascii="Arial" w:hAnsi="Arial" w:eastAsia="宋体" w:cs="Arial"/>
          <w:color w:val="000000"/>
          <w:spacing w:val="5"/>
          <w:sz w:val="21"/>
          <w:szCs w:val="21"/>
          <w:highlight w:val="none"/>
          <w:lang w:val="en-US" w:eastAsia="zh-CN"/>
        </w:rPr>
      </w:pPr>
      <w:r>
        <w:rPr>
          <w:rFonts w:hint="default" w:ascii="Arial" w:hAnsi="Arial" w:eastAsia="宋体" w:cs="Arial"/>
          <w:color w:val="000000"/>
          <w:spacing w:val="5"/>
          <w:sz w:val="21"/>
          <w:szCs w:val="21"/>
          <w:highlight w:val="none"/>
          <w:lang w:val="en-US" w:eastAsia="zh-CN"/>
        </w:rPr>
        <w:t>18.</w:t>
      </w:r>
      <w:r>
        <w:rPr>
          <w:rFonts w:hint="default" w:ascii="Arial" w:hAnsi="Arial" w:eastAsia="宋体" w:cs="Arial"/>
          <w:color w:val="000000"/>
          <w:spacing w:val="5"/>
          <w:sz w:val="21"/>
          <w:szCs w:val="21"/>
          <w:highlight w:val="none"/>
        </w:rPr>
        <w:t>如因</w:t>
      </w:r>
      <w:r>
        <w:rPr>
          <w:rFonts w:hint="default" w:ascii="Arial" w:hAnsi="Arial" w:eastAsia="宋体" w:cs="Arial"/>
          <w:color w:val="000000"/>
          <w:spacing w:val="8"/>
          <w:sz w:val="21"/>
          <w:szCs w:val="21"/>
          <w:highlight w:val="none"/>
          <w:lang w:val="en-US" w:eastAsia="zh-CN"/>
        </w:rPr>
        <w:t>乙方</w:t>
      </w:r>
      <w:r>
        <w:rPr>
          <w:rFonts w:hint="default" w:ascii="Arial" w:hAnsi="Arial" w:eastAsia="宋体" w:cs="Arial"/>
          <w:color w:val="000000"/>
          <w:spacing w:val="5"/>
          <w:sz w:val="21"/>
          <w:szCs w:val="21"/>
          <w:highlight w:val="none"/>
        </w:rPr>
        <w:t>未能按照合同约定进行工程师安全防范教育和保障措施，或者因违反用电和明火的安全要求而导致安全事故发生，由</w:t>
      </w:r>
      <w:r>
        <w:rPr>
          <w:rFonts w:hint="default" w:ascii="Arial" w:hAnsi="Arial" w:eastAsia="宋体" w:cs="Arial"/>
          <w:color w:val="000000"/>
          <w:spacing w:val="8"/>
          <w:sz w:val="21"/>
          <w:szCs w:val="21"/>
          <w:highlight w:val="none"/>
          <w:lang w:val="en-US" w:eastAsia="zh-CN"/>
        </w:rPr>
        <w:t>乙方</w:t>
      </w:r>
      <w:r>
        <w:rPr>
          <w:rFonts w:hint="default" w:ascii="Arial" w:hAnsi="Arial" w:eastAsia="宋体" w:cs="Arial"/>
          <w:color w:val="000000"/>
          <w:spacing w:val="5"/>
          <w:sz w:val="21"/>
          <w:szCs w:val="21"/>
          <w:highlight w:val="none"/>
        </w:rPr>
        <w:t>承担全部责任和后果，并承担相应的赔偿责任。</w:t>
      </w:r>
    </w:p>
    <w:p>
      <w:pPr>
        <w:pStyle w:val="203"/>
        <w:keepNext w:val="0"/>
        <w:keepLines w:val="0"/>
        <w:pageBreakBefore w:val="0"/>
        <w:numPr>
          <w:ilvl w:val="0"/>
          <w:numId w:val="0"/>
        </w:numPr>
        <w:kinsoku/>
        <w:wordWrap/>
        <w:overflowPunct/>
        <w:topLinePunct w:val="0"/>
        <w:bidi w:val="0"/>
        <w:adjustRightInd/>
        <w:snapToGrid/>
        <w:spacing w:line="312" w:lineRule="auto"/>
        <w:ind w:firstLine="422" w:firstLineChars="200"/>
        <w:jc w:val="left"/>
        <w:textAlignment w:val="auto"/>
        <w:rPr>
          <w:rFonts w:hint="default" w:ascii="Arial" w:hAnsi="Arial" w:eastAsia="宋体" w:cs="Arial"/>
          <w:b/>
          <w:sz w:val="21"/>
          <w:szCs w:val="21"/>
          <w:highlight w:val="none"/>
        </w:rPr>
      </w:pPr>
      <w:bookmarkStart w:id="108" w:name="_Toc1511"/>
      <w:r>
        <w:rPr>
          <w:rStyle w:val="74"/>
          <w:rFonts w:hint="default" w:ascii="Arial" w:hAnsi="Arial" w:cs="Arial"/>
          <w:sz w:val="21"/>
          <w:szCs w:val="21"/>
          <w:highlight w:val="none"/>
          <w:lang w:val="en-US" w:eastAsia="zh-CN"/>
        </w:rPr>
        <w:t xml:space="preserve">第七条 </w:t>
      </w:r>
      <w:r>
        <w:rPr>
          <w:rStyle w:val="74"/>
          <w:rFonts w:hint="default" w:ascii="Arial" w:hAnsi="Arial" w:cs="Arial"/>
          <w:sz w:val="21"/>
          <w:szCs w:val="21"/>
          <w:highlight w:val="none"/>
        </w:rPr>
        <w:t>服务要求</w:t>
      </w:r>
      <w:bookmarkEnd w:id="108"/>
      <w:r>
        <w:rPr>
          <w:rFonts w:hint="default" w:ascii="Arial" w:hAnsi="Arial" w:eastAsia="宋体" w:cs="Arial"/>
          <w:b/>
          <w:sz w:val="21"/>
          <w:szCs w:val="21"/>
          <w:highlight w:val="none"/>
        </w:rPr>
        <w:tab/>
      </w:r>
    </w:p>
    <w:p>
      <w:pPr>
        <w:keepNext w:val="0"/>
        <w:keepLines w:val="0"/>
        <w:pageBreakBefore w:val="0"/>
        <w:kinsoku/>
        <w:wordWrap/>
        <w:overflowPunct/>
        <w:topLinePunct w:val="0"/>
        <w:bidi w:val="0"/>
        <w:adjustRightInd/>
        <w:snapToGrid/>
        <w:spacing w:line="312" w:lineRule="auto"/>
        <w:ind w:firstLine="422" w:firstLineChars="200"/>
        <w:textAlignment w:val="auto"/>
        <w:rPr>
          <w:rFonts w:hint="default" w:ascii="Arial" w:hAnsi="Arial" w:eastAsia="宋体" w:cs="Arial"/>
          <w:b/>
          <w:sz w:val="21"/>
          <w:szCs w:val="21"/>
          <w:highlight w:val="none"/>
        </w:rPr>
      </w:pPr>
      <w:r>
        <w:rPr>
          <w:rFonts w:hint="default" w:ascii="Arial" w:hAnsi="Arial" w:eastAsia="宋体" w:cs="Arial"/>
          <w:b/>
          <w:sz w:val="21"/>
          <w:szCs w:val="21"/>
          <w:highlight w:val="none"/>
        </w:rPr>
        <w:t>1.总体要求</w:t>
      </w:r>
    </w:p>
    <w:p>
      <w:pPr>
        <w:keepNext w:val="0"/>
        <w:keepLines w:val="0"/>
        <w:pageBreakBefore w:val="0"/>
        <w:tabs>
          <w:tab w:val="left" w:pos="420"/>
        </w:tabs>
        <w:kinsoku/>
        <w:wordWrap/>
        <w:overflowPunct/>
        <w:topLinePunct w:val="0"/>
        <w:bidi w:val="0"/>
        <w:adjustRightInd/>
        <w:snapToGrid/>
        <w:spacing w:line="312" w:lineRule="auto"/>
        <w:ind w:left="1"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sz w:val="21"/>
          <w:szCs w:val="21"/>
          <w:highlight w:val="none"/>
        </w:rPr>
        <w:t>1.1</w:t>
      </w:r>
      <w:r>
        <w:rPr>
          <w:rFonts w:hint="default" w:ascii="Arial" w:hAnsi="Arial" w:eastAsia="宋体" w:cs="Arial"/>
          <w:color w:val="auto"/>
          <w:spacing w:val="8"/>
          <w:sz w:val="21"/>
          <w:szCs w:val="21"/>
          <w:highlight w:val="none"/>
          <w:lang w:val="en-US" w:eastAsia="zh-CN"/>
        </w:rPr>
        <w:t>乙方</w:t>
      </w:r>
      <w:r>
        <w:rPr>
          <w:rFonts w:hint="default" w:ascii="Arial" w:hAnsi="Arial" w:eastAsia="宋体" w:cs="Arial"/>
          <w:sz w:val="21"/>
          <w:szCs w:val="21"/>
          <w:highlight w:val="none"/>
        </w:rPr>
        <w:t>工程师应树立为</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，病人服务的思想，每次上门服务必须与</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使用部门负责人或设备科维修人员充分沟通，在尽量不影响科室诊断、检查并征</w:t>
      </w:r>
      <w:r>
        <w:rPr>
          <w:rFonts w:hint="default" w:ascii="Arial" w:hAnsi="Arial" w:eastAsia="宋体" w:cs="Arial"/>
          <w:color w:val="000000"/>
          <w:sz w:val="21"/>
          <w:szCs w:val="21"/>
          <w:highlight w:val="none"/>
        </w:rPr>
        <w:t>得同意</w:t>
      </w:r>
      <w:r>
        <w:rPr>
          <w:rFonts w:hint="default" w:ascii="Arial" w:hAnsi="Arial" w:eastAsia="宋体" w:cs="Arial"/>
          <w:color w:val="000000"/>
          <w:sz w:val="21"/>
          <w:szCs w:val="21"/>
          <w:highlight w:val="none"/>
          <w:lang w:val="en-US" w:eastAsia="zh-CN"/>
        </w:rPr>
        <w:t>的情况下</w:t>
      </w:r>
      <w:r>
        <w:rPr>
          <w:rFonts w:hint="default" w:ascii="Arial" w:hAnsi="Arial" w:eastAsia="宋体" w:cs="Arial"/>
          <w:color w:val="000000"/>
          <w:sz w:val="21"/>
          <w:szCs w:val="21"/>
          <w:highlight w:val="none"/>
        </w:rPr>
        <w:t>才可以进行。</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rPr>
        <w:t>1.2设备的保养、维护、维修必须遵守和执行该种设备的相应标准（含国标、行标、企业标准）及规范要求，也要符合该种设备安全准则及安全专用要求。</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rPr>
        <w:t>1.3有特殊要求的设备，如特种设备、射线装置等，检查、保养、维修必须严格遵守和执行特种设备安全法等相应安全规范、规定及要求，人员必须具备相应作业资格证，严禁无证作业。</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color w:val="auto"/>
          <w:sz w:val="21"/>
          <w:szCs w:val="21"/>
          <w:highlight w:val="none"/>
        </w:rPr>
      </w:pPr>
      <w:r>
        <w:rPr>
          <w:rFonts w:hint="default" w:ascii="Arial" w:hAnsi="Arial" w:eastAsia="宋体" w:cs="Arial"/>
          <w:color w:val="000000"/>
          <w:sz w:val="21"/>
          <w:szCs w:val="21"/>
          <w:highlight w:val="none"/>
        </w:rPr>
        <w:t>1.4维保人员作业前必须熟</w:t>
      </w:r>
      <w:r>
        <w:rPr>
          <w:rFonts w:hint="default" w:ascii="Arial" w:hAnsi="Arial" w:eastAsia="宋体" w:cs="Arial"/>
          <w:color w:val="auto"/>
          <w:sz w:val="21"/>
          <w:szCs w:val="21"/>
          <w:highlight w:val="none"/>
        </w:rPr>
        <w:t>悉</w:t>
      </w:r>
      <w:r>
        <w:rPr>
          <w:rFonts w:hint="default" w:ascii="Arial" w:hAnsi="Arial" w:eastAsia="宋体" w:cs="Arial"/>
          <w:color w:val="auto"/>
          <w:sz w:val="21"/>
          <w:szCs w:val="21"/>
          <w:highlight w:val="none"/>
          <w:lang w:val="en-US" w:eastAsia="zh-CN"/>
        </w:rPr>
        <w:t>安全操作规范</w:t>
      </w:r>
      <w:r>
        <w:rPr>
          <w:rFonts w:hint="default" w:ascii="Arial" w:hAnsi="Arial" w:eastAsia="宋体" w:cs="Arial"/>
          <w:color w:val="auto"/>
          <w:sz w:val="21"/>
          <w:szCs w:val="21"/>
          <w:highlight w:val="none"/>
        </w:rPr>
        <w:t>、有安全监护人、作业现场安全条件有确认。</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1.5对需要专业资质证的个别维护维修作业，</w:t>
      </w:r>
      <w:r>
        <w:rPr>
          <w:rFonts w:hint="default" w:ascii="Arial" w:hAnsi="Arial" w:eastAsia="宋体" w:cs="Arial"/>
          <w:color w:val="auto"/>
          <w:spacing w:val="0"/>
          <w:sz w:val="21"/>
          <w:szCs w:val="21"/>
          <w:highlight w:val="none"/>
        </w:rPr>
        <w:t>乙方</w:t>
      </w:r>
      <w:r>
        <w:rPr>
          <w:rFonts w:hint="default" w:ascii="Arial" w:hAnsi="Arial" w:eastAsia="宋体" w:cs="Arial"/>
          <w:color w:val="auto"/>
          <w:sz w:val="21"/>
          <w:szCs w:val="21"/>
          <w:highlight w:val="none"/>
        </w:rPr>
        <w:t>必须安排或聘请有相应资质证的人员执行作业。否则算严重违章违约行为，将予以处罚。高压氧舱、血透室需按相关规定的要求安排专职工程师维护，开机驻守。</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sz w:val="21"/>
          <w:szCs w:val="21"/>
          <w:highlight w:val="none"/>
        </w:rPr>
      </w:pPr>
      <w:r>
        <w:rPr>
          <w:rFonts w:hint="default" w:ascii="Arial" w:hAnsi="Arial" w:eastAsia="宋体" w:cs="Arial"/>
          <w:color w:val="auto"/>
          <w:sz w:val="21"/>
          <w:szCs w:val="21"/>
          <w:highlight w:val="none"/>
        </w:rPr>
        <w:t>1.6维修保养人员必须是</w:t>
      </w:r>
      <w:r>
        <w:rPr>
          <w:rFonts w:hint="default" w:ascii="Arial" w:hAnsi="Arial" w:eastAsia="宋体" w:cs="Arial"/>
          <w:color w:val="auto"/>
          <w:spacing w:val="0"/>
          <w:sz w:val="21"/>
          <w:szCs w:val="21"/>
          <w:highlight w:val="none"/>
        </w:rPr>
        <w:t>乙方</w:t>
      </w:r>
      <w:r>
        <w:rPr>
          <w:rFonts w:hint="default" w:ascii="Arial" w:hAnsi="Arial" w:eastAsia="宋体" w:cs="Arial"/>
          <w:color w:val="auto"/>
          <w:sz w:val="21"/>
          <w:szCs w:val="21"/>
          <w:highlight w:val="none"/>
        </w:rPr>
        <w:t>培</w:t>
      </w:r>
      <w:r>
        <w:rPr>
          <w:rFonts w:hint="default" w:ascii="Arial" w:hAnsi="Arial" w:eastAsia="宋体" w:cs="Arial"/>
          <w:sz w:val="21"/>
          <w:szCs w:val="21"/>
          <w:highlight w:val="none"/>
        </w:rPr>
        <w:t>训合格的专职维修人员。</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1.7</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必须对需维保的设备制定“保养维护维修规范”或规程（亦可采用设备厂家的保养维护维修规范），要求有保养（或维修）项、每项有检查内容、有数据（有标准值、有实测值）、有判断、有结论。每次维修保养，驻场工程师必须填写维修保养工作单（必须得到医院认可的格式），工作单需详细列明本次维护、保养、维修的内容、更换的耗材及零备件，并按医院规定流程验证签名确认，交医院负责人保存。</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1.8工程师要遵守</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规章制度，听从</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指派人员的指导。工程师需爱护</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的一切财物，在维护保养过程中损坏财物，等价赔偿。</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1.9维修时对原设备进行了改造或变更的，必须提供出具改造说明，改造前后图纸等资料，且对可行性、安全性、可靠性做出书面承诺。</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1.10维修备件：包括用于保养及维修中需更换的备件符合原厂参数要求，</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应对备件及材料的可靠性、合法性、质量</w:t>
      </w:r>
      <w:r>
        <w:rPr>
          <w:rFonts w:hint="default" w:ascii="Arial" w:hAnsi="Arial" w:eastAsia="宋体" w:cs="Arial"/>
          <w:color w:val="auto"/>
          <w:sz w:val="21"/>
          <w:szCs w:val="21"/>
          <w:highlight w:val="none"/>
        </w:rPr>
        <w:t>保证作出承诺。</w:t>
      </w:r>
      <w:r>
        <w:rPr>
          <w:rFonts w:hint="default" w:ascii="Arial" w:hAnsi="Arial" w:eastAsia="宋体" w:cs="Arial"/>
          <w:sz w:val="21"/>
          <w:szCs w:val="21"/>
          <w:highlight w:val="none"/>
        </w:rPr>
        <w:t>放射类设备维修需更换的核心配件必须是原厂件。</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1.11全保设备，除一次性耗材（如口罩、呼吸面罩、鼻塞、手套、输液管路、注射器、电极片、一次性血气氧探头、样品杯胶片、打印纸、色带、耦合剂、导电膏、气体、清洗液、反应杯、指示卡等），其余配件均在保修范围。</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1.12全保设备（包含硬镜和软镜），不计损坏原因无条件维修。</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w:t>
      </w:r>
      <w:r>
        <w:rPr>
          <w:rFonts w:hint="default" w:ascii="Arial" w:hAnsi="Arial" w:eastAsia="宋体" w:cs="Arial"/>
          <w:color w:val="000000"/>
          <w:sz w:val="21"/>
          <w:szCs w:val="21"/>
          <w:highlight w:val="none"/>
        </w:rPr>
        <w:t>3其他未在全保清单中的（资产值≦1500元）医疗设备也纳入全保范围，出现故障由</w:t>
      </w:r>
      <w:r>
        <w:rPr>
          <w:rFonts w:hint="default" w:ascii="Arial" w:hAnsi="Arial" w:eastAsia="宋体" w:cs="Arial"/>
          <w:color w:val="auto"/>
          <w:spacing w:val="0"/>
          <w:sz w:val="21"/>
          <w:szCs w:val="21"/>
          <w:highlight w:val="none"/>
        </w:rPr>
        <w:t>乙方</w:t>
      </w:r>
      <w:r>
        <w:rPr>
          <w:rFonts w:hint="default" w:ascii="Arial" w:hAnsi="Arial" w:eastAsia="宋体" w:cs="Arial"/>
          <w:color w:val="000000"/>
          <w:sz w:val="21"/>
          <w:szCs w:val="21"/>
          <w:highlight w:val="none"/>
        </w:rPr>
        <w:t>负责维修。</w:t>
      </w:r>
    </w:p>
    <w:p>
      <w:pPr>
        <w:keepNext w:val="0"/>
        <w:keepLines w:val="0"/>
        <w:pageBreakBefore w:val="0"/>
        <w:tabs>
          <w:tab w:val="left" w:pos="0"/>
        </w:tabs>
        <w:kinsoku/>
        <w:wordWrap/>
        <w:overflowPunct/>
        <w:topLinePunct w:val="0"/>
        <w:bidi w:val="0"/>
        <w:adjustRightInd/>
        <w:snapToGrid/>
        <w:spacing w:line="312" w:lineRule="auto"/>
        <w:ind w:firstLine="420" w:firstLineChars="20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1.14维保验收标准</w:t>
      </w:r>
    </w:p>
    <w:p>
      <w:pPr>
        <w:keepNext w:val="0"/>
        <w:keepLines w:val="0"/>
        <w:pageBreakBefore w:val="0"/>
        <w:numPr>
          <w:ilvl w:val="0"/>
          <w:numId w:val="0"/>
        </w:numPr>
        <w:kinsoku/>
        <w:wordWrap/>
        <w:overflowPunct/>
        <w:topLinePunct w:val="0"/>
        <w:autoSpaceDE w:val="0"/>
        <w:autoSpaceDN w:val="0"/>
        <w:bidi w:val="0"/>
        <w:adjustRightInd/>
        <w:snapToGrid/>
        <w:spacing w:line="312" w:lineRule="auto"/>
        <w:ind w:left="420" w:leftChars="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1）</w:t>
      </w:r>
      <w:r>
        <w:rPr>
          <w:rFonts w:hint="default" w:ascii="Arial" w:hAnsi="Arial" w:eastAsia="宋体" w:cs="Arial"/>
          <w:spacing w:val="-6"/>
          <w:sz w:val="21"/>
          <w:szCs w:val="21"/>
          <w:highlight w:val="none"/>
        </w:rPr>
        <w:t>设备均正常运行，无安全隐患、无遗留问题，设备保养全部完成</w:t>
      </w:r>
      <w:r>
        <w:rPr>
          <w:rFonts w:hint="default" w:ascii="Arial" w:hAnsi="Arial" w:eastAsia="宋体" w:cs="Arial"/>
          <w:sz w:val="21"/>
          <w:szCs w:val="21"/>
          <w:highlight w:val="none"/>
        </w:rPr>
        <w:t>。</w:t>
      </w:r>
    </w:p>
    <w:p>
      <w:pPr>
        <w:keepNext w:val="0"/>
        <w:keepLines w:val="0"/>
        <w:pageBreakBefore w:val="0"/>
        <w:numPr>
          <w:ilvl w:val="0"/>
          <w:numId w:val="0"/>
        </w:numPr>
        <w:kinsoku/>
        <w:wordWrap/>
        <w:overflowPunct/>
        <w:topLinePunct w:val="0"/>
        <w:autoSpaceDE w:val="0"/>
        <w:autoSpaceDN w:val="0"/>
        <w:bidi w:val="0"/>
        <w:adjustRightInd/>
        <w:snapToGrid/>
        <w:spacing w:line="312" w:lineRule="auto"/>
        <w:ind w:left="420" w:leftChars="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2）</w:t>
      </w:r>
      <w:r>
        <w:rPr>
          <w:rFonts w:hint="default" w:ascii="Arial" w:hAnsi="Arial" w:eastAsia="宋体" w:cs="Arial"/>
          <w:sz w:val="21"/>
          <w:szCs w:val="21"/>
          <w:highlight w:val="none"/>
        </w:rPr>
        <w:t>维修或保养后的设备无同现象、同组件、同部位无再次故障。</w:t>
      </w:r>
    </w:p>
    <w:p>
      <w:pPr>
        <w:keepNext w:val="0"/>
        <w:keepLines w:val="0"/>
        <w:pageBreakBefore w:val="0"/>
        <w:numPr>
          <w:ilvl w:val="0"/>
          <w:numId w:val="0"/>
        </w:numPr>
        <w:kinsoku/>
        <w:wordWrap/>
        <w:overflowPunct/>
        <w:topLinePunct w:val="0"/>
        <w:autoSpaceDE w:val="0"/>
        <w:autoSpaceDN w:val="0"/>
        <w:bidi w:val="0"/>
        <w:adjustRightInd/>
        <w:snapToGrid/>
        <w:spacing w:line="312" w:lineRule="auto"/>
        <w:ind w:left="420" w:leftChars="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3）</w:t>
      </w:r>
      <w:r>
        <w:rPr>
          <w:rFonts w:hint="default" w:ascii="Arial" w:hAnsi="Arial" w:eastAsia="宋体" w:cs="Arial"/>
          <w:sz w:val="21"/>
          <w:szCs w:val="21"/>
          <w:highlight w:val="none"/>
        </w:rPr>
        <w:t>设备完好符合标准，各种记录、资料齐全。</w:t>
      </w:r>
    </w:p>
    <w:p>
      <w:pPr>
        <w:keepNext w:val="0"/>
        <w:keepLines w:val="0"/>
        <w:pageBreakBefore w:val="0"/>
        <w:numPr>
          <w:ilvl w:val="0"/>
          <w:numId w:val="0"/>
        </w:numPr>
        <w:kinsoku/>
        <w:wordWrap/>
        <w:overflowPunct/>
        <w:topLinePunct w:val="0"/>
        <w:autoSpaceDE w:val="0"/>
        <w:autoSpaceDN w:val="0"/>
        <w:bidi w:val="0"/>
        <w:adjustRightInd/>
        <w:snapToGrid/>
        <w:spacing w:line="312" w:lineRule="auto"/>
        <w:ind w:left="420" w:leftChars="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符合维保合同要求。</w:t>
      </w:r>
    </w:p>
    <w:p>
      <w:pPr>
        <w:keepNext w:val="0"/>
        <w:keepLines w:val="0"/>
        <w:pageBreakBefore w:val="0"/>
        <w:numPr>
          <w:ilvl w:val="0"/>
          <w:numId w:val="0"/>
        </w:numPr>
        <w:kinsoku/>
        <w:wordWrap/>
        <w:overflowPunct/>
        <w:topLinePunct w:val="0"/>
        <w:bidi w:val="0"/>
        <w:adjustRightInd/>
        <w:snapToGrid/>
        <w:spacing w:line="312" w:lineRule="auto"/>
        <w:ind w:firstLine="422" w:firstLineChars="200"/>
        <w:textAlignment w:val="auto"/>
        <w:rPr>
          <w:rFonts w:hint="default" w:ascii="Arial" w:hAnsi="Arial" w:eastAsia="宋体" w:cs="Arial"/>
          <w:sz w:val="21"/>
          <w:szCs w:val="21"/>
          <w:highlight w:val="none"/>
        </w:rPr>
      </w:pPr>
      <w:r>
        <w:rPr>
          <w:rFonts w:hint="default" w:ascii="Arial" w:hAnsi="Arial" w:eastAsia="宋体" w:cs="Arial"/>
          <w:b/>
          <w:bCs/>
          <w:sz w:val="21"/>
          <w:szCs w:val="21"/>
          <w:highlight w:val="none"/>
          <w:lang w:val="en-US" w:eastAsia="zh-CN"/>
        </w:rPr>
        <w:t>2.</w:t>
      </w:r>
      <w:r>
        <w:rPr>
          <w:rFonts w:hint="default" w:ascii="Arial" w:hAnsi="Arial" w:eastAsia="宋体" w:cs="Arial"/>
          <w:b/>
          <w:bCs/>
          <w:color w:val="auto"/>
          <w:sz w:val="21"/>
          <w:szCs w:val="21"/>
          <w:highlight w:val="none"/>
          <w:lang w:val="en-US" w:eastAsia="zh-CN"/>
        </w:rPr>
        <w:t>乙方</w:t>
      </w:r>
      <w:r>
        <w:rPr>
          <w:rFonts w:hint="default" w:ascii="Arial" w:hAnsi="Arial" w:eastAsia="宋体" w:cs="Arial"/>
          <w:b/>
          <w:bCs/>
          <w:sz w:val="21"/>
          <w:szCs w:val="21"/>
          <w:highlight w:val="none"/>
        </w:rPr>
        <w:t>资质及服务保障要求</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2.1</w:t>
      </w:r>
      <w:r>
        <w:rPr>
          <w:rFonts w:hint="default" w:ascii="Arial" w:hAnsi="Arial" w:eastAsia="宋体" w:cs="Arial"/>
          <w:sz w:val="21"/>
          <w:szCs w:val="21"/>
          <w:highlight w:val="none"/>
        </w:rPr>
        <w:t>在实施本项目经营管理时，需符合国家相关的政策法规；应无条件执行国家、地方政府、行业协会最新颁布的标准和条例；必须符合</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有关部门和科室的工作时间和工作要求。</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2.2</w:t>
      </w:r>
      <w:r>
        <w:rPr>
          <w:rFonts w:hint="default" w:ascii="Arial" w:hAnsi="Arial" w:eastAsia="宋体" w:cs="Arial"/>
          <w:sz w:val="21"/>
          <w:szCs w:val="21"/>
          <w:highlight w:val="none"/>
        </w:rPr>
        <w:t>所有服务由</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独立完成，不允许分割转包给第三方，特殊设备转包需经</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确认。合同签订后如发现分割转包现象，或未经</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同意</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私自转包行为，</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有权无条件终止合同。</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2.3</w:t>
      </w:r>
      <w:r>
        <w:rPr>
          <w:rFonts w:hint="default" w:ascii="Arial" w:hAnsi="Arial" w:eastAsia="宋体" w:cs="Arial"/>
          <w:sz w:val="21"/>
          <w:szCs w:val="21"/>
          <w:highlight w:val="none"/>
        </w:rPr>
        <w:t>派驻人员应包含具有生物医学工程、电子技术等相关专业操作及医疗设备维修、信息系统维护等相关资质，驻场人员应具备3年及以上医疗设备维修及管理经验的服务工程师。</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sz w:val="21"/>
          <w:szCs w:val="21"/>
          <w:highlight w:val="none"/>
          <w:lang w:val="en-US" w:eastAsia="zh-CN"/>
        </w:rPr>
        <w:t>2.4</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国内需有独立的备件仓库</w:t>
      </w:r>
      <w:r>
        <w:rPr>
          <w:rFonts w:hint="default" w:ascii="Arial" w:hAnsi="Arial" w:eastAsia="宋体" w:cs="Arial"/>
          <w:color w:val="auto"/>
          <w:sz w:val="21"/>
          <w:szCs w:val="21"/>
          <w:highlight w:val="none"/>
        </w:rPr>
        <w:t>，</w:t>
      </w:r>
      <w:r>
        <w:rPr>
          <w:rFonts w:hint="default" w:ascii="Arial" w:hAnsi="Arial" w:eastAsia="宋体" w:cs="Arial"/>
          <w:color w:val="auto"/>
          <w:sz w:val="21"/>
          <w:szCs w:val="21"/>
          <w:highlight w:val="none"/>
          <w:lang w:val="en-US" w:eastAsia="zh-CN"/>
        </w:rPr>
        <w:t>并</w:t>
      </w:r>
      <w:r>
        <w:rPr>
          <w:rFonts w:hint="default" w:ascii="Arial" w:hAnsi="Arial" w:eastAsia="宋体" w:cs="Arial"/>
          <w:color w:val="auto"/>
          <w:sz w:val="21"/>
          <w:szCs w:val="21"/>
          <w:highlight w:val="none"/>
        </w:rPr>
        <w:t>具有多种备件品类（含国内外原厂备件）。</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2.5</w:t>
      </w:r>
      <w:r>
        <w:rPr>
          <w:rFonts w:hint="default" w:ascii="Arial" w:hAnsi="Arial" w:eastAsia="宋体" w:cs="Arial"/>
          <w:color w:val="auto"/>
          <w:sz w:val="21"/>
          <w:szCs w:val="21"/>
          <w:highlight w:val="none"/>
        </w:rPr>
        <w:t>医疗设备开机率不低于95%（以每年365天计算）。</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2.6</w:t>
      </w:r>
      <w:r>
        <w:rPr>
          <w:rFonts w:hint="default" w:ascii="Arial" w:hAnsi="Arial" w:eastAsia="宋体" w:cs="Arial"/>
          <w:color w:val="auto"/>
          <w:sz w:val="21"/>
          <w:szCs w:val="21"/>
          <w:highlight w:val="none"/>
        </w:rPr>
        <w:t>对医院设备提供全生命周期管理、资产管理、质控管理、科室管理、一键报修管理等，定期将各科室的医疗设备运行维护情况发给相应科室。</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2.7</w:t>
      </w:r>
      <w:r>
        <w:rPr>
          <w:rFonts w:hint="default" w:ascii="Arial" w:hAnsi="Arial" w:eastAsia="宋体" w:cs="Arial"/>
          <w:color w:val="auto"/>
          <w:sz w:val="21"/>
          <w:szCs w:val="21"/>
          <w:highlight w:val="none"/>
        </w:rPr>
        <w:t>为医院急救设备和急用设备提供备用机，确保任何时候有设备可用，</w:t>
      </w:r>
      <w:r>
        <w:rPr>
          <w:rFonts w:hint="default" w:ascii="Arial" w:hAnsi="Arial" w:eastAsia="宋体" w:cs="Arial"/>
          <w:color w:val="auto"/>
          <w:spacing w:val="-6"/>
          <w:sz w:val="21"/>
          <w:szCs w:val="21"/>
          <w:highlight w:val="none"/>
        </w:rPr>
        <w:t>为患者的生命安全提供强力保障。</w:t>
      </w:r>
      <w:r>
        <w:rPr>
          <w:rFonts w:hint="default" w:ascii="Arial" w:hAnsi="Arial" w:eastAsia="宋体" w:cs="Arial"/>
          <w:color w:val="auto"/>
          <w:spacing w:val="-6"/>
          <w:sz w:val="21"/>
          <w:szCs w:val="21"/>
          <w:highlight w:val="none"/>
          <w:lang w:val="en-US" w:eastAsia="zh-CN"/>
        </w:rPr>
        <w:t>乙方</w:t>
      </w:r>
      <w:r>
        <w:rPr>
          <w:rFonts w:hint="default" w:ascii="Arial" w:hAnsi="Arial" w:eastAsia="宋体" w:cs="Arial"/>
          <w:color w:val="auto"/>
          <w:spacing w:val="-6"/>
          <w:sz w:val="21"/>
          <w:szCs w:val="21"/>
          <w:highlight w:val="none"/>
        </w:rPr>
        <w:t>提供的备用机设备归</w:t>
      </w:r>
      <w:r>
        <w:rPr>
          <w:rFonts w:hint="default" w:ascii="Arial" w:hAnsi="Arial" w:eastAsia="宋体" w:cs="Arial"/>
          <w:color w:val="auto"/>
          <w:spacing w:val="-6"/>
          <w:sz w:val="21"/>
          <w:szCs w:val="21"/>
          <w:highlight w:val="none"/>
          <w:lang w:val="en-US" w:eastAsia="zh-CN"/>
        </w:rPr>
        <w:t>乙方</w:t>
      </w:r>
      <w:r>
        <w:rPr>
          <w:rFonts w:hint="default" w:ascii="Arial" w:hAnsi="Arial" w:eastAsia="宋体" w:cs="Arial"/>
          <w:color w:val="auto"/>
          <w:spacing w:val="-6"/>
          <w:sz w:val="21"/>
          <w:szCs w:val="21"/>
          <w:highlight w:val="none"/>
        </w:rPr>
        <w:t>所有。</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val="en-US" w:eastAsia="zh-CN"/>
        </w:rPr>
        <w:t>2.8</w:t>
      </w:r>
      <w:r>
        <w:rPr>
          <w:rFonts w:hint="default" w:ascii="Arial" w:hAnsi="Arial" w:eastAsia="宋体" w:cs="Arial"/>
          <w:color w:val="auto"/>
          <w:spacing w:val="0"/>
          <w:sz w:val="21"/>
          <w:szCs w:val="21"/>
          <w:highlight w:val="none"/>
        </w:rPr>
        <w:t>乙方</w:t>
      </w:r>
      <w:r>
        <w:rPr>
          <w:rFonts w:hint="default" w:ascii="Arial" w:hAnsi="Arial" w:eastAsia="宋体" w:cs="Arial"/>
          <w:color w:val="auto"/>
          <w:sz w:val="21"/>
          <w:szCs w:val="21"/>
          <w:highlight w:val="none"/>
        </w:rPr>
        <w:t>的服务团队必须具备远程技术支持工具，在现场工程师无法解决技术问题的时候，技术支持。</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color w:val="auto"/>
          <w:sz w:val="21"/>
          <w:szCs w:val="21"/>
          <w:highlight w:val="none"/>
          <w:lang w:val="en-US" w:eastAsia="zh-CN"/>
        </w:rPr>
        <w:t>2.9</w:t>
      </w:r>
      <w:r>
        <w:rPr>
          <w:rFonts w:hint="default" w:ascii="Arial" w:hAnsi="Arial" w:eastAsia="宋体" w:cs="Arial"/>
          <w:color w:val="auto"/>
          <w:spacing w:val="0"/>
          <w:sz w:val="21"/>
          <w:szCs w:val="21"/>
          <w:highlight w:val="none"/>
        </w:rPr>
        <w:t>乙方</w:t>
      </w:r>
      <w:r>
        <w:rPr>
          <w:rFonts w:hint="default" w:ascii="Arial" w:hAnsi="Arial" w:eastAsia="宋体" w:cs="Arial"/>
          <w:color w:val="auto"/>
          <w:sz w:val="21"/>
          <w:szCs w:val="21"/>
          <w:highlight w:val="none"/>
        </w:rPr>
        <w:t>在服务期间，至少为</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color w:val="auto"/>
          <w:sz w:val="21"/>
          <w:szCs w:val="21"/>
          <w:highlight w:val="none"/>
        </w:rPr>
        <w:t>提供2次以上设备安全使用培训及设备日常维护保养培训相关内容，</w:t>
      </w:r>
      <w:r>
        <w:rPr>
          <w:rFonts w:hint="default" w:ascii="Arial" w:hAnsi="Arial" w:eastAsia="宋体" w:cs="Arial"/>
          <w:color w:val="auto"/>
          <w:spacing w:val="0"/>
          <w:sz w:val="21"/>
          <w:szCs w:val="21"/>
          <w:highlight w:val="none"/>
        </w:rPr>
        <w:t>乙方</w:t>
      </w:r>
      <w:r>
        <w:rPr>
          <w:rFonts w:hint="default" w:ascii="Arial" w:hAnsi="Arial" w:eastAsia="宋体" w:cs="Arial"/>
          <w:color w:val="auto"/>
          <w:sz w:val="21"/>
          <w:szCs w:val="21"/>
          <w:highlight w:val="none"/>
        </w:rPr>
        <w:t>的培训课程及培训计划</w:t>
      </w:r>
      <w:r>
        <w:rPr>
          <w:rFonts w:hint="default" w:ascii="Arial" w:hAnsi="Arial" w:eastAsia="宋体" w:cs="Arial"/>
          <w:color w:val="auto"/>
          <w:sz w:val="21"/>
          <w:szCs w:val="21"/>
          <w:highlight w:val="none"/>
          <w:lang w:val="en-US" w:eastAsia="zh-CN"/>
        </w:rPr>
        <w:t>需</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color w:val="auto"/>
          <w:sz w:val="21"/>
          <w:szCs w:val="21"/>
          <w:highlight w:val="none"/>
        </w:rPr>
        <w:t>确认</w:t>
      </w:r>
      <w:r>
        <w:rPr>
          <w:rFonts w:hint="default" w:ascii="Arial" w:hAnsi="Arial" w:eastAsia="宋体" w:cs="Arial"/>
          <w:sz w:val="21"/>
          <w:szCs w:val="21"/>
          <w:highlight w:val="none"/>
        </w:rPr>
        <w:t>。</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2.10</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在服务期间可为医院医工人员提供2次以上医疗设备维修保养技能及医疗设备管理培训。</w:t>
      </w:r>
    </w:p>
    <w:p>
      <w:pPr>
        <w:pStyle w:val="2"/>
        <w:keepNext w:val="0"/>
        <w:keepLines w:val="0"/>
        <w:pageBreakBefore w:val="0"/>
        <w:kinsoku/>
        <w:wordWrap/>
        <w:overflowPunct/>
        <w:topLinePunct w:val="0"/>
        <w:bidi w:val="0"/>
        <w:adjustRightInd/>
        <w:snapToGrid/>
        <w:spacing w:after="0" w:line="312" w:lineRule="auto"/>
        <w:ind w:left="0" w:leftChars="0"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2.11</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具有协助医院通过等级医院评审的相关服务实例经验，能够为医院设备科提供迎检及等级评审/复审相关服务。包括但不限于：</w:t>
      </w:r>
    </w:p>
    <w:p>
      <w:pPr>
        <w:pStyle w:val="2"/>
        <w:keepNext w:val="0"/>
        <w:keepLines w:val="0"/>
        <w:pageBreakBefore w:val="0"/>
        <w:widowControl w:val="0"/>
        <w:kinsoku/>
        <w:wordWrap/>
        <w:overflowPunct/>
        <w:topLinePunct w:val="0"/>
        <w:autoSpaceDE/>
        <w:autoSpaceDN/>
        <w:bidi w:val="0"/>
        <w:adjustRightInd/>
        <w:snapToGrid/>
        <w:spacing w:after="0" w:line="312" w:lineRule="auto"/>
        <w:ind w:left="0" w:leftChars="0"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（1）提供医疗设备等级评审条款的解读和材料的收集；</w:t>
      </w:r>
    </w:p>
    <w:p>
      <w:pPr>
        <w:pStyle w:val="2"/>
        <w:keepNext w:val="0"/>
        <w:keepLines w:val="0"/>
        <w:pageBreakBefore w:val="0"/>
        <w:widowControl w:val="0"/>
        <w:kinsoku/>
        <w:wordWrap/>
        <w:overflowPunct/>
        <w:topLinePunct w:val="0"/>
        <w:autoSpaceDE/>
        <w:autoSpaceDN/>
        <w:bidi w:val="0"/>
        <w:adjustRightInd/>
        <w:snapToGrid/>
        <w:spacing w:after="0" w:line="312" w:lineRule="auto"/>
        <w:ind w:left="0" w:leftChars="0"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（2）提供设备科全套日常工作表格，规范医疗设备管理；</w:t>
      </w:r>
    </w:p>
    <w:p>
      <w:pPr>
        <w:pStyle w:val="2"/>
        <w:keepNext w:val="0"/>
        <w:keepLines w:val="0"/>
        <w:pageBreakBefore w:val="0"/>
        <w:widowControl w:val="0"/>
        <w:kinsoku/>
        <w:wordWrap/>
        <w:overflowPunct/>
        <w:topLinePunct w:val="0"/>
        <w:autoSpaceDE/>
        <w:autoSpaceDN/>
        <w:bidi w:val="0"/>
        <w:adjustRightInd/>
        <w:snapToGrid/>
        <w:spacing w:after="0" w:line="312" w:lineRule="auto"/>
        <w:ind w:left="0" w:leftChars="0"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（3）提供医疗设备质量与安全管理培训课件，对全院各科室进行培训；</w:t>
      </w:r>
    </w:p>
    <w:p>
      <w:pPr>
        <w:pStyle w:val="2"/>
        <w:keepNext w:val="0"/>
        <w:keepLines w:val="0"/>
        <w:pageBreakBefore w:val="0"/>
        <w:widowControl w:val="0"/>
        <w:kinsoku/>
        <w:wordWrap/>
        <w:overflowPunct/>
        <w:topLinePunct w:val="0"/>
        <w:autoSpaceDE/>
        <w:autoSpaceDN/>
        <w:bidi w:val="0"/>
        <w:adjustRightInd/>
        <w:snapToGrid/>
        <w:spacing w:after="0" w:line="312" w:lineRule="auto"/>
        <w:ind w:left="0" w:leftChars="0"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（4）提供应急演练脚本，协助医院进行医疗设备应急演练。</w:t>
      </w:r>
    </w:p>
    <w:p>
      <w:pPr>
        <w:keepNext w:val="0"/>
        <w:keepLines w:val="0"/>
        <w:pageBreakBefore w:val="0"/>
        <w:widowControl/>
        <w:kinsoku/>
        <w:wordWrap/>
        <w:overflowPunct/>
        <w:topLinePunct w:val="0"/>
        <w:bidi w:val="0"/>
        <w:adjustRightInd/>
        <w:snapToGrid/>
        <w:spacing w:line="312" w:lineRule="auto"/>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 xml:space="preserve"> </w:t>
      </w:r>
      <w:r>
        <w:rPr>
          <w:rFonts w:hint="default" w:ascii="Arial" w:hAnsi="Arial" w:eastAsia="宋体" w:cs="Arial"/>
          <w:sz w:val="21"/>
          <w:szCs w:val="21"/>
          <w:highlight w:val="none"/>
          <w:lang w:val="en-US" w:eastAsia="zh-CN"/>
        </w:rPr>
        <w:t xml:space="preserve">  </w:t>
      </w:r>
      <w:r>
        <w:rPr>
          <w:rFonts w:hint="default" w:ascii="Arial" w:hAnsi="Arial" w:eastAsia="宋体" w:cs="Arial"/>
          <w:b/>
          <w:bCs/>
          <w:sz w:val="21"/>
          <w:szCs w:val="21"/>
          <w:highlight w:val="none"/>
          <w:lang w:val="en-US" w:eastAsia="zh-CN"/>
        </w:rPr>
        <w:t xml:space="preserve"> 3.</w:t>
      </w:r>
      <w:r>
        <w:rPr>
          <w:rFonts w:hint="default" w:ascii="Arial" w:hAnsi="Arial" w:eastAsia="宋体" w:cs="Arial"/>
          <w:b/>
          <w:bCs/>
          <w:sz w:val="21"/>
          <w:szCs w:val="21"/>
          <w:highlight w:val="none"/>
        </w:rPr>
        <w:t>派驻人员要求</w:t>
      </w:r>
    </w:p>
    <w:p>
      <w:pPr>
        <w:keepNext w:val="0"/>
        <w:keepLines w:val="0"/>
        <w:pageBreakBefore w:val="0"/>
        <w:widowControl/>
        <w:kinsoku/>
        <w:wordWrap/>
        <w:overflowPunct/>
        <w:topLinePunct w:val="0"/>
        <w:bidi w:val="0"/>
        <w:adjustRightInd/>
        <w:snapToGrid/>
        <w:spacing w:line="312" w:lineRule="auto"/>
        <w:ind w:firstLine="420" w:firstLineChars="200"/>
        <w:jc w:val="left"/>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3.1</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围绕</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设备维护服务所聘用的工作人员必须身体健康、遵纪守法、无不良行为倾向，在上岗前须进行安全教育和与岗位相关的业务技能培训。</w:t>
      </w:r>
    </w:p>
    <w:p>
      <w:pPr>
        <w:keepNext w:val="0"/>
        <w:keepLines w:val="0"/>
        <w:pageBreakBefore w:val="0"/>
        <w:widowControl/>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3.2</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为</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提供符合项目服务要求的场地及相关配套的水电网络设施，</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在</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单位（含分院）设立驻场服务中心，提供不少于11名驻场工程师，实行7*24小时维保值守。接收</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的3名工程师，由</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统一管理，统一进行绩效考核，并承担3名接收人员</w:t>
      </w:r>
      <w:r>
        <w:rPr>
          <w:rFonts w:hint="default" w:ascii="Arial" w:hAnsi="Arial" w:eastAsia="宋体" w:cs="Arial"/>
          <w:color w:val="000000"/>
          <w:sz w:val="21"/>
          <w:szCs w:val="21"/>
          <w:highlight w:val="none"/>
        </w:rPr>
        <w:t>绩效工资</w:t>
      </w:r>
      <w:r>
        <w:rPr>
          <w:rFonts w:hint="default" w:ascii="Arial" w:hAnsi="Arial" w:eastAsia="宋体" w:cs="Arial"/>
          <w:sz w:val="21"/>
          <w:szCs w:val="21"/>
          <w:highlight w:val="none"/>
        </w:rPr>
        <w:t>。其后根据实际维修的工作量以及服务期间新增服务设备的数量及医院实际需求情况，</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应按照</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要求随时增减驻场工程师。</w:t>
      </w:r>
    </w:p>
    <w:p>
      <w:pPr>
        <w:keepNext w:val="0"/>
        <w:keepLines w:val="0"/>
        <w:pageBreakBefore w:val="0"/>
        <w:widowControl/>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lang w:eastAsia="zh-CN"/>
        </w:rPr>
      </w:pPr>
      <w:r>
        <w:rPr>
          <w:rFonts w:hint="default" w:ascii="Arial" w:hAnsi="Arial" w:eastAsia="宋体" w:cs="Arial"/>
          <w:sz w:val="21"/>
          <w:szCs w:val="21"/>
          <w:highlight w:val="none"/>
          <w:lang w:val="en-US" w:eastAsia="zh-CN"/>
        </w:rPr>
        <w:t>3.3</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需</w:t>
      </w:r>
      <w:r>
        <w:rPr>
          <w:rFonts w:hint="default" w:ascii="Arial" w:hAnsi="Arial" w:eastAsia="宋体" w:cs="Arial"/>
          <w:sz w:val="21"/>
          <w:szCs w:val="21"/>
          <w:highlight w:val="none"/>
          <w:lang w:val="en-US" w:eastAsia="zh-CN"/>
        </w:rPr>
        <w:t>向</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提交驻场维护人员医疗设备维修保养能力的证明文件</w:t>
      </w:r>
      <w:r>
        <w:rPr>
          <w:rFonts w:hint="default" w:ascii="Arial" w:hAnsi="Arial" w:eastAsia="宋体" w:cs="Arial"/>
          <w:color w:val="000000"/>
          <w:sz w:val="21"/>
          <w:szCs w:val="21"/>
          <w:highlight w:val="none"/>
          <w:lang w:val="en-US" w:eastAsia="zh-CN"/>
        </w:rPr>
        <w:t>以及在职证明</w:t>
      </w:r>
      <w:r>
        <w:rPr>
          <w:rFonts w:hint="default" w:ascii="Arial" w:hAnsi="Arial" w:eastAsia="宋体" w:cs="Arial"/>
          <w:sz w:val="21"/>
          <w:szCs w:val="21"/>
          <w:highlight w:val="none"/>
        </w:rPr>
        <w:t>供</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备案。</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3.4</w:t>
      </w:r>
      <w:r>
        <w:rPr>
          <w:rFonts w:hint="default" w:ascii="Arial" w:hAnsi="Arial" w:eastAsia="宋体" w:cs="Arial"/>
          <w:sz w:val="21"/>
          <w:szCs w:val="21"/>
          <w:highlight w:val="none"/>
        </w:rPr>
        <w:t>高压氧舱系统专职驻守维护人员（至少提供1名）应符合特种设备操作维护人员的资质要求。设备盘点及固定资产处置文员（至少提供1名）应拥有会计或管理相关专业资质要求。</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3.5</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需根据</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的管理模式及管理要求，制定各种管理制度、操作规程及其他有关规定，须报</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审定备案后方可实施。</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3.6</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应按照国家相关规定建立规范化的医疗设备管理档案（含电子档案与纸质档案）。</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3.7</w:t>
      </w:r>
      <w:r>
        <w:rPr>
          <w:rFonts w:hint="default" w:ascii="Arial" w:hAnsi="Arial" w:eastAsia="宋体" w:cs="Arial"/>
          <w:sz w:val="21"/>
          <w:szCs w:val="21"/>
          <w:highlight w:val="none"/>
        </w:rPr>
        <w:t>所有维修、维护、保养、检测、培训等内容均应有详实的记录。</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3.8</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每月向</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设备管理部门递交设备维护维修状况分析报表。</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3.9</w:t>
      </w:r>
      <w:r>
        <w:rPr>
          <w:rFonts w:hint="default" w:ascii="Arial" w:hAnsi="Arial" w:eastAsia="宋体" w:cs="Arial"/>
          <w:sz w:val="21"/>
          <w:szCs w:val="21"/>
          <w:highlight w:val="none"/>
        </w:rPr>
        <w:t>配合</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现有作息制度，建立维修工程师夜间、双休日、节假日值班制度并执行。</w:t>
      </w:r>
    </w:p>
    <w:p>
      <w:pPr>
        <w:keepNext w:val="0"/>
        <w:keepLines w:val="0"/>
        <w:pageBreakBefore w:val="0"/>
        <w:tabs>
          <w:tab w:val="left" w:pos="9639"/>
        </w:tabs>
        <w:kinsoku/>
        <w:wordWrap/>
        <w:overflowPunct/>
        <w:topLinePunct w:val="0"/>
        <w:bidi w:val="0"/>
        <w:adjustRightInd/>
        <w:snapToGrid/>
        <w:spacing w:line="312" w:lineRule="auto"/>
        <w:ind w:firstLine="422" w:firstLineChars="200"/>
        <w:textAlignment w:val="auto"/>
        <w:rPr>
          <w:rFonts w:hint="default" w:ascii="Arial" w:hAnsi="Arial" w:eastAsia="宋体" w:cs="Arial"/>
          <w:sz w:val="21"/>
          <w:szCs w:val="21"/>
          <w:highlight w:val="none"/>
        </w:rPr>
      </w:pPr>
      <w:r>
        <w:rPr>
          <w:rFonts w:hint="default" w:ascii="Arial" w:hAnsi="Arial" w:eastAsia="宋体" w:cs="Arial"/>
          <w:b/>
          <w:bCs/>
          <w:sz w:val="21"/>
          <w:szCs w:val="21"/>
          <w:highlight w:val="none"/>
          <w:lang w:val="en-US" w:eastAsia="zh-CN"/>
        </w:rPr>
        <w:t>4.</w:t>
      </w:r>
      <w:r>
        <w:rPr>
          <w:rFonts w:hint="default" w:ascii="Arial" w:hAnsi="Arial" w:eastAsia="宋体" w:cs="Arial"/>
          <w:b/>
          <w:bCs/>
          <w:sz w:val="21"/>
          <w:szCs w:val="21"/>
          <w:highlight w:val="none"/>
        </w:rPr>
        <w:t>预防性维护</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4.1</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合同期内应根据项目情况提供免费的维护、耗件更换等服务，保证设备达到、符合原厂合格标准及相应的国家质量标准的要求。</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4.2</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应为</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提供</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Ⅰ类、Ⅱ类、Ⅲ类设备每年不少于4次的保养和清洁，每年不少于两次全面的原厂标准和规定的预防性维修保养工作，提供维护保养报告。预防性维修保养应包含但不限于以下内容：</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4.2.1</w:t>
      </w:r>
      <w:r>
        <w:rPr>
          <w:rFonts w:hint="default" w:ascii="Arial" w:hAnsi="Arial" w:eastAsia="宋体" w:cs="Arial"/>
          <w:sz w:val="21"/>
          <w:szCs w:val="21"/>
          <w:highlight w:val="none"/>
        </w:rPr>
        <w:t>外观检查: 检查仪器各按钮、开关、接头插座有无松动及错位，插头插座的接触有无氧化、生锈或接触不良，电源线是否老化，散热排风是否正常，各种接地的连接和管道的连接是否良好。</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4.2.2</w:t>
      </w:r>
      <w:r>
        <w:rPr>
          <w:rFonts w:hint="default" w:ascii="Arial" w:hAnsi="Arial" w:eastAsia="宋体" w:cs="Arial"/>
          <w:sz w:val="21"/>
          <w:szCs w:val="21"/>
          <w:highlight w:val="none"/>
        </w:rPr>
        <w:t>清洁保养: 对仪器表面与内部电气部分、机械部分进行清洁，包括清洗过滤网、有关管道、机身、电路板、键盘等，对仪器有关插头插座进行清洁, 防止接触不良, 对必要的机械部分进行加油润滑。</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4.2.3</w:t>
      </w:r>
      <w:r>
        <w:rPr>
          <w:rFonts w:hint="default" w:ascii="Arial" w:hAnsi="Arial" w:eastAsia="宋体" w:cs="Arial"/>
          <w:sz w:val="21"/>
          <w:szCs w:val="21"/>
          <w:highlight w:val="none"/>
        </w:rPr>
        <w:t>更换易损件: 对已达到使用寿命及性能下降，不合要求的元器件或使用说明书中规定的要求定期更换的备件要进行及时地更换，预防可能发生的故障扩大或造成整机故障。</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4.2.4</w:t>
      </w:r>
      <w:r>
        <w:rPr>
          <w:rFonts w:hint="default" w:ascii="Arial" w:hAnsi="Arial" w:eastAsia="宋体" w:cs="Arial"/>
          <w:sz w:val="21"/>
          <w:szCs w:val="21"/>
          <w:highlight w:val="none"/>
        </w:rPr>
        <w:t>功能检查：开机检查各指示灯、指示器是否正常，通过调节、设置各个开关和按钮，进入各功能设置，以检查设备的各功能模块是否正常。通过模拟测试，检查设备各项报警功能是否正常。校对和调整设备的各种合格标准参数，保证完好使用率。</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4.2.5</w:t>
      </w:r>
      <w:r>
        <w:rPr>
          <w:rFonts w:hint="default" w:ascii="Arial" w:hAnsi="Arial" w:eastAsia="宋体" w:cs="Arial"/>
          <w:sz w:val="21"/>
          <w:szCs w:val="21"/>
          <w:highlight w:val="none"/>
        </w:rPr>
        <w:t>性能测试校准：测试各直流电源的稳压值、电路中要测试点电压值或波形并根据说明书的要求进行必要的校准和调整，以保证仪器各项技术指标达到标准，确保仪器在医疗诊断与治疗中的质量。</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4.2.6</w:t>
      </w:r>
      <w:r>
        <w:rPr>
          <w:rFonts w:hint="default" w:ascii="Arial" w:hAnsi="Arial" w:eastAsia="宋体" w:cs="Arial"/>
          <w:sz w:val="21"/>
          <w:szCs w:val="21"/>
          <w:highlight w:val="none"/>
        </w:rPr>
        <w:t>安全检查：</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1</w:t>
      </w: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rPr>
        <w:t>电气安全检查: 检查各种引线、插头、连接器等有无破损，接地线是否牢靠，接地电阻和漏电电流是否在允许限度内。</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2</w:t>
      </w: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rPr>
        <w:t>机械检查：检查机架是否牢固，机械运转是否正常，各连接备件有无松动、脱落或破裂现象。</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4.3</w:t>
      </w:r>
      <w:r>
        <w:rPr>
          <w:rFonts w:hint="default" w:ascii="Arial" w:hAnsi="Arial" w:eastAsia="宋体" w:cs="Arial"/>
          <w:sz w:val="21"/>
          <w:szCs w:val="21"/>
          <w:highlight w:val="none"/>
        </w:rPr>
        <w:t>医疗设备巡检要求</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需开展设备巡检工作，巡检周期每月不少于1次，</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应编制各科室医疗设备巡检计划，经医院设备主管部门审核后，按计划对</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的医疗设备进行巡检保养。对不符合设备正常运行或有可能造成医疗安全隐患的设备，出具书面的解决改进方案并按时执行，保证设备性能、备件的完好性。每次服务需详细记录，并提交原始资料给</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设备管理部门备案，所有数据需采集至设备管理系统。</w:t>
      </w:r>
    </w:p>
    <w:p>
      <w:pPr>
        <w:keepNext w:val="0"/>
        <w:keepLines w:val="0"/>
        <w:pageBreakBefore w:val="0"/>
        <w:tabs>
          <w:tab w:val="left" w:pos="9639"/>
        </w:tabs>
        <w:kinsoku/>
        <w:wordWrap/>
        <w:overflowPunct/>
        <w:topLinePunct w:val="0"/>
        <w:bidi w:val="0"/>
        <w:adjustRightInd/>
        <w:snapToGrid/>
        <w:spacing w:line="312" w:lineRule="auto"/>
        <w:ind w:left="0" w:leftChars="0" w:firstLine="367" w:firstLineChars="175"/>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4.3.1</w:t>
      </w:r>
      <w:r>
        <w:rPr>
          <w:rFonts w:hint="default" w:ascii="Arial" w:hAnsi="Arial" w:eastAsia="宋体" w:cs="Arial"/>
          <w:sz w:val="21"/>
          <w:szCs w:val="21"/>
          <w:highlight w:val="none"/>
        </w:rPr>
        <w:t>检查医疗设备及其配套设备使用环境是否符合要求，是否存在危及医疗设备安全的潜在因素。</w:t>
      </w:r>
    </w:p>
    <w:p>
      <w:pPr>
        <w:keepNext w:val="0"/>
        <w:keepLines w:val="0"/>
        <w:pageBreakBefore w:val="0"/>
        <w:tabs>
          <w:tab w:val="left" w:pos="9639"/>
        </w:tabs>
        <w:kinsoku/>
        <w:wordWrap/>
        <w:overflowPunct/>
        <w:topLinePunct w:val="0"/>
        <w:bidi w:val="0"/>
        <w:adjustRightInd/>
        <w:snapToGrid/>
        <w:spacing w:line="312" w:lineRule="auto"/>
        <w:ind w:left="0" w:leftChars="0" w:firstLine="367" w:firstLineChars="175"/>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4.3.2</w:t>
      </w:r>
      <w:r>
        <w:rPr>
          <w:rFonts w:hint="default" w:ascii="Arial" w:hAnsi="Arial" w:eastAsia="宋体" w:cs="Arial"/>
          <w:sz w:val="21"/>
          <w:szCs w:val="21"/>
          <w:highlight w:val="none"/>
        </w:rPr>
        <w:t>检查医疗设备功能参数是否正常，备件是否齐全，备件状态是否符合安全要求。</w:t>
      </w:r>
    </w:p>
    <w:p>
      <w:pPr>
        <w:keepNext w:val="0"/>
        <w:keepLines w:val="0"/>
        <w:pageBreakBefore w:val="0"/>
        <w:tabs>
          <w:tab w:val="left" w:pos="9639"/>
        </w:tabs>
        <w:kinsoku/>
        <w:wordWrap/>
        <w:overflowPunct/>
        <w:topLinePunct w:val="0"/>
        <w:bidi w:val="0"/>
        <w:adjustRightInd/>
        <w:snapToGrid/>
        <w:spacing w:line="312" w:lineRule="auto"/>
        <w:ind w:left="0" w:leftChars="0" w:firstLine="367" w:firstLineChars="175"/>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4.3.3</w:t>
      </w:r>
      <w:r>
        <w:rPr>
          <w:rFonts w:hint="default" w:ascii="Arial" w:hAnsi="Arial" w:eastAsia="宋体" w:cs="Arial"/>
          <w:sz w:val="21"/>
          <w:szCs w:val="21"/>
          <w:highlight w:val="none"/>
        </w:rPr>
        <w:t>检查使用科室设备的使用记录，并在使用记录上签名。</w:t>
      </w:r>
    </w:p>
    <w:p>
      <w:pPr>
        <w:keepNext w:val="0"/>
        <w:keepLines w:val="0"/>
        <w:pageBreakBefore w:val="0"/>
        <w:tabs>
          <w:tab w:val="left" w:pos="9639"/>
        </w:tabs>
        <w:kinsoku/>
        <w:wordWrap/>
        <w:overflowPunct/>
        <w:topLinePunct w:val="0"/>
        <w:bidi w:val="0"/>
        <w:adjustRightInd/>
        <w:snapToGrid/>
        <w:spacing w:line="312" w:lineRule="auto"/>
        <w:ind w:left="0" w:leftChars="0" w:firstLine="367" w:firstLineChars="175"/>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3.4 检查设备各类标签，确保标签有效齐全并有效。</w:t>
      </w:r>
    </w:p>
    <w:p>
      <w:pPr>
        <w:keepNext w:val="0"/>
        <w:keepLines w:val="0"/>
        <w:pageBreakBefore w:val="0"/>
        <w:tabs>
          <w:tab w:val="left" w:pos="9639"/>
        </w:tabs>
        <w:kinsoku/>
        <w:wordWrap/>
        <w:overflowPunct/>
        <w:topLinePunct w:val="0"/>
        <w:bidi w:val="0"/>
        <w:adjustRightInd/>
        <w:snapToGrid/>
        <w:spacing w:line="312" w:lineRule="auto"/>
        <w:ind w:left="0" w:leftChars="0" w:firstLine="367" w:firstLineChars="175"/>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3.5 巡检时，对设备的使用做出评估，听取使用科室的建议与要求，并做好记录。</w:t>
      </w:r>
    </w:p>
    <w:p>
      <w:pPr>
        <w:keepNext w:val="0"/>
        <w:keepLines w:val="0"/>
        <w:pageBreakBefore w:val="0"/>
        <w:tabs>
          <w:tab w:val="left" w:pos="9639"/>
        </w:tabs>
        <w:kinsoku/>
        <w:wordWrap/>
        <w:overflowPunct/>
        <w:topLinePunct w:val="0"/>
        <w:bidi w:val="0"/>
        <w:adjustRightInd/>
        <w:snapToGrid/>
        <w:spacing w:line="312" w:lineRule="auto"/>
        <w:ind w:left="0" w:leftChars="0" w:firstLine="367" w:firstLineChars="175"/>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3.6 巡检结束后巡检记录需要使用科室签字认可。</w:t>
      </w:r>
    </w:p>
    <w:p>
      <w:pPr>
        <w:keepNext w:val="0"/>
        <w:keepLines w:val="0"/>
        <w:pageBreakBefore w:val="0"/>
        <w:tabs>
          <w:tab w:val="left" w:pos="9639"/>
        </w:tabs>
        <w:kinsoku/>
        <w:wordWrap/>
        <w:overflowPunct/>
        <w:topLinePunct w:val="0"/>
        <w:bidi w:val="0"/>
        <w:adjustRightInd/>
        <w:snapToGrid/>
        <w:spacing w:line="312" w:lineRule="auto"/>
        <w:ind w:left="0" w:leftChars="0" w:firstLine="367" w:firstLineChars="175"/>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3.7 特种设备巡检，如灭菌器、锅炉、液氧储槽、压力管道等按特种设备管理要求，并做好记录。</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w:t>
      </w: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重要设备、重要科室专人管理。医疗设备日常保养管理。安排专职人员对医院的医疗设备进行预防性维护及清理工作，提升医疗设备使用年限。</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4.5</w:t>
      </w:r>
      <w:r>
        <w:rPr>
          <w:rFonts w:hint="default" w:ascii="Arial" w:hAnsi="Arial" w:eastAsia="宋体" w:cs="Arial"/>
          <w:sz w:val="21"/>
          <w:szCs w:val="21"/>
          <w:highlight w:val="none"/>
        </w:rPr>
        <w:t>设备正常开机率</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维保服务期内，保证设备年度开机正常使用率达到95%（按365天/年计，不含</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原因造成的延误天数）。若未达到此标准，维保方应承诺作出补偿，按2倍日期延长该设备的维保服务期限，或承诺接受医院的损失考核处理。</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4.6</w:t>
      </w:r>
      <w:r>
        <w:rPr>
          <w:rFonts w:hint="default" w:ascii="Arial" w:hAnsi="Arial" w:eastAsia="宋体" w:cs="Arial"/>
          <w:sz w:val="21"/>
          <w:szCs w:val="21"/>
          <w:highlight w:val="none"/>
        </w:rPr>
        <w:t>设备维护保养要求</w:t>
      </w:r>
    </w:p>
    <w:p>
      <w:pPr>
        <w:keepNext w:val="0"/>
        <w:keepLines w:val="0"/>
        <w:pageBreakBefore w:val="0"/>
        <w:tabs>
          <w:tab w:val="left" w:pos="9639"/>
        </w:tabs>
        <w:kinsoku/>
        <w:wordWrap/>
        <w:overflowPunct/>
        <w:topLinePunct w:val="0"/>
        <w:bidi w:val="0"/>
        <w:adjustRightInd/>
        <w:snapToGrid/>
        <w:spacing w:line="312" w:lineRule="auto"/>
        <w:ind w:left="0" w:leftChars="0" w:firstLine="401" w:firstLineChars="191"/>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6.1 全天候365天*24小时提供服务。</w:t>
      </w:r>
    </w:p>
    <w:p>
      <w:pPr>
        <w:keepNext w:val="0"/>
        <w:keepLines w:val="0"/>
        <w:pageBreakBefore w:val="0"/>
        <w:tabs>
          <w:tab w:val="left" w:pos="9639"/>
        </w:tabs>
        <w:kinsoku/>
        <w:wordWrap/>
        <w:overflowPunct/>
        <w:topLinePunct w:val="0"/>
        <w:bidi w:val="0"/>
        <w:adjustRightInd/>
        <w:snapToGrid/>
        <w:spacing w:line="312" w:lineRule="auto"/>
        <w:ind w:left="0" w:leftChars="0" w:firstLine="401" w:firstLineChars="191"/>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6.2 急救类设备紧急故障报修，驻场工程师必须15分钟以内到达现场处理；一般设备故障报修，法定工作时间内，30分钟以内到达维修现场；法定工作时间外，1小时到达维修现场。</w:t>
      </w:r>
    </w:p>
    <w:p>
      <w:pPr>
        <w:keepNext w:val="0"/>
        <w:keepLines w:val="0"/>
        <w:pageBreakBefore w:val="0"/>
        <w:tabs>
          <w:tab w:val="left" w:pos="9639"/>
        </w:tabs>
        <w:kinsoku/>
        <w:wordWrap/>
        <w:overflowPunct/>
        <w:topLinePunct w:val="0"/>
        <w:bidi w:val="0"/>
        <w:adjustRightInd/>
        <w:snapToGrid/>
        <w:spacing w:line="312" w:lineRule="auto"/>
        <w:ind w:left="0" w:leftChars="0" w:firstLine="384" w:firstLineChars="183"/>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6.3 维修质量及时效</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1</w:t>
      </w: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rPr>
        <w:t>需保证设备维修的质量及时效性。同一设备、同一故障短期内连续进行两次维修，该设备则按</w:t>
      </w:r>
      <w:r>
        <w:rPr>
          <w:rFonts w:hint="default" w:ascii="Arial" w:hAnsi="Arial" w:eastAsia="宋体" w:cs="Arial"/>
          <w:sz w:val="21"/>
          <w:szCs w:val="21"/>
          <w:highlight w:val="none"/>
          <w:lang w:val="en-US" w:eastAsia="zh-CN"/>
        </w:rPr>
        <w:t>甲方</w:t>
      </w:r>
      <w:r>
        <w:rPr>
          <w:rFonts w:hint="default" w:ascii="Arial" w:hAnsi="Arial" w:eastAsia="宋体" w:cs="Arial"/>
          <w:color w:val="auto"/>
          <w:sz w:val="21"/>
          <w:szCs w:val="21"/>
          <w:highlight w:val="none"/>
        </w:rPr>
        <w:t>要求送至</w:t>
      </w:r>
      <w:r>
        <w:rPr>
          <w:rFonts w:hint="default" w:ascii="Arial" w:hAnsi="Arial" w:eastAsia="宋体" w:cs="Arial"/>
          <w:color w:val="auto"/>
          <w:sz w:val="21"/>
          <w:szCs w:val="21"/>
          <w:highlight w:val="none"/>
          <w:lang w:val="en-US" w:eastAsia="zh-CN"/>
        </w:rPr>
        <w:t>甲方</w:t>
      </w:r>
      <w:r>
        <w:rPr>
          <w:rFonts w:hint="default" w:ascii="Arial" w:hAnsi="Arial" w:eastAsia="宋体" w:cs="Arial"/>
          <w:color w:val="auto"/>
          <w:sz w:val="21"/>
          <w:szCs w:val="21"/>
          <w:highlight w:val="none"/>
        </w:rPr>
        <w:t>指定厂家或第三方维修，所需维修费由</w:t>
      </w:r>
      <w:r>
        <w:rPr>
          <w:rFonts w:hint="default" w:ascii="Arial" w:hAnsi="Arial" w:eastAsia="宋体" w:cs="Arial"/>
          <w:color w:val="auto"/>
          <w:sz w:val="21"/>
          <w:szCs w:val="21"/>
          <w:highlight w:val="none"/>
          <w:lang w:val="en-US" w:eastAsia="zh-CN"/>
        </w:rPr>
        <w:t>乙方</w:t>
      </w:r>
      <w:r>
        <w:rPr>
          <w:rFonts w:hint="default" w:ascii="Arial" w:hAnsi="Arial" w:eastAsia="宋体" w:cs="Arial"/>
          <w:color w:val="auto"/>
          <w:sz w:val="21"/>
          <w:szCs w:val="21"/>
          <w:highlight w:val="none"/>
        </w:rPr>
        <w:t>承担。</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2</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所有医疗设备及其配套设备更换的备件必须是符合原厂要求，可溯源的合格备件。</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常规备件到场时间48小时内，特殊情况不超过96小时完成维修。</w:t>
      </w:r>
      <w:r>
        <w:rPr>
          <w:rFonts w:hint="default" w:ascii="Arial" w:hAnsi="Arial" w:eastAsia="宋体" w:cs="Arial"/>
          <w:bCs/>
          <w:color w:val="auto"/>
          <w:sz w:val="21"/>
          <w:szCs w:val="21"/>
          <w:highlight w:val="none"/>
        </w:rPr>
        <w:t>若三天仍无法修复</w:t>
      </w:r>
      <w:r>
        <w:rPr>
          <w:rFonts w:hint="default" w:ascii="Arial" w:hAnsi="Arial" w:eastAsia="宋体" w:cs="Arial"/>
          <w:color w:val="auto"/>
          <w:sz w:val="21"/>
          <w:szCs w:val="21"/>
          <w:highlight w:val="none"/>
        </w:rPr>
        <w:t>，</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color w:val="auto"/>
          <w:sz w:val="21"/>
          <w:szCs w:val="21"/>
          <w:highlight w:val="none"/>
        </w:rPr>
        <w:t>有权聘请设备厂家技术人员或专业技术人员进行解决，所发生费用全部由维保单位承担。</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评估及报废处理原则。对使用多年或已经停产、厂家或第三方均无法提供备件、</w:t>
      </w:r>
      <w:r>
        <w:rPr>
          <w:rFonts w:hint="default" w:ascii="Arial" w:hAnsi="Arial" w:eastAsia="宋体" w:cs="Arial"/>
          <w:color w:val="auto"/>
          <w:sz w:val="21"/>
          <w:szCs w:val="21"/>
          <w:highlight w:val="none"/>
          <w:lang w:val="en-US" w:eastAsia="zh-CN"/>
        </w:rPr>
        <w:t>乙方</w:t>
      </w:r>
      <w:r>
        <w:rPr>
          <w:rFonts w:hint="default" w:ascii="Arial" w:hAnsi="Arial" w:eastAsia="宋体" w:cs="Arial"/>
          <w:color w:val="auto"/>
          <w:sz w:val="21"/>
          <w:szCs w:val="21"/>
          <w:highlight w:val="none"/>
        </w:rPr>
        <w:t>无法修复的</w:t>
      </w:r>
      <w:r>
        <w:rPr>
          <w:rFonts w:hint="default" w:ascii="Arial" w:hAnsi="Arial" w:eastAsia="宋体" w:cs="Arial"/>
          <w:sz w:val="21"/>
          <w:szCs w:val="21"/>
          <w:highlight w:val="none"/>
        </w:rPr>
        <w:t>设备，</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需提交纸质申请，由</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设备管理部门查正同意后，方可办理报废。</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4.7</w:t>
      </w:r>
      <w:r>
        <w:rPr>
          <w:rFonts w:hint="default" w:ascii="Arial" w:hAnsi="Arial" w:eastAsia="宋体" w:cs="Arial"/>
          <w:sz w:val="21"/>
          <w:szCs w:val="21"/>
          <w:highlight w:val="none"/>
        </w:rPr>
        <w:t>备件要求</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 xml:space="preserve">7.1 </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应具备取得设备厂家零配件的合法渠道；且其提供的放射设备核心备件必须是符合国家相关规范要求的合格全新产品。</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7.2 按设备存量情况，须库存一定数量的备件在</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单位内，备件的管理人为</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4.8</w:t>
      </w:r>
      <w:r>
        <w:rPr>
          <w:rFonts w:hint="default" w:ascii="Arial" w:hAnsi="Arial" w:eastAsia="宋体" w:cs="Arial"/>
          <w:sz w:val="21"/>
          <w:szCs w:val="21"/>
          <w:highlight w:val="none"/>
        </w:rPr>
        <w:t>医疗设备质控</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8.1 安装验收质控</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1</w:t>
      </w: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rPr>
        <w:t>须按</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要求协助院方做好医疗设备安装、验收工作。</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2</w:t>
      </w: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rPr>
        <w:t>验收工作包含但不限于含设备配置清点、安装调试、计量验收、功能验收。医疗设备投入使用前，保证设备技术参数与国家规定及行业规定的标准一致，符合技术规范与规程要求等。</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w:t>
      </w:r>
      <w:r>
        <w:rPr>
          <w:rFonts w:hint="default" w:ascii="Arial" w:hAnsi="Arial" w:eastAsia="宋体" w:cs="Arial"/>
          <w:sz w:val="21"/>
          <w:szCs w:val="21"/>
          <w:highlight w:val="none"/>
        </w:rPr>
        <w:t>8.2 使用与维修质控</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1</w:t>
      </w:r>
      <w:r>
        <w:rPr>
          <w:rFonts w:hint="default" w:ascii="Arial" w:hAnsi="Arial" w:eastAsia="宋体" w:cs="Arial"/>
          <w:sz w:val="21"/>
          <w:szCs w:val="21"/>
          <w:highlight w:val="none"/>
          <w:lang w:eastAsia="zh-CN"/>
        </w:rPr>
        <w:t>）</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需定期为操作人员和维修人员提供专业的设备应用及维护培训，实施操作人员上岗考核制度，经过考核且达标的人员才能操作。</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sz w:val="21"/>
          <w:szCs w:val="21"/>
          <w:highlight w:val="none"/>
          <w:lang w:eastAsia="zh-CN"/>
        </w:rPr>
        <w:t>（</w:t>
      </w:r>
      <w:r>
        <w:rPr>
          <w:rFonts w:hint="default" w:ascii="Arial" w:hAnsi="Arial" w:eastAsia="宋体" w:cs="Arial"/>
          <w:sz w:val="21"/>
          <w:szCs w:val="21"/>
          <w:highlight w:val="none"/>
          <w:lang w:val="en-US" w:eastAsia="zh-CN"/>
        </w:rPr>
        <w:t>2</w:t>
      </w:r>
      <w:r>
        <w:rPr>
          <w:rFonts w:hint="default" w:ascii="Arial" w:hAnsi="Arial" w:eastAsia="宋体" w:cs="Arial"/>
          <w:sz w:val="21"/>
          <w:szCs w:val="21"/>
          <w:highlight w:val="none"/>
          <w:lang w:eastAsia="zh-CN"/>
        </w:rPr>
        <w:t>）</w:t>
      </w:r>
      <w:r>
        <w:rPr>
          <w:rFonts w:hint="default" w:ascii="Arial" w:hAnsi="Arial" w:eastAsia="宋体" w:cs="Arial"/>
          <w:color w:val="auto"/>
          <w:spacing w:val="0"/>
          <w:sz w:val="21"/>
          <w:szCs w:val="21"/>
          <w:highlight w:val="none"/>
        </w:rPr>
        <w:t>乙方</w:t>
      </w:r>
      <w:r>
        <w:rPr>
          <w:rFonts w:hint="default" w:ascii="Arial" w:hAnsi="Arial" w:eastAsia="宋体" w:cs="Arial"/>
          <w:sz w:val="21"/>
          <w:szCs w:val="21"/>
          <w:highlight w:val="none"/>
        </w:rPr>
        <w:t>需要为</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sz w:val="21"/>
          <w:szCs w:val="21"/>
          <w:highlight w:val="none"/>
        </w:rPr>
        <w:t>编制</w:t>
      </w:r>
      <w:r>
        <w:rPr>
          <w:rFonts w:hint="default" w:ascii="Arial" w:hAnsi="Arial" w:eastAsia="宋体" w:cs="Arial"/>
          <w:color w:val="auto"/>
          <w:sz w:val="21"/>
          <w:szCs w:val="21"/>
          <w:highlight w:val="none"/>
        </w:rPr>
        <w:t>并为科室提供纸质版医疗设备标准操作流</w:t>
      </w:r>
      <w:r>
        <w:rPr>
          <w:rFonts w:hint="default" w:ascii="Arial" w:hAnsi="Arial" w:eastAsia="宋体" w:cs="Arial"/>
          <w:color w:val="auto"/>
          <w:spacing w:val="-6"/>
          <w:sz w:val="21"/>
          <w:szCs w:val="21"/>
          <w:highlight w:val="none"/>
        </w:rPr>
        <w:t>程、维修保养流程、标准操作流程卡和使用状态卡，所需费用由</w:t>
      </w:r>
      <w:r>
        <w:rPr>
          <w:rFonts w:hint="default" w:ascii="Arial" w:hAnsi="Arial" w:eastAsia="宋体" w:cs="Arial"/>
          <w:color w:val="auto"/>
          <w:spacing w:val="-6"/>
          <w:sz w:val="21"/>
          <w:szCs w:val="21"/>
          <w:highlight w:val="none"/>
          <w:lang w:val="en-US" w:eastAsia="zh-CN"/>
        </w:rPr>
        <w:t>乙方</w:t>
      </w:r>
      <w:r>
        <w:rPr>
          <w:rFonts w:hint="default" w:ascii="Arial" w:hAnsi="Arial" w:eastAsia="宋体" w:cs="Arial"/>
          <w:color w:val="auto"/>
          <w:spacing w:val="-6"/>
          <w:sz w:val="21"/>
          <w:szCs w:val="21"/>
          <w:highlight w:val="none"/>
        </w:rPr>
        <w:t>支付。</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3</w:t>
      </w:r>
      <w:r>
        <w:rPr>
          <w:rFonts w:hint="default" w:ascii="Arial" w:hAnsi="Arial" w:eastAsia="宋体" w:cs="Arial"/>
          <w:color w:val="auto"/>
          <w:sz w:val="21"/>
          <w:szCs w:val="21"/>
          <w:highlight w:val="none"/>
          <w:lang w:eastAsia="zh-CN"/>
        </w:rPr>
        <w:t>）</w:t>
      </w:r>
      <w:r>
        <w:rPr>
          <w:rFonts w:hint="default" w:ascii="Arial" w:hAnsi="Arial" w:eastAsia="宋体" w:cs="Arial"/>
          <w:color w:val="auto"/>
          <w:spacing w:val="0"/>
          <w:sz w:val="21"/>
          <w:szCs w:val="21"/>
          <w:highlight w:val="none"/>
        </w:rPr>
        <w:t>乙方</w:t>
      </w:r>
      <w:r>
        <w:rPr>
          <w:rFonts w:hint="default" w:ascii="Arial" w:hAnsi="Arial" w:eastAsia="宋体" w:cs="Arial"/>
          <w:color w:val="auto"/>
          <w:sz w:val="21"/>
          <w:szCs w:val="21"/>
          <w:highlight w:val="none"/>
        </w:rPr>
        <w:t>需在设备修复后，对维修中必须拆机的急救类、生命支持类设备进行电气安全、性能等全面检测，以记录数据，符合技术指标要求才能投入使用。</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4</w:t>
      </w:r>
      <w:r>
        <w:rPr>
          <w:rFonts w:hint="default" w:ascii="Arial" w:hAnsi="Arial" w:eastAsia="宋体" w:cs="Arial"/>
          <w:color w:val="auto"/>
          <w:sz w:val="21"/>
          <w:szCs w:val="21"/>
          <w:highlight w:val="none"/>
          <w:lang w:eastAsia="zh-CN"/>
        </w:rPr>
        <w:t>）</w:t>
      </w:r>
      <w:r>
        <w:rPr>
          <w:rFonts w:hint="default" w:ascii="Arial" w:hAnsi="Arial" w:eastAsia="宋体" w:cs="Arial"/>
          <w:color w:val="auto"/>
          <w:spacing w:val="0"/>
          <w:sz w:val="21"/>
          <w:szCs w:val="21"/>
          <w:highlight w:val="none"/>
        </w:rPr>
        <w:t>乙方</w:t>
      </w:r>
      <w:r>
        <w:rPr>
          <w:rFonts w:hint="default" w:ascii="Arial" w:hAnsi="Arial" w:eastAsia="宋体" w:cs="Arial"/>
          <w:color w:val="auto"/>
          <w:sz w:val="21"/>
          <w:szCs w:val="21"/>
          <w:highlight w:val="none"/>
        </w:rPr>
        <w:t>需对急救类、生命支持类设备每年周期进行不少于两次的电气安全、性能等全面的检测，其中除颤仪不少于四次；每次检测，需要记录数据。</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5</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每次检测完成后，需在设备上标上质量合格标签，并写上日期与检测人员姓名。</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lang w:val="en-US" w:eastAsia="zh-CN"/>
        </w:rPr>
      </w:pP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lang w:val="en-US" w:eastAsia="zh-CN"/>
        </w:rPr>
        <w:t>6</w:t>
      </w:r>
      <w:r>
        <w:rPr>
          <w:rFonts w:hint="default" w:ascii="Arial" w:hAnsi="Arial" w:eastAsia="宋体" w:cs="Arial"/>
          <w:color w:val="auto"/>
          <w:sz w:val="21"/>
          <w:szCs w:val="21"/>
          <w:highlight w:val="none"/>
          <w:lang w:eastAsia="zh-CN"/>
        </w:rPr>
        <w:t>）</w:t>
      </w:r>
      <w:r>
        <w:rPr>
          <w:rFonts w:hint="default" w:ascii="Arial" w:hAnsi="Arial" w:eastAsia="宋体" w:cs="Arial"/>
          <w:color w:val="auto"/>
          <w:sz w:val="21"/>
          <w:szCs w:val="21"/>
          <w:highlight w:val="none"/>
        </w:rPr>
        <w:t>质量合格标签由</w:t>
      </w:r>
      <w:r>
        <w:rPr>
          <w:rFonts w:hint="default" w:ascii="Arial" w:hAnsi="Arial" w:eastAsia="宋体" w:cs="Arial"/>
          <w:color w:val="auto"/>
          <w:sz w:val="21"/>
          <w:szCs w:val="21"/>
          <w:highlight w:val="none"/>
          <w:lang w:val="en-US" w:eastAsia="zh-CN"/>
        </w:rPr>
        <w:t>乙方</w:t>
      </w:r>
      <w:r>
        <w:rPr>
          <w:rFonts w:hint="default" w:ascii="Arial" w:hAnsi="Arial" w:eastAsia="宋体" w:cs="Arial"/>
          <w:color w:val="auto"/>
          <w:sz w:val="21"/>
          <w:szCs w:val="21"/>
          <w:highlight w:val="none"/>
        </w:rPr>
        <w:t>提供。</w:t>
      </w:r>
    </w:p>
    <w:p>
      <w:pPr>
        <w:keepNext w:val="0"/>
        <w:keepLines w:val="0"/>
        <w:pageBreakBefore w:val="0"/>
        <w:tabs>
          <w:tab w:val="left" w:pos="9639"/>
        </w:tabs>
        <w:kinsoku/>
        <w:wordWrap/>
        <w:overflowPunct/>
        <w:topLinePunct w:val="0"/>
        <w:bidi w:val="0"/>
        <w:adjustRightInd/>
        <w:snapToGrid/>
        <w:spacing w:line="312" w:lineRule="auto"/>
        <w:ind w:firstLine="420" w:firstLineChars="200"/>
        <w:textAlignment w:val="auto"/>
        <w:rPr>
          <w:rFonts w:hint="default" w:ascii="Arial" w:hAnsi="Arial" w:eastAsia="宋体" w:cs="Arial"/>
          <w:sz w:val="21"/>
          <w:szCs w:val="21"/>
          <w:highlight w:val="none"/>
        </w:rPr>
      </w:pPr>
      <w:r>
        <w:rPr>
          <w:rFonts w:hint="default" w:ascii="Arial" w:hAnsi="Arial" w:eastAsia="宋体" w:cs="Arial"/>
          <w:sz w:val="21"/>
          <w:szCs w:val="21"/>
          <w:highlight w:val="none"/>
          <w:lang w:val="en-US" w:eastAsia="zh-CN"/>
        </w:rPr>
        <w:t>4.9</w:t>
      </w:r>
      <w:r>
        <w:rPr>
          <w:rFonts w:hint="default" w:ascii="Arial" w:hAnsi="Arial" w:eastAsia="宋体" w:cs="Arial"/>
          <w:sz w:val="21"/>
          <w:szCs w:val="21"/>
          <w:highlight w:val="none"/>
        </w:rPr>
        <w:t>服务管理软件</w:t>
      </w:r>
    </w:p>
    <w:p>
      <w:pPr>
        <w:keepNext w:val="0"/>
        <w:keepLines w:val="0"/>
        <w:pageBreakBefore w:val="0"/>
        <w:kinsoku/>
        <w:wordWrap/>
        <w:overflowPunct/>
        <w:topLinePunct w:val="0"/>
        <w:bidi w:val="0"/>
        <w:adjustRightInd/>
        <w:snapToGrid/>
        <w:spacing w:line="312" w:lineRule="auto"/>
        <w:ind w:firstLine="44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color w:val="000000"/>
          <w:sz w:val="21"/>
          <w:szCs w:val="21"/>
          <w:highlight w:val="none"/>
        </w:rPr>
        <w:t>现有一套医疗设备设施全生命周期管理系统软件（以下简称“原软件”），</w:t>
      </w:r>
      <w:r>
        <w:rPr>
          <w:rFonts w:hint="default" w:ascii="Arial" w:hAnsi="Arial" w:eastAsia="宋体" w:cs="Arial"/>
          <w:color w:val="auto"/>
          <w:spacing w:val="0"/>
          <w:sz w:val="21"/>
          <w:szCs w:val="21"/>
          <w:highlight w:val="none"/>
        </w:rPr>
        <w:t>乙方</w:t>
      </w:r>
      <w:r>
        <w:rPr>
          <w:rFonts w:hint="default" w:ascii="Arial" w:hAnsi="Arial" w:eastAsia="宋体" w:cs="Arial"/>
          <w:color w:val="000000"/>
          <w:sz w:val="21"/>
          <w:szCs w:val="21"/>
          <w:highlight w:val="none"/>
        </w:rPr>
        <w:t>需全面承担原软件的日常管理、运维保障、系统对接及持续性培训服务，确保医疗设备全生命周期信息化管理的稳定运行与持续优化。</w:t>
      </w:r>
    </w:p>
    <w:p>
      <w:pPr>
        <w:keepNext w:val="0"/>
        <w:keepLines w:val="0"/>
        <w:pageBreakBefore w:val="0"/>
        <w:kinsoku/>
        <w:wordWrap/>
        <w:overflowPunct/>
        <w:topLinePunct w:val="0"/>
        <w:bidi w:val="0"/>
        <w:adjustRightInd/>
        <w:snapToGrid/>
        <w:spacing w:line="312" w:lineRule="auto"/>
        <w:ind w:firstLine="420" w:firstLineChars="200"/>
        <w:textAlignment w:val="auto"/>
        <w:rPr>
          <w:rFonts w:hint="default" w:ascii="Arial" w:hAnsi="Arial" w:eastAsia="宋体" w:cs="Arial"/>
          <w:color w:val="000000"/>
          <w:sz w:val="21"/>
          <w:szCs w:val="21"/>
          <w:highlight w:val="none"/>
        </w:rPr>
      </w:pPr>
      <w:r>
        <w:rPr>
          <w:rFonts w:hint="default" w:ascii="Arial" w:hAnsi="Arial" w:eastAsia="宋体" w:cs="Arial"/>
          <w:color w:val="000000"/>
          <w:sz w:val="21"/>
          <w:szCs w:val="21"/>
          <w:highlight w:val="none"/>
        </w:rPr>
        <w:t>如无法提供原软件的相关管理及维护等服务，需另行提供一套全新医疗设备设施全生命周期管理系统软件</w:t>
      </w:r>
      <w:r>
        <w:rPr>
          <w:rFonts w:hint="default" w:ascii="Arial" w:hAnsi="Arial" w:eastAsia="宋体" w:cs="Arial"/>
          <w:color w:val="auto"/>
          <w:sz w:val="21"/>
          <w:szCs w:val="21"/>
          <w:highlight w:val="none"/>
        </w:rPr>
        <w:t>（投标时提供软件名称、版本信息及包括不限于软件著作或授权书的合法使用权证明），</w:t>
      </w:r>
      <w:r>
        <w:rPr>
          <w:rFonts w:hint="default" w:ascii="Arial" w:hAnsi="Arial" w:eastAsia="宋体" w:cs="Arial"/>
          <w:color w:val="000000"/>
          <w:sz w:val="21"/>
          <w:szCs w:val="21"/>
          <w:highlight w:val="none"/>
        </w:rPr>
        <w:t>该软件须满足采购文件规定的功能需求参数及技术标准，并负责新软件的部署、数据迁移、对接整合及用户培训。</w:t>
      </w:r>
      <w:r>
        <w:rPr>
          <w:rFonts w:hint="default" w:ascii="Arial" w:hAnsi="Arial" w:eastAsia="宋体" w:cs="Arial"/>
          <w:color w:val="auto"/>
          <w:spacing w:val="0"/>
          <w:sz w:val="21"/>
          <w:szCs w:val="21"/>
          <w:highlight w:val="none"/>
        </w:rPr>
        <w:t>乙方</w:t>
      </w:r>
      <w:r>
        <w:rPr>
          <w:rFonts w:hint="default" w:ascii="Arial" w:hAnsi="Arial" w:eastAsia="宋体" w:cs="Arial"/>
          <w:color w:val="000000"/>
          <w:sz w:val="21"/>
          <w:szCs w:val="21"/>
          <w:highlight w:val="none"/>
        </w:rPr>
        <w:t>中标入场后，需在一个月内为医院完成医疗设备设施全生命周期管理系统软件的安装及培训工作，实现医疗设备全生命周期信息化管理的平稳过渡与高效运行。</w:t>
      </w:r>
    </w:p>
    <w:p>
      <w:pPr>
        <w:keepNext w:val="0"/>
        <w:keepLines w:val="0"/>
        <w:pageBreakBefore w:val="0"/>
        <w:kinsoku/>
        <w:wordWrap/>
        <w:overflowPunct/>
        <w:topLinePunct w:val="0"/>
        <w:bidi w:val="0"/>
        <w:adjustRightInd/>
        <w:snapToGrid/>
        <w:spacing w:line="312" w:lineRule="auto"/>
        <w:ind w:firstLine="422" w:firstLineChars="200"/>
        <w:jc w:val="center"/>
        <w:textAlignment w:val="auto"/>
        <w:rPr>
          <w:rFonts w:hint="default" w:ascii="Arial" w:hAnsi="Arial" w:eastAsia="宋体" w:cs="Arial"/>
          <w:b/>
          <w:bCs/>
          <w:color w:val="000000"/>
          <w:sz w:val="21"/>
          <w:szCs w:val="21"/>
          <w:highlight w:val="none"/>
        </w:rPr>
      </w:pPr>
      <w:r>
        <w:rPr>
          <w:rFonts w:hint="default" w:ascii="Arial" w:hAnsi="Arial" w:eastAsia="宋体" w:cs="Arial"/>
          <w:b/>
          <w:bCs/>
          <w:color w:val="000000"/>
          <w:sz w:val="21"/>
          <w:szCs w:val="21"/>
          <w:highlight w:val="none"/>
        </w:rPr>
        <w:t>医疗设备设施全生命周期管理系统软件功能要求如下：</w:t>
      </w:r>
    </w:p>
    <w:tbl>
      <w:tblPr>
        <w:tblStyle w:val="54"/>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序号</w:t>
            </w:r>
          </w:p>
        </w:tc>
        <w:tc>
          <w:tcPr>
            <w:tcW w:w="8390"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1）医疗设备管理系统软件可同时可以在电脑端和手机端操作,移动端可同时使用微信、安卓及ios操作系统。</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color w:val="auto"/>
                <w:sz w:val="21"/>
                <w:szCs w:val="21"/>
                <w:highlight w:val="none"/>
              </w:rPr>
            </w:pPr>
            <w:r>
              <w:rPr>
                <w:rFonts w:hint="default" w:ascii="Arial" w:hAnsi="Arial" w:eastAsia="宋体" w:cs="Arial"/>
                <w:sz w:val="21"/>
                <w:szCs w:val="21"/>
                <w:highlight w:val="none"/>
              </w:rPr>
              <w:t>2）管理系</w:t>
            </w:r>
            <w:r>
              <w:rPr>
                <w:rFonts w:hint="default" w:ascii="Arial" w:hAnsi="Arial" w:eastAsia="宋体" w:cs="Arial"/>
                <w:color w:val="auto"/>
                <w:sz w:val="21"/>
                <w:szCs w:val="21"/>
                <w:highlight w:val="none"/>
              </w:rPr>
              <w:t>统须包含全院固定资产管理，如设备、总务、信息等。</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3）软件正版化原则。本项目</w:t>
            </w:r>
            <w:r>
              <w:rPr>
                <w:rFonts w:hint="default" w:ascii="Arial" w:hAnsi="Arial" w:eastAsia="宋体" w:cs="Arial"/>
                <w:color w:val="auto"/>
                <w:sz w:val="21"/>
                <w:szCs w:val="21"/>
                <w:highlight w:val="none"/>
                <w:lang w:val="en-US" w:eastAsia="zh-CN"/>
              </w:rPr>
              <w:t>乙方</w:t>
            </w:r>
            <w:r>
              <w:rPr>
                <w:rFonts w:hint="default" w:ascii="Arial" w:hAnsi="Arial" w:eastAsia="宋体" w:cs="Arial"/>
                <w:color w:val="auto"/>
                <w:sz w:val="21"/>
                <w:szCs w:val="21"/>
                <w:highlight w:val="none"/>
              </w:rPr>
              <w:t>必须保证提供的产品（软件、服务内容）系自主研发或者依法享有完全的使用权，</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color w:val="auto"/>
                <w:sz w:val="21"/>
                <w:szCs w:val="21"/>
                <w:highlight w:val="none"/>
              </w:rPr>
              <w:t>在中华人民共和国境内使用</w:t>
            </w:r>
            <w:r>
              <w:rPr>
                <w:rFonts w:hint="default" w:ascii="Arial" w:hAnsi="Arial" w:eastAsia="宋体" w:cs="Arial"/>
                <w:color w:val="auto"/>
                <w:sz w:val="21"/>
                <w:szCs w:val="21"/>
                <w:highlight w:val="none"/>
                <w:lang w:val="en-US" w:eastAsia="zh-CN"/>
              </w:rPr>
              <w:t>乙方</w:t>
            </w:r>
            <w:r>
              <w:rPr>
                <w:rFonts w:hint="default" w:ascii="Arial" w:hAnsi="Arial" w:eastAsia="宋体" w:cs="Arial"/>
                <w:color w:val="auto"/>
                <w:sz w:val="21"/>
                <w:szCs w:val="21"/>
                <w:highlight w:val="none"/>
              </w:rPr>
              <w:t>提供的产品及服务时免受第三方提出的侵犯其专利权或其它知识产权的起诉。如果第三方提出侵权指控，乙方应承担由此而引起的一切法律责任和费用。</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color w:val="auto"/>
                <w:sz w:val="21"/>
                <w:szCs w:val="21"/>
                <w:highlight w:val="none"/>
              </w:rPr>
              <w:t>4）医院与</w:t>
            </w:r>
            <w:r>
              <w:rPr>
                <w:rFonts w:hint="default" w:ascii="Arial" w:hAnsi="Arial" w:eastAsia="宋体" w:cs="Arial"/>
                <w:color w:val="auto"/>
                <w:sz w:val="21"/>
                <w:szCs w:val="21"/>
                <w:highlight w:val="none"/>
                <w:lang w:val="en-US" w:eastAsia="zh-CN"/>
              </w:rPr>
              <w:t>乙方</w:t>
            </w:r>
            <w:r>
              <w:rPr>
                <w:rFonts w:hint="default" w:ascii="Arial" w:hAnsi="Arial" w:eastAsia="宋体" w:cs="Arial"/>
                <w:color w:val="auto"/>
                <w:sz w:val="21"/>
                <w:szCs w:val="21"/>
                <w:highlight w:val="none"/>
              </w:rPr>
              <w:t>合同履行</w:t>
            </w:r>
            <w:r>
              <w:rPr>
                <w:rFonts w:hint="default" w:ascii="Arial" w:hAnsi="Arial" w:eastAsia="宋体" w:cs="Arial"/>
                <w:sz w:val="21"/>
                <w:szCs w:val="21"/>
                <w:highlight w:val="none"/>
              </w:rPr>
              <w:t>结束后，信息系统、软件、二次开发成果及服务器等无偿移交医院。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设备电子档案管理功能:</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1)设备档案数据需要统一标准化,需满足但不限于如下字段:设备名称、品牌、型号、注册证编号、68码、104国标三类；</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2)系统能上传图片、pdf、word等各种附件管理,包括但不限于合同、维修报告、保养报告、巡检报告、计量报告；</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3)设备勘察能在手机端扫铭牌快速实现数据录入,自动生成勘察设备明细报表和勘察报告；</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4)设备维修保养巡检质控计量报告都能线上管理。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设备维修和报废管理功能:</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1)可根据二维码直接通过微信的一级扫一扫入口快速报修设备；</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2)报修和维修完成具有微信消息自动通知；</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3)报修和维修过程能在线详细记录文字/语音/图片；</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4)设备维修服务验收能在手机端线上签字和评分；</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5)设备报废能通过扫一扫线上申请,线上报废审核；</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6)系统上提供设备维修案例,含故障描述及应对维修指引,至少6000条以上；</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7）报修项目须具备权重值，权重值可以根据紧急程度  重要程度  难度等各方面综合设置。且可以在设置界面调整权重值，以保证今后随着系统使用细化，权重进一步精确；</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8）排班设定，根据不同管理部门如设备科、信息科、水电班等设置排班表，排班表可以提前录入、批量生成，生成规则可按时间、周、月等自动顺延。临床报修，在接单时默认为当天值班人员（比如信息科端，操作接单人员就是信息科值班人员）；</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9）维修过程支持拍照记录；</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10）可按时间统计维修台帐，以及打印维修过程照片。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设备质控管理功能:</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1)设备保养/巡检/质控的“检查项”可按不同设备自定义配置,移动端自动加载配置的模板参数；</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2)设备保养/巡检/质控/计量等具有临期提示和延误预警；</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3)设备维修/保养/巡检/质控的任务能在工作台或者通过微信小程序和手机短信提醒到具体执行人；</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4)巡检/保养/质控等服务可在手机端签字验收。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5</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备用机和备品管理功能,可实现医院备品库存管理,出入库明细都留存在系统里,方便追踪更换备件的时间、相关人员和相关设备。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6</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系统用户权限配置:</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系统可灵活自定义配置角色的使用权限,如:维修工程师、维保管理者、设备科领导、医院领导等。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7</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数据统计报表:</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1)系统可以统计设备开机率、报修率等全生命周期管理的数据报表；</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2)统计报表可以图文,也可以生成excel明细, 可自定义统计指标，以满足医院管理要求，并且可根据医院管理及评审要求，导出各类数据。包含txt、xls、csv等多种格式。</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3)含有设备询价功能,有自建大型设备及中小设备各地区价格数据库。</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4）系统可以按科室、工程师、设备类型、维修类型、权重等出局具工作量报表。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8</w:t>
            </w:r>
          </w:p>
        </w:tc>
        <w:tc>
          <w:tcPr>
            <w:tcW w:w="839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系统运行:</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1)乙方负责服务器、操作系统、数据库等软件的安装部署</w:t>
            </w:r>
          </w:p>
          <w:p>
            <w:pPr>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2）系统提供7*24小时连续稳定服务；</w:t>
            </w:r>
          </w:p>
          <w:p>
            <w:pPr>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3)软件跨平台运行,可以通过网页、微信、电脑客户端、独立移动端APP应用。</w:t>
            </w:r>
          </w:p>
          <w:p>
            <w:pPr>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4）系统最终须接入医院数据中心，供数据中心进行整合及共享。同时，提供标准接口，提供资产信息，状态，科室，地点等信息并与第三方系统交互。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9</w:t>
            </w:r>
          </w:p>
        </w:tc>
        <w:tc>
          <w:tcPr>
            <w:tcW w:w="839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系统架构及部署满足信息安全等保三级要求。若存在软件或架构部署不满足要求，须整改软件或增加硬件的，由乙方自行负责。保证该软件内的医院数据不能外泄。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10</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数据备份:</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1)数据库具有灾备,遇到紧急故障可快速恢复备库数据到生产库。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11</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系统响应:</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1)单次请求毫秒级响应；</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2)可实现大任务批量处理；</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3)数据更新后可实时查询；</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4)计划制定后可实时生成子任务。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bCs/>
                <w:sz w:val="21"/>
                <w:szCs w:val="21"/>
                <w:highlight w:val="none"/>
              </w:rPr>
            </w:pPr>
            <w:r>
              <w:rPr>
                <w:rFonts w:hint="default" w:ascii="Arial" w:hAnsi="Arial" w:eastAsia="宋体" w:cs="Arial"/>
                <w:sz w:val="21"/>
                <w:szCs w:val="21"/>
                <w:highlight w:val="none"/>
              </w:rPr>
              <w:t>12</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数据大屏监控:</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1)根据不同业务场景提供相关的数据监控大屏,如医院资产监控、大设备健康监控、维保任务监控、设备运行效益监控等；</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2)监控大屏需具有不同的角色,比如院领导版、设备科版；</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3)具有数据穿透能力,比如从大屏上可穿透到设备级数据,具有设备画像功能。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13</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接口开放对接:</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接口要求按医院集成平台总线标准开发对接。包括但不限于HRP、HIS、PACS、LIS等系统，以满足系统功能及管理功能正常运行需要；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14</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功能可扩展:</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1)系统架构设计上可以实现功能扩展,如医疗设备环境数据采集、设备效益分析等功能；</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2)提供定制化统计报表功能开发服务。</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3)系统可根据医院管理要求二次开发，不另行收费。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 w:type="dxa"/>
            <w:noWrap w:val="0"/>
            <w:vAlign w:val="center"/>
          </w:tcPr>
          <w:p>
            <w:pPr>
              <w:keepNext w:val="0"/>
              <w:keepLines w:val="0"/>
              <w:pageBreakBefore w:val="0"/>
              <w:kinsoku/>
              <w:wordWrap/>
              <w:overflowPunct/>
              <w:topLinePunct w:val="0"/>
              <w:bidi w:val="0"/>
              <w:adjustRightInd/>
              <w:snapToGrid/>
              <w:spacing w:line="312" w:lineRule="auto"/>
              <w:jc w:val="center"/>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15</w:t>
            </w:r>
          </w:p>
        </w:tc>
        <w:tc>
          <w:tcPr>
            <w:tcW w:w="8390"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医疗设备不良事件上报功能:</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1)具有连接国家医疗器械不良事件监测信息系统数据接口；</w:t>
            </w:r>
          </w:p>
          <w:p>
            <w:pPr>
              <w:keepNext w:val="0"/>
              <w:keepLines w:val="0"/>
              <w:pageBreakBefore w:val="0"/>
              <w:widowControl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r>
              <w:rPr>
                <w:rFonts w:hint="default" w:ascii="Arial" w:hAnsi="Arial" w:eastAsia="宋体" w:cs="Arial"/>
                <w:sz w:val="21"/>
                <w:szCs w:val="21"/>
                <w:highlight w:val="none"/>
              </w:rPr>
              <w:t>2)可以实现移动端审核及上报医疗设备不良事件入口。</w:t>
            </w:r>
          </w:p>
        </w:tc>
      </w:tr>
    </w:tbl>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09" w:name="_Toc29385"/>
      <w:r>
        <w:rPr>
          <w:rFonts w:hint="default" w:ascii="Arial" w:hAnsi="Arial" w:cs="Arial"/>
          <w:sz w:val="21"/>
          <w:szCs w:val="21"/>
          <w:highlight w:val="none"/>
        </w:rPr>
        <w:t>第</w:t>
      </w:r>
      <w:r>
        <w:rPr>
          <w:rFonts w:hint="default" w:ascii="Arial" w:hAnsi="Arial" w:cs="Arial"/>
          <w:sz w:val="21"/>
          <w:szCs w:val="21"/>
          <w:highlight w:val="none"/>
          <w:lang w:val="en-US" w:eastAsia="zh-CN"/>
        </w:rPr>
        <w:t>八</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付款方式</w:t>
      </w:r>
      <w:bookmarkEnd w:id="109"/>
    </w:p>
    <w:p>
      <w:pPr>
        <w:keepNext w:val="0"/>
        <w:keepLines w:val="0"/>
        <w:pageBreakBefore w:val="0"/>
        <w:widowControl w:val="0"/>
        <w:kinsoku/>
        <w:wordWrap/>
        <w:overflowPunct/>
        <w:topLinePunct w:val="0"/>
        <w:autoSpaceDE/>
        <w:autoSpaceDN/>
        <w:bidi w:val="0"/>
        <w:adjustRightInd/>
        <w:snapToGrid/>
        <w:spacing w:line="312" w:lineRule="auto"/>
        <w:ind w:right="0" w:firstLine="428" w:firstLineChars="200"/>
        <w:jc w:val="left"/>
        <w:textAlignment w:val="auto"/>
        <w:rPr>
          <w:rFonts w:hint="default" w:ascii="Arial" w:hAnsi="Arial" w:eastAsia="宋体" w:cs="Arial"/>
          <w:color w:val="FF0000"/>
          <w:sz w:val="21"/>
          <w:szCs w:val="21"/>
          <w:highlight w:val="none"/>
        </w:rPr>
      </w:pPr>
      <w:r>
        <w:rPr>
          <w:rFonts w:hint="default" w:ascii="Arial" w:hAnsi="Arial" w:eastAsia="宋体" w:cs="Arial"/>
          <w:color w:val="000000"/>
          <w:spacing w:val="2"/>
          <w:sz w:val="21"/>
          <w:szCs w:val="21"/>
          <w:highlight w:val="none"/>
        </w:rPr>
        <w:t>1.付</w:t>
      </w:r>
      <w:r>
        <w:rPr>
          <w:rFonts w:hint="default" w:ascii="Arial" w:hAnsi="Arial" w:eastAsia="宋体" w:cs="Arial"/>
          <w:color w:val="auto"/>
          <w:spacing w:val="2"/>
          <w:sz w:val="21"/>
          <w:szCs w:val="21"/>
          <w:highlight w:val="none"/>
        </w:rPr>
        <w:t>款进度安排</w:t>
      </w:r>
      <w:r>
        <w:rPr>
          <w:rFonts w:hint="default" w:ascii="Arial" w:hAnsi="Arial" w:eastAsia="宋体" w:cs="Arial"/>
          <w:color w:val="auto"/>
          <w:spacing w:val="5"/>
          <w:sz w:val="21"/>
          <w:szCs w:val="21"/>
          <w:highlight w:val="none"/>
        </w:rPr>
        <w:t>：本合同</w:t>
      </w:r>
      <w:r>
        <w:rPr>
          <w:rFonts w:hint="default" w:ascii="Arial" w:hAnsi="Arial" w:eastAsia="宋体" w:cs="Arial"/>
          <w:color w:val="auto"/>
          <w:spacing w:val="5"/>
          <w:sz w:val="21"/>
          <w:szCs w:val="21"/>
          <w:highlight w:val="none"/>
          <w:u w:val="single"/>
        </w:rPr>
        <w:t xml:space="preserve">  </w:t>
      </w:r>
      <w:r>
        <w:rPr>
          <w:rFonts w:hint="default" w:ascii="Arial" w:hAnsi="Arial" w:eastAsia="宋体" w:cs="Arial"/>
          <w:color w:val="auto"/>
          <w:spacing w:val="5"/>
          <w:sz w:val="21"/>
          <w:szCs w:val="21"/>
          <w:highlight w:val="none"/>
        </w:rPr>
        <w:t>年维保服务费为</w:t>
      </w:r>
      <w:r>
        <w:rPr>
          <w:rFonts w:hint="default" w:ascii="Arial" w:hAnsi="Arial" w:eastAsia="宋体" w:cs="Arial"/>
          <w:color w:val="auto"/>
          <w:spacing w:val="5"/>
          <w:sz w:val="21"/>
          <w:szCs w:val="21"/>
          <w:highlight w:val="none"/>
          <w:u w:val="single"/>
        </w:rPr>
        <w:t xml:space="preserve">     </w:t>
      </w:r>
      <w:r>
        <w:rPr>
          <w:rFonts w:hint="default" w:ascii="Arial" w:hAnsi="Arial" w:eastAsia="宋体" w:cs="Arial"/>
          <w:color w:val="auto"/>
          <w:spacing w:val="5"/>
          <w:sz w:val="21"/>
          <w:szCs w:val="21"/>
          <w:highlight w:val="none"/>
        </w:rPr>
        <w:t>元，每年度维保服务费为</w:t>
      </w:r>
      <w:r>
        <w:rPr>
          <w:rFonts w:hint="default" w:ascii="Arial" w:hAnsi="Arial" w:eastAsia="宋体" w:cs="Arial"/>
          <w:color w:val="auto"/>
          <w:spacing w:val="5"/>
          <w:sz w:val="21"/>
          <w:szCs w:val="21"/>
          <w:highlight w:val="none"/>
          <w:u w:val="single"/>
        </w:rPr>
        <w:t xml:space="preserve">  </w:t>
      </w:r>
      <w:r>
        <w:rPr>
          <w:rFonts w:hint="default" w:ascii="Arial" w:hAnsi="Arial" w:eastAsia="宋体" w:cs="Arial"/>
          <w:color w:val="auto"/>
          <w:spacing w:val="5"/>
          <w:sz w:val="21"/>
          <w:szCs w:val="21"/>
          <w:highlight w:val="none"/>
        </w:rPr>
        <w:t>元</w:t>
      </w:r>
      <w:r>
        <w:rPr>
          <w:rFonts w:hint="default" w:ascii="Arial" w:hAnsi="Arial" w:eastAsia="宋体" w:cs="Arial"/>
          <w:color w:val="auto"/>
          <w:spacing w:val="5"/>
          <w:sz w:val="21"/>
          <w:szCs w:val="21"/>
          <w:highlight w:val="none"/>
          <w:lang w:eastAsia="zh-CN"/>
        </w:rPr>
        <w:t>；</w:t>
      </w:r>
      <w:r>
        <w:rPr>
          <w:rFonts w:hint="default" w:ascii="Arial" w:hAnsi="Arial" w:eastAsia="宋体" w:cs="Arial"/>
          <w:color w:val="auto"/>
          <w:spacing w:val="5"/>
          <w:sz w:val="21"/>
          <w:szCs w:val="21"/>
          <w:highlight w:val="none"/>
        </w:rPr>
        <w:t>合同签订后有效期内，全年分四个季度付款</w:t>
      </w:r>
      <w:r>
        <w:rPr>
          <w:rFonts w:hint="default" w:ascii="Arial" w:hAnsi="Arial" w:eastAsia="宋体" w:cs="Arial"/>
          <w:color w:val="auto"/>
          <w:spacing w:val="5"/>
          <w:sz w:val="21"/>
          <w:szCs w:val="21"/>
          <w:highlight w:val="none"/>
          <w:lang w:eastAsia="zh-CN"/>
        </w:rPr>
        <w:t>，</w:t>
      </w:r>
      <w:r>
        <w:rPr>
          <w:rFonts w:hint="default" w:ascii="Arial" w:hAnsi="Arial" w:eastAsia="宋体" w:cs="Arial"/>
          <w:color w:val="auto"/>
          <w:spacing w:val="5"/>
          <w:sz w:val="21"/>
          <w:szCs w:val="21"/>
          <w:highlight w:val="none"/>
        </w:rPr>
        <w:t>每季度后第</w:t>
      </w:r>
      <w:r>
        <w:rPr>
          <w:rFonts w:hint="default" w:ascii="Arial" w:hAnsi="Arial" w:eastAsia="宋体" w:cs="Arial"/>
          <w:color w:val="auto"/>
          <w:spacing w:val="5"/>
          <w:sz w:val="21"/>
          <w:szCs w:val="21"/>
          <w:highlight w:val="none"/>
          <w:lang w:val="en-US" w:eastAsia="zh-CN"/>
        </w:rPr>
        <w:t>一</w:t>
      </w:r>
      <w:r>
        <w:rPr>
          <w:rFonts w:hint="default" w:ascii="Arial" w:hAnsi="Arial" w:eastAsia="宋体" w:cs="Arial"/>
          <w:color w:val="auto"/>
          <w:spacing w:val="5"/>
          <w:sz w:val="21"/>
          <w:szCs w:val="21"/>
          <w:highlight w:val="none"/>
        </w:rPr>
        <w:t>个月支付上季度服务费用</w:t>
      </w:r>
      <w:r>
        <w:rPr>
          <w:rFonts w:hint="eastAsia" w:ascii="Arial" w:hAnsi="Arial" w:cs="Arial"/>
          <w:color w:val="auto"/>
          <w:spacing w:val="5"/>
          <w:sz w:val="21"/>
          <w:szCs w:val="21"/>
          <w:highlight w:val="none"/>
          <w:lang w:eastAsia="zh-CN"/>
        </w:rPr>
        <w:t>（按考核结果进行支付）</w:t>
      </w:r>
      <w:r>
        <w:rPr>
          <w:rFonts w:hint="default" w:ascii="Arial" w:hAnsi="Arial" w:eastAsia="宋体" w:cs="Arial"/>
          <w:color w:val="auto"/>
          <w:spacing w:val="5"/>
          <w:sz w:val="21"/>
          <w:szCs w:val="21"/>
          <w:highlight w:val="none"/>
        </w:rPr>
        <w:t>。</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color w:val="auto"/>
          <w:spacing w:val="5"/>
          <w:sz w:val="21"/>
          <w:szCs w:val="21"/>
          <w:highlight w:val="none"/>
        </w:rPr>
        <w:t>每次付款前，</w:t>
      </w:r>
      <w:r>
        <w:rPr>
          <w:rFonts w:hint="default" w:ascii="Arial" w:hAnsi="Arial" w:eastAsia="宋体" w:cs="Arial"/>
          <w:sz w:val="21"/>
          <w:szCs w:val="21"/>
          <w:highlight w:val="none"/>
        </w:rPr>
        <w:t>乙方</w:t>
      </w:r>
      <w:r>
        <w:rPr>
          <w:rFonts w:hint="default" w:ascii="Arial" w:hAnsi="Arial" w:eastAsia="宋体" w:cs="Arial"/>
          <w:color w:val="auto"/>
          <w:spacing w:val="5"/>
          <w:sz w:val="21"/>
          <w:szCs w:val="21"/>
          <w:highlight w:val="none"/>
        </w:rPr>
        <w:t>必须向甲方提供</w:t>
      </w:r>
      <w:r>
        <w:rPr>
          <w:rFonts w:hint="default" w:ascii="Arial" w:hAnsi="Arial" w:eastAsia="宋体" w:cs="Arial"/>
          <w:color w:val="auto"/>
          <w:spacing w:val="5"/>
          <w:sz w:val="21"/>
          <w:szCs w:val="21"/>
          <w:highlight w:val="none"/>
          <w:lang w:val="en-US" w:eastAsia="zh-CN"/>
        </w:rPr>
        <w:t>请款函及</w:t>
      </w:r>
      <w:r>
        <w:rPr>
          <w:rFonts w:hint="default" w:ascii="Arial" w:hAnsi="Arial" w:eastAsia="宋体" w:cs="Arial"/>
          <w:color w:val="auto"/>
          <w:spacing w:val="5"/>
          <w:sz w:val="21"/>
          <w:szCs w:val="21"/>
          <w:highlight w:val="none"/>
        </w:rPr>
        <w:t>符合国家规定及甲方要求的全额税务发票。</w:t>
      </w:r>
      <w:r>
        <w:rPr>
          <w:rFonts w:hint="default" w:ascii="Arial" w:hAnsi="Arial" w:eastAsia="宋体" w:cs="Arial"/>
          <w:sz w:val="21"/>
          <w:szCs w:val="21"/>
          <w:highlight w:val="none"/>
        </w:rPr>
        <w:t>乙方</w:t>
      </w:r>
      <w:r>
        <w:rPr>
          <w:rFonts w:hint="default" w:ascii="Arial" w:hAnsi="Arial" w:eastAsia="宋体" w:cs="Arial"/>
          <w:color w:val="auto"/>
          <w:spacing w:val="5"/>
          <w:sz w:val="21"/>
          <w:szCs w:val="21"/>
          <w:highlight w:val="none"/>
        </w:rPr>
        <w:t>未开具发票或未提交请款报告的，</w:t>
      </w:r>
      <w:r>
        <w:rPr>
          <w:rFonts w:hint="default" w:ascii="Arial" w:hAnsi="Arial" w:eastAsia="宋体" w:cs="Arial"/>
          <w:color w:val="auto"/>
          <w:spacing w:val="5"/>
          <w:sz w:val="21"/>
          <w:szCs w:val="21"/>
          <w:highlight w:val="none"/>
          <w:lang w:val="en-US" w:eastAsia="zh-CN"/>
        </w:rPr>
        <w:t>甲方</w:t>
      </w:r>
      <w:r>
        <w:rPr>
          <w:rFonts w:hint="default" w:ascii="Arial" w:hAnsi="Arial" w:eastAsia="宋体" w:cs="Arial"/>
          <w:color w:val="auto"/>
          <w:spacing w:val="5"/>
          <w:sz w:val="21"/>
          <w:szCs w:val="21"/>
          <w:highlight w:val="none"/>
        </w:rPr>
        <w:t>付款时间顺延，且不构成任何违约。</w:t>
      </w:r>
    </w:p>
    <w:p>
      <w:pPr>
        <w:pStyle w:val="23"/>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Arial" w:hAnsi="Arial" w:eastAsia="宋体" w:cs="Arial"/>
          <w:color w:val="auto"/>
          <w:sz w:val="21"/>
          <w:szCs w:val="21"/>
          <w:highlight w:val="none"/>
        </w:rPr>
      </w:pPr>
      <w:r>
        <w:rPr>
          <w:rFonts w:hint="default" w:ascii="Arial" w:hAnsi="Arial" w:eastAsia="宋体" w:cs="Arial"/>
          <w:color w:val="auto"/>
          <w:spacing w:val="-10"/>
          <w:sz w:val="21"/>
          <w:szCs w:val="21"/>
          <w:highlight w:val="none"/>
        </w:rPr>
        <w:t>2.资金支付方式：</w:t>
      </w:r>
      <w:r>
        <w:rPr>
          <w:rFonts w:hint="default" w:ascii="Arial" w:hAnsi="Arial" w:eastAsia="宋体" w:cs="Arial"/>
          <w:color w:val="auto"/>
          <w:spacing w:val="-10"/>
          <w:sz w:val="21"/>
          <w:szCs w:val="21"/>
          <w:highlight w:val="none"/>
          <w:u w:val="single" w:color="auto"/>
        </w:rPr>
        <w:t xml:space="preserve">    ( 银 行 转 账</w:t>
      </w:r>
      <w:r>
        <w:rPr>
          <w:rFonts w:hint="default" w:ascii="Arial" w:hAnsi="Arial" w:eastAsia="宋体" w:cs="Arial"/>
          <w:color w:val="auto"/>
          <w:spacing w:val="-20"/>
          <w:sz w:val="21"/>
          <w:szCs w:val="21"/>
          <w:highlight w:val="none"/>
          <w:u w:val="single" w:color="auto"/>
        </w:rPr>
        <w:t xml:space="preserve"> </w:t>
      </w:r>
      <w:r>
        <w:rPr>
          <w:rFonts w:hint="default" w:ascii="Arial" w:hAnsi="Arial" w:eastAsia="宋体" w:cs="Arial"/>
          <w:color w:val="auto"/>
          <w:spacing w:val="-10"/>
          <w:sz w:val="21"/>
          <w:szCs w:val="21"/>
          <w:highlight w:val="none"/>
          <w:u w:val="single" w:color="auto"/>
        </w:rPr>
        <w:t>)</w:t>
      </w:r>
      <w:r>
        <w:rPr>
          <w:rFonts w:hint="default" w:ascii="Arial" w:hAnsi="Arial" w:eastAsia="宋体" w:cs="Arial"/>
          <w:color w:val="auto"/>
          <w:spacing w:val="109"/>
          <w:sz w:val="21"/>
          <w:szCs w:val="21"/>
          <w:highlight w:val="none"/>
          <w:u w:val="single" w:color="auto"/>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乙方银行账户信息：</w:t>
      </w:r>
    </w:p>
    <w:p>
      <w:pPr>
        <w:keepNext w:val="0"/>
        <w:keepLines w:val="0"/>
        <w:pageBreakBefore w:val="0"/>
        <w:widowControl w:val="0"/>
        <w:kinsoku/>
        <w:wordWrap/>
        <w:overflowPunct/>
        <w:topLinePunct w:val="0"/>
        <w:autoSpaceDE/>
        <w:autoSpaceDN/>
        <w:bidi w:val="0"/>
        <w:adjustRightInd/>
        <w:snapToGrid/>
        <w:spacing w:line="312" w:lineRule="auto"/>
        <w:ind w:right="4575" w:firstLine="630" w:firstLineChars="300"/>
        <w:textAlignment w:val="auto"/>
        <w:rPr>
          <w:rFonts w:hint="default" w:ascii="Arial" w:hAnsi="Arial" w:eastAsia="宋体" w:cs="Arial"/>
          <w:color w:val="auto"/>
          <w:spacing w:val="0"/>
          <w:sz w:val="21"/>
          <w:szCs w:val="21"/>
          <w:highlight w:val="none"/>
          <w:lang w:eastAsia="zh-CN"/>
        </w:rPr>
      </w:pPr>
      <w:r>
        <w:rPr>
          <w:rFonts w:hint="default" w:ascii="Arial" w:hAnsi="Arial" w:eastAsia="宋体" w:cs="Arial"/>
          <w:color w:val="auto"/>
          <w:spacing w:val="0"/>
          <w:sz w:val="21"/>
          <w:szCs w:val="21"/>
          <w:highlight w:val="none"/>
        </w:rPr>
        <w:t>开户银行</w:t>
      </w:r>
      <w:r>
        <w:rPr>
          <w:rFonts w:hint="default" w:ascii="Arial" w:hAnsi="Arial" w:eastAsia="宋体" w:cs="Arial"/>
          <w:color w:val="auto"/>
          <w:spacing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left="849" w:right="4575"/>
        <w:textAlignment w:val="auto"/>
        <w:rPr>
          <w:rFonts w:hint="default" w:ascii="Arial" w:hAnsi="Arial" w:eastAsia="宋体" w:cs="Arial"/>
          <w:color w:val="auto"/>
          <w:spacing w:val="0"/>
          <w:sz w:val="21"/>
          <w:szCs w:val="21"/>
          <w:highlight w:val="none"/>
          <w:lang w:eastAsia="zh-CN"/>
        </w:rPr>
      </w:pPr>
      <w:r>
        <w:rPr>
          <w:rFonts w:hint="default" w:ascii="Arial" w:hAnsi="Arial" w:eastAsia="宋体" w:cs="Arial"/>
          <w:color w:val="auto"/>
          <w:spacing w:val="0"/>
          <w:sz w:val="21"/>
          <w:szCs w:val="21"/>
          <w:highlight w:val="none"/>
        </w:rPr>
        <w:t>账号名称</w:t>
      </w:r>
      <w:r>
        <w:rPr>
          <w:rFonts w:hint="default" w:ascii="Arial" w:hAnsi="Arial" w:eastAsia="宋体" w:cs="Arial"/>
          <w:color w:val="auto"/>
          <w:spacing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left="849"/>
        <w:textAlignment w:val="auto"/>
        <w:rPr>
          <w:rFonts w:hint="default" w:ascii="Arial" w:hAnsi="Arial" w:eastAsia="宋体" w:cs="Arial"/>
          <w:b/>
          <w:bCs/>
          <w:color w:val="auto"/>
          <w:spacing w:val="0"/>
          <w:sz w:val="21"/>
          <w:szCs w:val="21"/>
          <w:highlight w:val="none"/>
        </w:rPr>
      </w:pPr>
      <w:r>
        <w:rPr>
          <w:rFonts w:hint="default" w:ascii="Arial" w:hAnsi="Arial" w:eastAsia="宋体" w:cs="Arial"/>
          <w:color w:val="auto"/>
          <w:spacing w:val="0"/>
          <w:sz w:val="21"/>
          <w:szCs w:val="21"/>
          <w:highlight w:val="none"/>
        </w:rPr>
        <w:t>账号：</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10" w:name="_Toc5125"/>
      <w:r>
        <w:rPr>
          <w:rFonts w:hint="default" w:ascii="Arial" w:hAnsi="Arial" w:cs="Arial"/>
          <w:sz w:val="21"/>
          <w:szCs w:val="21"/>
          <w:highlight w:val="none"/>
        </w:rPr>
        <w:t>第</w:t>
      </w:r>
      <w:r>
        <w:rPr>
          <w:rFonts w:hint="default" w:ascii="Arial" w:hAnsi="Arial" w:cs="Arial"/>
          <w:sz w:val="21"/>
          <w:szCs w:val="21"/>
          <w:highlight w:val="none"/>
          <w:lang w:val="en-US" w:eastAsia="zh-CN"/>
        </w:rPr>
        <w:t>九</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考核方式和合格标准</w:t>
      </w:r>
      <w:bookmarkEnd w:id="110"/>
    </w:p>
    <w:p>
      <w:pPr>
        <w:keepNext w:val="0"/>
        <w:keepLines w:val="0"/>
        <w:pageBreakBefore w:val="0"/>
        <w:widowControl w:val="0"/>
        <w:kinsoku/>
        <w:wordWrap/>
        <w:overflowPunct/>
        <w:topLinePunct w:val="0"/>
        <w:autoSpaceDE/>
        <w:autoSpaceDN/>
        <w:bidi w:val="0"/>
        <w:adjustRightInd/>
        <w:snapToGrid/>
        <w:spacing w:line="312" w:lineRule="auto"/>
        <w:ind w:left="0" w:leftChars="0" w:right="0" w:firstLine="367" w:firstLineChars="175"/>
        <w:jc w:val="left"/>
        <w:textAlignment w:val="auto"/>
        <w:rPr>
          <w:rFonts w:hint="default" w:ascii="Arial" w:hAnsi="Arial" w:eastAsia="宋体" w:cs="Arial"/>
          <w:b/>
          <w:bCs/>
          <w:color w:val="auto"/>
          <w:spacing w:val="0"/>
          <w:sz w:val="21"/>
          <w:szCs w:val="21"/>
          <w:highlight w:val="none"/>
        </w:rPr>
      </w:pPr>
      <w:r>
        <w:rPr>
          <w:rFonts w:hint="default" w:ascii="Arial" w:hAnsi="Arial" w:eastAsia="宋体" w:cs="Arial"/>
          <w:color w:val="auto"/>
          <w:spacing w:val="0"/>
          <w:sz w:val="21"/>
          <w:szCs w:val="21"/>
          <w:highlight w:val="none"/>
          <w:lang w:val="en-US" w:eastAsia="zh-CN"/>
        </w:rPr>
        <w:t>甲方</w:t>
      </w:r>
      <w:r>
        <w:rPr>
          <w:rFonts w:hint="default" w:ascii="Arial" w:hAnsi="Arial" w:eastAsia="宋体" w:cs="Arial"/>
          <w:color w:val="auto"/>
          <w:spacing w:val="0"/>
          <w:sz w:val="21"/>
          <w:szCs w:val="21"/>
          <w:highlight w:val="none"/>
        </w:rPr>
        <w:t>按照《医疗器械使用质量监督管理办法》、《三级公立医院绩效考核指标》等对</w:t>
      </w:r>
      <w:r>
        <w:rPr>
          <w:rFonts w:hint="default" w:ascii="Arial" w:hAnsi="Arial" w:eastAsia="宋体" w:cs="Arial"/>
          <w:color w:val="auto"/>
          <w:spacing w:val="0"/>
          <w:sz w:val="21"/>
          <w:szCs w:val="21"/>
          <w:highlight w:val="none"/>
          <w:lang w:val="en-US" w:eastAsia="zh-CN"/>
        </w:rPr>
        <w:t>乙方</w:t>
      </w:r>
      <w:r>
        <w:rPr>
          <w:rFonts w:hint="default" w:ascii="Arial" w:hAnsi="Arial" w:eastAsia="宋体" w:cs="Arial"/>
          <w:color w:val="auto"/>
          <w:spacing w:val="0"/>
          <w:sz w:val="21"/>
          <w:szCs w:val="21"/>
          <w:highlight w:val="none"/>
        </w:rPr>
        <w:t>进行</w:t>
      </w:r>
      <w:r>
        <w:rPr>
          <w:rFonts w:hint="default" w:ascii="Arial" w:hAnsi="Arial" w:eastAsia="宋体" w:cs="Arial"/>
          <w:color w:val="auto"/>
          <w:spacing w:val="0"/>
          <w:sz w:val="21"/>
          <w:szCs w:val="21"/>
          <w:highlight w:val="none"/>
          <w:lang w:val="en-US" w:eastAsia="zh-CN"/>
        </w:rPr>
        <w:t>年度</w:t>
      </w:r>
      <w:r>
        <w:rPr>
          <w:rFonts w:hint="default" w:ascii="Arial" w:hAnsi="Arial" w:eastAsia="宋体" w:cs="Arial"/>
          <w:color w:val="auto"/>
          <w:spacing w:val="0"/>
          <w:sz w:val="21"/>
          <w:szCs w:val="21"/>
          <w:highlight w:val="none"/>
        </w:rPr>
        <w:t>服务考核，不少于10个科室的考核评价。平均分以8</w:t>
      </w:r>
      <w:r>
        <w:rPr>
          <w:rFonts w:hint="default" w:ascii="Arial" w:hAnsi="Arial" w:eastAsia="宋体" w:cs="Arial"/>
          <w:color w:val="auto"/>
          <w:spacing w:val="0"/>
          <w:sz w:val="21"/>
          <w:szCs w:val="21"/>
          <w:highlight w:val="none"/>
          <w:lang w:val="en-US" w:eastAsia="zh-CN"/>
        </w:rPr>
        <w:t>5</w:t>
      </w:r>
      <w:r>
        <w:rPr>
          <w:rFonts w:hint="default" w:ascii="Arial" w:hAnsi="Arial" w:eastAsia="宋体" w:cs="Arial"/>
          <w:color w:val="auto"/>
          <w:spacing w:val="0"/>
          <w:sz w:val="21"/>
          <w:szCs w:val="21"/>
          <w:highlight w:val="none"/>
        </w:rPr>
        <w:t>分作为合格分数线，8</w:t>
      </w:r>
      <w:r>
        <w:rPr>
          <w:rFonts w:hint="default" w:ascii="Arial" w:hAnsi="Arial" w:eastAsia="宋体" w:cs="Arial"/>
          <w:color w:val="auto"/>
          <w:spacing w:val="0"/>
          <w:sz w:val="21"/>
          <w:szCs w:val="21"/>
          <w:highlight w:val="none"/>
          <w:lang w:val="en-US" w:eastAsia="zh-CN"/>
        </w:rPr>
        <w:t>5</w:t>
      </w:r>
      <w:r>
        <w:rPr>
          <w:rFonts w:hint="default" w:ascii="Arial" w:hAnsi="Arial" w:eastAsia="宋体" w:cs="Arial"/>
          <w:color w:val="auto"/>
          <w:spacing w:val="0"/>
          <w:sz w:val="21"/>
          <w:szCs w:val="21"/>
          <w:highlight w:val="none"/>
        </w:rPr>
        <w:t>分以下每低一分扣除本</w:t>
      </w:r>
      <w:r>
        <w:rPr>
          <w:rFonts w:hint="default" w:ascii="Arial" w:hAnsi="Arial" w:eastAsia="宋体" w:cs="Arial"/>
          <w:color w:val="auto"/>
          <w:spacing w:val="0"/>
          <w:sz w:val="21"/>
          <w:szCs w:val="21"/>
          <w:highlight w:val="none"/>
          <w:lang w:val="en-US" w:eastAsia="zh-CN"/>
        </w:rPr>
        <w:t>年</w:t>
      </w:r>
      <w:r>
        <w:rPr>
          <w:rFonts w:hint="default" w:ascii="Arial" w:hAnsi="Arial" w:eastAsia="宋体" w:cs="Arial"/>
          <w:color w:val="auto"/>
          <w:spacing w:val="0"/>
          <w:sz w:val="21"/>
          <w:szCs w:val="21"/>
          <w:highlight w:val="none"/>
        </w:rPr>
        <w:t>度</w:t>
      </w:r>
      <w:r>
        <w:rPr>
          <w:rFonts w:hint="default" w:ascii="Arial" w:hAnsi="Arial" w:eastAsia="宋体" w:cs="Arial"/>
          <w:color w:val="auto"/>
          <w:spacing w:val="0"/>
          <w:sz w:val="21"/>
          <w:szCs w:val="21"/>
          <w:highlight w:val="none"/>
          <w:lang w:val="en-US" w:eastAsia="zh-CN"/>
        </w:rPr>
        <w:t>合同</w:t>
      </w:r>
      <w:r>
        <w:rPr>
          <w:rFonts w:hint="default" w:ascii="Arial" w:hAnsi="Arial" w:eastAsia="宋体" w:cs="Arial"/>
          <w:color w:val="auto"/>
          <w:spacing w:val="0"/>
          <w:sz w:val="21"/>
          <w:szCs w:val="21"/>
          <w:highlight w:val="none"/>
        </w:rPr>
        <w:t>金额的3‰，罚款标准一般上限为本</w:t>
      </w:r>
      <w:r>
        <w:rPr>
          <w:rFonts w:hint="default" w:ascii="Arial" w:hAnsi="Arial" w:eastAsia="宋体" w:cs="Arial"/>
          <w:color w:val="auto"/>
          <w:spacing w:val="0"/>
          <w:sz w:val="21"/>
          <w:szCs w:val="21"/>
          <w:highlight w:val="none"/>
          <w:lang w:val="en-US" w:eastAsia="zh-CN"/>
        </w:rPr>
        <w:t>年</w:t>
      </w:r>
      <w:r>
        <w:rPr>
          <w:rFonts w:hint="default" w:ascii="Arial" w:hAnsi="Arial" w:eastAsia="宋体" w:cs="Arial"/>
          <w:color w:val="auto"/>
          <w:spacing w:val="0"/>
          <w:sz w:val="21"/>
          <w:szCs w:val="21"/>
          <w:highlight w:val="none"/>
        </w:rPr>
        <w:t>度合同金额的3%。</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11" w:name="_Toc14232"/>
      <w:r>
        <w:rPr>
          <w:rFonts w:hint="default" w:ascii="Arial" w:hAnsi="Arial" w:cs="Arial"/>
          <w:sz w:val="21"/>
          <w:szCs w:val="21"/>
          <w:highlight w:val="none"/>
        </w:rPr>
        <w:t>第</w:t>
      </w:r>
      <w:r>
        <w:rPr>
          <w:rFonts w:hint="default" w:ascii="Arial" w:hAnsi="Arial" w:cs="Arial"/>
          <w:sz w:val="21"/>
          <w:szCs w:val="21"/>
          <w:highlight w:val="none"/>
          <w:lang w:val="en-US" w:eastAsia="zh-CN"/>
        </w:rPr>
        <w:t>十</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履约保证金</w:t>
      </w:r>
      <w:bookmarkEnd w:id="111"/>
    </w:p>
    <w:p>
      <w:pPr>
        <w:keepNext w:val="0"/>
        <w:keepLines w:val="0"/>
        <w:pageBreakBefore w:val="0"/>
        <w:kinsoku/>
        <w:wordWrap/>
        <w:overflowPunct/>
        <w:topLinePunct w:val="0"/>
        <w:bidi w:val="0"/>
        <w:adjustRightInd/>
        <w:snapToGrid/>
        <w:spacing w:line="312" w:lineRule="auto"/>
        <w:ind w:left="579"/>
        <w:textAlignment w:val="auto"/>
        <w:rPr>
          <w:rFonts w:hint="default" w:ascii="Arial" w:hAnsi="Arial" w:eastAsia="宋体" w:cs="Arial"/>
          <w:b/>
          <w:bCs/>
          <w:color w:val="auto"/>
          <w:spacing w:val="0"/>
          <w:sz w:val="21"/>
          <w:szCs w:val="21"/>
          <w:highlight w:val="none"/>
        </w:rPr>
      </w:pPr>
      <w:r>
        <w:rPr>
          <w:rFonts w:hint="default" w:ascii="Arial" w:hAnsi="Arial" w:eastAsia="宋体" w:cs="Arial"/>
          <w:color w:val="auto"/>
          <w:spacing w:val="-3"/>
          <w:sz w:val="21"/>
          <w:szCs w:val="21"/>
          <w:highlight w:val="none"/>
        </w:rPr>
        <w:t>本项目不收取履约保证金。</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12" w:name="_Toc14907"/>
      <w:r>
        <w:rPr>
          <w:rFonts w:hint="default" w:ascii="Arial" w:hAnsi="Arial" w:cs="Arial"/>
          <w:sz w:val="21"/>
          <w:szCs w:val="21"/>
          <w:highlight w:val="none"/>
        </w:rPr>
        <w:t>第十</w:t>
      </w:r>
      <w:r>
        <w:rPr>
          <w:rFonts w:hint="default" w:ascii="Arial" w:hAnsi="Arial" w:cs="Arial"/>
          <w:sz w:val="21"/>
          <w:szCs w:val="21"/>
          <w:highlight w:val="none"/>
          <w:lang w:val="en-US" w:eastAsia="zh-CN"/>
        </w:rPr>
        <w:t>一</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税费</w:t>
      </w:r>
      <w:bookmarkEnd w:id="112"/>
    </w:p>
    <w:p>
      <w:pPr>
        <w:keepNext w:val="0"/>
        <w:keepLines w:val="0"/>
        <w:pageBreakBefore w:val="0"/>
        <w:kinsoku/>
        <w:wordWrap/>
        <w:overflowPunct/>
        <w:topLinePunct w:val="0"/>
        <w:bidi w:val="0"/>
        <w:adjustRightInd/>
        <w:snapToGrid/>
        <w:spacing w:line="312" w:lineRule="auto"/>
        <w:ind w:left="589"/>
        <w:textAlignment w:val="auto"/>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本合同执行中相关的一切税费均由乙方负担。</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13" w:name="_Toc8368"/>
      <w:r>
        <w:rPr>
          <w:rFonts w:hint="default" w:ascii="Arial" w:hAnsi="Arial" w:cs="Arial"/>
          <w:sz w:val="21"/>
          <w:szCs w:val="21"/>
          <w:highlight w:val="none"/>
        </w:rPr>
        <w:t>第十</w:t>
      </w:r>
      <w:r>
        <w:rPr>
          <w:rFonts w:hint="default" w:ascii="Arial" w:hAnsi="Arial" w:cs="Arial"/>
          <w:sz w:val="21"/>
          <w:szCs w:val="21"/>
          <w:highlight w:val="none"/>
          <w:lang w:val="en-US" w:eastAsia="zh-CN"/>
        </w:rPr>
        <w:t>二</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质量保证及售后服务</w:t>
      </w:r>
      <w:bookmarkEnd w:id="113"/>
    </w:p>
    <w:p>
      <w:pPr>
        <w:keepNext w:val="0"/>
        <w:keepLines w:val="0"/>
        <w:pageBreakBefore w:val="0"/>
        <w:widowControl w:val="0"/>
        <w:kinsoku/>
        <w:wordWrap/>
        <w:overflowPunct/>
        <w:topLinePunct w:val="0"/>
        <w:autoSpaceDE/>
        <w:autoSpaceDN/>
        <w:bidi w:val="0"/>
        <w:adjustRightInd/>
        <w:snapToGrid/>
        <w:spacing w:line="312" w:lineRule="auto"/>
        <w:ind w:right="167" w:firstLine="420"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1.乙方应按</w:t>
      </w:r>
      <w:r>
        <w:rPr>
          <w:rFonts w:hint="default" w:ascii="Arial" w:hAnsi="Arial" w:eastAsia="宋体" w:cs="Arial"/>
          <w:color w:val="auto"/>
          <w:sz w:val="21"/>
          <w:szCs w:val="21"/>
          <w:highlight w:val="none"/>
          <w:lang w:eastAsia="zh-CN"/>
        </w:rPr>
        <w:t>招标</w:t>
      </w:r>
      <w:r>
        <w:rPr>
          <w:rFonts w:hint="default" w:ascii="Arial" w:hAnsi="Arial" w:eastAsia="宋体" w:cs="Arial"/>
          <w:color w:val="auto"/>
          <w:sz w:val="21"/>
          <w:szCs w:val="21"/>
          <w:highlight w:val="none"/>
        </w:rPr>
        <w:t>文件规定及响应文件承诺的服务内容、技术</w:t>
      </w:r>
      <w:r>
        <w:rPr>
          <w:rFonts w:hint="default" w:ascii="Arial" w:hAnsi="Arial" w:eastAsia="宋体" w:cs="Arial"/>
          <w:color w:val="auto"/>
          <w:spacing w:val="-2"/>
          <w:sz w:val="21"/>
          <w:szCs w:val="21"/>
          <w:highlight w:val="none"/>
        </w:rPr>
        <w:t>要求、质量标准向甲方提供无瑕疵的技术服务。乙方对项目质量负责。</w:t>
      </w:r>
    </w:p>
    <w:p>
      <w:pPr>
        <w:keepNext w:val="0"/>
        <w:keepLines w:val="0"/>
        <w:pageBreakBefore w:val="0"/>
        <w:widowControl w:val="0"/>
        <w:kinsoku/>
        <w:wordWrap/>
        <w:overflowPunct/>
        <w:topLinePunct w:val="0"/>
        <w:autoSpaceDE/>
        <w:autoSpaceDN/>
        <w:bidi w:val="0"/>
        <w:adjustRightInd/>
        <w:snapToGrid/>
        <w:spacing w:line="312" w:lineRule="auto"/>
        <w:ind w:left="0" w:firstLine="392"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pacing w:val="-7"/>
          <w:sz w:val="21"/>
          <w:szCs w:val="21"/>
          <w:highlight w:val="none"/>
        </w:rPr>
        <w:t>2.服务期：</w:t>
      </w:r>
      <w:r>
        <w:rPr>
          <w:rFonts w:hint="default" w:ascii="Arial" w:hAnsi="Arial" w:eastAsia="宋体" w:cs="Arial"/>
          <w:color w:val="auto"/>
          <w:spacing w:val="-7"/>
          <w:sz w:val="21"/>
          <w:szCs w:val="21"/>
          <w:highlight w:val="none"/>
          <w:u w:val="single" w:color="auto"/>
          <w:lang w:val="en-US" w:eastAsia="zh-CN"/>
        </w:rPr>
        <w:t xml:space="preserve"> 三年</w:t>
      </w:r>
      <w:r>
        <w:rPr>
          <w:rFonts w:hint="default" w:ascii="Arial" w:hAnsi="Arial" w:eastAsia="宋体" w:cs="Arial"/>
          <w:color w:val="auto"/>
          <w:spacing w:val="-7"/>
          <w:sz w:val="21"/>
          <w:szCs w:val="21"/>
          <w:highlight w:val="none"/>
          <w:u w:val="single" w:color="auto"/>
        </w:rPr>
        <w:t>。</w:t>
      </w:r>
    </w:p>
    <w:p>
      <w:pPr>
        <w:keepNext w:val="0"/>
        <w:keepLines w:val="0"/>
        <w:pageBreakBefore w:val="0"/>
        <w:widowControl w:val="0"/>
        <w:kinsoku/>
        <w:wordWrap/>
        <w:overflowPunct/>
        <w:topLinePunct w:val="0"/>
        <w:autoSpaceDE/>
        <w:autoSpaceDN/>
        <w:bidi w:val="0"/>
        <w:adjustRightInd/>
        <w:snapToGrid/>
        <w:spacing w:line="312" w:lineRule="auto"/>
        <w:ind w:right="26" w:firstLine="372" w:firstLineChars="200"/>
        <w:jc w:val="both"/>
        <w:textAlignment w:val="auto"/>
        <w:rPr>
          <w:rFonts w:hint="default" w:ascii="Arial" w:hAnsi="Arial" w:eastAsia="宋体" w:cs="Arial"/>
          <w:color w:val="auto"/>
          <w:sz w:val="21"/>
          <w:szCs w:val="21"/>
          <w:highlight w:val="none"/>
        </w:rPr>
      </w:pPr>
      <w:r>
        <w:rPr>
          <w:rFonts w:hint="default" w:ascii="Arial" w:hAnsi="Arial" w:eastAsia="宋体" w:cs="Arial"/>
          <w:color w:val="auto"/>
          <w:spacing w:val="-12"/>
          <w:sz w:val="21"/>
          <w:szCs w:val="21"/>
          <w:highlight w:val="none"/>
        </w:rPr>
        <w:t>3.乙方提供的服务承诺和售后服务及质保</w:t>
      </w:r>
      <w:r>
        <w:rPr>
          <w:rFonts w:hint="default" w:ascii="Arial" w:hAnsi="Arial" w:eastAsia="宋体" w:cs="Arial"/>
          <w:color w:val="auto"/>
          <w:spacing w:val="-13"/>
          <w:sz w:val="21"/>
          <w:szCs w:val="21"/>
          <w:highlight w:val="none"/>
        </w:rPr>
        <w:t>期责任等其它具体约定事项。</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14" w:name="_Toc16098"/>
      <w:r>
        <w:rPr>
          <w:rFonts w:hint="default" w:ascii="Arial" w:hAnsi="Arial" w:cs="Arial"/>
          <w:sz w:val="21"/>
          <w:szCs w:val="21"/>
          <w:highlight w:val="none"/>
        </w:rPr>
        <w:t>第十</w:t>
      </w:r>
      <w:r>
        <w:rPr>
          <w:rFonts w:hint="default" w:ascii="Arial" w:hAnsi="Arial" w:cs="Arial"/>
          <w:sz w:val="21"/>
          <w:szCs w:val="21"/>
          <w:highlight w:val="none"/>
          <w:lang w:val="en-US" w:eastAsia="zh-CN"/>
        </w:rPr>
        <w:t>三</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知识产权及保证</w:t>
      </w:r>
      <w:bookmarkEnd w:id="114"/>
    </w:p>
    <w:p>
      <w:pPr>
        <w:keepNext w:val="0"/>
        <w:keepLines w:val="0"/>
        <w:pageBreakBefore w:val="0"/>
        <w:widowControl w:val="0"/>
        <w:kinsoku/>
        <w:wordWrap/>
        <w:overflowPunct/>
        <w:topLinePunct w:val="0"/>
        <w:autoSpaceDE/>
        <w:autoSpaceDN/>
        <w:bidi w:val="0"/>
        <w:adjustRightInd/>
        <w:snapToGrid/>
        <w:spacing w:line="312" w:lineRule="auto"/>
        <w:ind w:right="108"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乙方保证在本协议生效之日，许可软件不侵犯任何第三方的专利权、著作权、商标专用权、商业秘密及其他权属权利。</w:t>
      </w:r>
      <w:r>
        <w:rPr>
          <w:rFonts w:hint="default" w:ascii="Arial" w:hAnsi="Arial" w:eastAsia="宋体" w:cs="Arial"/>
          <w:color w:val="auto"/>
          <w:spacing w:val="0"/>
          <w:sz w:val="21"/>
          <w:szCs w:val="21"/>
          <w:highlight w:val="none"/>
          <w:lang w:val="en-US" w:eastAsia="zh-CN"/>
        </w:rPr>
        <w:t>同时，乙方应严格履行数据安全承诺，确保甲方的医疗数据、运维信息不被泄露、篡改或非法使用，如发生相关事件，乙方需立即采取补救措施并赔偿甲方全部经济和声誉损失。</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15" w:name="_Toc22920"/>
      <w:r>
        <w:rPr>
          <w:rFonts w:hint="default" w:ascii="Arial" w:hAnsi="Arial" w:cs="Arial"/>
          <w:sz w:val="21"/>
          <w:szCs w:val="21"/>
          <w:highlight w:val="none"/>
        </w:rPr>
        <w:t>第十</w:t>
      </w:r>
      <w:r>
        <w:rPr>
          <w:rFonts w:hint="default" w:ascii="Arial" w:hAnsi="Arial" w:cs="Arial"/>
          <w:sz w:val="21"/>
          <w:szCs w:val="21"/>
          <w:highlight w:val="none"/>
          <w:lang w:val="en-US" w:eastAsia="zh-CN"/>
        </w:rPr>
        <w:t>四</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违约责任</w:t>
      </w:r>
      <w:bookmarkEnd w:id="115"/>
    </w:p>
    <w:p>
      <w:pPr>
        <w:keepNext w:val="0"/>
        <w:keepLines w:val="0"/>
        <w:pageBreakBefore w:val="0"/>
        <w:widowControl w:val="0"/>
        <w:kinsoku/>
        <w:wordWrap/>
        <w:overflowPunct/>
        <w:topLinePunct w:val="0"/>
        <w:autoSpaceDE/>
        <w:autoSpaceDN/>
        <w:bidi w:val="0"/>
        <w:adjustRightInd/>
        <w:snapToGrid/>
        <w:spacing w:line="312" w:lineRule="auto"/>
        <w:ind w:right="121"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1.双方应本着友好合作的态度履行各自合同义务，一方延期履约或者履约不符合合同要求，守约方有权力要求违约方继续履约、承担违约责任，并可以要求违约方赔偿其因此受到的直接损失和间接损失，其中间接损失包括但不限于</w:t>
      </w:r>
      <w:r>
        <w:rPr>
          <w:rFonts w:hint="default" w:ascii="Arial" w:hAnsi="Arial" w:eastAsia="宋体" w:cs="Arial"/>
          <w:color w:val="auto"/>
          <w:spacing w:val="0"/>
          <w:sz w:val="21"/>
          <w:szCs w:val="21"/>
          <w:highlight w:val="none"/>
          <w:lang w:val="en-US" w:eastAsia="zh-CN"/>
        </w:rPr>
        <w:t>设备停机导致的诊疗收入损失、替代设备租赁费用等经营性损失以及</w:t>
      </w:r>
      <w:r>
        <w:rPr>
          <w:rFonts w:hint="default" w:ascii="Arial" w:hAnsi="Arial" w:eastAsia="宋体" w:cs="Arial"/>
          <w:color w:val="auto"/>
          <w:spacing w:val="0"/>
          <w:sz w:val="21"/>
          <w:szCs w:val="21"/>
          <w:highlight w:val="none"/>
        </w:rPr>
        <w:t>律师费、公证费、交通费、鉴定费</w:t>
      </w:r>
      <w:r>
        <w:rPr>
          <w:rFonts w:hint="default" w:ascii="Arial" w:hAnsi="Arial" w:eastAsia="宋体" w:cs="Arial"/>
          <w:color w:val="auto"/>
          <w:spacing w:val="0"/>
          <w:sz w:val="21"/>
          <w:szCs w:val="21"/>
          <w:highlight w:val="none"/>
          <w:lang w:eastAsia="zh-CN"/>
        </w:rPr>
        <w:t>、</w:t>
      </w:r>
      <w:r>
        <w:rPr>
          <w:rFonts w:hint="default" w:ascii="Arial" w:hAnsi="Arial" w:eastAsia="宋体" w:cs="Arial"/>
          <w:color w:val="auto"/>
          <w:spacing w:val="0"/>
          <w:sz w:val="21"/>
          <w:szCs w:val="21"/>
          <w:highlight w:val="none"/>
          <w:lang w:val="en-US" w:eastAsia="zh-CN"/>
        </w:rPr>
        <w:t>保全费、保全保险费</w:t>
      </w:r>
      <w:r>
        <w:rPr>
          <w:rFonts w:hint="default" w:ascii="Arial" w:hAnsi="Arial" w:eastAsia="宋体" w:cs="Arial"/>
          <w:color w:val="auto"/>
          <w:spacing w:val="0"/>
          <w:sz w:val="21"/>
          <w:szCs w:val="21"/>
          <w:highlight w:val="none"/>
        </w:rPr>
        <w:t>等维权成本。</w:t>
      </w:r>
    </w:p>
    <w:p>
      <w:pPr>
        <w:keepNext w:val="0"/>
        <w:keepLines w:val="0"/>
        <w:pageBreakBefore w:val="0"/>
        <w:widowControl w:val="0"/>
        <w:kinsoku/>
        <w:wordWrap/>
        <w:overflowPunct/>
        <w:topLinePunct w:val="0"/>
        <w:autoSpaceDE/>
        <w:autoSpaceDN/>
        <w:bidi w:val="0"/>
        <w:adjustRightInd/>
        <w:snapToGrid/>
        <w:spacing w:line="312" w:lineRule="auto"/>
        <w:ind w:left="0"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2.</w:t>
      </w:r>
      <w:r>
        <w:rPr>
          <w:rFonts w:hint="default" w:ascii="Arial" w:hAnsi="Arial" w:eastAsia="宋体" w:cs="Arial"/>
          <w:color w:val="auto"/>
          <w:spacing w:val="0"/>
          <w:sz w:val="21"/>
          <w:szCs w:val="21"/>
          <w:highlight w:val="none"/>
          <w:lang w:val="en-US" w:eastAsia="zh-CN"/>
        </w:rPr>
        <w:t>乙方未按照本合同约定提供维保服务、服务不符合本合同约定标准的，乙方每次按合同总金额的5%向甲方支付违约金，甲方有权直接从应付款中予以扣除；经甲方催告，乙方拒不整改或无法在甲方规定期限内完成整改的，或者未按照本合同约定提供维保服务出现3次及以上情况的，甲方有权单方解除本合同，乙方应当按照本合同约定总金额的20%向甲方支付违约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lang w:val="en-US" w:eastAsia="zh-CN"/>
        </w:rPr>
        <w:t>3</w:t>
      </w:r>
      <w:r>
        <w:rPr>
          <w:rFonts w:hint="default" w:ascii="Arial" w:hAnsi="Arial" w:eastAsia="宋体" w:cs="Arial"/>
          <w:color w:val="auto"/>
          <w:spacing w:val="0"/>
          <w:sz w:val="21"/>
          <w:szCs w:val="21"/>
          <w:highlight w:val="none"/>
        </w:rPr>
        <w:t>.如果乙方违反本协议约定，乙方除承担违约责任外还要赔偿甲方因此受到的直接损失和间接损失。</w:t>
      </w:r>
      <w:r>
        <w:rPr>
          <w:rFonts w:hint="default" w:ascii="Arial" w:hAnsi="Arial" w:eastAsia="宋体" w:cs="Arial"/>
          <w:color w:val="auto"/>
          <w:spacing w:val="0"/>
          <w:sz w:val="21"/>
          <w:szCs w:val="21"/>
          <w:highlight w:val="none"/>
          <w:lang w:val="en-US" w:eastAsia="zh-CN"/>
        </w:rPr>
        <w:t>如果乙方经催告仍不履行维保职责，甲方有权自行或委托第三方替代履行，相关费用由乙方承担，且不影响甲方对原违约金的主张。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lang w:val="en-US" w:eastAsia="zh-CN"/>
        </w:rPr>
        <w:t>4</w:t>
      </w:r>
      <w:r>
        <w:rPr>
          <w:rFonts w:hint="default" w:ascii="Arial" w:hAnsi="Arial" w:eastAsia="宋体" w:cs="Arial"/>
          <w:color w:val="auto"/>
          <w:spacing w:val="0"/>
          <w:sz w:val="21"/>
          <w:szCs w:val="21"/>
          <w:highlight w:val="none"/>
        </w:rPr>
        <w:t>.乙方提供的产品如侵犯了第三方合法权益而引发的任何纠纷或诉讼，均由乙方负责交涉并承担全部责任。如导致甲方涉诉的，因此发生的费用和遭受的损失均应由乙方承担，包括但不限于支付给第三方的赔偿金、补偿金、因消除负面影响或舆情产生的全部费用、因涉纠纷发生的律师费、诉讼费、保全费、保全担保保险费、差旅费等。</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16" w:name="_Toc11286"/>
      <w:r>
        <w:rPr>
          <w:rFonts w:hint="default" w:ascii="Arial" w:hAnsi="Arial" w:cs="Arial"/>
          <w:sz w:val="21"/>
          <w:szCs w:val="21"/>
          <w:highlight w:val="none"/>
        </w:rPr>
        <w:t>第十</w:t>
      </w:r>
      <w:r>
        <w:rPr>
          <w:rFonts w:hint="default" w:ascii="Arial" w:hAnsi="Arial" w:cs="Arial"/>
          <w:sz w:val="21"/>
          <w:szCs w:val="21"/>
          <w:highlight w:val="none"/>
          <w:lang w:val="en-US" w:eastAsia="zh-CN"/>
        </w:rPr>
        <w:t>五</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廉洁承诺</w:t>
      </w:r>
      <w:bookmarkEnd w:id="116"/>
    </w:p>
    <w:p>
      <w:pPr>
        <w:keepNext w:val="0"/>
        <w:keepLines w:val="0"/>
        <w:pageBreakBefore w:val="0"/>
        <w:widowControl w:val="0"/>
        <w:kinsoku/>
        <w:wordWrap/>
        <w:overflowPunct/>
        <w:topLinePunct w:val="0"/>
        <w:autoSpaceDE/>
        <w:autoSpaceDN/>
        <w:bidi w:val="0"/>
        <w:adjustRightInd/>
        <w:snapToGrid/>
        <w:spacing w:line="312" w:lineRule="auto"/>
        <w:ind w:right="113" w:firstLine="57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为保证医疗设备购销领域活动的廉洁性，防止各类违法违纪案件的发生，乙方供货公司和所属人员庄严承诺如下：</w:t>
      </w:r>
    </w:p>
    <w:p>
      <w:pPr>
        <w:keepNext w:val="0"/>
        <w:keepLines w:val="0"/>
        <w:pageBreakBefore w:val="0"/>
        <w:widowControl w:val="0"/>
        <w:kinsoku/>
        <w:wordWrap/>
        <w:overflowPunct/>
        <w:topLinePunct w:val="0"/>
        <w:autoSpaceDE/>
        <w:autoSpaceDN/>
        <w:bidi w:val="0"/>
        <w:adjustRightInd/>
        <w:snapToGrid/>
        <w:spacing w:line="312" w:lineRule="auto"/>
        <w:ind w:right="123" w:firstLine="57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1.遵守国家的法律法规。依法处理医疗设备购销业务，保证不搞违法乱纪活动，自觉接受执法执纪部门的监督检查；</w:t>
      </w:r>
    </w:p>
    <w:p>
      <w:pPr>
        <w:keepNext w:val="0"/>
        <w:keepLines w:val="0"/>
        <w:pageBreakBefore w:val="0"/>
        <w:widowControl w:val="0"/>
        <w:kinsoku/>
        <w:wordWrap/>
        <w:overflowPunct/>
        <w:topLinePunct w:val="0"/>
        <w:autoSpaceDE/>
        <w:autoSpaceDN/>
        <w:bidi w:val="0"/>
        <w:adjustRightInd/>
        <w:snapToGrid/>
        <w:spacing w:line="312" w:lineRule="auto"/>
        <w:ind w:right="105"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2.在医疗设备购销领域中，保证不以任何形式给予医院工作人员回扣、好处费等；</w:t>
      </w:r>
    </w:p>
    <w:p>
      <w:pPr>
        <w:keepNext w:val="0"/>
        <w:keepLines w:val="0"/>
        <w:pageBreakBefore w:val="0"/>
        <w:widowControl w:val="0"/>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3.在正常业务交往中，保证不赠送各种礼金、有价证券和贵重物品，不给对方报销应由个人支付的费用；</w:t>
      </w:r>
    </w:p>
    <w:p>
      <w:pPr>
        <w:keepNext w:val="0"/>
        <w:keepLines w:val="0"/>
        <w:pageBreakBefore w:val="0"/>
        <w:widowControl w:val="0"/>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4.维护正常的医疗秩序，保证不以宴请、高消费娱乐、提供国(境)外学术活动等手段影响医生的用药选择权；</w:t>
      </w:r>
    </w:p>
    <w:p>
      <w:pPr>
        <w:keepNext w:val="0"/>
        <w:keepLines w:val="0"/>
        <w:pageBreakBefore w:val="0"/>
        <w:widowControl w:val="0"/>
        <w:kinsoku/>
        <w:wordWrap/>
        <w:overflowPunct/>
        <w:topLinePunct w:val="0"/>
        <w:autoSpaceDE/>
        <w:autoSpaceDN/>
        <w:bidi w:val="0"/>
        <w:adjustRightInd/>
        <w:snapToGrid/>
        <w:spacing w:line="312" w:lineRule="auto"/>
        <w:ind w:right="0" w:firstLine="420" w:firstLineChars="200"/>
        <w:jc w:val="left"/>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5.乙方给医院的捐赠款物，保证严格按照《中华人民共和国公益事业捐赠法》和《卫生计生单位接受公益事业捐赠管理办法》(国卫财务发201577号)等法律法规执行；</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6.严格对业务代表进行管理，不进入医院门诊、病区、科室向医护人员推销医疗产品，业务代表不得以任何理由让临床、设备、信息等有 关人员统计医生处方和有关耗材的用量信息或要求相关人员为此提供便利；</w:t>
      </w:r>
    </w:p>
    <w:p>
      <w:pPr>
        <w:keepNext w:val="0"/>
        <w:keepLines w:val="0"/>
        <w:pageBreakBefore w:val="0"/>
        <w:widowControl w:val="0"/>
        <w:kinsoku/>
        <w:wordWrap/>
        <w:overflowPunct/>
        <w:topLinePunct w:val="0"/>
        <w:autoSpaceDE/>
        <w:autoSpaceDN/>
        <w:bidi w:val="0"/>
        <w:adjustRightInd/>
        <w:snapToGrid/>
        <w:spacing w:line="312" w:lineRule="auto"/>
        <w:ind w:right="152" w:firstLine="420" w:firstLineChars="200"/>
        <w:jc w:val="both"/>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以上承诺如有违反，乙方愿意按照《国家卫生计生委关于建立医药购销领域商业贿赂不良记录的规定》(国卫法制发〔2013〕50号)等相 关规定处理。</w:t>
      </w:r>
      <w:bookmarkStart w:id="117" w:name="auto_fouce_25"/>
      <w:r>
        <w:rPr>
          <w:rFonts w:hint="default" w:ascii="Arial" w:hAnsi="Arial" w:eastAsia="宋体" w:cs="Arial"/>
          <w:color w:val="auto"/>
          <w:spacing w:val="0"/>
          <w:sz w:val="21"/>
          <w:szCs w:val="21"/>
          <w:highlight w:val="none"/>
          <w:lang w:val="en-US" w:eastAsia="zh-CN"/>
        </w:rPr>
        <w:t>甲方发现乙方违反廉洁承诺的，甲方有权立即终止合同并向乙方追索合同总金额30%的惩罚性违约金</w:t>
      </w:r>
      <w:bookmarkEnd w:id="117"/>
      <w:r>
        <w:rPr>
          <w:rFonts w:hint="default" w:ascii="Arial" w:hAnsi="Arial" w:eastAsia="宋体" w:cs="Arial"/>
          <w:color w:val="auto"/>
          <w:spacing w:val="0"/>
          <w:sz w:val="21"/>
          <w:szCs w:val="21"/>
          <w:highlight w:val="none"/>
          <w:lang w:val="en-US" w:eastAsia="zh-CN"/>
        </w:rPr>
        <w:t>，</w:t>
      </w:r>
      <w:r>
        <w:rPr>
          <w:rFonts w:hint="default" w:ascii="Arial" w:hAnsi="Arial" w:eastAsia="宋体" w:cs="Arial"/>
          <w:color w:val="auto"/>
          <w:spacing w:val="0"/>
          <w:sz w:val="21"/>
          <w:szCs w:val="21"/>
          <w:highlight w:val="none"/>
        </w:rPr>
        <w:t>如果情节严重的移交司法机关处理。</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18" w:name="_Toc1630"/>
      <w:r>
        <w:rPr>
          <w:rFonts w:hint="default" w:ascii="Arial" w:hAnsi="Arial" w:cs="Arial"/>
          <w:sz w:val="21"/>
          <w:szCs w:val="21"/>
          <w:highlight w:val="none"/>
        </w:rPr>
        <w:t>第十</w:t>
      </w:r>
      <w:r>
        <w:rPr>
          <w:rFonts w:hint="default" w:ascii="Arial" w:hAnsi="Arial" w:cs="Arial"/>
          <w:sz w:val="21"/>
          <w:szCs w:val="21"/>
          <w:highlight w:val="none"/>
          <w:lang w:val="en-US" w:eastAsia="zh-CN"/>
        </w:rPr>
        <w:t>六</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不可抗力事件处理</w:t>
      </w:r>
      <w:bookmarkEnd w:id="118"/>
    </w:p>
    <w:p>
      <w:pPr>
        <w:keepNext w:val="0"/>
        <w:keepLines w:val="0"/>
        <w:pageBreakBefore w:val="0"/>
        <w:widowControl w:val="0"/>
        <w:kinsoku/>
        <w:wordWrap/>
        <w:overflowPunct/>
        <w:topLinePunct w:val="0"/>
        <w:autoSpaceDE/>
        <w:autoSpaceDN/>
        <w:bidi w:val="0"/>
        <w:adjustRightInd/>
        <w:snapToGrid/>
        <w:spacing w:line="312" w:lineRule="auto"/>
        <w:ind w:right="141"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1.在合同有效期内，任何一方因不可抗力事件导致不能履行合同，则合同履行期可延长，其延长期与不可抗力影响期相同。(根据不可抗力事由对履行本协议影响的程度，由双方协商解除本协议，或者部分免除本协议的履行义务，或者延期履行本协议。)</w:t>
      </w:r>
    </w:p>
    <w:p>
      <w:pPr>
        <w:keepNext w:val="0"/>
        <w:keepLines w:val="0"/>
        <w:pageBreakBefore w:val="0"/>
        <w:widowControl w:val="0"/>
        <w:kinsoku/>
        <w:wordWrap/>
        <w:overflowPunct/>
        <w:topLinePunct w:val="0"/>
        <w:autoSpaceDE/>
        <w:autoSpaceDN/>
        <w:bidi w:val="0"/>
        <w:adjustRightInd/>
        <w:snapToGrid/>
        <w:spacing w:line="312" w:lineRule="auto"/>
        <w:ind w:right="122"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2.不可抗力事件发生后，应立即通知对方，并寄送有关权威机构出 具的证明。</w:t>
      </w:r>
    </w:p>
    <w:p>
      <w:pPr>
        <w:keepNext w:val="0"/>
        <w:keepLines w:val="0"/>
        <w:pageBreakBefore w:val="0"/>
        <w:widowControl w:val="0"/>
        <w:kinsoku/>
        <w:wordWrap/>
        <w:overflowPunct/>
        <w:topLinePunct w:val="0"/>
        <w:autoSpaceDE/>
        <w:autoSpaceDN/>
        <w:bidi w:val="0"/>
        <w:adjustRightInd/>
        <w:snapToGrid/>
        <w:spacing w:line="312" w:lineRule="auto"/>
        <w:ind w:left="0"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3.不可抗力事件延续一百二十天以上，双方应通过友好协商，确定是否继续履行合同。</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19" w:name="_Toc5473"/>
      <w:r>
        <w:rPr>
          <w:rFonts w:hint="default" w:ascii="Arial" w:hAnsi="Arial" w:cs="Arial"/>
          <w:sz w:val="21"/>
          <w:szCs w:val="21"/>
          <w:highlight w:val="none"/>
        </w:rPr>
        <w:t>第十</w:t>
      </w:r>
      <w:r>
        <w:rPr>
          <w:rFonts w:hint="default" w:ascii="Arial" w:hAnsi="Arial" w:cs="Arial"/>
          <w:sz w:val="21"/>
          <w:szCs w:val="21"/>
          <w:highlight w:val="none"/>
          <w:lang w:val="en-US" w:eastAsia="zh-CN"/>
        </w:rPr>
        <w:t>七</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合同争议解决和诉讼</w:t>
      </w:r>
      <w:bookmarkEnd w:id="119"/>
    </w:p>
    <w:p>
      <w:pPr>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1.因服务质量问题发生争议的，应邀请国家认可的质量检测机构对服务质量进行鉴定，</w:t>
      </w:r>
      <w:r>
        <w:rPr>
          <w:rFonts w:hint="default" w:ascii="Arial" w:hAnsi="Arial" w:eastAsia="宋体" w:cs="Arial"/>
          <w:color w:val="auto"/>
          <w:spacing w:val="0"/>
          <w:sz w:val="21"/>
          <w:szCs w:val="21"/>
          <w:highlight w:val="none"/>
          <w:lang w:val="en-US" w:eastAsia="zh-CN"/>
        </w:rPr>
        <w:t>鉴定机构可由甲方指定，</w:t>
      </w:r>
      <w:r>
        <w:rPr>
          <w:rFonts w:hint="default" w:ascii="Arial" w:hAnsi="Arial" w:eastAsia="宋体" w:cs="Arial"/>
          <w:color w:val="auto"/>
          <w:spacing w:val="0"/>
          <w:sz w:val="21"/>
          <w:szCs w:val="21"/>
          <w:highlight w:val="none"/>
        </w:rPr>
        <w:t>鉴定工作由乙方负责，鉴定费用由乙方垫付。服务符合标准或要求的，鉴定费由甲方承担；服务不符合标准或要求的，鉴 定费由乙方承担。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2.因履行本合同引起的或与本合同有关的争议，甲乙双方应首先通过友好协商解决，如果协商不能解决，可向甲方所在地人民法院提起诉讼。</w:t>
      </w:r>
    </w:p>
    <w:p>
      <w:pPr>
        <w:keepNext w:val="0"/>
        <w:keepLines w:val="0"/>
        <w:pageBreakBefore w:val="0"/>
        <w:widowControl w:val="0"/>
        <w:kinsoku/>
        <w:wordWrap/>
        <w:overflowPunct/>
        <w:topLinePunct w:val="0"/>
        <w:autoSpaceDE/>
        <w:autoSpaceDN/>
        <w:bidi w:val="0"/>
        <w:adjustRightInd/>
        <w:snapToGrid/>
        <w:spacing w:line="312" w:lineRule="auto"/>
        <w:ind w:left="57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3.诉讼期间，本合同继续履行。</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20" w:name="_Toc5042"/>
      <w:r>
        <w:rPr>
          <w:rFonts w:hint="default" w:ascii="Arial" w:hAnsi="Arial" w:cs="Arial"/>
          <w:sz w:val="21"/>
          <w:szCs w:val="21"/>
          <w:highlight w:val="none"/>
        </w:rPr>
        <w:t>第十</w:t>
      </w:r>
      <w:r>
        <w:rPr>
          <w:rFonts w:hint="default" w:ascii="Arial" w:hAnsi="Arial" w:cs="Arial"/>
          <w:sz w:val="21"/>
          <w:szCs w:val="21"/>
          <w:highlight w:val="none"/>
          <w:lang w:val="en-US" w:eastAsia="zh-CN"/>
        </w:rPr>
        <w:t>八</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合同生效及其它</w:t>
      </w:r>
      <w:bookmarkEnd w:id="120"/>
    </w:p>
    <w:p>
      <w:pPr>
        <w:keepNext w:val="0"/>
        <w:keepLines w:val="0"/>
        <w:pageBreakBefore w:val="0"/>
        <w:widowControl w:val="0"/>
        <w:kinsoku/>
        <w:wordWrap/>
        <w:overflowPunct/>
        <w:topLinePunct w:val="0"/>
        <w:autoSpaceDE/>
        <w:autoSpaceDN/>
        <w:bidi w:val="0"/>
        <w:adjustRightInd/>
        <w:snapToGrid/>
        <w:spacing w:line="312" w:lineRule="auto"/>
        <w:ind w:left="0" w:firstLine="412" w:firstLineChars="200"/>
        <w:textAlignment w:val="auto"/>
        <w:rPr>
          <w:rFonts w:hint="default" w:ascii="Arial" w:hAnsi="Arial" w:eastAsia="宋体" w:cs="Arial"/>
          <w:color w:val="auto"/>
          <w:spacing w:val="-3"/>
          <w:sz w:val="21"/>
          <w:szCs w:val="21"/>
          <w:highlight w:val="none"/>
          <w:lang w:eastAsia="zh-CN"/>
        </w:rPr>
      </w:pPr>
      <w:r>
        <w:rPr>
          <w:rFonts w:hint="default" w:ascii="Arial" w:hAnsi="Arial" w:eastAsia="宋体" w:cs="Arial"/>
          <w:color w:val="auto"/>
          <w:spacing w:val="-2"/>
          <w:sz w:val="21"/>
          <w:szCs w:val="21"/>
          <w:highlight w:val="none"/>
        </w:rPr>
        <w:t>1.合同经双方法定代表人或委托代理人签字并加盖单</w:t>
      </w:r>
      <w:r>
        <w:rPr>
          <w:rFonts w:hint="default" w:ascii="Arial" w:hAnsi="Arial" w:eastAsia="宋体" w:cs="Arial"/>
          <w:color w:val="auto"/>
          <w:spacing w:val="-3"/>
          <w:sz w:val="21"/>
          <w:szCs w:val="21"/>
          <w:highlight w:val="none"/>
        </w:rPr>
        <w:t>位公章后生效</w:t>
      </w:r>
      <w:r>
        <w:rPr>
          <w:rFonts w:hint="default" w:ascii="Arial" w:hAnsi="Arial" w:eastAsia="宋体" w:cs="Arial"/>
          <w:color w:val="auto"/>
          <w:spacing w:val="-3"/>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right="104" w:firstLine="428" w:firstLineChars="200"/>
        <w:jc w:val="both"/>
        <w:textAlignment w:val="auto"/>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lang w:val="en-US" w:eastAsia="zh-CN"/>
        </w:rPr>
        <w:t>2</w:t>
      </w:r>
      <w:r>
        <w:rPr>
          <w:rFonts w:hint="default" w:ascii="Arial" w:hAnsi="Arial" w:eastAsia="宋体" w:cs="Arial"/>
          <w:color w:val="auto"/>
          <w:spacing w:val="2"/>
          <w:sz w:val="21"/>
          <w:szCs w:val="21"/>
          <w:highlight w:val="none"/>
        </w:rPr>
        <w:t>.合同执行中涉及采购资金和采购内容修改或补充的，须经财政部</w:t>
      </w:r>
      <w:r>
        <w:rPr>
          <w:rFonts w:hint="default" w:ascii="Arial" w:hAnsi="Arial" w:eastAsia="宋体" w:cs="Arial"/>
          <w:color w:val="auto"/>
          <w:spacing w:val="4"/>
          <w:sz w:val="21"/>
          <w:szCs w:val="21"/>
          <w:highlight w:val="none"/>
        </w:rPr>
        <w:t xml:space="preserve"> </w:t>
      </w:r>
      <w:r>
        <w:rPr>
          <w:rFonts w:hint="default" w:ascii="Arial" w:hAnsi="Arial" w:eastAsia="宋体" w:cs="Arial"/>
          <w:color w:val="auto"/>
          <w:spacing w:val="2"/>
          <w:sz w:val="21"/>
          <w:szCs w:val="21"/>
          <w:highlight w:val="none"/>
        </w:rPr>
        <w:t>门审批，并签书面补充协议报财政部门备案，方可作为主合同不可分割</w:t>
      </w:r>
      <w:r>
        <w:rPr>
          <w:rFonts w:hint="default" w:ascii="Arial" w:hAnsi="Arial" w:eastAsia="宋体" w:cs="Arial"/>
          <w:color w:val="auto"/>
          <w:spacing w:val="7"/>
          <w:sz w:val="21"/>
          <w:szCs w:val="21"/>
          <w:highlight w:val="none"/>
        </w:rPr>
        <w:t xml:space="preserve"> </w:t>
      </w:r>
      <w:r>
        <w:rPr>
          <w:rFonts w:hint="default" w:ascii="Arial" w:hAnsi="Arial" w:eastAsia="宋体" w:cs="Arial"/>
          <w:color w:val="auto"/>
          <w:spacing w:val="-2"/>
          <w:sz w:val="21"/>
          <w:szCs w:val="21"/>
          <w:highlight w:val="none"/>
        </w:rPr>
        <w:t>的一部分。</w:t>
      </w:r>
    </w:p>
    <w:p>
      <w:pPr>
        <w:keepNext w:val="0"/>
        <w:keepLines w:val="0"/>
        <w:pageBreakBefore w:val="0"/>
        <w:widowControl w:val="0"/>
        <w:kinsoku/>
        <w:wordWrap/>
        <w:overflowPunct/>
        <w:topLinePunct w:val="0"/>
        <w:autoSpaceDE/>
        <w:autoSpaceDN/>
        <w:bidi w:val="0"/>
        <w:adjustRightInd/>
        <w:snapToGrid/>
        <w:spacing w:line="312" w:lineRule="auto"/>
        <w:ind w:right="0" w:firstLine="404" w:firstLineChars="200"/>
        <w:textAlignment w:val="auto"/>
        <w:rPr>
          <w:rFonts w:hint="default" w:ascii="Arial" w:hAnsi="Arial" w:eastAsia="宋体" w:cs="Arial"/>
          <w:color w:val="auto"/>
          <w:spacing w:val="-4"/>
          <w:sz w:val="21"/>
          <w:szCs w:val="21"/>
          <w:highlight w:val="none"/>
        </w:rPr>
      </w:pPr>
      <w:r>
        <w:rPr>
          <w:rFonts w:hint="default" w:ascii="Arial" w:hAnsi="Arial" w:eastAsia="宋体" w:cs="Arial"/>
          <w:color w:val="auto"/>
          <w:spacing w:val="-4"/>
          <w:sz w:val="21"/>
          <w:szCs w:val="21"/>
          <w:highlight w:val="none"/>
          <w:lang w:val="en-US" w:eastAsia="zh-CN"/>
        </w:rPr>
        <w:t>3</w:t>
      </w:r>
      <w:r>
        <w:rPr>
          <w:rFonts w:hint="default" w:ascii="Arial" w:hAnsi="Arial" w:eastAsia="宋体" w:cs="Arial"/>
          <w:color w:val="auto"/>
          <w:spacing w:val="-4"/>
          <w:sz w:val="21"/>
          <w:szCs w:val="21"/>
          <w:highlight w:val="none"/>
        </w:rPr>
        <w:t>.本合同未尽事宜，遵照《中华人民共和国民法典》有关条文执行。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spacing w:line="312" w:lineRule="auto"/>
        <w:ind w:right="0" w:firstLine="428" w:firstLineChars="200"/>
        <w:textAlignment w:val="auto"/>
        <w:rPr>
          <w:rFonts w:hint="default" w:ascii="Arial" w:hAnsi="Arial" w:eastAsia="宋体" w:cs="Arial"/>
          <w:color w:val="auto"/>
          <w:spacing w:val="-3"/>
          <w:sz w:val="21"/>
          <w:szCs w:val="21"/>
          <w:highlight w:val="none"/>
        </w:rPr>
      </w:pPr>
      <w:r>
        <w:rPr>
          <w:rFonts w:hint="default" w:ascii="Arial" w:hAnsi="Arial" w:eastAsia="宋体" w:cs="Arial"/>
          <w:color w:val="auto"/>
          <w:spacing w:val="2"/>
          <w:sz w:val="21"/>
          <w:szCs w:val="21"/>
          <w:highlight w:val="none"/>
          <w:lang w:val="en-US" w:eastAsia="zh-CN"/>
        </w:rPr>
        <w:t>4</w:t>
      </w:r>
      <w:r>
        <w:rPr>
          <w:rFonts w:hint="default" w:ascii="Arial" w:hAnsi="Arial" w:eastAsia="宋体" w:cs="Arial"/>
          <w:color w:val="auto"/>
          <w:spacing w:val="2"/>
          <w:sz w:val="21"/>
          <w:szCs w:val="21"/>
          <w:highlight w:val="none"/>
        </w:rPr>
        <w:t>.双方确认本合同落款通讯地址作为文书送达地址，该通讯地址适</w:t>
      </w:r>
      <w:r>
        <w:rPr>
          <w:rFonts w:hint="default" w:ascii="Arial" w:hAnsi="Arial" w:eastAsia="宋体" w:cs="Arial"/>
          <w:color w:val="auto"/>
          <w:spacing w:val="3"/>
          <w:sz w:val="21"/>
          <w:szCs w:val="21"/>
          <w:highlight w:val="none"/>
        </w:rPr>
        <w:t>用于包括双方合同履行过程中的各类通知、协</w:t>
      </w:r>
      <w:r>
        <w:rPr>
          <w:rFonts w:hint="default" w:ascii="Arial" w:hAnsi="Arial" w:eastAsia="宋体" w:cs="Arial"/>
          <w:color w:val="auto"/>
          <w:spacing w:val="2"/>
          <w:sz w:val="21"/>
          <w:szCs w:val="21"/>
          <w:highlight w:val="none"/>
        </w:rPr>
        <w:t>议等文件以及就合同发生</w:t>
      </w:r>
      <w:r>
        <w:rPr>
          <w:rFonts w:hint="default" w:ascii="Arial" w:hAnsi="Arial" w:eastAsia="宋体" w:cs="Arial"/>
          <w:color w:val="auto"/>
          <w:spacing w:val="3"/>
          <w:sz w:val="21"/>
          <w:szCs w:val="21"/>
          <w:highlight w:val="none"/>
        </w:rPr>
        <w:t>争议进入民事诉讼程序后的一审、二审、再审和执</w:t>
      </w:r>
      <w:r>
        <w:rPr>
          <w:rFonts w:hint="default" w:ascii="Arial" w:hAnsi="Arial" w:eastAsia="宋体" w:cs="Arial"/>
          <w:color w:val="auto"/>
          <w:spacing w:val="2"/>
          <w:sz w:val="21"/>
          <w:szCs w:val="21"/>
          <w:highlight w:val="none"/>
        </w:rPr>
        <w:t>行程序等阶段法律文</w:t>
      </w:r>
      <w:r>
        <w:rPr>
          <w:rFonts w:hint="default" w:ascii="Arial" w:hAnsi="Arial" w:eastAsia="宋体" w:cs="Arial"/>
          <w:color w:val="auto"/>
          <w:spacing w:val="3"/>
          <w:sz w:val="21"/>
          <w:szCs w:val="21"/>
          <w:highlight w:val="none"/>
        </w:rPr>
        <w:t>书的送达。通讯地址需要变更时应当提前15个工作日书面通知对方。因提供或者确认的通讯地址不准确、通讯地址</w:t>
      </w:r>
      <w:r>
        <w:rPr>
          <w:rFonts w:hint="default" w:ascii="Arial" w:hAnsi="Arial" w:eastAsia="宋体" w:cs="Arial"/>
          <w:color w:val="auto"/>
          <w:spacing w:val="2"/>
          <w:sz w:val="21"/>
          <w:szCs w:val="21"/>
          <w:highlight w:val="none"/>
        </w:rPr>
        <w:t>变更后未及时依程序告知对方或受送达方拒绝签收等原因，导致文书未能被实际接收的，邮寄送达</w:t>
      </w:r>
      <w:r>
        <w:rPr>
          <w:rFonts w:hint="default" w:ascii="Arial" w:hAnsi="Arial" w:eastAsia="宋体" w:cs="Arial"/>
          <w:color w:val="auto"/>
          <w:spacing w:val="-3"/>
          <w:sz w:val="21"/>
          <w:szCs w:val="21"/>
          <w:highlight w:val="none"/>
        </w:rPr>
        <w:t>的，以文书退回之日视为送达之日。</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21" w:name="_Toc18399"/>
      <w:r>
        <w:rPr>
          <w:rFonts w:hint="default" w:ascii="Arial" w:hAnsi="Arial" w:cs="Arial"/>
          <w:sz w:val="21"/>
          <w:szCs w:val="21"/>
          <w:highlight w:val="none"/>
        </w:rPr>
        <w:t>第十</w:t>
      </w:r>
      <w:r>
        <w:rPr>
          <w:rFonts w:hint="default" w:ascii="Arial" w:hAnsi="Arial" w:cs="Arial"/>
          <w:sz w:val="21"/>
          <w:szCs w:val="21"/>
          <w:highlight w:val="none"/>
          <w:lang w:val="en-US" w:eastAsia="zh-CN"/>
        </w:rPr>
        <w:t>九</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合同的变更、终止与转让</w:t>
      </w:r>
      <w:bookmarkEnd w:id="121"/>
    </w:p>
    <w:p>
      <w:pPr>
        <w:keepNext w:val="0"/>
        <w:keepLines w:val="0"/>
        <w:pageBreakBefore w:val="0"/>
        <w:widowControl w:val="0"/>
        <w:kinsoku/>
        <w:wordWrap/>
        <w:overflowPunct/>
        <w:topLinePunct w:val="0"/>
        <w:autoSpaceDE/>
        <w:autoSpaceDN/>
        <w:bidi w:val="0"/>
        <w:adjustRightInd/>
        <w:snapToGrid/>
        <w:spacing w:line="312" w:lineRule="auto"/>
        <w:ind w:right="88"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1.除《中华人民共和国政府采购法》第五十条规定的情形外，本合同一经签订，甲乙双方不得擅自变更、中止或终止。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lang w:val="en-US" w:eastAsia="zh-CN"/>
        </w:rPr>
        <w:t>2</w:t>
      </w:r>
      <w:r>
        <w:rPr>
          <w:rFonts w:hint="default" w:ascii="Arial" w:hAnsi="Arial" w:eastAsia="宋体" w:cs="Arial"/>
          <w:color w:val="auto"/>
          <w:spacing w:val="0"/>
          <w:sz w:val="21"/>
          <w:szCs w:val="21"/>
          <w:highlight w:val="none"/>
        </w:rPr>
        <w:t>.采购合同继续履行将损害国家利益和社会公共利益的，双方当事人应当变更、中止或者终止合同。有过错的一方应当承担赔偿责任，双方都有过错的，各自承担相应的责任。</w:t>
      </w:r>
    </w:p>
    <w:p>
      <w:pPr>
        <w:pStyle w:val="5"/>
        <w:pageBreakBefore w:val="0"/>
        <w:kinsoku/>
        <w:wordWrap/>
        <w:overflowPunct/>
        <w:topLinePunct w:val="0"/>
        <w:bidi w:val="0"/>
        <w:adjustRightInd/>
        <w:snapToGrid/>
        <w:spacing w:before="0" w:after="0" w:line="312" w:lineRule="auto"/>
        <w:ind w:firstLine="422" w:firstLineChars="200"/>
        <w:textAlignment w:val="auto"/>
        <w:rPr>
          <w:rFonts w:hint="default" w:ascii="Arial" w:hAnsi="Arial" w:cs="Arial"/>
          <w:sz w:val="21"/>
          <w:szCs w:val="21"/>
          <w:highlight w:val="none"/>
        </w:rPr>
      </w:pPr>
      <w:bookmarkStart w:id="122" w:name="_Toc19048"/>
      <w:r>
        <w:rPr>
          <w:rFonts w:hint="default" w:ascii="Arial" w:hAnsi="Arial" w:cs="Arial"/>
          <w:sz w:val="21"/>
          <w:szCs w:val="21"/>
          <w:highlight w:val="none"/>
        </w:rPr>
        <w:t>第</w:t>
      </w:r>
      <w:r>
        <w:rPr>
          <w:rFonts w:hint="default" w:ascii="Arial" w:hAnsi="Arial" w:cs="Arial"/>
          <w:sz w:val="21"/>
          <w:szCs w:val="21"/>
          <w:highlight w:val="none"/>
          <w:lang w:val="en-US" w:eastAsia="zh-CN"/>
        </w:rPr>
        <w:t>二十</w:t>
      </w:r>
      <w:r>
        <w:rPr>
          <w:rFonts w:hint="default" w:ascii="Arial" w:hAnsi="Arial" w:cs="Arial"/>
          <w:sz w:val="21"/>
          <w:szCs w:val="21"/>
          <w:highlight w:val="none"/>
        </w:rPr>
        <w:t>条</w:t>
      </w:r>
      <w:r>
        <w:rPr>
          <w:rFonts w:hint="default" w:ascii="Arial" w:hAnsi="Arial" w:cs="Arial"/>
          <w:sz w:val="21"/>
          <w:szCs w:val="21"/>
          <w:highlight w:val="none"/>
          <w:lang w:val="en-US" w:eastAsia="zh-CN"/>
        </w:rPr>
        <w:t xml:space="preserve"> </w:t>
      </w:r>
      <w:r>
        <w:rPr>
          <w:rFonts w:hint="default" w:ascii="Arial" w:hAnsi="Arial" w:cs="Arial"/>
          <w:sz w:val="21"/>
          <w:szCs w:val="21"/>
          <w:highlight w:val="none"/>
        </w:rPr>
        <w:t>签订本合同依据</w:t>
      </w:r>
      <w:bookmarkEnd w:id="122"/>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1</w:t>
      </w:r>
      <w:r>
        <w:rPr>
          <w:rFonts w:hint="default" w:ascii="Arial" w:hAnsi="Arial" w:eastAsia="宋体" w:cs="Arial"/>
          <w:color w:val="auto"/>
          <w:spacing w:val="0"/>
          <w:sz w:val="21"/>
          <w:szCs w:val="21"/>
          <w:highlight w:val="none"/>
          <w:lang w:val="en-US" w:eastAsia="zh-CN"/>
        </w:rPr>
        <w:t>.</w:t>
      </w:r>
      <w:r>
        <w:rPr>
          <w:rFonts w:hint="default" w:ascii="Arial" w:hAnsi="Arial" w:eastAsia="宋体" w:cs="Arial"/>
          <w:color w:val="auto"/>
          <w:spacing w:val="0"/>
          <w:sz w:val="21"/>
          <w:szCs w:val="21"/>
          <w:highlight w:val="none"/>
          <w:lang w:eastAsia="zh-CN"/>
        </w:rPr>
        <w:t>招标</w:t>
      </w:r>
      <w:r>
        <w:rPr>
          <w:rFonts w:hint="default" w:ascii="Arial" w:hAnsi="Arial" w:eastAsia="宋体" w:cs="Arial"/>
          <w:color w:val="auto"/>
          <w:spacing w:val="0"/>
          <w:sz w:val="21"/>
          <w:szCs w:val="21"/>
          <w:highlight w:val="none"/>
        </w:rPr>
        <w:t>文件；</w:t>
      </w:r>
    </w:p>
    <w:p>
      <w:pPr>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lang w:val="en-US" w:eastAsia="zh-CN"/>
        </w:rPr>
        <w:t>2.</w:t>
      </w:r>
      <w:r>
        <w:rPr>
          <w:rFonts w:hint="default" w:ascii="Arial" w:hAnsi="Arial" w:eastAsia="宋体" w:cs="Arial"/>
          <w:color w:val="auto"/>
          <w:spacing w:val="0"/>
          <w:sz w:val="21"/>
          <w:szCs w:val="21"/>
          <w:highlight w:val="none"/>
        </w:rPr>
        <w:t xml:space="preserve">乙方提供的响应件； </w:t>
      </w:r>
    </w:p>
    <w:p>
      <w:pPr>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lang w:val="en-US" w:eastAsia="zh-CN"/>
        </w:rPr>
        <w:t>3.</w:t>
      </w:r>
      <w:r>
        <w:rPr>
          <w:rFonts w:hint="default" w:ascii="Arial" w:hAnsi="Arial" w:eastAsia="宋体" w:cs="Arial"/>
          <w:color w:val="auto"/>
          <w:spacing w:val="0"/>
          <w:sz w:val="21"/>
          <w:szCs w:val="21"/>
          <w:highlight w:val="none"/>
        </w:rPr>
        <w:t>售后服务承诺书；</w:t>
      </w:r>
    </w:p>
    <w:p>
      <w:pPr>
        <w:keepNext w:val="0"/>
        <w:keepLines w:val="0"/>
        <w:pageBreakBefore w:val="0"/>
        <w:widowControl w:val="0"/>
        <w:kinsoku/>
        <w:wordWrap/>
        <w:overflowPunct/>
        <w:topLinePunct w:val="0"/>
        <w:autoSpaceDE/>
        <w:autoSpaceDN/>
        <w:bidi w:val="0"/>
        <w:adjustRightInd/>
        <w:snapToGrid/>
        <w:spacing w:line="312" w:lineRule="auto"/>
        <w:ind w:left="0" w:firstLine="420" w:firstLineChars="200"/>
        <w:textAlignment w:val="auto"/>
        <w:rPr>
          <w:rFonts w:hint="default" w:ascii="Arial" w:hAnsi="Arial" w:eastAsia="宋体" w:cs="Arial"/>
          <w:color w:val="auto"/>
          <w:spacing w:val="0"/>
          <w:sz w:val="21"/>
          <w:szCs w:val="21"/>
          <w:highlight w:val="none"/>
        </w:rPr>
      </w:pPr>
      <w:r>
        <w:rPr>
          <w:rFonts w:hint="default" w:ascii="Arial" w:hAnsi="Arial" w:eastAsia="宋体" w:cs="Arial"/>
          <w:color w:val="auto"/>
          <w:spacing w:val="0"/>
          <w:sz w:val="21"/>
          <w:szCs w:val="21"/>
          <w:highlight w:val="none"/>
        </w:rPr>
        <w:t>4</w:t>
      </w:r>
      <w:r>
        <w:rPr>
          <w:rFonts w:hint="default" w:ascii="Arial" w:hAnsi="Arial" w:eastAsia="宋体" w:cs="Arial"/>
          <w:color w:val="auto"/>
          <w:spacing w:val="0"/>
          <w:sz w:val="21"/>
          <w:szCs w:val="21"/>
          <w:highlight w:val="none"/>
          <w:lang w:val="en-US" w:eastAsia="zh-CN"/>
        </w:rPr>
        <w:t>.</w:t>
      </w:r>
      <w:r>
        <w:rPr>
          <w:rFonts w:hint="default" w:ascii="Arial" w:hAnsi="Arial" w:eastAsia="宋体" w:cs="Arial"/>
          <w:color w:val="auto"/>
          <w:spacing w:val="0"/>
          <w:sz w:val="21"/>
          <w:szCs w:val="21"/>
          <w:highlight w:val="none"/>
        </w:rPr>
        <w:t>中标(成交)通知书</w:t>
      </w:r>
      <w:r>
        <w:rPr>
          <w:rFonts w:hint="default" w:ascii="Arial" w:hAnsi="Arial" w:eastAsia="宋体" w:cs="Arial"/>
          <w:color w:val="auto"/>
          <w:spacing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left="0" w:firstLine="420" w:firstLineChars="200"/>
        <w:textAlignment w:val="auto"/>
        <w:rPr>
          <w:rFonts w:hint="default" w:ascii="Arial" w:hAnsi="Arial" w:eastAsia="宋体" w:cs="Arial"/>
          <w:color w:val="auto"/>
          <w:spacing w:val="0"/>
          <w:sz w:val="21"/>
          <w:szCs w:val="21"/>
          <w:highlight w:val="none"/>
          <w:lang w:val="en-US" w:eastAsia="zh-CN"/>
        </w:rPr>
      </w:pPr>
      <w:r>
        <w:rPr>
          <w:rFonts w:hint="default" w:ascii="Arial" w:hAnsi="Arial" w:eastAsia="宋体" w:cs="Arial"/>
          <w:color w:val="auto"/>
          <w:spacing w:val="0"/>
          <w:sz w:val="21"/>
          <w:szCs w:val="21"/>
          <w:highlight w:val="none"/>
          <w:lang w:val="en-US" w:eastAsia="zh-CN"/>
        </w:rPr>
        <w:t>5.供应商资质、授权等。</w:t>
      </w:r>
    </w:p>
    <w:p>
      <w:pPr>
        <w:keepNext w:val="0"/>
        <w:keepLines w:val="0"/>
        <w:pageBreakBefore w:val="0"/>
        <w:kinsoku/>
        <w:wordWrap/>
        <w:overflowPunct/>
        <w:topLinePunct w:val="0"/>
        <w:bidi w:val="0"/>
        <w:adjustRightInd/>
        <w:snapToGrid/>
        <w:spacing w:line="312" w:lineRule="auto"/>
        <w:ind w:firstLine="422" w:firstLineChars="200"/>
        <w:textAlignment w:val="auto"/>
        <w:rPr>
          <w:rFonts w:hint="default" w:ascii="Arial" w:hAnsi="Arial" w:eastAsia="宋体" w:cs="Arial"/>
          <w:b/>
          <w:bCs/>
          <w:color w:val="auto"/>
          <w:spacing w:val="0"/>
          <w:sz w:val="21"/>
          <w:szCs w:val="21"/>
          <w:highlight w:val="none"/>
          <w:lang w:val="en-US" w:eastAsia="zh-CN"/>
        </w:rPr>
      </w:pPr>
      <w:r>
        <w:rPr>
          <w:rFonts w:hint="default" w:ascii="Arial" w:hAnsi="Arial" w:eastAsia="宋体" w:cs="Arial"/>
          <w:b/>
          <w:bCs/>
          <w:color w:val="auto"/>
          <w:spacing w:val="0"/>
          <w:sz w:val="21"/>
          <w:szCs w:val="21"/>
          <w:highlight w:val="none"/>
        </w:rPr>
        <w:t>第</w:t>
      </w:r>
      <w:r>
        <w:rPr>
          <w:rFonts w:hint="default" w:ascii="Arial" w:hAnsi="Arial" w:eastAsia="宋体" w:cs="Arial"/>
          <w:b/>
          <w:bCs/>
          <w:color w:val="auto"/>
          <w:spacing w:val="0"/>
          <w:sz w:val="21"/>
          <w:szCs w:val="21"/>
          <w:highlight w:val="none"/>
          <w:lang w:val="en-US" w:eastAsia="zh-CN"/>
        </w:rPr>
        <w:t>二十一</w:t>
      </w:r>
      <w:r>
        <w:rPr>
          <w:rFonts w:hint="default" w:ascii="Arial" w:hAnsi="Arial" w:eastAsia="宋体" w:cs="Arial"/>
          <w:b/>
          <w:bCs/>
          <w:color w:val="auto"/>
          <w:spacing w:val="0"/>
          <w:sz w:val="21"/>
          <w:szCs w:val="21"/>
          <w:highlight w:val="none"/>
        </w:rPr>
        <w:t>条</w:t>
      </w:r>
      <w:r>
        <w:rPr>
          <w:rFonts w:hint="default" w:ascii="Arial" w:hAnsi="Arial" w:eastAsia="宋体" w:cs="Arial"/>
          <w:b/>
          <w:bCs/>
          <w:color w:val="auto"/>
          <w:spacing w:val="0"/>
          <w:sz w:val="21"/>
          <w:szCs w:val="21"/>
          <w:highlight w:val="none"/>
          <w:lang w:val="en-US" w:eastAsia="zh-CN"/>
        </w:rPr>
        <w:t xml:space="preserve"> 其他</w:t>
      </w:r>
    </w:p>
    <w:p>
      <w:pPr>
        <w:keepNext w:val="0"/>
        <w:keepLines w:val="0"/>
        <w:pageBreakBefore w:val="0"/>
        <w:widowControl w:val="0"/>
        <w:kinsoku/>
        <w:wordWrap/>
        <w:overflowPunct/>
        <w:topLinePunct w:val="0"/>
        <w:autoSpaceDE/>
        <w:autoSpaceDN/>
        <w:bidi w:val="0"/>
        <w:adjustRightInd/>
        <w:snapToGrid/>
        <w:spacing w:line="312" w:lineRule="auto"/>
        <w:ind w:firstLine="412" w:firstLineChars="200"/>
        <w:textAlignment w:val="auto"/>
        <w:rPr>
          <w:rFonts w:hint="default" w:ascii="Arial" w:hAnsi="Arial" w:eastAsia="宋体" w:cs="Arial"/>
          <w:color w:val="auto"/>
          <w:sz w:val="21"/>
          <w:szCs w:val="21"/>
          <w:highlight w:val="none"/>
        </w:rPr>
      </w:pPr>
      <w:r>
        <w:rPr>
          <w:rFonts w:hint="default" w:ascii="Arial" w:hAnsi="Arial" w:eastAsia="宋体" w:cs="Arial"/>
          <w:color w:val="auto"/>
          <w:spacing w:val="-2"/>
          <w:sz w:val="21"/>
          <w:szCs w:val="21"/>
          <w:highlight w:val="none"/>
        </w:rPr>
        <w:t>本合同一式陆份，具有同等法律效力。甲方肆份，乙方壹份，采购代理机构壹份。</w:t>
      </w:r>
    </w:p>
    <w:p>
      <w:pPr>
        <w:keepNext w:val="0"/>
        <w:keepLines w:val="0"/>
        <w:pageBreakBefore w:val="0"/>
        <w:kinsoku/>
        <w:wordWrap/>
        <w:overflowPunct/>
        <w:topLinePunct w:val="0"/>
        <w:bidi w:val="0"/>
        <w:adjustRightInd/>
        <w:snapToGrid/>
        <w:spacing w:line="312" w:lineRule="auto"/>
        <w:textAlignment w:val="auto"/>
        <w:rPr>
          <w:rFonts w:hint="default" w:ascii="Arial" w:hAnsi="Arial" w:eastAsia="宋体" w:cs="Arial"/>
          <w:color w:val="auto"/>
          <w:sz w:val="21"/>
          <w:szCs w:val="21"/>
          <w:highlight w:val="none"/>
        </w:rPr>
      </w:pPr>
      <w:r>
        <w:rPr>
          <w:rFonts w:hint="default" w:ascii="Arial" w:hAnsi="Arial" w:eastAsia="宋体" w:cs="Arial"/>
          <w:b/>
          <w:bCs/>
          <w:color w:val="auto"/>
          <w:spacing w:val="9"/>
          <w:sz w:val="21"/>
          <w:szCs w:val="21"/>
          <w:highlight w:val="none"/>
        </w:rPr>
        <w:t>(以下无正文，为签署页)</w:t>
      </w:r>
    </w:p>
    <w:tbl>
      <w:tblPr>
        <w:tblStyle w:val="262"/>
        <w:tblW w:w="95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2"/>
        <w:gridCol w:w="4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5062" w:type="dxa"/>
            <w:noWrap w:val="0"/>
            <w:vAlign w:val="top"/>
          </w:tcPr>
          <w:p>
            <w:pPr>
              <w:pStyle w:val="261"/>
              <w:keepNext w:val="0"/>
              <w:keepLines w:val="0"/>
              <w:pageBreakBefore w:val="0"/>
              <w:kinsoku/>
              <w:wordWrap/>
              <w:overflowPunct/>
              <w:topLinePunct w:val="0"/>
              <w:bidi w:val="0"/>
              <w:adjustRightInd/>
              <w:snapToGrid/>
              <w:spacing w:line="312" w:lineRule="auto"/>
              <w:ind w:left="115" w:right="393"/>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甲方(章)广西壮族自治区南溪山医</w:t>
            </w:r>
            <w:r>
              <w:rPr>
                <w:rFonts w:hint="default" w:ascii="Arial" w:hAnsi="Arial" w:eastAsia="宋体" w:cs="Arial"/>
                <w:color w:val="auto"/>
                <w:sz w:val="21"/>
                <w:szCs w:val="21"/>
                <w:highlight w:val="none"/>
              </w:rPr>
              <w:t xml:space="preserve"> </w:t>
            </w:r>
            <w:r>
              <w:rPr>
                <w:rFonts w:hint="default" w:ascii="Arial" w:hAnsi="Arial" w:eastAsia="宋体" w:cs="Arial"/>
                <w:color w:val="auto"/>
                <w:spacing w:val="3"/>
                <w:sz w:val="21"/>
                <w:szCs w:val="21"/>
                <w:highlight w:val="none"/>
              </w:rPr>
              <w:t>院(广西壮族自治区第二人民医院)</w:t>
            </w:r>
          </w:p>
        </w:tc>
        <w:tc>
          <w:tcPr>
            <w:tcW w:w="4524" w:type="dxa"/>
            <w:noWrap w:val="0"/>
            <w:vAlign w:val="top"/>
          </w:tcPr>
          <w:p>
            <w:pPr>
              <w:pStyle w:val="261"/>
              <w:keepNext w:val="0"/>
              <w:keepLines w:val="0"/>
              <w:pageBreakBefore w:val="0"/>
              <w:kinsoku/>
              <w:wordWrap/>
              <w:overflowPunct/>
              <w:topLinePunct w:val="0"/>
              <w:bidi w:val="0"/>
              <w:adjustRightInd/>
              <w:snapToGrid/>
              <w:spacing w:line="312" w:lineRule="auto"/>
              <w:ind w:left="135"/>
              <w:textAlignment w:val="auto"/>
              <w:rPr>
                <w:rFonts w:hint="default" w:ascii="Arial" w:hAnsi="Arial" w:eastAsia="宋体" w:cs="Arial"/>
                <w:color w:val="auto"/>
                <w:sz w:val="21"/>
                <w:szCs w:val="21"/>
                <w:highlight w:val="none"/>
              </w:rPr>
            </w:pPr>
            <w:r>
              <w:rPr>
                <w:rFonts w:hint="default" w:ascii="Arial" w:hAnsi="Arial" w:eastAsia="宋体" w:cs="Arial"/>
                <w:color w:val="auto"/>
                <w:spacing w:val="12"/>
                <w:sz w:val="21"/>
                <w:szCs w:val="21"/>
                <w:highlight w:val="none"/>
              </w:rPr>
              <w:t>乙方(章)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5062" w:type="dxa"/>
            <w:noWrap w:val="0"/>
            <w:vAlign w:val="top"/>
          </w:tcPr>
          <w:p>
            <w:pPr>
              <w:pStyle w:val="261"/>
              <w:keepNext w:val="0"/>
              <w:keepLines w:val="0"/>
              <w:pageBreakBefore w:val="0"/>
              <w:kinsoku/>
              <w:wordWrap/>
              <w:overflowPunct/>
              <w:topLinePunct w:val="0"/>
              <w:bidi w:val="0"/>
              <w:adjustRightInd/>
              <w:snapToGrid/>
              <w:spacing w:line="312" w:lineRule="auto"/>
              <w:ind w:left="125"/>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单位地址：桂林市象山区崇信路46号</w:t>
            </w:r>
          </w:p>
        </w:tc>
        <w:tc>
          <w:tcPr>
            <w:tcW w:w="4524" w:type="dxa"/>
            <w:noWrap w:val="0"/>
            <w:vAlign w:val="top"/>
          </w:tcPr>
          <w:p>
            <w:pPr>
              <w:pStyle w:val="261"/>
              <w:keepNext w:val="0"/>
              <w:keepLines w:val="0"/>
              <w:pageBreakBefore w:val="0"/>
              <w:kinsoku/>
              <w:wordWrap/>
              <w:overflowPunct/>
              <w:topLinePunct w:val="0"/>
              <w:bidi w:val="0"/>
              <w:adjustRightInd/>
              <w:snapToGrid/>
              <w:spacing w:line="312" w:lineRule="auto"/>
              <w:ind w:left="135"/>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5062" w:type="dxa"/>
            <w:noWrap w:val="0"/>
            <w:vAlign w:val="top"/>
          </w:tcPr>
          <w:p>
            <w:pPr>
              <w:pStyle w:val="261"/>
              <w:keepNext w:val="0"/>
              <w:keepLines w:val="0"/>
              <w:pageBreakBefore w:val="0"/>
              <w:kinsoku/>
              <w:wordWrap/>
              <w:overflowPunct/>
              <w:topLinePunct w:val="0"/>
              <w:bidi w:val="0"/>
              <w:adjustRightInd/>
              <w:snapToGrid/>
              <w:spacing w:line="312" w:lineRule="auto"/>
              <w:ind w:left="115"/>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法定代表人：</w:t>
            </w:r>
          </w:p>
        </w:tc>
        <w:tc>
          <w:tcPr>
            <w:tcW w:w="4524" w:type="dxa"/>
            <w:noWrap w:val="0"/>
            <w:vAlign w:val="top"/>
          </w:tcPr>
          <w:p>
            <w:pPr>
              <w:pStyle w:val="261"/>
              <w:keepNext w:val="0"/>
              <w:keepLines w:val="0"/>
              <w:pageBreakBefore w:val="0"/>
              <w:kinsoku/>
              <w:wordWrap/>
              <w:overflowPunct/>
              <w:topLinePunct w:val="0"/>
              <w:bidi w:val="0"/>
              <w:adjustRightInd/>
              <w:snapToGrid/>
              <w:spacing w:line="312" w:lineRule="auto"/>
              <w:ind w:left="135"/>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5062" w:type="dxa"/>
            <w:noWrap w:val="0"/>
            <w:vAlign w:val="top"/>
          </w:tcPr>
          <w:p>
            <w:pPr>
              <w:pStyle w:val="261"/>
              <w:keepNext w:val="0"/>
              <w:keepLines w:val="0"/>
              <w:pageBreakBefore w:val="0"/>
              <w:kinsoku/>
              <w:wordWrap/>
              <w:overflowPunct/>
              <w:topLinePunct w:val="0"/>
              <w:bidi w:val="0"/>
              <w:adjustRightInd/>
              <w:snapToGrid/>
              <w:spacing w:line="312" w:lineRule="auto"/>
              <w:ind w:left="115"/>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委托代理人：</w:t>
            </w:r>
          </w:p>
        </w:tc>
        <w:tc>
          <w:tcPr>
            <w:tcW w:w="4524" w:type="dxa"/>
            <w:noWrap w:val="0"/>
            <w:vAlign w:val="top"/>
          </w:tcPr>
          <w:p>
            <w:pPr>
              <w:pStyle w:val="261"/>
              <w:keepNext w:val="0"/>
              <w:keepLines w:val="0"/>
              <w:pageBreakBefore w:val="0"/>
              <w:kinsoku/>
              <w:wordWrap/>
              <w:overflowPunct/>
              <w:topLinePunct w:val="0"/>
              <w:bidi w:val="0"/>
              <w:adjustRightInd/>
              <w:snapToGrid/>
              <w:spacing w:line="312" w:lineRule="auto"/>
              <w:jc w:val="both"/>
              <w:textAlignment w:val="auto"/>
              <w:rPr>
                <w:rFonts w:hint="default" w:ascii="Arial" w:hAnsi="Arial" w:eastAsia="宋体" w:cs="Arial"/>
                <w:color w:val="auto"/>
                <w:position w:val="1"/>
                <w:sz w:val="21"/>
                <w:szCs w:val="21"/>
                <w:highlight w:val="none"/>
              </w:rPr>
            </w:pPr>
            <w:r>
              <w:rPr>
                <w:rFonts w:hint="default" w:ascii="Arial" w:hAnsi="Arial" w:eastAsia="宋体" w:cs="Arial"/>
                <w:color w:val="auto"/>
                <w:position w:val="1"/>
                <w:sz w:val="21"/>
                <w:szCs w:val="21"/>
                <w:highlight w:val="none"/>
              </w:rPr>
              <w:t xml:space="preserve">委托代理人：            </w:t>
            </w:r>
          </w:p>
          <w:p>
            <w:pPr>
              <w:pStyle w:val="261"/>
              <w:keepNext w:val="0"/>
              <w:keepLines w:val="0"/>
              <w:pageBreakBefore w:val="0"/>
              <w:kinsoku/>
              <w:wordWrap/>
              <w:overflowPunct/>
              <w:topLinePunct w:val="0"/>
              <w:bidi w:val="0"/>
              <w:adjustRightInd/>
              <w:snapToGrid/>
              <w:spacing w:line="312" w:lineRule="auto"/>
              <w:jc w:val="both"/>
              <w:textAlignment w:val="auto"/>
              <w:rPr>
                <w:rFonts w:hint="default" w:ascii="Arial" w:hAnsi="Arial" w:eastAsia="宋体" w:cs="Arial"/>
                <w:color w:val="auto"/>
                <w:sz w:val="21"/>
                <w:szCs w:val="21"/>
                <w:highlight w:val="none"/>
              </w:rPr>
            </w:pPr>
            <w:r>
              <w:rPr>
                <w:rFonts w:hint="default" w:ascii="Arial" w:hAnsi="Arial" w:eastAsia="宋体" w:cs="Arial"/>
                <w:color w:val="auto"/>
                <w:position w:val="-1"/>
                <w:sz w:val="21"/>
                <w:szCs w:val="21"/>
                <w:highlight w:val="none"/>
              </w:rPr>
              <w:t>手机号：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5062" w:type="dxa"/>
            <w:noWrap w:val="0"/>
            <w:vAlign w:val="top"/>
          </w:tcPr>
          <w:p>
            <w:pPr>
              <w:pStyle w:val="261"/>
              <w:keepNext w:val="0"/>
              <w:keepLines w:val="0"/>
              <w:pageBreakBefore w:val="0"/>
              <w:kinsoku/>
              <w:wordWrap/>
              <w:overflowPunct/>
              <w:topLinePunct w:val="0"/>
              <w:bidi w:val="0"/>
              <w:adjustRightInd/>
              <w:snapToGrid/>
              <w:spacing w:line="312" w:lineRule="auto"/>
              <w:ind w:left="115"/>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电话：0773-3831227</w:t>
            </w:r>
          </w:p>
        </w:tc>
        <w:tc>
          <w:tcPr>
            <w:tcW w:w="4524" w:type="dxa"/>
            <w:noWrap w:val="0"/>
            <w:vAlign w:val="top"/>
          </w:tcPr>
          <w:p>
            <w:pPr>
              <w:pStyle w:val="261"/>
              <w:keepNext w:val="0"/>
              <w:keepLines w:val="0"/>
              <w:pageBreakBefore w:val="0"/>
              <w:kinsoku/>
              <w:wordWrap/>
              <w:overflowPunct/>
              <w:topLinePunct w:val="0"/>
              <w:bidi w:val="0"/>
              <w:adjustRightInd/>
              <w:snapToGrid/>
              <w:spacing w:line="312" w:lineRule="auto"/>
              <w:ind w:left="135"/>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5062" w:type="dxa"/>
            <w:noWrap w:val="0"/>
            <w:vAlign w:val="top"/>
          </w:tcPr>
          <w:p>
            <w:pPr>
              <w:pStyle w:val="261"/>
              <w:keepNext w:val="0"/>
              <w:keepLines w:val="0"/>
              <w:pageBreakBefore w:val="0"/>
              <w:kinsoku/>
              <w:wordWrap/>
              <w:overflowPunct/>
              <w:topLinePunct w:val="0"/>
              <w:bidi w:val="0"/>
              <w:adjustRightInd/>
              <w:snapToGrid/>
              <w:spacing w:line="312" w:lineRule="auto"/>
              <w:ind w:left="115"/>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电子邮箱：nysbk3831227@163.com</w:t>
            </w:r>
          </w:p>
        </w:tc>
        <w:tc>
          <w:tcPr>
            <w:tcW w:w="4524" w:type="dxa"/>
            <w:noWrap w:val="0"/>
            <w:vAlign w:val="top"/>
          </w:tcPr>
          <w:p>
            <w:pPr>
              <w:pStyle w:val="261"/>
              <w:keepNext w:val="0"/>
              <w:keepLines w:val="0"/>
              <w:pageBreakBefore w:val="0"/>
              <w:kinsoku/>
              <w:wordWrap/>
              <w:overflowPunct/>
              <w:topLinePunct w:val="0"/>
              <w:bidi w:val="0"/>
              <w:adjustRightInd/>
              <w:snapToGrid/>
              <w:spacing w:line="312" w:lineRule="auto"/>
              <w:ind w:left="135"/>
              <w:textAlignment w:val="auto"/>
              <w:rPr>
                <w:rFonts w:hint="default" w:ascii="Arial" w:hAnsi="Arial" w:eastAsia="宋体" w:cs="Arial"/>
                <w:color w:val="auto"/>
                <w:sz w:val="21"/>
                <w:szCs w:val="21"/>
                <w:highlight w:val="none"/>
              </w:rPr>
            </w:pPr>
            <w:r>
              <w:rPr>
                <w:rFonts w:hint="default" w:ascii="Arial" w:hAnsi="Arial" w:eastAsia="宋体" w:cs="Arial"/>
                <w:color w:val="auto"/>
                <w:sz w:val="21"/>
                <w:szCs w:val="21"/>
                <w:highlight w:val="none"/>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5062" w:type="dxa"/>
            <w:noWrap w:val="0"/>
            <w:vAlign w:val="top"/>
          </w:tcPr>
          <w:p>
            <w:pPr>
              <w:pStyle w:val="261"/>
              <w:keepNext w:val="0"/>
              <w:keepLines w:val="0"/>
              <w:pageBreakBefore w:val="0"/>
              <w:kinsoku/>
              <w:wordWrap/>
              <w:overflowPunct/>
              <w:topLinePunct w:val="0"/>
              <w:bidi w:val="0"/>
              <w:adjustRightInd/>
              <w:snapToGrid/>
              <w:spacing w:line="312" w:lineRule="auto"/>
              <w:ind w:left="115"/>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纳税人识别号：12450000498502373N</w:t>
            </w:r>
          </w:p>
        </w:tc>
        <w:tc>
          <w:tcPr>
            <w:tcW w:w="4524" w:type="dxa"/>
            <w:noWrap w:val="0"/>
            <w:vAlign w:val="top"/>
          </w:tcPr>
          <w:p>
            <w:pPr>
              <w:pStyle w:val="261"/>
              <w:keepNext w:val="0"/>
              <w:keepLines w:val="0"/>
              <w:pageBreakBefore w:val="0"/>
              <w:kinsoku/>
              <w:wordWrap/>
              <w:overflowPunct/>
              <w:topLinePunct w:val="0"/>
              <w:bidi w:val="0"/>
              <w:adjustRightInd/>
              <w:snapToGrid/>
              <w:spacing w:line="312" w:lineRule="auto"/>
              <w:ind w:left="135"/>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纳税人识别号：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jc w:val="center"/>
        </w:trPr>
        <w:tc>
          <w:tcPr>
            <w:tcW w:w="5062" w:type="dxa"/>
            <w:noWrap w:val="0"/>
            <w:vAlign w:val="top"/>
          </w:tcPr>
          <w:p>
            <w:pPr>
              <w:pStyle w:val="261"/>
              <w:keepNext w:val="0"/>
              <w:keepLines w:val="0"/>
              <w:pageBreakBefore w:val="0"/>
              <w:kinsoku/>
              <w:wordWrap/>
              <w:overflowPunct/>
              <w:topLinePunct w:val="0"/>
              <w:bidi w:val="0"/>
              <w:adjustRightInd/>
              <w:snapToGrid/>
              <w:spacing w:line="312" w:lineRule="auto"/>
              <w:ind w:left="115" w:right="158"/>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开户银行：中国建设银行股份有限公</w:t>
            </w:r>
            <w:r>
              <w:rPr>
                <w:rFonts w:hint="default" w:ascii="Arial" w:hAnsi="Arial" w:eastAsia="宋体" w:cs="Arial"/>
                <w:color w:val="auto"/>
                <w:sz w:val="21"/>
                <w:szCs w:val="21"/>
                <w:highlight w:val="none"/>
              </w:rPr>
              <w:t xml:space="preserve"> </w:t>
            </w:r>
            <w:r>
              <w:rPr>
                <w:rFonts w:hint="default" w:ascii="Arial" w:hAnsi="Arial" w:eastAsia="宋体" w:cs="Arial"/>
                <w:color w:val="auto"/>
                <w:spacing w:val="2"/>
                <w:sz w:val="21"/>
                <w:szCs w:val="21"/>
                <w:highlight w:val="none"/>
              </w:rPr>
              <w:t>司桂林城南支行</w:t>
            </w:r>
          </w:p>
        </w:tc>
        <w:tc>
          <w:tcPr>
            <w:tcW w:w="4524" w:type="dxa"/>
            <w:noWrap w:val="0"/>
            <w:vAlign w:val="top"/>
          </w:tcPr>
          <w:p>
            <w:pPr>
              <w:pStyle w:val="261"/>
              <w:keepNext w:val="0"/>
              <w:keepLines w:val="0"/>
              <w:pageBreakBefore w:val="0"/>
              <w:kinsoku/>
              <w:wordWrap/>
              <w:overflowPunct/>
              <w:topLinePunct w:val="0"/>
              <w:bidi w:val="0"/>
              <w:adjustRightInd/>
              <w:snapToGrid/>
              <w:spacing w:line="312" w:lineRule="auto"/>
              <w:ind w:left="135"/>
              <w:textAlignment w:val="auto"/>
              <w:rPr>
                <w:rFonts w:hint="default" w:ascii="Arial" w:hAnsi="Arial" w:eastAsia="宋体" w:cs="Arial"/>
                <w:color w:val="auto"/>
                <w:sz w:val="21"/>
                <w:szCs w:val="21"/>
                <w:highlight w:val="none"/>
              </w:rPr>
            </w:pPr>
            <w:r>
              <w:rPr>
                <w:rFonts w:hint="default" w:ascii="Arial" w:hAnsi="Arial" w:eastAsia="宋体" w:cs="Arial"/>
                <w:color w:val="auto"/>
                <w:spacing w:val="-1"/>
                <w:sz w:val="21"/>
                <w:szCs w:val="21"/>
                <w:highlight w:val="none"/>
              </w:rPr>
              <w:t>开户银行：</w:t>
            </w:r>
          </w:p>
        </w:tc>
      </w:tr>
    </w:tbl>
    <w:p>
      <w:pPr>
        <w:keepNext w:val="0"/>
        <w:keepLines w:val="0"/>
        <w:pageBreakBefore w:val="0"/>
        <w:kinsoku/>
        <w:wordWrap/>
        <w:overflowPunct/>
        <w:topLinePunct w:val="0"/>
        <w:bidi w:val="0"/>
        <w:adjustRightInd/>
        <w:snapToGrid/>
        <w:spacing w:line="312" w:lineRule="auto"/>
        <w:textAlignment w:val="auto"/>
        <w:rPr>
          <w:rFonts w:hint="default" w:ascii="Arial" w:hAnsi="Arial" w:eastAsia="宋体" w:cs="Arial"/>
          <w:sz w:val="21"/>
          <w:szCs w:val="21"/>
          <w:highlight w:val="none"/>
        </w:rPr>
      </w:pPr>
    </w:p>
    <w:p>
      <w:pPr>
        <w:keepNext w:val="0"/>
        <w:keepLines w:val="0"/>
        <w:pageBreakBefore w:val="0"/>
        <w:kinsoku/>
        <w:wordWrap/>
        <w:overflowPunct/>
        <w:topLinePunct w:val="0"/>
        <w:bidi w:val="0"/>
        <w:adjustRightInd/>
        <w:snapToGrid/>
        <w:spacing w:line="312" w:lineRule="auto"/>
        <w:ind w:left="0"/>
        <w:textAlignment w:val="auto"/>
        <w:rPr>
          <w:rFonts w:hint="default" w:ascii="Arial" w:hAnsi="Arial" w:eastAsia="宋体" w:cs="Arial"/>
          <w:sz w:val="21"/>
          <w:szCs w:val="21"/>
          <w:highlight w:val="none"/>
          <w:lang w:eastAsia="zh-CN"/>
        </w:rPr>
      </w:pPr>
      <w:bookmarkStart w:id="123" w:name="bookmark69"/>
      <w:bookmarkEnd w:id="123"/>
      <w:r>
        <w:rPr>
          <w:rFonts w:hint="default" w:ascii="Arial" w:hAnsi="Arial" w:eastAsia="宋体" w:cs="Arial"/>
          <w:b w:val="0"/>
          <w:bCs w:val="0"/>
          <w:color w:val="auto"/>
          <w:spacing w:val="-1"/>
          <w:sz w:val="21"/>
          <w:szCs w:val="21"/>
          <w:highlight w:val="none"/>
        </w:rPr>
        <w:t>注：乙方合同签订开户银行及银行账号与乙方开具付款发票开户银行及</w:t>
      </w:r>
      <w:r>
        <w:rPr>
          <w:rFonts w:hint="default" w:ascii="Arial" w:hAnsi="Arial" w:eastAsia="宋体" w:cs="Arial"/>
          <w:b w:val="0"/>
          <w:bCs w:val="0"/>
          <w:color w:val="auto"/>
          <w:spacing w:val="1"/>
          <w:sz w:val="21"/>
          <w:szCs w:val="21"/>
          <w:highlight w:val="none"/>
        </w:rPr>
        <w:t>银行账号完全一致</w:t>
      </w:r>
      <w:r>
        <w:rPr>
          <w:rFonts w:hint="default" w:ascii="Arial" w:hAnsi="Arial" w:eastAsia="宋体" w:cs="Arial"/>
          <w:b w:val="0"/>
          <w:bCs w:val="0"/>
          <w:color w:val="auto"/>
          <w:spacing w:val="1"/>
          <w:sz w:val="21"/>
          <w:szCs w:val="21"/>
          <w:highlight w:val="none"/>
          <w:lang w:eastAsia="zh-CN"/>
        </w:rPr>
        <w:t>。</w:t>
      </w:r>
    </w:p>
    <w:p>
      <w:pPr>
        <w:pStyle w:val="38"/>
        <w:rPr>
          <w:rFonts w:hint="eastAsia" w:ascii="宋体" w:hAnsi="宋体" w:eastAsia="宋体" w:cs="宋体"/>
          <w:sz w:val="24"/>
          <w:szCs w:val="24"/>
          <w:highlight w:val="none"/>
          <w:shd w:val="clear" w:color="auto" w:fill="FFFFFF"/>
        </w:rPr>
      </w:pPr>
    </w:p>
    <w:p>
      <w:pPr>
        <w:adjustRightInd w:val="0"/>
        <w:spacing w:line="520" w:lineRule="exact"/>
        <w:rPr>
          <w:rFonts w:ascii="Arial" w:hAnsi="Arial" w:cs="Arial"/>
          <w:color w:val="auto"/>
          <w:szCs w:val="21"/>
          <w:highlight w:val="none"/>
        </w:rPr>
      </w:pPr>
    </w:p>
    <w:p>
      <w:pPr>
        <w:pStyle w:val="68"/>
        <w:rPr>
          <w:rFonts w:ascii="Arial" w:hAnsi="Arial" w:cs="Arial"/>
          <w:color w:val="auto"/>
          <w:highlight w:val="none"/>
        </w:rPr>
      </w:pPr>
    </w:p>
    <w:p>
      <w:pPr>
        <w:rPr>
          <w:rFonts w:ascii="Arial" w:hAnsi="Arial" w:cs="Arial"/>
          <w:color w:val="auto"/>
          <w:highlight w:val="none"/>
        </w:rPr>
      </w:pPr>
    </w:p>
    <w:p>
      <w:pPr>
        <w:widowControl/>
        <w:jc w:val="left"/>
        <w:rPr>
          <w:rFonts w:ascii="Arial" w:hAnsi="Arial" w:eastAsia="仿宋" w:cs="Arial"/>
          <w:color w:val="auto"/>
          <w:szCs w:val="21"/>
          <w:highlight w:val="none"/>
          <w:u w:val="single"/>
        </w:rPr>
      </w:pPr>
    </w:p>
    <w:p>
      <w:pPr>
        <w:widowControl/>
        <w:jc w:val="left"/>
        <w:rPr>
          <w:rFonts w:ascii="Arial" w:hAnsi="Arial" w:cs="Arial"/>
          <w:b/>
          <w:bCs/>
          <w:color w:val="auto"/>
          <w:szCs w:val="21"/>
          <w:highlight w:val="none"/>
        </w:rPr>
      </w:pPr>
      <w:r>
        <w:rPr>
          <w:rFonts w:ascii="Arial" w:hAnsi="Arial" w:cs="Arial"/>
          <w:color w:val="auto"/>
          <w:highlight w:val="none"/>
        </w:rPr>
        <w:br w:type="page"/>
      </w:r>
      <w:bookmarkStart w:id="124" w:name="_Hlk77607667"/>
    </w:p>
    <w:bookmarkEnd w:id="124"/>
    <w:p>
      <w:pPr>
        <w:pStyle w:val="3"/>
        <w:ind w:firstLine="0" w:firstLineChars="0"/>
        <w:rPr>
          <w:rFonts w:ascii="Arial" w:hAnsi="Arial" w:eastAsia="宋体" w:cs="Arial"/>
          <w:color w:val="auto"/>
          <w:highlight w:val="none"/>
        </w:rPr>
      </w:pPr>
    </w:p>
    <w:p>
      <w:pPr>
        <w:pStyle w:val="29"/>
        <w:snapToGrid w:val="0"/>
        <w:spacing w:before="120" w:after="120" w:line="320" w:lineRule="exact"/>
        <w:jc w:val="center"/>
        <w:outlineLvl w:val="0"/>
        <w:rPr>
          <w:rFonts w:ascii="Arial" w:hAnsi="Arial" w:cs="Arial"/>
          <w:color w:val="auto"/>
          <w:sz w:val="32"/>
          <w:szCs w:val="32"/>
          <w:highlight w:val="none"/>
        </w:rPr>
      </w:pPr>
      <w:bookmarkStart w:id="125" w:name="_Toc21747"/>
      <w:r>
        <w:rPr>
          <w:rFonts w:ascii="Arial" w:hAnsi="Arial" w:cs="Arial"/>
          <w:color w:val="auto"/>
          <w:sz w:val="32"/>
          <w:szCs w:val="32"/>
          <w:highlight w:val="none"/>
        </w:rPr>
        <w:t>第六章  投标文件格式</w:t>
      </w:r>
      <w:bookmarkEnd w:id="125"/>
    </w:p>
    <w:p>
      <w:pPr>
        <w:rPr>
          <w:rFonts w:ascii="Arial" w:hAnsi="Arial" w:cs="Arial"/>
          <w:color w:val="auto"/>
          <w:sz w:val="28"/>
          <w:szCs w:val="28"/>
          <w:highlight w:val="none"/>
        </w:rPr>
      </w:pPr>
    </w:p>
    <w:p>
      <w:pPr>
        <w:rPr>
          <w:rFonts w:ascii="Arial" w:hAnsi="Arial" w:cs="Arial"/>
          <w:color w:val="auto"/>
          <w:sz w:val="28"/>
          <w:szCs w:val="28"/>
          <w:highlight w:val="none"/>
        </w:rPr>
      </w:pPr>
    </w:p>
    <w:p>
      <w:pPr>
        <w:spacing w:line="500" w:lineRule="exact"/>
        <w:ind w:firstLine="560" w:firstLineChars="200"/>
        <w:rPr>
          <w:rFonts w:ascii="Arial" w:hAnsi="Arial" w:cs="Arial"/>
          <w:color w:val="auto"/>
          <w:sz w:val="28"/>
          <w:szCs w:val="28"/>
          <w:highlight w:val="none"/>
        </w:rPr>
      </w:pPr>
      <w:bookmarkStart w:id="126" w:name="_Hlk19114175"/>
      <w:r>
        <w:rPr>
          <w:rFonts w:ascii="Arial" w:hAnsi="Arial" w:cs="Arial"/>
          <w:color w:val="auto"/>
          <w:sz w:val="28"/>
          <w:szCs w:val="28"/>
          <w:highlight w:val="none"/>
        </w:rPr>
        <w:t>注：本章标注“必须提供”的，应按要求必须提供；有签字、盖章要求的应按要求签字、盖章。未标注“必须提供”的，供应商可自行决定是否提供。</w:t>
      </w:r>
    </w:p>
    <w:bookmarkEnd w:id="126"/>
    <w:p>
      <w:pPr>
        <w:spacing w:line="500" w:lineRule="exact"/>
        <w:ind w:firstLine="480" w:firstLineChars="200"/>
        <w:rPr>
          <w:rFonts w:ascii="Arial" w:hAnsi="Arial" w:cs="Arial"/>
          <w:color w:val="auto"/>
          <w:sz w:val="24"/>
          <w:highlight w:val="none"/>
        </w:rPr>
      </w:pPr>
    </w:p>
    <w:p>
      <w:pPr>
        <w:spacing w:line="500" w:lineRule="exact"/>
        <w:ind w:firstLine="480" w:firstLineChars="200"/>
        <w:rPr>
          <w:rFonts w:ascii="Arial" w:hAnsi="Arial" w:cs="Arial"/>
          <w:bCs/>
          <w:color w:val="auto"/>
          <w:sz w:val="24"/>
          <w:highlight w:val="none"/>
        </w:rPr>
      </w:pPr>
      <w:r>
        <w:rPr>
          <w:rFonts w:ascii="Arial" w:hAnsi="Arial" w:cs="Arial"/>
          <w:color w:val="auto"/>
          <w:sz w:val="24"/>
          <w:highlight w:val="none"/>
        </w:rPr>
        <w:br w:type="page"/>
      </w:r>
      <w:bookmarkEnd w:id="0"/>
      <w:bookmarkEnd w:id="1"/>
      <w:r>
        <w:rPr>
          <w:rFonts w:ascii="Arial" w:hAnsi="Arial" w:cs="Arial"/>
          <w:bCs/>
          <w:color w:val="auto"/>
          <w:sz w:val="24"/>
          <w:highlight w:val="none"/>
        </w:rPr>
        <w:t>一、投标文件第1个密封袋的包装封面参考格式：</w:t>
      </w:r>
    </w:p>
    <w:p>
      <w:pPr>
        <w:rPr>
          <w:rFonts w:ascii="Arial" w:hAnsi="Arial" w:cs="Arial"/>
          <w:color w:val="auto"/>
          <w:highlight w:val="none"/>
        </w:rPr>
      </w:pPr>
    </w:p>
    <w:p>
      <w:pPr>
        <w:snapToGrid w:val="0"/>
        <w:spacing w:before="120" w:beforeLines="50" w:after="50" w:line="440" w:lineRule="exact"/>
        <w:jc w:val="center"/>
        <w:rPr>
          <w:rFonts w:ascii="Arial" w:hAnsi="Arial" w:cs="Arial"/>
          <w:bCs/>
          <w:color w:val="auto"/>
          <w:sz w:val="24"/>
          <w:highlight w:val="none"/>
        </w:rPr>
      </w:pPr>
    </w:p>
    <w:p>
      <w:pPr>
        <w:snapToGrid w:val="0"/>
        <w:spacing w:before="120" w:beforeLines="50" w:after="50" w:line="44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 标 文 件</w:t>
      </w:r>
    </w:p>
    <w:p>
      <w:pPr>
        <w:snapToGrid w:val="0"/>
        <w:spacing w:before="120" w:beforeLines="50" w:after="50" w:line="440" w:lineRule="exact"/>
        <w:rPr>
          <w:rFonts w:ascii="Arial" w:hAnsi="Arial" w:cs="Arial"/>
          <w:bCs/>
          <w:color w:val="auto"/>
          <w:sz w:val="24"/>
          <w:highlight w:val="none"/>
        </w:rPr>
      </w:pPr>
    </w:p>
    <w:p>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项目编号： </w:t>
      </w:r>
    </w:p>
    <w:p>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pPr>
        <w:pStyle w:val="9"/>
        <w:snapToGrid w:val="0"/>
        <w:spacing w:before="50" w:after="50" w:line="440" w:lineRule="exact"/>
        <w:ind w:left="718" w:leftChars="342" w:firstLine="0"/>
        <w:rPr>
          <w:rFonts w:ascii="Arial" w:hAnsi="Arial" w:cs="Arial"/>
          <w:bCs/>
          <w:color w:val="auto"/>
          <w:sz w:val="24"/>
          <w:highlight w:val="none"/>
        </w:rPr>
      </w:pPr>
      <w:r>
        <w:rPr>
          <w:rFonts w:ascii="Arial" w:hAnsi="Arial" w:cs="Arial"/>
          <w:bCs/>
          <w:color w:val="auto"/>
          <w:sz w:val="24"/>
          <w:szCs w:val="24"/>
          <w:highlight w:val="none"/>
        </w:rPr>
        <w:t>投标文件名称：第一册</w:t>
      </w:r>
      <w:r>
        <w:rPr>
          <w:rFonts w:ascii="Arial" w:hAnsi="Arial" w:cs="Arial"/>
          <w:bCs/>
          <w:color w:val="auto"/>
          <w:sz w:val="24"/>
          <w:highlight w:val="none"/>
        </w:rPr>
        <w:t>资格审查文件、第二册</w:t>
      </w:r>
      <w:r>
        <w:rPr>
          <w:rFonts w:ascii="Arial" w:hAnsi="Arial" w:cs="Arial"/>
          <w:bCs/>
          <w:color w:val="auto"/>
          <w:sz w:val="24"/>
          <w:szCs w:val="24"/>
          <w:highlight w:val="none"/>
        </w:rPr>
        <w:t>商务技术报价文件</w:t>
      </w:r>
    </w:p>
    <w:p>
      <w:pPr>
        <w:pStyle w:val="3"/>
        <w:ind w:left="559" w:leftChars="133" w:hanging="280" w:hangingChars="100"/>
        <w:rPr>
          <w:rFonts w:ascii="Arial" w:hAnsi="Arial" w:eastAsia="宋体" w:cs="Arial"/>
          <w:bCs/>
          <w:color w:val="auto"/>
          <w:sz w:val="28"/>
          <w:szCs w:val="28"/>
          <w:highlight w:val="none"/>
        </w:rPr>
      </w:pPr>
      <w:bookmarkStart w:id="127" w:name="_Toc20319_WPSOffice_Level2"/>
      <w:bookmarkStart w:id="128" w:name="_Toc4932_WPSOffice_Level2"/>
    </w:p>
    <w:p>
      <w:pPr>
        <w:pStyle w:val="3"/>
        <w:ind w:left="559" w:leftChars="133" w:hanging="280" w:hangingChars="100"/>
        <w:rPr>
          <w:rFonts w:ascii="Arial" w:hAnsi="Arial" w:eastAsia="宋体" w:cs="Arial"/>
          <w:bCs/>
          <w:color w:val="auto"/>
          <w:sz w:val="28"/>
          <w:szCs w:val="28"/>
          <w:highlight w:val="none"/>
        </w:rPr>
      </w:pPr>
    </w:p>
    <w:p>
      <w:pPr>
        <w:pStyle w:val="3"/>
        <w:ind w:left="559" w:leftChars="133" w:hanging="280" w:hangingChars="100"/>
        <w:rPr>
          <w:rFonts w:ascii="Arial" w:hAnsi="Arial" w:eastAsia="宋体" w:cs="Arial"/>
          <w:bCs/>
          <w:color w:val="auto"/>
          <w:sz w:val="28"/>
          <w:szCs w:val="28"/>
          <w:highlight w:val="none"/>
        </w:rPr>
      </w:pPr>
    </w:p>
    <w:bookmarkEnd w:id="127"/>
    <w:bookmarkEnd w:id="128"/>
    <w:p>
      <w:pPr>
        <w:pStyle w:val="3"/>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pStyle w:val="3"/>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pPr>
        <w:pStyle w:val="3"/>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pStyle w:val="3"/>
        <w:spacing w:line="360" w:lineRule="auto"/>
        <w:ind w:left="479" w:leftChars="228" w:firstLine="0" w:firstLineChars="0"/>
        <w:rPr>
          <w:rFonts w:ascii="Arial" w:hAnsi="Arial" w:eastAsia="宋体" w:cs="Arial"/>
          <w:bCs/>
          <w:color w:val="auto"/>
          <w:sz w:val="24"/>
          <w:szCs w:val="24"/>
          <w:highlight w:val="none"/>
        </w:rPr>
      </w:pPr>
      <w:bookmarkStart w:id="129" w:name="_Toc15933_WPSOffice_Level2"/>
      <w:bookmarkStart w:id="130" w:name="_Toc26465_WPSOffice_Level2"/>
      <w:r>
        <w:rPr>
          <w:rFonts w:ascii="Arial" w:hAnsi="Arial" w:eastAsia="宋体" w:cs="Arial"/>
          <w:bCs/>
          <w:color w:val="auto"/>
          <w:sz w:val="24"/>
          <w:szCs w:val="24"/>
          <w:highlight w:val="none"/>
        </w:rPr>
        <w:t>日期：</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年</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月</w:t>
      </w:r>
      <w:r>
        <w:rPr>
          <w:rFonts w:ascii="Arial" w:hAnsi="Arial" w:eastAsia="宋体" w:cs="Arial"/>
          <w:bCs/>
          <w:color w:val="auto"/>
          <w:sz w:val="28"/>
          <w:szCs w:val="28"/>
          <w:highlight w:val="none"/>
          <w:u w:val="single"/>
        </w:rPr>
        <w:t xml:space="preserve">      </w:t>
      </w:r>
      <w:r>
        <w:rPr>
          <w:rFonts w:ascii="Arial" w:hAnsi="Arial" w:eastAsia="宋体" w:cs="Arial"/>
          <w:bCs/>
          <w:color w:val="auto"/>
          <w:sz w:val="24"/>
          <w:szCs w:val="24"/>
          <w:highlight w:val="none"/>
        </w:rPr>
        <w:t>日</w:t>
      </w:r>
      <w:bookmarkEnd w:id="129"/>
      <w:bookmarkEnd w:id="130"/>
    </w:p>
    <w:p>
      <w:pPr>
        <w:pStyle w:val="9"/>
        <w:snapToGrid w:val="0"/>
        <w:spacing w:before="50" w:after="50" w:line="360" w:lineRule="auto"/>
        <w:ind w:left="718" w:leftChars="342" w:firstLine="0"/>
        <w:rPr>
          <w:rFonts w:ascii="Arial" w:hAnsi="Arial" w:cs="Arial"/>
          <w:bCs/>
          <w:color w:val="auto"/>
          <w:sz w:val="24"/>
          <w:highlight w:val="none"/>
        </w:rPr>
      </w:pPr>
    </w:p>
    <w:p>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color w:val="auto"/>
          <w:sz w:val="24"/>
          <w:highlight w:val="none"/>
        </w:rPr>
        <w:br w:type="page"/>
      </w:r>
      <w:r>
        <w:rPr>
          <w:rFonts w:ascii="Arial" w:hAnsi="Arial" w:cs="Arial"/>
          <w:bCs/>
          <w:color w:val="auto"/>
          <w:sz w:val="24"/>
          <w:highlight w:val="none"/>
        </w:rPr>
        <w:t xml:space="preserve">1．投标文件第一册封面参考格式： </w:t>
      </w:r>
    </w:p>
    <w:p>
      <w:pPr>
        <w:snapToGrid w:val="0"/>
        <w:spacing w:before="120" w:beforeLines="50" w:after="50" w:line="360" w:lineRule="exact"/>
        <w:rPr>
          <w:rFonts w:ascii="Arial" w:hAnsi="Arial" w:cs="Arial"/>
          <w:color w:val="auto"/>
          <w:sz w:val="24"/>
          <w:highlight w:val="none"/>
        </w:rPr>
      </w:pPr>
    </w:p>
    <w:p>
      <w:pPr>
        <w:snapToGrid w:val="0"/>
        <w:spacing w:before="120" w:beforeLines="50" w:after="50" w:line="360" w:lineRule="exact"/>
        <w:jc w:val="center"/>
        <w:rPr>
          <w:rFonts w:ascii="Arial" w:hAnsi="Arial" w:cs="Arial"/>
          <w:bCs/>
          <w:color w:val="auto"/>
          <w:sz w:val="24"/>
          <w:highlight w:val="none"/>
        </w:rPr>
      </w:pPr>
    </w:p>
    <w:p>
      <w:pPr>
        <w:pStyle w:val="29"/>
        <w:rPr>
          <w:rFonts w:ascii="Arial" w:hAnsi="Arial" w:cs="Arial"/>
          <w:color w:val="auto"/>
          <w:highlight w:val="none"/>
        </w:rPr>
      </w:pPr>
    </w:p>
    <w:p>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投标文件</w:t>
      </w:r>
    </w:p>
    <w:p>
      <w:pPr>
        <w:snapToGrid w:val="0"/>
        <w:spacing w:before="120" w:beforeLines="50" w:after="50" w:line="360" w:lineRule="exact"/>
        <w:jc w:val="center"/>
        <w:rPr>
          <w:rFonts w:ascii="Arial" w:hAnsi="Arial" w:cs="Arial"/>
          <w:b/>
          <w:bCs/>
          <w:color w:val="auto"/>
          <w:sz w:val="44"/>
          <w:szCs w:val="44"/>
          <w:highlight w:val="none"/>
        </w:rPr>
      </w:pPr>
    </w:p>
    <w:p>
      <w:pPr>
        <w:snapToGrid w:val="0"/>
        <w:spacing w:before="120" w:beforeLines="50" w:after="50" w:line="360" w:lineRule="exact"/>
        <w:jc w:val="center"/>
        <w:rPr>
          <w:rFonts w:ascii="Arial" w:hAnsi="Arial" w:cs="Arial"/>
          <w:b/>
          <w:bCs/>
          <w:color w:val="auto"/>
          <w:sz w:val="44"/>
          <w:szCs w:val="44"/>
          <w:highlight w:val="none"/>
        </w:rPr>
      </w:pPr>
    </w:p>
    <w:p>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第一册  资格审查文件</w:t>
      </w:r>
    </w:p>
    <w:p>
      <w:pPr>
        <w:snapToGrid w:val="0"/>
        <w:spacing w:before="120" w:beforeLines="50" w:after="50" w:line="360" w:lineRule="exact"/>
        <w:rPr>
          <w:rFonts w:ascii="Arial" w:hAnsi="Arial" w:cs="Arial"/>
          <w:bCs/>
          <w:color w:val="auto"/>
          <w:sz w:val="24"/>
          <w:highlight w:val="none"/>
        </w:rPr>
      </w:pPr>
    </w:p>
    <w:p>
      <w:pPr>
        <w:snapToGrid w:val="0"/>
        <w:spacing w:before="120" w:beforeLines="50" w:after="50" w:line="360" w:lineRule="exact"/>
        <w:rPr>
          <w:rFonts w:ascii="Arial" w:hAnsi="Arial" w:cs="Arial"/>
          <w:bCs/>
          <w:color w:val="auto"/>
          <w:sz w:val="24"/>
          <w:highlight w:val="none"/>
        </w:rPr>
      </w:pPr>
    </w:p>
    <w:p>
      <w:pPr>
        <w:snapToGrid w:val="0"/>
        <w:spacing w:before="120" w:beforeLines="50" w:after="50" w:line="360" w:lineRule="exact"/>
        <w:rPr>
          <w:rFonts w:ascii="Arial" w:hAnsi="Arial" w:cs="Arial"/>
          <w:bCs/>
          <w:color w:val="auto"/>
          <w:sz w:val="24"/>
          <w:highlight w:val="none"/>
        </w:rPr>
      </w:pP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pPr>
        <w:pStyle w:val="3"/>
        <w:spacing w:line="360" w:lineRule="auto"/>
        <w:ind w:firstLine="0" w:firstLineChars="0"/>
        <w:rPr>
          <w:rFonts w:ascii="Arial" w:hAnsi="Arial" w:eastAsia="宋体" w:cs="Arial"/>
          <w:bCs/>
          <w:color w:val="auto"/>
          <w:sz w:val="24"/>
          <w:szCs w:val="24"/>
          <w:highlight w:val="none"/>
        </w:rPr>
      </w:pPr>
    </w:p>
    <w:p>
      <w:pPr>
        <w:pStyle w:val="3"/>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pStyle w:val="3"/>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pPr>
        <w:pStyle w:val="3"/>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snapToGrid w:val="0"/>
        <w:spacing w:before="120" w:beforeLines="50" w:after="50" w:line="360" w:lineRule="exact"/>
        <w:jc w:val="center"/>
        <w:rPr>
          <w:rFonts w:ascii="Arial" w:hAnsi="Arial" w:cs="Arial"/>
          <w:color w:val="auto"/>
          <w:sz w:val="24"/>
          <w:highlight w:val="none"/>
        </w:rPr>
      </w:pPr>
      <w:r>
        <w:rPr>
          <w:rFonts w:ascii="Arial" w:hAnsi="Arial" w:cs="Arial"/>
          <w:bCs/>
          <w:color w:val="auto"/>
          <w:sz w:val="24"/>
          <w:highlight w:val="none"/>
        </w:rPr>
        <w:t>日期：</w:t>
      </w:r>
      <w:r>
        <w:rPr>
          <w:rFonts w:ascii="Arial" w:hAnsi="Arial" w:cs="Arial"/>
          <w:bCs/>
          <w:color w:val="auto"/>
          <w:sz w:val="28"/>
          <w:szCs w:val="28"/>
          <w:highlight w:val="none"/>
          <w:u w:val="single"/>
        </w:rPr>
        <w:t xml:space="preserve">      </w:t>
      </w:r>
      <w:r>
        <w:rPr>
          <w:rFonts w:ascii="Arial" w:hAnsi="Arial" w:cs="Arial"/>
          <w:bCs/>
          <w:color w:val="auto"/>
          <w:sz w:val="24"/>
          <w:highlight w:val="none"/>
        </w:rPr>
        <w:t>年</w:t>
      </w:r>
      <w:r>
        <w:rPr>
          <w:rFonts w:ascii="Arial" w:hAnsi="Arial" w:cs="Arial"/>
          <w:bCs/>
          <w:color w:val="auto"/>
          <w:sz w:val="28"/>
          <w:szCs w:val="28"/>
          <w:highlight w:val="none"/>
          <w:u w:val="single"/>
        </w:rPr>
        <w:t xml:space="preserve">      </w:t>
      </w:r>
      <w:r>
        <w:rPr>
          <w:rFonts w:ascii="Arial" w:hAnsi="Arial" w:cs="Arial"/>
          <w:bCs/>
          <w:color w:val="auto"/>
          <w:sz w:val="24"/>
          <w:highlight w:val="none"/>
        </w:rPr>
        <w:t>月</w:t>
      </w:r>
      <w:r>
        <w:rPr>
          <w:rFonts w:ascii="Arial" w:hAnsi="Arial" w:cs="Arial"/>
          <w:bCs/>
          <w:color w:val="auto"/>
          <w:sz w:val="28"/>
          <w:szCs w:val="28"/>
          <w:highlight w:val="none"/>
          <w:u w:val="single"/>
        </w:rPr>
        <w:t xml:space="preserve">      </w:t>
      </w:r>
      <w:r>
        <w:rPr>
          <w:rFonts w:ascii="Arial" w:hAnsi="Arial" w:cs="Arial"/>
          <w:bCs/>
          <w:color w:val="auto"/>
          <w:sz w:val="24"/>
          <w:highlight w:val="none"/>
        </w:rPr>
        <w:t>日</w:t>
      </w:r>
    </w:p>
    <w:p>
      <w:pPr>
        <w:rPr>
          <w:rFonts w:ascii="Arial" w:hAnsi="Arial" w:cs="Arial"/>
          <w:color w:val="auto"/>
          <w:highlight w:val="none"/>
        </w:rPr>
      </w:pPr>
      <w:bookmarkStart w:id="131" w:name="_Toc254970557"/>
      <w:bookmarkStart w:id="132" w:name="_Toc254970698"/>
      <w:r>
        <w:rPr>
          <w:rFonts w:ascii="Arial" w:hAnsi="Arial" w:cs="Arial"/>
          <w:color w:val="auto"/>
          <w:highlight w:val="none"/>
        </w:rPr>
        <w:br w:type="page"/>
      </w:r>
      <w:bookmarkEnd w:id="131"/>
      <w:bookmarkEnd w:id="132"/>
      <w:r>
        <w:rPr>
          <w:rFonts w:ascii="Arial" w:hAnsi="Arial" w:cs="Arial"/>
          <w:b/>
          <w:bCs/>
          <w:color w:val="auto"/>
          <w:highlight w:val="none"/>
        </w:rPr>
        <w:t xml:space="preserve"> </w:t>
      </w:r>
    </w:p>
    <w:p>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br w:type="page"/>
      </w:r>
    </w:p>
    <w:p>
      <w:pPr>
        <w:snapToGrid w:val="0"/>
        <w:spacing w:before="50" w:after="50" w:line="440" w:lineRule="exact"/>
        <w:jc w:val="left"/>
        <w:rPr>
          <w:rFonts w:ascii="Arial" w:hAnsi="Arial" w:cs="Arial"/>
          <w:b/>
          <w:color w:val="auto"/>
          <w:szCs w:val="21"/>
          <w:highlight w:val="none"/>
        </w:rPr>
      </w:pPr>
      <w:bookmarkStart w:id="133" w:name="_Hlk19114217"/>
      <w:r>
        <w:rPr>
          <w:rFonts w:ascii="Arial" w:hAnsi="Arial" w:cs="Arial"/>
          <w:b/>
          <w:color w:val="auto"/>
          <w:szCs w:val="21"/>
          <w:highlight w:val="none"/>
        </w:rPr>
        <w:t>1．投标声明书格式（必须提供）：</w:t>
      </w:r>
    </w:p>
    <w:p>
      <w:pPr>
        <w:snapToGrid w:val="0"/>
        <w:spacing w:before="120" w:beforeLines="50" w:after="50" w:line="360" w:lineRule="exact"/>
        <w:jc w:val="center"/>
        <w:rPr>
          <w:rFonts w:ascii="Arial" w:hAnsi="Arial" w:cs="Arial"/>
          <w:b/>
          <w:color w:val="auto"/>
          <w:szCs w:val="21"/>
          <w:highlight w:val="none"/>
        </w:rPr>
      </w:pPr>
    </w:p>
    <w:p>
      <w:pPr>
        <w:snapToGrid w:val="0"/>
        <w:spacing w:before="120" w:beforeLines="50" w:after="50" w:line="360" w:lineRule="exact"/>
        <w:jc w:val="center"/>
        <w:rPr>
          <w:rFonts w:ascii="Arial" w:hAnsi="Arial" w:cs="Arial"/>
          <w:b/>
          <w:color w:val="auto"/>
          <w:szCs w:val="21"/>
          <w:highlight w:val="none"/>
        </w:rPr>
      </w:pPr>
      <w:r>
        <w:rPr>
          <w:rFonts w:ascii="Arial" w:hAnsi="Arial" w:cs="Arial"/>
          <w:b/>
          <w:color w:val="auto"/>
          <w:szCs w:val="21"/>
          <w:highlight w:val="none"/>
        </w:rPr>
        <w:t>投标声明书</w:t>
      </w:r>
    </w:p>
    <w:p>
      <w:pPr>
        <w:snapToGrid w:val="0"/>
        <w:spacing w:before="120" w:beforeLines="50" w:after="50" w:line="360" w:lineRule="exact"/>
        <w:jc w:val="center"/>
        <w:rPr>
          <w:rFonts w:ascii="Arial" w:hAnsi="Arial" w:cs="Arial"/>
          <w:color w:val="auto"/>
          <w:szCs w:val="21"/>
          <w:highlight w:val="none"/>
        </w:rPr>
      </w:pPr>
    </w:p>
    <w:p>
      <w:pPr>
        <w:snapToGrid w:val="0"/>
        <w:spacing w:before="120" w:beforeLines="50" w:after="50" w:line="360" w:lineRule="exact"/>
        <w:rPr>
          <w:rFonts w:ascii="Arial" w:hAnsi="Arial" w:cs="Arial"/>
          <w:color w:val="auto"/>
          <w:szCs w:val="21"/>
          <w:highlight w:val="none"/>
        </w:rPr>
      </w:pPr>
      <w:r>
        <w:rPr>
          <w:rFonts w:ascii="Arial" w:hAnsi="Arial" w:cs="Arial"/>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pPr>
        <w:snapToGrid w:val="0"/>
        <w:spacing w:before="120" w:beforeLines="50" w:after="50" w:line="360" w:lineRule="exact"/>
        <w:ind w:firstLine="630" w:firstLineChars="300"/>
        <w:rPr>
          <w:rFonts w:ascii="Arial" w:hAnsi="Arial" w:cs="Arial"/>
          <w:color w:val="auto"/>
          <w:szCs w:val="21"/>
          <w:highlight w:val="none"/>
        </w:rPr>
      </w:pPr>
      <w:r>
        <w:rPr>
          <w:rFonts w:ascii="Arial" w:hAnsi="Arial" w:cs="Arial"/>
          <w:i/>
          <w:iCs/>
          <w:color w:val="auto"/>
          <w:szCs w:val="21"/>
          <w:highlight w:val="none"/>
          <w:u w:val="single"/>
        </w:rPr>
        <w:t>（供应商名称）</w:t>
      </w:r>
      <w:r>
        <w:rPr>
          <w:rFonts w:ascii="Arial" w:hAnsi="Arial" w:cs="Arial"/>
          <w:color w:val="auto"/>
          <w:szCs w:val="21"/>
          <w:highlight w:val="none"/>
        </w:rPr>
        <w:t>系中华人民共和国合法企业，</w:t>
      </w:r>
      <w:r>
        <w:rPr>
          <w:rFonts w:ascii="Arial" w:hAnsi="Arial" w:cs="Arial"/>
          <w:color w:val="auto"/>
          <w:szCs w:val="21"/>
          <w:highlight w:val="none"/>
          <w:u w:val="single"/>
        </w:rPr>
        <w:t xml:space="preserve"> </w:t>
      </w:r>
      <w:r>
        <w:rPr>
          <w:rFonts w:ascii="Arial" w:hAnsi="Arial" w:cs="Arial"/>
          <w:i/>
          <w:iCs/>
          <w:color w:val="auto"/>
          <w:szCs w:val="21"/>
          <w:highlight w:val="none"/>
          <w:u w:val="single"/>
        </w:rPr>
        <w:t xml:space="preserve"> （经营地址）</w:t>
      </w:r>
      <w:r>
        <w:rPr>
          <w:rFonts w:ascii="Arial" w:hAnsi="Arial" w:cs="Arial"/>
          <w:color w:val="auto"/>
          <w:szCs w:val="21"/>
          <w:highlight w:val="none"/>
        </w:rPr>
        <w:t>。</w:t>
      </w:r>
    </w:p>
    <w:p>
      <w:pPr>
        <w:snapToGrid w:val="0"/>
        <w:spacing w:before="120" w:beforeLines="50" w:after="50" w:line="360" w:lineRule="exact"/>
        <w:ind w:firstLine="645"/>
        <w:rPr>
          <w:rFonts w:ascii="Arial" w:hAnsi="Arial" w:cs="Arial"/>
          <w:color w:val="auto"/>
          <w:szCs w:val="21"/>
          <w:highlight w:val="none"/>
        </w:rPr>
      </w:pPr>
      <w:r>
        <w:rPr>
          <w:rFonts w:ascii="Arial" w:hAnsi="Arial" w:cs="Arial"/>
          <w:color w:val="auto"/>
          <w:szCs w:val="21"/>
          <w:highlight w:val="none"/>
        </w:rPr>
        <w:t>我</w:t>
      </w:r>
      <w:r>
        <w:rPr>
          <w:rFonts w:ascii="Arial" w:hAnsi="Arial" w:cs="Arial"/>
          <w:i/>
          <w:iCs/>
          <w:color w:val="auto"/>
          <w:szCs w:val="21"/>
          <w:highlight w:val="none"/>
          <w:u w:val="single"/>
        </w:rPr>
        <w:t xml:space="preserve">（姓名） </w:t>
      </w:r>
      <w:r>
        <w:rPr>
          <w:rFonts w:ascii="Arial" w:hAnsi="Arial" w:cs="Arial"/>
          <w:color w:val="auto"/>
          <w:szCs w:val="21"/>
          <w:highlight w:val="none"/>
        </w:rPr>
        <w:t>系</w:t>
      </w:r>
      <w:r>
        <w:rPr>
          <w:rFonts w:ascii="Arial" w:hAnsi="Arial" w:cs="Arial"/>
          <w:i/>
          <w:iCs/>
          <w:color w:val="auto"/>
          <w:szCs w:val="21"/>
          <w:highlight w:val="none"/>
          <w:u w:val="single"/>
        </w:rPr>
        <w:t>（供应商名称）</w:t>
      </w:r>
      <w:r>
        <w:rPr>
          <w:rFonts w:ascii="Arial" w:hAnsi="Arial" w:cs="Arial"/>
          <w:color w:val="auto"/>
          <w:szCs w:val="21"/>
          <w:highlight w:val="none"/>
        </w:rPr>
        <w:t xml:space="preserve">的法定代表人，我方愿意参加贵方组织的 </w:t>
      </w:r>
      <w:r>
        <w:rPr>
          <w:rFonts w:ascii="Arial" w:hAnsi="Arial" w:cs="Arial"/>
          <w:i/>
          <w:iCs/>
          <w:color w:val="auto"/>
          <w:szCs w:val="21"/>
          <w:highlight w:val="none"/>
          <w:u w:val="single"/>
        </w:rPr>
        <w:t xml:space="preserve">（项目名称） </w:t>
      </w:r>
      <w:r>
        <w:rPr>
          <w:rFonts w:ascii="Arial" w:hAnsi="Arial" w:cs="Arial"/>
          <w:color w:val="auto"/>
          <w:szCs w:val="21"/>
          <w:highlight w:val="none"/>
        </w:rPr>
        <w:t>项目的投标，为便于贵方公正、择优地确定中标供应商及其投标产品和服务，我方就本次投标有关事项郑重声明如下：</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（1）我方向贵方提交的所有投标文件、资料都是准确的和真实的。</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（3）我方承诺在参加本政府采购项目活动前，没有被纳入政府部门或银行认定的失信名单，我方具有良好的商业信誉。</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（5）我方承诺具有履行本项目合同所必需的设备和专业技术能力。</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6）我方承诺未被列入失信被执行人、重大税收违法失信主体、政府采购严重违法失信行为记录名单，如我方提供的声明不实，则接受本次投标作为否决投标的处理，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（7）我方承诺中标后按规定缴纳代理服务费。</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我方对以上声明负全部法律责任。如有虚假或隐瞒，我方愿意承担一切后果，并不再寻求任何旨在减轻或免除法律责任的辩解。</w:t>
      </w:r>
    </w:p>
    <w:bookmarkEnd w:id="133"/>
    <w:p>
      <w:pPr>
        <w:snapToGrid w:val="0"/>
        <w:spacing w:before="120" w:beforeLines="50" w:line="360" w:lineRule="exact"/>
        <w:ind w:firstLine="420" w:firstLineChars="200"/>
        <w:rPr>
          <w:rFonts w:ascii="Arial" w:hAnsi="Arial" w:cs="Arial"/>
          <w:color w:val="auto"/>
          <w:szCs w:val="21"/>
          <w:highlight w:val="none"/>
        </w:rPr>
      </w:pPr>
    </w:p>
    <w:p>
      <w:pPr>
        <w:snapToGrid w:val="0"/>
        <w:spacing w:before="120" w:beforeLines="50" w:line="360" w:lineRule="exact"/>
        <w:ind w:firstLine="3509" w:firstLineChars="1671"/>
        <w:rPr>
          <w:rFonts w:ascii="Arial" w:hAnsi="Arial" w:cs="Arial"/>
          <w:color w:val="auto"/>
          <w:szCs w:val="21"/>
          <w:highlight w:val="none"/>
          <w:u w:val="single"/>
        </w:rPr>
      </w:pPr>
      <w:r>
        <w:rPr>
          <w:rFonts w:ascii="Arial" w:hAnsi="Arial" w:cs="Arial"/>
          <w:color w:val="auto"/>
          <w:szCs w:val="21"/>
          <w:highlight w:val="none"/>
        </w:rPr>
        <w:t>法定代表人签字或个人CA签章：</w:t>
      </w:r>
    </w:p>
    <w:p>
      <w:pPr>
        <w:snapToGrid w:val="0"/>
        <w:spacing w:before="120" w:beforeLines="50" w:after="50" w:line="360" w:lineRule="exact"/>
        <w:ind w:firstLine="3570" w:firstLineChars="1700"/>
        <w:rPr>
          <w:rFonts w:ascii="Arial" w:hAnsi="Arial" w:cs="Arial"/>
          <w:color w:val="auto"/>
          <w:szCs w:val="21"/>
          <w:highlight w:val="none"/>
          <w:u w:val="singl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pPr>
        <w:snapToGrid w:val="0"/>
        <w:spacing w:before="120" w:beforeLines="50" w:after="50" w:line="360" w:lineRule="exact"/>
        <w:ind w:firstLine="3990" w:firstLineChars="1900"/>
        <w:rPr>
          <w:rFonts w:ascii="Arial" w:hAnsi="Arial" w:cs="Arial"/>
          <w:color w:val="auto"/>
          <w:szCs w:val="21"/>
          <w:highlight w:val="none"/>
        </w:rPr>
      </w:pPr>
      <w:r>
        <w:rPr>
          <w:rFonts w:ascii="Arial" w:hAnsi="Arial" w:cs="Arial"/>
          <w:color w:val="auto"/>
          <w:szCs w:val="21"/>
          <w:highlight w:val="none"/>
        </w:rPr>
        <w:t xml:space="preserve">  年月日</w:t>
      </w:r>
    </w:p>
    <w:p>
      <w:pPr>
        <w:snapToGrid w:val="0"/>
        <w:spacing w:before="120" w:beforeLines="50" w:after="50" w:line="288" w:lineRule="auto"/>
        <w:rPr>
          <w:rFonts w:ascii="Arial" w:hAnsi="Arial" w:cs="Arial"/>
          <w:color w:val="auto"/>
          <w:szCs w:val="21"/>
          <w:highlight w:val="none"/>
        </w:rPr>
      </w:pPr>
      <w:r>
        <w:rPr>
          <w:rFonts w:ascii="Arial" w:hAnsi="Arial" w:cs="Arial"/>
          <w:color w:val="auto"/>
          <w:szCs w:val="21"/>
          <w:highlight w:val="none"/>
        </w:rPr>
        <w:br w:type="page"/>
      </w:r>
      <w:r>
        <w:rPr>
          <w:rFonts w:ascii="Arial" w:hAnsi="Arial" w:cs="Arial"/>
          <w:color w:val="auto"/>
          <w:szCs w:val="21"/>
          <w:highlight w:val="none"/>
        </w:rPr>
        <w:t>2．供应商有效的“营业执照”或“事业单位法人证书”或“自然人的身份证明”副本复印件（加盖供应商CA签章）。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r>
        <w:rPr>
          <w:rFonts w:ascii="Arial" w:hAnsi="Arial" w:cs="Arial"/>
          <w:b/>
          <w:color w:val="auto"/>
          <w:szCs w:val="21"/>
          <w:highlight w:val="none"/>
        </w:rPr>
        <w:t>（必须提供）</w:t>
      </w:r>
    </w:p>
    <w:p>
      <w:pPr>
        <w:snapToGrid w:val="0"/>
        <w:spacing w:before="120" w:beforeLines="50" w:after="50" w:line="288" w:lineRule="auto"/>
        <w:rPr>
          <w:rFonts w:ascii="Arial" w:hAnsi="Arial" w:cs="Arial"/>
          <w:color w:val="auto"/>
          <w:szCs w:val="21"/>
          <w:highlight w:val="none"/>
        </w:rPr>
      </w:pPr>
    </w:p>
    <w:p>
      <w:pPr>
        <w:snapToGrid w:val="0"/>
        <w:spacing w:before="120" w:beforeLines="50" w:after="50" w:line="288" w:lineRule="auto"/>
        <w:rPr>
          <w:rFonts w:ascii="Arial" w:hAnsi="Arial" w:cs="Arial"/>
          <w:b/>
          <w:color w:val="auto"/>
          <w:szCs w:val="21"/>
          <w:highlight w:val="none"/>
        </w:rPr>
      </w:pPr>
      <w:r>
        <w:rPr>
          <w:rFonts w:hint="eastAsia" w:ascii="Arial" w:hAnsi="Arial" w:cs="Arial"/>
          <w:color w:val="auto"/>
          <w:szCs w:val="21"/>
          <w:highlight w:val="none"/>
        </w:rPr>
        <w:t>3</w:t>
      </w:r>
      <w:r>
        <w:rPr>
          <w:rFonts w:ascii="Arial" w:hAnsi="Arial" w:cs="Arial"/>
          <w:color w:val="auto"/>
          <w:szCs w:val="21"/>
          <w:highlight w:val="none"/>
        </w:rPr>
        <w:t>．财务状况报告（表）复印件或银行出具的资信证明复印件。</w:t>
      </w:r>
      <w:r>
        <w:rPr>
          <w:rFonts w:ascii="Arial" w:hAnsi="Arial" w:cs="Arial"/>
          <w:color w:val="auto"/>
          <w:highlight w:val="none"/>
        </w:rPr>
        <w:t>对于从取得营业执照时间起到截标时间为止不足1年的供应商，只需提交</w:t>
      </w:r>
      <w:r>
        <w:rPr>
          <w:rFonts w:ascii="Arial" w:hAnsi="Arial" w:cs="Arial"/>
          <w:color w:val="auto"/>
          <w:szCs w:val="21"/>
          <w:highlight w:val="none"/>
        </w:rPr>
        <w:t>截标时间前一个月的财务状况报告（表）复印件。（按“评标方法及评标标准” “资格审查表”规定提供）。（加盖供应商CA签章）。</w:t>
      </w:r>
      <w:r>
        <w:rPr>
          <w:rFonts w:ascii="Arial" w:hAnsi="Arial" w:cs="Arial"/>
          <w:b/>
          <w:color w:val="auto"/>
          <w:szCs w:val="21"/>
          <w:highlight w:val="none"/>
        </w:rPr>
        <w:t>（必须提供）</w:t>
      </w:r>
    </w:p>
    <w:p>
      <w:pPr>
        <w:snapToGrid w:val="0"/>
        <w:spacing w:before="120" w:beforeLines="50" w:after="50" w:line="288" w:lineRule="auto"/>
        <w:rPr>
          <w:rFonts w:ascii="Arial" w:hAnsi="Arial" w:cs="Arial"/>
          <w:color w:val="auto"/>
          <w:szCs w:val="21"/>
          <w:highlight w:val="none"/>
        </w:rPr>
      </w:pPr>
    </w:p>
    <w:p>
      <w:pPr>
        <w:snapToGrid w:val="0"/>
        <w:spacing w:before="120" w:beforeLines="50" w:after="50" w:line="288" w:lineRule="auto"/>
        <w:rPr>
          <w:rFonts w:ascii="Arial" w:hAnsi="Arial" w:cs="Arial"/>
          <w:color w:val="auto"/>
          <w:highlight w:val="none"/>
        </w:rPr>
      </w:pPr>
      <w:r>
        <w:rPr>
          <w:rFonts w:hint="eastAsia" w:ascii="Arial" w:hAnsi="Arial" w:cs="Arial"/>
          <w:color w:val="auto"/>
          <w:highlight w:val="none"/>
        </w:rPr>
        <w:t>4</w:t>
      </w:r>
      <w:r>
        <w:rPr>
          <w:rFonts w:ascii="Arial" w:hAnsi="Arial" w:cs="Arial"/>
          <w:color w:val="auto"/>
          <w:highlight w:val="none"/>
        </w:rPr>
        <w:t>．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color w:val="auto"/>
          <w:szCs w:val="21"/>
          <w:highlight w:val="none"/>
        </w:rPr>
        <w:t>（按“评标方法及评标标准” “资格审查表”规定提供）（加盖供应商CA签章）。</w:t>
      </w:r>
      <w:r>
        <w:rPr>
          <w:rFonts w:ascii="Arial" w:hAnsi="Arial" w:cs="Arial"/>
          <w:b/>
          <w:color w:val="auto"/>
          <w:szCs w:val="21"/>
          <w:highlight w:val="none"/>
        </w:rPr>
        <w:t>（必须提供）</w:t>
      </w:r>
    </w:p>
    <w:p>
      <w:pPr>
        <w:snapToGrid w:val="0"/>
        <w:spacing w:before="120" w:beforeLines="50" w:after="50" w:line="288" w:lineRule="auto"/>
        <w:rPr>
          <w:rFonts w:ascii="Arial" w:hAnsi="Arial" w:cs="Arial"/>
          <w:color w:val="auto"/>
          <w:szCs w:val="21"/>
          <w:highlight w:val="none"/>
        </w:rPr>
      </w:pPr>
    </w:p>
    <w:p>
      <w:pPr>
        <w:snapToGrid w:val="0"/>
        <w:spacing w:before="50" w:after="120" w:afterLines="50" w:line="288" w:lineRule="auto"/>
        <w:jc w:val="left"/>
        <w:rPr>
          <w:rFonts w:ascii="Arial" w:hAnsi="Arial" w:cs="Arial"/>
          <w:b/>
          <w:color w:val="auto"/>
          <w:szCs w:val="21"/>
          <w:highlight w:val="none"/>
        </w:rPr>
      </w:pPr>
      <w:r>
        <w:rPr>
          <w:rFonts w:hint="eastAsia" w:ascii="Arial" w:hAnsi="Arial" w:cs="Arial"/>
          <w:color w:val="auto"/>
          <w:szCs w:val="21"/>
          <w:highlight w:val="none"/>
        </w:rPr>
        <w:t>5</w:t>
      </w:r>
      <w:r>
        <w:rPr>
          <w:rFonts w:ascii="Arial" w:hAnsi="Arial" w:cs="Arial"/>
          <w:color w:val="auto"/>
          <w:szCs w:val="21"/>
          <w:highlight w:val="none"/>
        </w:rPr>
        <w:t>．具备法律、行政法规规定的其他要求的证明材料</w:t>
      </w:r>
      <w:r>
        <w:rPr>
          <w:rFonts w:ascii="Arial" w:hAnsi="Arial" w:cs="Arial"/>
          <w:color w:val="auto"/>
          <w:highlight w:val="none"/>
        </w:rPr>
        <w:t>（</w:t>
      </w:r>
      <w:r>
        <w:rPr>
          <w:rFonts w:ascii="Arial" w:hAnsi="Arial" w:cs="Arial"/>
          <w:color w:val="auto"/>
          <w:szCs w:val="21"/>
          <w:highlight w:val="none"/>
        </w:rPr>
        <w:t>按“评标方法及评标标准” “资格性检查表”规定提供</w:t>
      </w:r>
      <w:r>
        <w:rPr>
          <w:rFonts w:ascii="Arial" w:hAnsi="Arial" w:cs="Arial"/>
          <w:color w:val="auto"/>
          <w:highlight w:val="none"/>
        </w:rPr>
        <w:t>）。</w:t>
      </w:r>
      <w:r>
        <w:rPr>
          <w:rFonts w:ascii="Arial" w:hAnsi="Arial" w:cs="Arial"/>
          <w:b/>
          <w:color w:val="auto"/>
          <w:szCs w:val="21"/>
          <w:highlight w:val="none"/>
        </w:rPr>
        <w:t>（如招标文件有要求，则必须提供）</w:t>
      </w:r>
    </w:p>
    <w:p>
      <w:pPr>
        <w:snapToGrid w:val="0"/>
        <w:spacing w:before="50" w:after="120" w:afterLines="50" w:line="288" w:lineRule="auto"/>
        <w:jc w:val="left"/>
        <w:rPr>
          <w:rFonts w:ascii="Arial" w:hAnsi="Arial" w:cs="Arial"/>
          <w:color w:val="auto"/>
          <w:highlight w:val="none"/>
        </w:rPr>
      </w:pPr>
    </w:p>
    <w:p>
      <w:pPr>
        <w:snapToGrid w:val="0"/>
        <w:spacing w:before="50" w:after="120" w:afterLines="50" w:line="288" w:lineRule="auto"/>
        <w:jc w:val="left"/>
        <w:rPr>
          <w:rFonts w:ascii="Arial" w:hAnsi="Arial" w:cs="Arial"/>
          <w:color w:val="auto"/>
          <w:szCs w:val="21"/>
          <w:highlight w:val="none"/>
        </w:rPr>
      </w:pPr>
    </w:p>
    <w:p>
      <w:pPr>
        <w:snapToGrid w:val="0"/>
        <w:spacing w:before="50" w:after="120" w:afterLines="50" w:line="440" w:lineRule="exact"/>
        <w:jc w:val="left"/>
        <w:rPr>
          <w:rFonts w:ascii="Arial" w:hAnsi="Arial" w:cs="Arial"/>
          <w:b/>
          <w:bCs/>
          <w:color w:val="auto"/>
          <w:szCs w:val="21"/>
          <w:highlight w:val="none"/>
        </w:rPr>
      </w:pPr>
      <w:bookmarkStart w:id="134" w:name="_Hlk132792497"/>
      <w:bookmarkStart w:id="135" w:name="_Hlk19115874"/>
      <w:r>
        <w:rPr>
          <w:rFonts w:hint="eastAsia" w:ascii="Arial" w:hAnsi="Arial" w:cs="Arial"/>
          <w:color w:val="auto"/>
          <w:szCs w:val="21"/>
          <w:highlight w:val="none"/>
        </w:rPr>
        <w:t>6</w:t>
      </w:r>
      <w:r>
        <w:rPr>
          <w:rFonts w:ascii="Arial" w:hAnsi="Arial" w:cs="Arial"/>
          <w:color w:val="auto"/>
          <w:szCs w:val="21"/>
          <w:highlight w:val="none"/>
        </w:rPr>
        <w:t>．满足供应商特定资格条件的其他证明材料加盖供应商CA签章（按“评标方法及评标标准” “资格性检查表”“ 供应商应符合的特定资格条件”规定提供）。</w:t>
      </w:r>
      <w:r>
        <w:rPr>
          <w:rFonts w:ascii="Arial" w:hAnsi="Arial" w:cs="Arial"/>
          <w:b/>
          <w:bCs/>
          <w:color w:val="auto"/>
          <w:szCs w:val="21"/>
          <w:highlight w:val="none"/>
        </w:rPr>
        <w:t>（如招标文件有要求，则必须提供）</w:t>
      </w:r>
    </w:p>
    <w:bookmarkEnd w:id="134"/>
    <w:bookmarkEnd w:id="135"/>
    <w:p>
      <w:pPr>
        <w:snapToGrid w:val="0"/>
        <w:spacing w:before="50" w:after="120" w:afterLines="50" w:line="288" w:lineRule="auto"/>
        <w:jc w:val="left"/>
        <w:rPr>
          <w:rFonts w:ascii="Arial" w:hAnsi="Arial" w:cs="Arial"/>
          <w:b/>
          <w:bCs/>
          <w:color w:val="auto"/>
          <w:szCs w:val="21"/>
          <w:highlight w:val="none"/>
        </w:rPr>
      </w:pPr>
    </w:p>
    <w:p>
      <w:pPr>
        <w:snapToGrid w:val="0"/>
        <w:spacing w:before="50" w:after="120" w:afterLines="50" w:line="288" w:lineRule="auto"/>
        <w:jc w:val="left"/>
        <w:rPr>
          <w:rFonts w:ascii="Arial" w:hAnsi="Arial" w:cs="Arial"/>
          <w:color w:val="auto"/>
          <w:szCs w:val="21"/>
          <w:highlight w:val="none"/>
        </w:rPr>
      </w:pPr>
    </w:p>
    <w:p>
      <w:pPr>
        <w:snapToGrid w:val="0"/>
        <w:spacing w:before="50" w:after="120" w:afterLines="50" w:line="288" w:lineRule="auto"/>
        <w:jc w:val="left"/>
        <w:rPr>
          <w:rFonts w:ascii="Arial" w:hAnsi="Arial" w:cs="Arial"/>
          <w:color w:val="auto"/>
          <w:szCs w:val="21"/>
          <w:highlight w:val="none"/>
        </w:rPr>
      </w:pPr>
    </w:p>
    <w:p>
      <w:pPr>
        <w:snapToGrid w:val="0"/>
        <w:spacing w:before="50" w:after="120" w:afterLines="50" w:line="288" w:lineRule="auto"/>
        <w:jc w:val="left"/>
        <w:rPr>
          <w:rFonts w:ascii="Arial" w:hAnsi="Arial" w:cs="Arial"/>
          <w:b/>
          <w:color w:val="auto"/>
          <w:szCs w:val="21"/>
          <w:highlight w:val="none"/>
        </w:rPr>
      </w:pPr>
      <w:r>
        <w:rPr>
          <w:rFonts w:ascii="Arial" w:hAnsi="Arial" w:cs="Arial"/>
          <w:color w:val="auto"/>
          <w:szCs w:val="21"/>
          <w:highlight w:val="none"/>
        </w:rPr>
        <w:br w:type="page"/>
      </w:r>
      <w:r>
        <w:rPr>
          <w:rFonts w:hint="eastAsia" w:ascii="Arial" w:hAnsi="Arial" w:cs="Arial"/>
          <w:color w:val="auto"/>
          <w:szCs w:val="21"/>
          <w:highlight w:val="none"/>
        </w:rPr>
        <w:t>7</w:t>
      </w:r>
      <w:r>
        <w:rPr>
          <w:rFonts w:ascii="Arial" w:hAnsi="Arial" w:cs="Arial"/>
          <w:color w:val="auto"/>
          <w:szCs w:val="21"/>
          <w:highlight w:val="none"/>
        </w:rPr>
        <w:t>．</w:t>
      </w:r>
      <w:r>
        <w:rPr>
          <w:rFonts w:ascii="Arial" w:hAnsi="Arial" w:cs="Arial"/>
          <w:color w:val="auto"/>
          <w:highlight w:val="none"/>
        </w:rPr>
        <w:t>满足供应商特定资格条件的其他证明材料</w:t>
      </w:r>
      <w:r>
        <w:rPr>
          <w:rFonts w:ascii="Arial" w:hAnsi="Arial" w:cs="Arial"/>
          <w:color w:val="auto"/>
          <w:szCs w:val="21"/>
          <w:highlight w:val="none"/>
        </w:rPr>
        <w:t>加盖供应商CA签章</w:t>
      </w:r>
      <w:r>
        <w:rPr>
          <w:rFonts w:ascii="Arial" w:hAnsi="Arial" w:cs="Arial"/>
          <w:color w:val="auto"/>
          <w:highlight w:val="none"/>
        </w:rPr>
        <w:t>（</w:t>
      </w:r>
      <w:r>
        <w:rPr>
          <w:rFonts w:ascii="Arial" w:hAnsi="Arial" w:cs="Arial"/>
          <w:color w:val="auto"/>
          <w:szCs w:val="21"/>
          <w:highlight w:val="none"/>
        </w:rPr>
        <w:t>按“评标方法及评标标准” “资格性检查表”“</w:t>
      </w:r>
      <w:r>
        <w:rPr>
          <w:rFonts w:ascii="Arial" w:hAnsi="Arial" w:cs="Arial"/>
          <w:color w:val="auto"/>
          <w:szCs w:val="21"/>
          <w:highlight w:val="none"/>
          <w:lang w:val="zh-CN"/>
        </w:rPr>
        <w:t xml:space="preserve"> 供应商应符合的</w:t>
      </w:r>
      <w:r>
        <w:rPr>
          <w:rFonts w:ascii="Arial" w:hAnsi="Arial" w:cs="Arial"/>
          <w:color w:val="auto"/>
          <w:szCs w:val="21"/>
          <w:highlight w:val="none"/>
        </w:rPr>
        <w:t>特定资格条件”规定提供</w:t>
      </w:r>
      <w:r>
        <w:rPr>
          <w:rFonts w:ascii="Arial" w:hAnsi="Arial" w:cs="Arial"/>
          <w:color w:val="auto"/>
          <w:highlight w:val="none"/>
        </w:rPr>
        <w:t>）。</w:t>
      </w:r>
      <w:r>
        <w:rPr>
          <w:rFonts w:ascii="Arial" w:hAnsi="Arial" w:cs="Arial"/>
          <w:b/>
          <w:color w:val="auto"/>
          <w:szCs w:val="21"/>
          <w:highlight w:val="none"/>
        </w:rPr>
        <w:t>（如招标文件有要求，则必须提供）</w:t>
      </w:r>
    </w:p>
    <w:p>
      <w:pPr>
        <w:snapToGrid w:val="0"/>
        <w:spacing w:before="50" w:after="120" w:afterLines="50" w:line="360" w:lineRule="auto"/>
        <w:jc w:val="left"/>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.1投标人直接控股股东信息表</w:t>
      </w:r>
    </w:p>
    <w:tbl>
      <w:tblPr>
        <w:tblStyle w:val="54"/>
        <w:tblW w:w="0" w:type="auto"/>
        <w:tblInd w:w="0" w:type="dxa"/>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r>
    </w:tbl>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w:t>
      </w:r>
    </w:p>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3.供应商不存在直接控股股东的，则填“无”。</w:t>
      </w:r>
    </w:p>
    <w:p>
      <w:pPr>
        <w:snapToGrid w:val="0"/>
        <w:spacing w:line="360" w:lineRule="auto"/>
        <w:jc w:val="left"/>
        <w:rPr>
          <w:rFonts w:ascii="Arial" w:hAnsi="Arial" w:cs="Arial"/>
          <w:color w:val="auto"/>
          <w:szCs w:val="21"/>
          <w:highlight w:val="none"/>
        </w:rPr>
      </w:pPr>
    </w:p>
    <w:p>
      <w:pPr>
        <w:snapToGrid w:val="0"/>
        <w:spacing w:line="360" w:lineRule="auto"/>
        <w:jc w:val="left"/>
        <w:rPr>
          <w:rFonts w:ascii="Arial" w:hAnsi="Arial" w:cs="Arial"/>
          <w:color w:val="auto"/>
          <w:szCs w:val="21"/>
          <w:highlight w:val="none"/>
        </w:rPr>
      </w:pPr>
    </w:p>
    <w:p>
      <w:pPr>
        <w:snapToGrid w:val="0"/>
        <w:spacing w:line="360" w:lineRule="auto"/>
        <w:jc w:val="left"/>
        <w:rPr>
          <w:rFonts w:ascii="Arial" w:hAnsi="Arial" w:cs="Arial"/>
          <w:color w:val="auto"/>
          <w:szCs w:val="21"/>
          <w:highlight w:val="none"/>
        </w:rPr>
      </w:pPr>
    </w:p>
    <w:p>
      <w:pPr>
        <w:snapToGrid w:val="0"/>
        <w:spacing w:line="360" w:lineRule="auto"/>
        <w:jc w:val="left"/>
        <w:rPr>
          <w:rFonts w:ascii="Arial" w:hAnsi="Arial" w:cs="Arial"/>
          <w:color w:val="auto"/>
          <w:szCs w:val="21"/>
          <w:highlight w:val="none"/>
        </w:rPr>
      </w:pPr>
    </w:p>
    <w:p>
      <w:pPr>
        <w:snapToGrid w:val="0"/>
        <w:spacing w:line="360" w:lineRule="auto"/>
        <w:jc w:val="left"/>
        <w:rPr>
          <w:rFonts w:ascii="Arial" w:hAnsi="Arial" w:cs="Arial"/>
          <w:color w:val="auto"/>
          <w:szCs w:val="21"/>
          <w:highlight w:val="none"/>
        </w:rPr>
      </w:pPr>
    </w:p>
    <w:p>
      <w:pPr>
        <w:snapToGrid w:val="0"/>
        <w:spacing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pPr>
        <w:snapToGrid w:val="0"/>
        <w:spacing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pPr>
        <w:snapToGrid w:val="0"/>
        <w:jc w:val="center"/>
        <w:rPr>
          <w:rFonts w:ascii="Arial" w:hAnsi="Arial" w:cs="Arial"/>
          <w:b/>
          <w:color w:val="auto"/>
          <w:sz w:val="28"/>
          <w:szCs w:val="28"/>
          <w:highlight w:val="none"/>
        </w:rPr>
      </w:pPr>
      <w:r>
        <w:rPr>
          <w:rFonts w:ascii="Arial" w:hAnsi="Arial" w:cs="Arial"/>
          <w:b/>
          <w:color w:val="auto"/>
          <w:sz w:val="28"/>
          <w:szCs w:val="28"/>
          <w:highlight w:val="none"/>
        </w:rPr>
        <w:br w:type="page"/>
      </w:r>
    </w:p>
    <w:p>
      <w:pPr>
        <w:snapToGrid w:val="0"/>
        <w:spacing w:line="360" w:lineRule="auto"/>
        <w:jc w:val="left"/>
        <w:rPr>
          <w:rFonts w:ascii="Arial" w:hAnsi="Arial" w:cs="Arial"/>
          <w:color w:val="auto"/>
          <w:szCs w:val="21"/>
          <w:highlight w:val="none"/>
        </w:rPr>
      </w:pPr>
      <w:r>
        <w:rPr>
          <w:rFonts w:hint="eastAsia" w:ascii="Arial" w:hAnsi="Arial" w:cs="Arial"/>
          <w:color w:val="auto"/>
          <w:szCs w:val="21"/>
          <w:highlight w:val="none"/>
        </w:rPr>
        <w:t>7</w:t>
      </w:r>
      <w:r>
        <w:rPr>
          <w:rFonts w:ascii="Arial" w:hAnsi="Arial" w:cs="Arial"/>
          <w:color w:val="auto"/>
          <w:szCs w:val="21"/>
          <w:highlight w:val="none"/>
        </w:rPr>
        <w:t>.2投标人直接管理关系信息表</w:t>
      </w:r>
    </w:p>
    <w:tbl>
      <w:tblPr>
        <w:tblStyle w:val="5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r>
              <w:rPr>
                <w:rFonts w:ascii="Arial" w:hAnsi="Arial" w:cs="Arial"/>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spacing w:line="360" w:lineRule="auto"/>
              <w:jc w:val="center"/>
              <w:rPr>
                <w:rFonts w:ascii="Arial" w:hAnsi="Arial" w:cs="Arial"/>
                <w:color w:val="auto"/>
                <w:szCs w:val="21"/>
                <w:highlight w:val="none"/>
              </w:rPr>
            </w:pPr>
          </w:p>
        </w:tc>
      </w:tr>
    </w:tbl>
    <w:p>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注：</w:t>
      </w:r>
    </w:p>
    <w:p>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2.本表所指的管理关系仅限于直接管理关系，不包括间接的管理关系。</w:t>
      </w:r>
    </w:p>
    <w:p>
      <w:pPr>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3.供应商不存在直接管理关系的，则填“无”。</w:t>
      </w:r>
    </w:p>
    <w:p>
      <w:pPr>
        <w:snapToGrid w:val="0"/>
        <w:spacing w:line="360" w:lineRule="auto"/>
        <w:jc w:val="left"/>
        <w:rPr>
          <w:rFonts w:ascii="Arial" w:hAnsi="Arial" w:cs="Arial"/>
          <w:color w:val="auto"/>
          <w:szCs w:val="21"/>
          <w:highlight w:val="none"/>
        </w:rPr>
      </w:pPr>
    </w:p>
    <w:p>
      <w:pPr>
        <w:snapToGrid w:val="0"/>
        <w:spacing w:line="360" w:lineRule="auto"/>
        <w:jc w:val="left"/>
        <w:rPr>
          <w:rFonts w:ascii="Arial" w:hAnsi="Arial" w:cs="Arial"/>
          <w:color w:val="auto"/>
          <w:szCs w:val="21"/>
          <w:highlight w:val="none"/>
        </w:rPr>
      </w:pPr>
    </w:p>
    <w:p>
      <w:pPr>
        <w:snapToGrid w:val="0"/>
        <w:spacing w:line="360" w:lineRule="auto"/>
        <w:ind w:firstLine="4410" w:firstLineChars="2100"/>
        <w:rPr>
          <w:rFonts w:ascii="Arial" w:hAnsi="Arial" w:cs="Arial"/>
          <w:color w:val="auto"/>
          <w:szCs w:val="21"/>
          <w:highlight w:val="none"/>
        </w:rPr>
      </w:pPr>
      <w:r>
        <w:rPr>
          <w:rFonts w:ascii="Arial" w:hAnsi="Arial" w:cs="Arial"/>
          <w:color w:val="auto"/>
          <w:szCs w:val="21"/>
          <w:highlight w:val="none"/>
        </w:rPr>
        <w:t>供应商名称(电子签章)：</w:t>
      </w:r>
    </w:p>
    <w:p>
      <w:pPr>
        <w:snapToGrid w:val="0"/>
        <w:spacing w:line="360" w:lineRule="auto"/>
        <w:ind w:firstLine="4515" w:firstLineChars="2150"/>
        <w:rPr>
          <w:rFonts w:ascii="Arial" w:hAnsi="Arial" w:cs="Arial"/>
          <w:color w:val="auto"/>
          <w:szCs w:val="21"/>
          <w:highlight w:val="none"/>
        </w:rPr>
      </w:pPr>
      <w:r>
        <w:rPr>
          <w:rFonts w:ascii="Arial" w:hAnsi="Arial" w:cs="Arial"/>
          <w:color w:val="auto"/>
          <w:szCs w:val="21"/>
          <w:highlight w:val="none"/>
        </w:rPr>
        <w:t>日期：  年  月   日</w:t>
      </w:r>
    </w:p>
    <w:p>
      <w:pPr>
        <w:snapToGrid w:val="0"/>
        <w:spacing w:before="50" w:after="120" w:afterLines="50" w:line="440" w:lineRule="exact"/>
        <w:jc w:val="left"/>
        <w:rPr>
          <w:rFonts w:ascii="Arial" w:hAnsi="Arial" w:cs="Arial"/>
          <w:color w:val="auto"/>
          <w:szCs w:val="21"/>
          <w:highlight w:val="none"/>
        </w:rPr>
      </w:pPr>
    </w:p>
    <w:p>
      <w:pPr>
        <w:snapToGrid w:val="0"/>
        <w:spacing w:before="120" w:beforeLines="50" w:after="50" w:line="360" w:lineRule="exac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bookmarkStart w:id="136" w:name="_Hlk93048232"/>
      <w:r>
        <w:rPr>
          <w:rFonts w:hint="eastAsia" w:ascii="Arial" w:hAnsi="Arial" w:cs="Arial"/>
          <w:color w:val="auto"/>
          <w:szCs w:val="21"/>
          <w:highlight w:val="none"/>
        </w:rPr>
        <w:t>8</w:t>
      </w:r>
      <w:r>
        <w:rPr>
          <w:rFonts w:ascii="Arial" w:hAnsi="Arial" w:cs="Arial"/>
          <w:color w:val="auto"/>
          <w:szCs w:val="21"/>
          <w:highlight w:val="none"/>
        </w:rPr>
        <w:t>．供应商认为应当要提交的其他资格证明材料。</w:t>
      </w:r>
      <w:r>
        <w:rPr>
          <w:rFonts w:ascii="Arial" w:hAnsi="Arial" w:cs="Arial"/>
          <w:bCs/>
          <w:color w:val="auto"/>
          <w:sz w:val="24"/>
          <w:highlight w:val="none"/>
        </w:rPr>
        <w:t xml:space="preserve"> </w:t>
      </w:r>
    </w:p>
    <w:p>
      <w:pPr>
        <w:snapToGrid w:val="0"/>
        <w:spacing w:before="120" w:beforeLines="50" w:after="50" w:line="440" w:lineRule="exact"/>
        <w:jc w:val="left"/>
        <w:outlineLvl w:val="1"/>
        <w:rPr>
          <w:rFonts w:ascii="Arial" w:hAnsi="Arial" w:cs="Arial"/>
          <w:bCs/>
          <w:color w:val="auto"/>
          <w:sz w:val="24"/>
          <w:highlight w:val="none"/>
        </w:rPr>
      </w:pPr>
      <w:r>
        <w:rPr>
          <w:rFonts w:ascii="Arial" w:hAnsi="Arial" w:cs="Arial"/>
          <w:color w:val="auto"/>
          <w:szCs w:val="21"/>
          <w:highlight w:val="none"/>
        </w:rPr>
        <w:br w:type="page"/>
      </w:r>
      <w:bookmarkEnd w:id="136"/>
      <w:r>
        <w:rPr>
          <w:rFonts w:ascii="Arial" w:hAnsi="Arial" w:cs="Arial"/>
          <w:bCs/>
          <w:color w:val="auto"/>
          <w:sz w:val="24"/>
          <w:highlight w:val="none"/>
        </w:rPr>
        <w:t xml:space="preserve">2．投标文件第二册封面参考格式： </w:t>
      </w:r>
    </w:p>
    <w:p>
      <w:pPr>
        <w:snapToGrid w:val="0"/>
        <w:spacing w:before="50" w:after="120" w:afterLines="50" w:line="400" w:lineRule="exact"/>
        <w:jc w:val="left"/>
        <w:rPr>
          <w:rFonts w:ascii="Arial" w:hAnsi="Arial" w:cs="Arial"/>
          <w:bCs/>
          <w:color w:val="auto"/>
          <w:sz w:val="24"/>
          <w:highlight w:val="none"/>
        </w:rPr>
      </w:pPr>
    </w:p>
    <w:p>
      <w:pPr>
        <w:snapToGrid w:val="0"/>
        <w:spacing w:before="120" w:beforeLines="50" w:after="50" w:line="360" w:lineRule="exact"/>
        <w:rPr>
          <w:rFonts w:ascii="Arial" w:hAnsi="Arial" w:cs="Arial"/>
          <w:color w:val="auto"/>
          <w:sz w:val="24"/>
          <w:highlight w:val="none"/>
        </w:rPr>
      </w:pPr>
    </w:p>
    <w:p>
      <w:pPr>
        <w:snapToGrid w:val="0"/>
        <w:spacing w:before="120" w:beforeLines="50" w:after="50" w:line="360" w:lineRule="exact"/>
        <w:jc w:val="center"/>
        <w:rPr>
          <w:rFonts w:ascii="Arial" w:hAnsi="Arial" w:cs="Arial"/>
          <w:bCs/>
          <w:color w:val="auto"/>
          <w:sz w:val="24"/>
          <w:highlight w:val="none"/>
        </w:rPr>
      </w:pPr>
    </w:p>
    <w:p>
      <w:pPr>
        <w:pStyle w:val="29"/>
        <w:rPr>
          <w:rFonts w:ascii="Arial" w:hAnsi="Arial" w:cs="Arial"/>
          <w:color w:val="auto"/>
          <w:highlight w:val="none"/>
        </w:rPr>
      </w:pPr>
    </w:p>
    <w:p>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投标文件</w:t>
      </w:r>
    </w:p>
    <w:p>
      <w:pPr>
        <w:snapToGrid w:val="0"/>
        <w:spacing w:before="120" w:beforeLines="50" w:after="50" w:line="360" w:lineRule="exact"/>
        <w:jc w:val="center"/>
        <w:rPr>
          <w:rFonts w:ascii="Arial" w:hAnsi="Arial" w:cs="Arial"/>
          <w:b/>
          <w:bCs/>
          <w:color w:val="auto"/>
          <w:sz w:val="44"/>
          <w:szCs w:val="44"/>
          <w:highlight w:val="none"/>
        </w:rPr>
      </w:pPr>
    </w:p>
    <w:p>
      <w:pPr>
        <w:snapToGrid w:val="0"/>
        <w:spacing w:before="120" w:beforeLines="50" w:after="50" w:line="360" w:lineRule="exact"/>
        <w:jc w:val="center"/>
        <w:rPr>
          <w:rFonts w:ascii="Arial" w:hAnsi="Arial" w:cs="Arial"/>
          <w:b/>
          <w:bCs/>
          <w:color w:val="auto"/>
          <w:sz w:val="44"/>
          <w:szCs w:val="44"/>
          <w:highlight w:val="none"/>
        </w:rPr>
      </w:pPr>
    </w:p>
    <w:p>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第二册  商务技术报价文件</w:t>
      </w:r>
    </w:p>
    <w:p>
      <w:pPr>
        <w:snapToGrid w:val="0"/>
        <w:spacing w:before="120" w:beforeLines="50" w:after="50" w:line="360" w:lineRule="exact"/>
        <w:rPr>
          <w:rFonts w:ascii="Arial" w:hAnsi="Arial" w:cs="Arial"/>
          <w:bCs/>
          <w:color w:val="auto"/>
          <w:sz w:val="24"/>
          <w:highlight w:val="none"/>
        </w:rPr>
      </w:pPr>
    </w:p>
    <w:p>
      <w:pPr>
        <w:snapToGrid w:val="0"/>
        <w:spacing w:before="120" w:beforeLines="50" w:after="50" w:line="360" w:lineRule="exact"/>
        <w:rPr>
          <w:rFonts w:ascii="Arial" w:hAnsi="Arial" w:cs="Arial"/>
          <w:bCs/>
          <w:color w:val="auto"/>
          <w:sz w:val="24"/>
          <w:highlight w:val="none"/>
        </w:rPr>
      </w:pPr>
    </w:p>
    <w:p>
      <w:pPr>
        <w:snapToGrid w:val="0"/>
        <w:spacing w:before="120" w:beforeLines="50" w:after="50" w:line="360" w:lineRule="exact"/>
        <w:rPr>
          <w:rFonts w:ascii="Arial" w:hAnsi="Arial" w:cs="Arial"/>
          <w:bCs/>
          <w:color w:val="auto"/>
          <w:sz w:val="24"/>
          <w:highlight w:val="none"/>
        </w:rPr>
      </w:pP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分标号：（若无留空或写“/”）</w:t>
      </w:r>
    </w:p>
    <w:p>
      <w:pPr>
        <w:pStyle w:val="3"/>
        <w:spacing w:line="360" w:lineRule="auto"/>
        <w:ind w:firstLine="480" w:firstLineChars="200"/>
        <w:rPr>
          <w:rFonts w:ascii="Arial" w:hAnsi="Arial" w:eastAsia="宋体" w:cs="Arial"/>
          <w:bCs/>
          <w:color w:val="auto"/>
          <w:sz w:val="24"/>
          <w:szCs w:val="24"/>
          <w:highlight w:val="none"/>
        </w:rPr>
      </w:pPr>
    </w:p>
    <w:p>
      <w:pPr>
        <w:pStyle w:val="3"/>
        <w:spacing w:line="360" w:lineRule="auto"/>
        <w:ind w:firstLine="480" w:firstLineChars="200"/>
        <w:rPr>
          <w:rFonts w:ascii="Arial" w:hAnsi="Arial" w:eastAsia="宋体" w:cs="Arial"/>
          <w:bCs/>
          <w:color w:val="auto"/>
          <w:sz w:val="28"/>
          <w:szCs w:val="28"/>
          <w:highlight w:val="none"/>
        </w:rPr>
      </w:pPr>
      <w:r>
        <w:rPr>
          <w:rFonts w:ascii="Arial" w:hAnsi="Arial" w:eastAsia="宋体" w:cs="Arial"/>
          <w:bCs/>
          <w:color w:val="auto"/>
          <w:sz w:val="24"/>
          <w:szCs w:val="24"/>
          <w:highlight w:val="none"/>
        </w:rPr>
        <w:t>供应商[公章(CA签章)]</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pStyle w:val="3"/>
        <w:spacing w:line="360" w:lineRule="auto"/>
        <w:ind w:left="519" w:leftChars="247" w:firstLine="0" w:firstLineChars="0"/>
        <w:rPr>
          <w:rFonts w:ascii="Arial" w:hAnsi="Arial" w:eastAsia="宋体" w:cs="Arial"/>
          <w:color w:val="auto"/>
          <w:sz w:val="28"/>
          <w:szCs w:val="28"/>
          <w:highlight w:val="none"/>
          <w:u w:val="single"/>
        </w:rPr>
      </w:pPr>
      <w:r>
        <w:rPr>
          <w:rFonts w:ascii="Arial" w:hAnsi="Arial" w:eastAsia="宋体" w:cs="Arial"/>
          <w:bCs/>
          <w:color w:val="auto"/>
          <w:sz w:val="24"/>
          <w:szCs w:val="24"/>
          <w:highlight w:val="none"/>
        </w:rPr>
        <w:t>法定代表人或相应的委托代理人签字[或盖章(CA签章)]</w:t>
      </w:r>
      <w:r>
        <w:rPr>
          <w:rFonts w:ascii="Arial" w:hAnsi="Arial" w:eastAsia="宋体" w:cs="Arial"/>
          <w:color w:val="auto"/>
          <w:sz w:val="28"/>
          <w:szCs w:val="28"/>
          <w:highlight w:val="none"/>
        </w:rPr>
        <w:t>：</w:t>
      </w:r>
      <w:r>
        <w:rPr>
          <w:rFonts w:ascii="Arial" w:hAnsi="Arial" w:eastAsia="宋体" w:cs="Arial"/>
          <w:color w:val="auto"/>
          <w:sz w:val="28"/>
          <w:szCs w:val="28"/>
          <w:highlight w:val="none"/>
          <w:u w:val="single"/>
        </w:rPr>
        <w:t xml:space="preserve">              </w:t>
      </w:r>
    </w:p>
    <w:p>
      <w:pPr>
        <w:pStyle w:val="3"/>
        <w:spacing w:line="360" w:lineRule="auto"/>
        <w:ind w:left="479" w:leftChars="228" w:firstLine="0" w:firstLineChars="0"/>
        <w:rPr>
          <w:rFonts w:ascii="Arial" w:hAnsi="Arial" w:eastAsia="宋体" w:cs="Arial"/>
          <w:bCs/>
          <w:color w:val="auto"/>
          <w:sz w:val="28"/>
          <w:szCs w:val="28"/>
          <w:highlight w:val="none"/>
          <w:u w:val="single"/>
        </w:rPr>
      </w:pPr>
      <w:r>
        <w:rPr>
          <w:rFonts w:ascii="Arial" w:hAnsi="Arial" w:eastAsia="宋体" w:cs="Arial"/>
          <w:bCs/>
          <w:color w:val="auto"/>
          <w:sz w:val="24"/>
          <w:szCs w:val="24"/>
          <w:highlight w:val="none"/>
        </w:rPr>
        <w:t>联系电话</w:t>
      </w:r>
      <w:r>
        <w:rPr>
          <w:rFonts w:ascii="Arial" w:hAnsi="Arial" w:eastAsia="宋体" w:cs="Arial"/>
          <w:bCs/>
          <w:color w:val="auto"/>
          <w:sz w:val="28"/>
          <w:szCs w:val="28"/>
          <w:highlight w:val="none"/>
        </w:rPr>
        <w:t>：</w:t>
      </w:r>
      <w:r>
        <w:rPr>
          <w:rFonts w:ascii="Arial" w:hAnsi="Arial" w:eastAsia="宋体" w:cs="Arial"/>
          <w:bCs/>
          <w:color w:val="auto"/>
          <w:sz w:val="28"/>
          <w:szCs w:val="28"/>
          <w:highlight w:val="none"/>
          <w:u w:val="single"/>
        </w:rPr>
        <w:t xml:space="preserve">                                                </w:t>
      </w: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日期：</w:t>
      </w:r>
      <w:r>
        <w:rPr>
          <w:rFonts w:ascii="Arial" w:hAnsi="Arial" w:cs="Arial"/>
          <w:bCs/>
          <w:color w:val="auto"/>
          <w:sz w:val="28"/>
          <w:szCs w:val="28"/>
          <w:highlight w:val="none"/>
          <w:u w:val="single"/>
        </w:rPr>
        <w:t xml:space="preserve">      </w:t>
      </w:r>
      <w:r>
        <w:rPr>
          <w:rFonts w:ascii="Arial" w:hAnsi="Arial" w:cs="Arial"/>
          <w:bCs/>
          <w:color w:val="auto"/>
          <w:sz w:val="24"/>
          <w:highlight w:val="none"/>
        </w:rPr>
        <w:t>年</w:t>
      </w:r>
      <w:r>
        <w:rPr>
          <w:rFonts w:ascii="Arial" w:hAnsi="Arial" w:cs="Arial"/>
          <w:bCs/>
          <w:color w:val="auto"/>
          <w:sz w:val="28"/>
          <w:szCs w:val="28"/>
          <w:highlight w:val="none"/>
          <w:u w:val="single"/>
        </w:rPr>
        <w:t xml:space="preserve">      </w:t>
      </w:r>
      <w:r>
        <w:rPr>
          <w:rFonts w:ascii="Arial" w:hAnsi="Arial" w:cs="Arial"/>
          <w:bCs/>
          <w:color w:val="auto"/>
          <w:sz w:val="24"/>
          <w:highlight w:val="none"/>
        </w:rPr>
        <w:t>月</w:t>
      </w:r>
      <w:r>
        <w:rPr>
          <w:rFonts w:ascii="Arial" w:hAnsi="Arial" w:cs="Arial"/>
          <w:bCs/>
          <w:color w:val="auto"/>
          <w:sz w:val="28"/>
          <w:szCs w:val="28"/>
          <w:highlight w:val="none"/>
          <w:u w:val="single"/>
        </w:rPr>
        <w:t xml:space="preserve">      </w:t>
      </w:r>
      <w:r>
        <w:rPr>
          <w:rFonts w:ascii="Arial" w:hAnsi="Arial" w:cs="Arial"/>
          <w:bCs/>
          <w:color w:val="auto"/>
          <w:sz w:val="24"/>
          <w:highlight w:val="none"/>
        </w:rPr>
        <w:t>日</w:t>
      </w:r>
    </w:p>
    <w:p>
      <w:pPr>
        <w:pStyle w:val="9"/>
        <w:snapToGrid w:val="0"/>
        <w:spacing w:before="50" w:after="50" w:line="360" w:lineRule="exact"/>
        <w:ind w:firstLine="960" w:firstLineChars="400"/>
        <w:rPr>
          <w:rFonts w:ascii="Arial" w:hAnsi="Arial" w:cs="Arial"/>
          <w:bCs/>
          <w:color w:val="auto"/>
          <w:sz w:val="24"/>
          <w:szCs w:val="24"/>
          <w:highlight w:val="none"/>
        </w:rPr>
      </w:pPr>
    </w:p>
    <w:p>
      <w:pPr>
        <w:rPr>
          <w:rFonts w:ascii="Arial" w:hAnsi="Arial" w:cs="Arial"/>
          <w:color w:val="auto"/>
          <w:highlight w:val="none"/>
        </w:rPr>
      </w:pPr>
      <w:r>
        <w:rPr>
          <w:rFonts w:ascii="Arial" w:hAnsi="Arial" w:cs="Arial"/>
          <w:color w:val="auto"/>
          <w:highlight w:val="none"/>
        </w:rPr>
        <w:br w:type="page"/>
      </w:r>
    </w:p>
    <w:p>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（应有页码）</w:t>
      </w:r>
    </w:p>
    <w:p>
      <w:pPr>
        <w:rPr>
          <w:rFonts w:ascii="Arial" w:hAnsi="Arial" w:cs="Arial"/>
          <w:b/>
          <w:color w:val="auto"/>
          <w:szCs w:val="21"/>
          <w:highlight w:val="none"/>
        </w:rPr>
      </w:pPr>
      <w:r>
        <w:rPr>
          <w:rFonts w:ascii="Arial" w:hAnsi="Arial" w:cs="Arial"/>
          <w:color w:val="auto"/>
          <w:highlight w:val="none"/>
        </w:rPr>
        <w:br w:type="page"/>
      </w:r>
      <w:bookmarkStart w:id="137" w:name="_Toc455309222"/>
      <w:bookmarkStart w:id="138" w:name="_Toc462223472"/>
      <w:bookmarkStart w:id="139" w:name="_Toc462320613"/>
      <w:bookmarkStart w:id="140" w:name="_Hlk19114325"/>
      <w:r>
        <w:rPr>
          <w:rFonts w:ascii="Arial" w:hAnsi="Arial" w:cs="Arial"/>
          <w:color w:val="auto"/>
          <w:szCs w:val="21"/>
          <w:highlight w:val="none"/>
        </w:rPr>
        <w:t>1．法定代表人身份证明</w:t>
      </w:r>
      <w:r>
        <w:rPr>
          <w:rFonts w:ascii="Arial" w:hAnsi="Arial" w:cs="Arial"/>
          <w:b/>
          <w:color w:val="auto"/>
          <w:szCs w:val="21"/>
          <w:highlight w:val="none"/>
        </w:rPr>
        <w:t>（无授权代表时必须提供）：</w:t>
      </w:r>
    </w:p>
    <w:p>
      <w:pPr>
        <w:snapToGrid w:val="0"/>
        <w:spacing w:before="120" w:beforeLines="50" w:after="50" w:line="440" w:lineRule="exact"/>
        <w:jc w:val="center"/>
        <w:rPr>
          <w:rFonts w:ascii="Arial" w:hAnsi="Arial" w:cs="Arial"/>
          <w:color w:val="auto"/>
          <w:szCs w:val="21"/>
          <w:highlight w:val="none"/>
        </w:rPr>
      </w:pPr>
    </w:p>
    <w:p>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法定代表人身份证明</w:t>
      </w:r>
      <w:bookmarkEnd w:id="137"/>
      <w:bookmarkEnd w:id="138"/>
      <w:bookmarkEnd w:id="139"/>
    </w:p>
    <w:p>
      <w:pPr>
        <w:spacing w:line="360" w:lineRule="auto"/>
        <w:rPr>
          <w:rFonts w:ascii="Arial" w:hAnsi="Arial" w:cs="Arial"/>
          <w:color w:val="auto"/>
          <w:highlight w:val="none"/>
        </w:rPr>
      </w:pPr>
    </w:p>
    <w:p>
      <w:pPr>
        <w:spacing w:line="540" w:lineRule="exact"/>
        <w:rPr>
          <w:rFonts w:ascii="Arial" w:hAnsi="Arial" w:cs="Arial"/>
          <w:color w:val="auto"/>
          <w:szCs w:val="21"/>
          <w:highlight w:val="none"/>
        </w:rPr>
      </w:pPr>
      <w:r>
        <w:rPr>
          <w:rFonts w:ascii="Arial" w:hAnsi="Arial" w:cs="Arial"/>
          <w:color w:val="auto"/>
          <w:szCs w:val="21"/>
          <w:highlight w:val="none"/>
        </w:rPr>
        <w:t xml:space="preserve">供应商名称： </w:t>
      </w:r>
      <w:r>
        <w:rPr>
          <w:rFonts w:ascii="Arial" w:hAnsi="Arial" w:cs="Arial"/>
          <w:color w:val="auto"/>
          <w:szCs w:val="21"/>
          <w:highlight w:val="none"/>
          <w:u w:val="single"/>
        </w:rPr>
        <w:t xml:space="preserve">               </w:t>
      </w:r>
    </w:p>
    <w:p>
      <w:pPr>
        <w:spacing w:line="540" w:lineRule="exact"/>
        <w:rPr>
          <w:rFonts w:ascii="Arial" w:hAnsi="Arial" w:cs="Arial"/>
          <w:color w:val="auto"/>
          <w:szCs w:val="21"/>
          <w:highlight w:val="none"/>
        </w:rPr>
      </w:pPr>
      <w:r>
        <w:rPr>
          <w:rFonts w:ascii="Arial" w:hAnsi="Arial" w:cs="Arial"/>
          <w:color w:val="auto"/>
          <w:szCs w:val="21"/>
          <w:highlight w:val="none"/>
        </w:rPr>
        <w:t>单位性质：</w:t>
      </w:r>
      <w:r>
        <w:rPr>
          <w:rFonts w:ascii="Arial" w:hAnsi="Arial" w:cs="Arial"/>
          <w:color w:val="auto"/>
          <w:szCs w:val="21"/>
          <w:highlight w:val="none"/>
          <w:u w:val="single"/>
        </w:rPr>
        <w:t xml:space="preserve">               </w:t>
      </w:r>
    </w:p>
    <w:p>
      <w:pPr>
        <w:spacing w:line="540" w:lineRule="exact"/>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p>
    <w:p>
      <w:pPr>
        <w:spacing w:line="540" w:lineRule="exact"/>
        <w:rPr>
          <w:rFonts w:ascii="Arial" w:hAnsi="Arial" w:cs="Arial"/>
          <w:color w:val="auto"/>
          <w:szCs w:val="21"/>
          <w:highlight w:val="none"/>
          <w:u w:val="single"/>
        </w:rPr>
      </w:pPr>
      <w:r>
        <w:rPr>
          <w:rFonts w:ascii="Arial" w:hAnsi="Arial" w:cs="Arial"/>
          <w:color w:val="auto"/>
          <w:szCs w:val="21"/>
          <w:highlight w:val="none"/>
        </w:rPr>
        <w:t>成立时间：</w:t>
      </w:r>
      <w:r>
        <w:rPr>
          <w:rFonts w:ascii="Arial" w:hAnsi="Arial" w:cs="Arial"/>
          <w:color w:val="auto"/>
          <w:szCs w:val="21"/>
          <w:highlight w:val="none"/>
          <w:u w:val="single"/>
        </w:rPr>
        <w:t>年      月     日</w:t>
      </w:r>
    </w:p>
    <w:p>
      <w:pPr>
        <w:spacing w:line="540" w:lineRule="exact"/>
        <w:rPr>
          <w:rFonts w:ascii="Arial" w:hAnsi="Arial" w:cs="Arial"/>
          <w:color w:val="auto"/>
          <w:szCs w:val="21"/>
          <w:highlight w:val="none"/>
        </w:rPr>
      </w:pPr>
      <w:r>
        <w:rPr>
          <w:rFonts w:ascii="Arial" w:hAnsi="Arial" w:cs="Arial"/>
          <w:color w:val="auto"/>
          <w:szCs w:val="21"/>
          <w:highlight w:val="none"/>
        </w:rPr>
        <w:t>经营期限：</w:t>
      </w:r>
    </w:p>
    <w:p>
      <w:pPr>
        <w:spacing w:line="540" w:lineRule="exact"/>
        <w:rPr>
          <w:rFonts w:ascii="Arial" w:hAnsi="Arial" w:cs="Arial"/>
          <w:color w:val="auto"/>
          <w:szCs w:val="21"/>
          <w:highlight w:val="none"/>
        </w:rPr>
      </w:pPr>
      <w:r>
        <w:rPr>
          <w:rFonts w:ascii="Arial" w:hAnsi="Arial" w:cs="Arial"/>
          <w:color w:val="auto"/>
          <w:szCs w:val="21"/>
          <w:highlight w:val="none"/>
        </w:rPr>
        <w:t xml:space="preserve">姓名：；          性别：  </w:t>
      </w:r>
    </w:p>
    <w:p>
      <w:pPr>
        <w:spacing w:line="540" w:lineRule="exact"/>
        <w:rPr>
          <w:rFonts w:ascii="Arial" w:hAnsi="Arial" w:cs="Arial"/>
          <w:color w:val="auto"/>
          <w:szCs w:val="21"/>
          <w:highlight w:val="none"/>
        </w:rPr>
      </w:pPr>
      <w:r>
        <w:rPr>
          <w:rFonts w:ascii="Arial" w:hAnsi="Arial" w:cs="Arial"/>
          <w:color w:val="auto"/>
          <w:szCs w:val="21"/>
          <w:highlight w:val="none"/>
        </w:rPr>
        <w:t>年龄：；    职务：；    身份证：</w:t>
      </w:r>
    </w:p>
    <w:p>
      <w:pPr>
        <w:spacing w:line="540" w:lineRule="exact"/>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 供应商名称）</w:t>
      </w:r>
      <w:r>
        <w:rPr>
          <w:rFonts w:ascii="Arial" w:hAnsi="Arial" w:cs="Arial"/>
          <w:color w:val="auto"/>
          <w:szCs w:val="21"/>
          <w:highlight w:val="none"/>
        </w:rPr>
        <w:t>的法定代表人。</w:t>
      </w:r>
    </w:p>
    <w:p>
      <w:pPr>
        <w:spacing w:line="540" w:lineRule="exact"/>
        <w:rPr>
          <w:rFonts w:ascii="Arial" w:hAnsi="Arial" w:cs="Arial"/>
          <w:color w:val="auto"/>
          <w:szCs w:val="21"/>
          <w:highlight w:val="none"/>
        </w:rPr>
      </w:pPr>
    </w:p>
    <w:p>
      <w:pPr>
        <w:spacing w:line="540" w:lineRule="exact"/>
        <w:ind w:firstLine="420" w:firstLineChars="200"/>
        <w:rPr>
          <w:rFonts w:ascii="Arial" w:hAnsi="Arial" w:cs="Arial"/>
          <w:color w:val="auto"/>
          <w:szCs w:val="21"/>
          <w:highlight w:val="none"/>
        </w:rPr>
      </w:pPr>
      <w:r>
        <w:rPr>
          <w:rFonts w:ascii="Arial" w:hAnsi="Arial" w:cs="Arial"/>
          <w:color w:val="auto"/>
          <w:szCs w:val="21"/>
          <w:highlight w:val="none"/>
        </w:rPr>
        <w:t>特此证明。</w:t>
      </w:r>
    </w:p>
    <w:p>
      <w:pPr>
        <w:spacing w:line="360" w:lineRule="auto"/>
        <w:ind w:firstLine="4830" w:firstLineChars="23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pPr>
        <w:spacing w:line="360" w:lineRule="auto"/>
        <w:jc w:val="center"/>
        <w:rPr>
          <w:rFonts w:ascii="Arial" w:hAnsi="Arial" w:cs="Arial"/>
          <w:color w:val="auto"/>
          <w:szCs w:val="21"/>
          <w:highlight w:val="none"/>
        </w:rPr>
      </w:pPr>
      <w:r>
        <w:rPr>
          <w:rFonts w:ascii="Arial" w:hAnsi="Arial" w:cs="Arial"/>
          <w:color w:val="auto"/>
          <w:szCs w:val="21"/>
          <w:highlight w:val="none"/>
        </w:rPr>
        <w:t xml:space="preserve">年  月  日 </w:t>
      </w:r>
    </w:p>
    <w:p>
      <w:pPr>
        <w:spacing w:line="360" w:lineRule="auto"/>
        <w:ind w:firstLine="420" w:firstLineChars="200"/>
        <w:rPr>
          <w:rFonts w:ascii="Arial" w:hAnsi="Arial" w:cs="Arial"/>
          <w:color w:val="auto"/>
          <w:szCs w:val="21"/>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w:t>
      </w:r>
    </w:p>
    <w:p>
      <w:pPr>
        <w:spacing w:line="360" w:lineRule="auto"/>
        <w:rPr>
          <w:rFonts w:ascii="Arial" w:hAnsi="Arial" w:cs="Arial"/>
          <w:color w:val="auto"/>
          <w:szCs w:val="21"/>
          <w:highlight w:val="none"/>
        </w:rPr>
      </w:pPr>
    </w:p>
    <w:p>
      <w:pPr>
        <w:spacing w:line="360" w:lineRule="auto"/>
        <w:rPr>
          <w:rFonts w:ascii="Arial" w:hAnsi="Arial" w:cs="Arial"/>
          <w:color w:val="auto"/>
          <w:highlight w:val="none"/>
        </w:rPr>
      </w:pPr>
      <w:r>
        <w:rPr>
          <w:rFonts w:ascii="Arial" w:hAnsi="Arial" w:cs="Arial"/>
          <w:color w:val="auto"/>
          <w:highlight w:val="none"/>
        </w:rPr>
        <w:t>注：法定代表人亲自出席开标会议时，须随身携带本“法定代表人身份证明”原件一份以及身份证原件，以备核查。</w:t>
      </w:r>
    </w:p>
    <w:bookmarkEnd w:id="140"/>
    <w:p>
      <w:pPr>
        <w:snapToGrid w:val="0"/>
        <w:spacing w:before="120" w:beforeLines="50" w:after="50" w:line="360" w:lineRule="exact"/>
        <w:rPr>
          <w:rFonts w:ascii="Arial" w:hAnsi="Arial" w:cs="Arial"/>
          <w:b/>
          <w:color w:val="auto"/>
          <w:szCs w:val="21"/>
          <w:highlight w:val="none"/>
        </w:rPr>
      </w:pPr>
      <w:r>
        <w:rPr>
          <w:rFonts w:ascii="Arial" w:hAnsi="Arial" w:cs="Arial"/>
          <w:b/>
          <w:color w:val="auto"/>
          <w:szCs w:val="21"/>
          <w:highlight w:val="none"/>
        </w:rPr>
        <w:br w:type="page"/>
      </w:r>
      <w:r>
        <w:rPr>
          <w:rFonts w:ascii="Arial" w:hAnsi="Arial" w:cs="Arial"/>
          <w:b/>
          <w:color w:val="auto"/>
          <w:szCs w:val="21"/>
          <w:highlight w:val="none"/>
        </w:rPr>
        <w:t>1．授权委托书（有授权代表时必须提供）：</w:t>
      </w:r>
    </w:p>
    <w:p>
      <w:pPr>
        <w:snapToGrid w:val="0"/>
        <w:spacing w:before="120" w:beforeLines="50" w:after="50" w:line="440" w:lineRule="exact"/>
        <w:jc w:val="center"/>
        <w:rPr>
          <w:rFonts w:ascii="Arial" w:hAnsi="Arial" w:cs="Arial"/>
          <w:b/>
          <w:color w:val="auto"/>
          <w:szCs w:val="21"/>
          <w:highlight w:val="none"/>
        </w:rPr>
      </w:pPr>
    </w:p>
    <w:p>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法定代表人授权委托书</w:t>
      </w:r>
    </w:p>
    <w:p>
      <w:pPr>
        <w:snapToGrid w:val="0"/>
        <w:spacing w:before="120" w:beforeLines="50" w:after="50" w:line="440" w:lineRule="exact"/>
        <w:rPr>
          <w:rFonts w:ascii="Arial" w:hAnsi="Arial" w:cs="Arial"/>
          <w:b/>
          <w:bCs/>
          <w:color w:val="auto"/>
          <w:szCs w:val="21"/>
          <w:highlight w:val="none"/>
        </w:rPr>
      </w:pPr>
      <w:r>
        <w:rPr>
          <w:rFonts w:ascii="Arial" w:hAnsi="Arial" w:cs="Arial"/>
          <w:bCs/>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pPr>
        <w:snapToGrid w:val="0"/>
        <w:spacing w:before="120"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我__</w:t>
      </w:r>
      <w:r>
        <w:rPr>
          <w:rFonts w:ascii="Arial" w:hAnsi="Arial" w:cs="Arial"/>
          <w:i/>
          <w:iCs/>
          <w:color w:val="auto"/>
          <w:szCs w:val="21"/>
          <w:highlight w:val="none"/>
          <w:u w:val="single"/>
        </w:rPr>
        <w:t>（法定代表人姓名）</w:t>
      </w:r>
      <w:r>
        <w:rPr>
          <w:rFonts w:ascii="Arial" w:hAnsi="Arial" w:cs="Arial"/>
          <w:color w:val="auto"/>
          <w:szCs w:val="21"/>
          <w:highlight w:val="none"/>
        </w:rPr>
        <w:t>_系_</w:t>
      </w:r>
      <w:r>
        <w:rPr>
          <w:rFonts w:ascii="Arial" w:hAnsi="Arial" w:cs="Arial"/>
          <w:i/>
          <w:iCs/>
          <w:color w:val="auto"/>
          <w:szCs w:val="21"/>
          <w:highlight w:val="none"/>
          <w:u w:val="single"/>
        </w:rPr>
        <w:t>（供应商名称）</w:t>
      </w:r>
      <w:r>
        <w:rPr>
          <w:rFonts w:ascii="Arial" w:hAnsi="Arial" w:cs="Arial"/>
          <w:color w:val="auto"/>
          <w:szCs w:val="21"/>
          <w:highlight w:val="none"/>
        </w:rPr>
        <w:t>_的法定代表人，现授权委托本单位在职职工（姓名）以我方的名义参加</w:t>
      </w:r>
      <w:r>
        <w:rPr>
          <w:rFonts w:ascii="Arial" w:hAnsi="Arial" w:cs="Arial"/>
          <w:color w:val="auto"/>
          <w:szCs w:val="21"/>
          <w:highlight w:val="none"/>
          <w:u w:val="single"/>
        </w:rPr>
        <w:t xml:space="preserve"> </w:t>
      </w:r>
      <w:r>
        <w:rPr>
          <w:rFonts w:ascii="Arial" w:hAnsi="Arial" w:cs="Arial"/>
          <w:i/>
          <w:iCs/>
          <w:color w:val="auto"/>
          <w:szCs w:val="21"/>
          <w:highlight w:val="none"/>
          <w:u w:val="single"/>
        </w:rPr>
        <w:t>（项目名称）</w:t>
      </w:r>
      <w:r>
        <w:rPr>
          <w:rFonts w:ascii="Arial" w:hAnsi="Arial" w:cs="Arial"/>
          <w:color w:val="auto"/>
          <w:szCs w:val="21"/>
          <w:highlight w:val="none"/>
          <w:u w:val="single"/>
        </w:rPr>
        <w:t xml:space="preserve"> </w:t>
      </w:r>
      <w:r>
        <w:rPr>
          <w:rFonts w:ascii="Arial" w:hAnsi="Arial" w:cs="Arial"/>
          <w:color w:val="auto"/>
          <w:szCs w:val="21"/>
          <w:highlight w:val="none"/>
        </w:rPr>
        <w:t>项目的投标活动，并代表我方全权办理针对上述项目的投标、开标、评标、签约等具体事务和签署相关文件。</w:t>
      </w:r>
    </w:p>
    <w:p>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我方对被授权人的签名事项负全部责任。</w:t>
      </w:r>
    </w:p>
    <w:p>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被授权人无转委托权，特此委托。</w:t>
      </w:r>
    </w:p>
    <w:p>
      <w:pPr>
        <w:snapToGrid w:val="0"/>
        <w:spacing w:before="120" w:beforeLines="50" w:after="50" w:line="440" w:lineRule="exact"/>
        <w:rPr>
          <w:rFonts w:ascii="Arial" w:hAnsi="Arial" w:cs="Arial"/>
          <w:color w:val="auto"/>
          <w:szCs w:val="21"/>
          <w:highlight w:val="none"/>
          <w:u w:val="single"/>
        </w:rPr>
      </w:pPr>
      <w:r>
        <w:rPr>
          <w:rFonts w:ascii="Arial" w:hAnsi="Arial" w:cs="Arial"/>
          <w:color w:val="auto"/>
          <w:szCs w:val="21"/>
          <w:highlight w:val="none"/>
        </w:rPr>
        <w:t>被授权人签字或个人CA签章：  法定代表人签字或个人CA签章：</w:t>
      </w:r>
    </w:p>
    <w:p>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职务：职务：</w:t>
      </w:r>
      <w:r>
        <w:rPr>
          <w:rFonts w:ascii="Arial" w:hAnsi="Arial" w:cs="Arial"/>
          <w:color w:val="auto"/>
          <w:szCs w:val="21"/>
          <w:highlight w:val="none"/>
          <w:u w:val="single"/>
        </w:rPr>
        <w:t xml:space="preserve">               </w:t>
      </w:r>
    </w:p>
    <w:p>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被授权人身份证号码：</w:t>
      </w:r>
      <w:r>
        <w:rPr>
          <w:rFonts w:ascii="Arial" w:hAnsi="Arial" w:cs="Arial"/>
          <w:color w:val="auto"/>
          <w:szCs w:val="21"/>
          <w:highlight w:val="none"/>
          <w:u w:val="single"/>
        </w:rPr>
        <w:t xml:space="preserve">               </w:t>
      </w:r>
      <w:r>
        <w:rPr>
          <w:rFonts w:ascii="Arial" w:hAnsi="Arial" w:cs="Arial"/>
          <w:color w:val="auto"/>
          <w:szCs w:val="21"/>
          <w:highlight w:val="none"/>
        </w:rPr>
        <w:t xml:space="preserve">                   授权人身份证号码：</w:t>
      </w:r>
      <w:r>
        <w:rPr>
          <w:rFonts w:ascii="Arial" w:hAnsi="Arial" w:cs="Arial"/>
          <w:color w:val="auto"/>
          <w:szCs w:val="21"/>
          <w:highlight w:val="none"/>
          <w:u w:val="single"/>
        </w:rPr>
        <w:t xml:space="preserve">               </w:t>
      </w:r>
    </w:p>
    <w:p>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被授权人邮箱：</w:t>
      </w:r>
    </w:p>
    <w:p>
      <w:pPr>
        <w:snapToGrid w:val="0"/>
        <w:spacing w:before="120" w:beforeLines="50" w:after="50" w:line="440" w:lineRule="exact"/>
        <w:ind w:firstLine="5670" w:firstLineChars="2700"/>
        <w:rPr>
          <w:rFonts w:ascii="Arial" w:hAnsi="Arial" w:cs="Arial"/>
          <w:color w:val="auto"/>
          <w:szCs w:val="21"/>
          <w:highlight w:val="none"/>
        </w:rPr>
      </w:pPr>
    </w:p>
    <w:p>
      <w:pPr>
        <w:snapToGrid w:val="0"/>
        <w:spacing w:before="120" w:beforeLines="50" w:after="50" w:line="440" w:lineRule="exact"/>
        <w:ind w:firstLine="5670" w:firstLineChars="2700"/>
        <w:rPr>
          <w:rFonts w:ascii="Arial" w:hAnsi="Arial" w:cs="Arial"/>
          <w:color w:val="auto"/>
          <w:szCs w:val="21"/>
          <w:highlight w:val="none"/>
        </w:rPr>
      </w:pPr>
      <w:r>
        <w:rPr>
          <w:rFonts w:ascii="Arial" w:hAnsi="Arial" w:cs="Arial"/>
          <w:color w:val="auto"/>
          <w:szCs w:val="21"/>
          <w:highlight w:val="none"/>
        </w:rPr>
        <w:t>供应商公章（CA签章）：</w:t>
      </w:r>
      <w:r>
        <w:rPr>
          <w:rFonts w:ascii="Arial" w:hAnsi="Arial" w:cs="Arial"/>
          <w:color w:val="auto"/>
          <w:szCs w:val="21"/>
          <w:highlight w:val="none"/>
          <w:u w:val="single"/>
        </w:rPr>
        <w:t xml:space="preserve"> </w:t>
      </w:r>
    </w:p>
    <w:p>
      <w:pPr>
        <w:snapToGrid w:val="0"/>
        <w:spacing w:before="120" w:beforeLines="50" w:after="50" w:line="440" w:lineRule="exact"/>
        <w:jc w:val="center"/>
        <w:rPr>
          <w:rFonts w:ascii="Arial" w:hAnsi="Arial" w:cs="Arial"/>
          <w:color w:val="auto"/>
          <w:szCs w:val="21"/>
          <w:highlight w:val="none"/>
        </w:rPr>
      </w:pPr>
      <w:r>
        <w:rPr>
          <w:rFonts w:ascii="Arial" w:hAnsi="Arial" w:cs="Arial"/>
          <w:color w:val="auto"/>
          <w:szCs w:val="21"/>
          <w:highlight w:val="none"/>
        </w:rPr>
        <w:t>年月日</w:t>
      </w:r>
    </w:p>
    <w:p>
      <w:pPr>
        <w:spacing w:line="360" w:lineRule="auto"/>
        <w:rPr>
          <w:rFonts w:ascii="Arial" w:hAnsi="Arial" w:cs="Arial"/>
          <w:color w:val="auto"/>
          <w:szCs w:val="21"/>
          <w:highlight w:val="none"/>
        </w:rPr>
      </w:pPr>
      <w:r>
        <w:rPr>
          <w:rFonts w:ascii="Arial" w:hAnsi="Arial" w:cs="Arial"/>
          <w:color w:val="auto"/>
          <w:szCs w:val="21"/>
          <w:highlight w:val="none"/>
        </w:rPr>
        <w:t>附件：法定代表人身份证复印件及授权代表身份证复印件</w:t>
      </w:r>
    </w:p>
    <w:p>
      <w:pPr>
        <w:spacing w:line="360" w:lineRule="auto"/>
        <w:rPr>
          <w:rFonts w:ascii="Arial" w:hAnsi="Arial" w:cs="Arial"/>
          <w:color w:val="auto"/>
          <w:highlight w:val="none"/>
        </w:rPr>
      </w:pPr>
    </w:p>
    <w:p>
      <w:pPr>
        <w:spacing w:line="360" w:lineRule="auto"/>
        <w:rPr>
          <w:rFonts w:ascii="Arial" w:hAnsi="Arial" w:cs="Arial"/>
          <w:color w:val="auto"/>
          <w:highlight w:val="none"/>
        </w:rPr>
      </w:pPr>
      <w:r>
        <w:rPr>
          <w:rFonts w:ascii="Arial" w:hAnsi="Arial" w:cs="Arial"/>
          <w:color w:val="auto"/>
          <w:highlight w:val="none"/>
        </w:rPr>
        <w:t>注：授权代表出席开标会议时，须随身携带本“法定代表人授权委托书”原件一份以及本人身份证原件，以备核查。</w:t>
      </w:r>
    </w:p>
    <w:p>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br w:type="page"/>
      </w:r>
      <w:r>
        <w:rPr>
          <w:rFonts w:ascii="Arial" w:hAnsi="Arial" w:cs="Arial"/>
          <w:bCs/>
          <w:color w:val="auto"/>
          <w:sz w:val="24"/>
          <w:highlight w:val="none"/>
        </w:rPr>
        <w:t>第一部分 商务文件</w:t>
      </w:r>
    </w:p>
    <w:p>
      <w:pPr>
        <w:jc w:val="center"/>
        <w:rPr>
          <w:rFonts w:ascii="Arial" w:hAnsi="Arial" w:cs="Arial"/>
          <w:bCs/>
          <w:color w:val="auto"/>
          <w:sz w:val="24"/>
          <w:highlight w:val="none"/>
        </w:rPr>
      </w:pPr>
      <w:r>
        <w:rPr>
          <w:rFonts w:ascii="Arial" w:hAnsi="Arial" w:cs="Arial"/>
          <w:color w:val="auto"/>
          <w:highlight w:val="none"/>
        </w:rPr>
        <w:t>（本商务文件除标注“必须提供”的部分外，其余部分供应商可自行编写，也可参照下述提纲编写）</w:t>
      </w:r>
    </w:p>
    <w:p>
      <w:pPr>
        <w:snapToGrid w:val="0"/>
        <w:spacing w:before="50" w:after="120" w:afterLines="50" w:line="440" w:lineRule="exact"/>
        <w:jc w:val="left"/>
        <w:rPr>
          <w:rFonts w:ascii="Arial" w:hAnsi="Arial" w:cs="Arial"/>
          <w:color w:val="auto"/>
          <w:szCs w:val="21"/>
          <w:highlight w:val="none"/>
        </w:rPr>
      </w:pPr>
    </w:p>
    <w:p>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1．对本项目第二章《项目采购需求》“本项目商务要求”的响应偏离表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122"/>
        <w:gridCol w:w="4657"/>
        <w:gridCol w:w="1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招标文件的商务要求</w:t>
            </w: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投标文件响应内容（可注明所在页码）</w:t>
            </w: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212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465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r>
    </w:tbl>
    <w:p>
      <w:pPr>
        <w:pStyle w:val="29"/>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注：（1）本表应对招标文件第二章《项目采购需求》中所列商务要求进行响应；</w:t>
      </w:r>
    </w:p>
    <w:p>
      <w:pPr>
        <w:pStyle w:val="29"/>
        <w:tabs>
          <w:tab w:val="left" w:pos="2127"/>
        </w:tabs>
        <w:spacing w:line="340" w:lineRule="exact"/>
        <w:ind w:firstLine="420" w:firstLineChars="200"/>
        <w:jc w:val="left"/>
        <w:rPr>
          <w:rFonts w:ascii="Arial" w:hAnsi="Arial" w:cs="Arial"/>
          <w:color w:val="auto"/>
          <w:highlight w:val="none"/>
        </w:rPr>
      </w:pPr>
      <w:bookmarkStart w:id="141" w:name="_Hlk19049081"/>
      <w:r>
        <w:rPr>
          <w:rFonts w:ascii="Arial" w:hAnsi="Arial" w:cs="Arial"/>
          <w:color w:val="auto"/>
          <w:highlight w:val="none"/>
        </w:rPr>
        <w:t>（2）本表内容必须如实填写，并根据响应情况在“偏离说明”栏填写正偏离或负偏离及原因，完全符合的填写“无偏离”。填写“无偏离”时，如相应条款在投标文件其他部分描述明确不满足招标文件要求时，评标委员会将按不满足要求进行评审。</w:t>
      </w:r>
    </w:p>
    <w:bookmarkEnd w:id="141"/>
    <w:p>
      <w:pPr>
        <w:pStyle w:val="29"/>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（3）本表可扩展。</w:t>
      </w:r>
    </w:p>
    <w:p>
      <w:pPr>
        <w:snapToGrid w:val="0"/>
        <w:spacing w:before="50" w:after="50"/>
        <w:rPr>
          <w:rFonts w:ascii="Arial" w:hAnsi="Arial" w:cs="Arial"/>
          <w:color w:val="auto"/>
          <w:spacing w:val="20"/>
          <w:szCs w:val="21"/>
          <w:highlight w:val="none"/>
          <w:u w:val="single"/>
        </w:rPr>
      </w:pPr>
      <w:r>
        <w:rPr>
          <w:rFonts w:ascii="Arial" w:hAnsi="Arial" w:cs="Arial"/>
          <w:color w:val="auto"/>
          <w:highlight w:val="none"/>
        </w:rPr>
        <w:t>法定代表人或授权代表签字或</w:t>
      </w:r>
      <w:r>
        <w:rPr>
          <w:rFonts w:ascii="Arial" w:hAnsi="Arial" w:cs="Arial"/>
          <w:color w:val="auto"/>
          <w:szCs w:val="21"/>
          <w:highlight w:val="none"/>
        </w:rPr>
        <w:t>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snapToGrid w:val="0"/>
        <w:spacing w:before="50" w:after="120" w:afterLines="50"/>
        <w:jc w:val="left"/>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w:t>
      </w:r>
    </w:p>
    <w:p>
      <w:pPr>
        <w:snapToGrid w:val="0"/>
        <w:spacing w:before="50" w:after="120" w:afterLines="50"/>
        <w:jc w:val="left"/>
        <w:rPr>
          <w:rFonts w:ascii="Arial" w:hAnsi="Arial" w:cs="Arial"/>
          <w:strike/>
          <w:color w:val="auto"/>
          <w:szCs w:val="21"/>
          <w:highlight w:val="none"/>
        </w:rPr>
      </w:pPr>
      <w:r>
        <w:rPr>
          <w:rFonts w:ascii="Arial" w:hAnsi="Arial" w:cs="Arial"/>
          <w:color w:val="auto"/>
          <w:spacing w:val="20"/>
          <w:szCs w:val="21"/>
          <w:highlight w:val="none"/>
        </w:rPr>
        <w:t>日  期：</w:t>
      </w:r>
    </w:p>
    <w:p>
      <w:pPr>
        <w:snapToGrid w:val="0"/>
        <w:spacing w:before="50" w:after="120" w:afterLines="50" w:line="440" w:lineRule="exact"/>
        <w:jc w:val="left"/>
        <w:rPr>
          <w:rFonts w:ascii="Arial" w:hAnsi="Arial" w:cs="Arial"/>
          <w:strike/>
          <w:color w:val="auto"/>
          <w:szCs w:val="21"/>
          <w:highlight w:val="none"/>
        </w:rPr>
      </w:pPr>
      <w:r>
        <w:rPr>
          <w:rFonts w:ascii="Arial" w:hAnsi="Arial" w:cs="Arial"/>
          <w:color w:val="auto"/>
          <w:szCs w:val="21"/>
          <w:highlight w:val="none"/>
        </w:rPr>
        <w:t>2．售后服务机构概况（如有，供应商自行编写）</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4"/>
        <w:gridCol w:w="1439"/>
        <w:gridCol w:w="194"/>
        <w:gridCol w:w="1458"/>
        <w:gridCol w:w="899"/>
        <w:gridCol w:w="1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售后服务机构名称</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地址</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注册资本金</w:t>
            </w:r>
          </w:p>
        </w:tc>
        <w:tc>
          <w:tcPr>
            <w:tcW w:w="143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其中：供应商出资比例</w:t>
            </w:r>
          </w:p>
        </w:tc>
        <w:tc>
          <w:tcPr>
            <w:tcW w:w="14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员工总人数</w:t>
            </w:r>
          </w:p>
        </w:tc>
        <w:tc>
          <w:tcPr>
            <w:tcW w:w="143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2551"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rFonts w:ascii="Arial" w:hAnsi="Arial" w:cs="Arial"/>
                <w:color w:val="auto"/>
                <w:szCs w:val="21"/>
                <w:highlight w:val="none"/>
              </w:rPr>
            </w:pPr>
            <w:r>
              <w:rPr>
                <w:rFonts w:ascii="Arial" w:hAnsi="Arial" w:cs="Arial"/>
                <w:color w:val="auto"/>
                <w:szCs w:val="21"/>
                <w:highlight w:val="none"/>
              </w:rPr>
              <w:t>其中：技术人员数</w:t>
            </w:r>
          </w:p>
        </w:tc>
        <w:tc>
          <w:tcPr>
            <w:tcW w:w="145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经营期限</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售后服务协议</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售后服务内容</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工作业绩</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服务承诺</w:t>
            </w:r>
          </w:p>
        </w:tc>
        <w:tc>
          <w:tcPr>
            <w:tcW w:w="5445"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业务咨询电话</w:t>
            </w:r>
          </w:p>
        </w:tc>
        <w:tc>
          <w:tcPr>
            <w:tcW w:w="163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Arial" w:hAnsi="Arial" w:cs="Arial"/>
                <w:color w:val="auto"/>
                <w:szCs w:val="21"/>
                <w:highlight w:val="none"/>
              </w:rPr>
            </w:pPr>
          </w:p>
        </w:tc>
        <w:tc>
          <w:tcPr>
            <w:tcW w:w="1458"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10" w:firstLineChars="100"/>
              <w:jc w:val="left"/>
              <w:rPr>
                <w:rFonts w:ascii="Arial" w:hAnsi="Arial" w:cs="Arial"/>
                <w:color w:val="auto"/>
                <w:szCs w:val="21"/>
                <w:highlight w:val="none"/>
              </w:rPr>
            </w:pPr>
            <w:r>
              <w:rPr>
                <w:rFonts w:ascii="Arial" w:hAnsi="Arial" w:cs="Arial"/>
                <w:color w:val="auto"/>
                <w:szCs w:val="21"/>
                <w:highlight w:val="none"/>
              </w:rPr>
              <w:t>传 真</w:t>
            </w:r>
          </w:p>
        </w:tc>
        <w:tc>
          <w:tcPr>
            <w:tcW w:w="2354"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195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负责人</w:t>
            </w:r>
          </w:p>
        </w:tc>
        <w:tc>
          <w:tcPr>
            <w:tcW w:w="163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rFonts w:ascii="Arial" w:hAnsi="Arial" w:cs="Arial"/>
                <w:color w:val="auto"/>
                <w:szCs w:val="21"/>
                <w:highlight w:val="none"/>
              </w:rPr>
            </w:pPr>
          </w:p>
        </w:tc>
        <w:tc>
          <w:tcPr>
            <w:tcW w:w="1458"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rFonts w:ascii="Arial" w:hAnsi="Arial" w:cs="Arial"/>
                <w:color w:val="auto"/>
                <w:szCs w:val="21"/>
                <w:highlight w:val="none"/>
              </w:rPr>
            </w:pPr>
            <w:r>
              <w:rPr>
                <w:rFonts w:ascii="Arial" w:hAnsi="Arial" w:cs="Arial"/>
                <w:color w:val="auto"/>
                <w:szCs w:val="21"/>
                <w:highlight w:val="none"/>
              </w:rPr>
              <w:t>联系电话</w:t>
            </w:r>
          </w:p>
        </w:tc>
        <w:tc>
          <w:tcPr>
            <w:tcW w:w="2354"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bl>
    <w:p>
      <w:pPr>
        <w:pStyle w:val="18"/>
        <w:snapToGrid w:val="0"/>
        <w:ind w:firstLine="630" w:firstLineChars="300"/>
        <w:rPr>
          <w:rFonts w:eastAsia="宋体"/>
          <w:color w:val="auto"/>
          <w:sz w:val="21"/>
          <w:szCs w:val="21"/>
          <w:highlight w:val="none"/>
          <w:u w:val="single"/>
        </w:rPr>
      </w:pPr>
      <w:r>
        <w:rPr>
          <w:rFonts w:eastAsia="宋体"/>
          <w:color w:val="auto"/>
          <w:sz w:val="21"/>
          <w:szCs w:val="21"/>
          <w:highlight w:val="none"/>
        </w:rPr>
        <w:t>法定代表人或授权代表签字或个人CA签章：</w:t>
      </w:r>
      <w:r>
        <w:rPr>
          <w:rFonts w:eastAsia="宋体"/>
          <w:color w:val="auto"/>
          <w:sz w:val="21"/>
          <w:szCs w:val="21"/>
          <w:highlight w:val="none"/>
          <w:u w:val="single"/>
        </w:rPr>
        <w:t>　　　　　</w:t>
      </w:r>
    </w:p>
    <w:p>
      <w:pPr>
        <w:pStyle w:val="23"/>
        <w:snapToGrid w:val="0"/>
        <w:ind w:left="1260" w:hanging="420"/>
        <w:rPr>
          <w:rFonts w:ascii="Arial" w:hAnsi="Arial" w:cs="Arial"/>
          <w:color w:val="auto"/>
          <w:sz w:val="21"/>
          <w:szCs w:val="21"/>
          <w:highlight w:val="none"/>
        </w:rPr>
      </w:pPr>
      <w:r>
        <w:rPr>
          <w:rFonts w:ascii="Arial" w:hAnsi="Arial" w:cs="Arial"/>
          <w:color w:val="auto"/>
          <w:sz w:val="21"/>
          <w:szCs w:val="21"/>
          <w:highlight w:val="none"/>
        </w:rPr>
        <w:t>供应商公章（CA签章）： 　 年  月　 日</w:t>
      </w:r>
    </w:p>
    <w:p>
      <w:pPr>
        <w:snapToGrid w:val="0"/>
        <w:spacing w:before="50" w:after="120" w:afterLines="50" w:line="440" w:lineRule="exact"/>
        <w:jc w:val="left"/>
        <w:rPr>
          <w:rFonts w:ascii="Arial" w:hAnsi="Arial" w:cs="Arial"/>
          <w:color w:val="auto"/>
          <w:szCs w:val="21"/>
          <w:highlight w:val="none"/>
        </w:rPr>
      </w:pPr>
    </w:p>
    <w:p>
      <w:pPr>
        <w:snapToGrid w:val="0"/>
        <w:spacing w:before="50" w:after="120" w:afterLines="50" w:line="440" w:lineRule="exact"/>
        <w:jc w:val="left"/>
        <w:rPr>
          <w:rFonts w:ascii="Arial" w:hAnsi="Arial" w:cs="Arial"/>
          <w:color w:val="auto"/>
          <w:spacing w:val="20"/>
          <w:szCs w:val="21"/>
          <w:highlight w:val="none"/>
          <w:u w:val="single"/>
        </w:rPr>
      </w:pPr>
      <w:r>
        <w:rPr>
          <w:rFonts w:ascii="Arial" w:hAnsi="Arial" w:cs="Arial"/>
          <w:color w:val="auto"/>
          <w:szCs w:val="21"/>
          <w:highlight w:val="none"/>
        </w:rPr>
        <w:t>3．售后服务方案（如有，供应商自行编写）</w:t>
      </w:r>
    </w:p>
    <w:p>
      <w:pPr>
        <w:snapToGrid w:val="0"/>
        <w:spacing w:before="50" w:after="120" w:afterLines="50" w:line="440" w:lineRule="exact"/>
        <w:jc w:val="left"/>
        <w:rPr>
          <w:rFonts w:ascii="Arial" w:hAnsi="Arial" w:cs="Arial"/>
          <w:color w:val="auto"/>
          <w:spacing w:val="20"/>
          <w:szCs w:val="21"/>
          <w:highlight w:val="none"/>
          <w:u w:val="single"/>
        </w:rPr>
        <w:sectPr>
          <w:headerReference r:id="rId14" w:type="first"/>
          <w:headerReference r:id="rId13" w:type="default"/>
          <w:footerReference r:id="rId15" w:type="default"/>
          <w:pgSz w:w="11906" w:h="16838"/>
          <w:pgMar w:top="1418" w:right="1028" w:bottom="1246" w:left="1418" w:header="851" w:footer="992" w:gutter="0"/>
          <w:cols w:space="720" w:num="1"/>
          <w:docGrid w:linePitch="312" w:charSpace="0"/>
        </w:sectPr>
      </w:pP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w:t>
      </w:r>
      <w:r>
        <w:rPr>
          <w:rFonts w:hint="eastAsia" w:ascii="Arial" w:hAnsi="Arial" w:cs="Arial"/>
          <w:color w:val="auto"/>
          <w:szCs w:val="21"/>
          <w:highlight w:val="none"/>
        </w:rPr>
        <w:t>履约能力相关证明材料</w:t>
      </w: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r>
        <w:rPr>
          <w:rFonts w:hint="eastAsia" w:ascii="Arial" w:hAnsi="Arial" w:cs="Arial"/>
          <w:color w:val="auto"/>
          <w:szCs w:val="21"/>
          <w:highlight w:val="none"/>
        </w:rPr>
        <w:t>4.1相关有效认证证书材料。</w:t>
      </w: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b/>
          <w:color w:val="auto"/>
          <w:szCs w:val="21"/>
          <w:highlight w:val="none"/>
        </w:rPr>
      </w:pPr>
      <w:r>
        <w:rPr>
          <w:rFonts w:hint="eastAsia" w:ascii="Arial" w:hAnsi="Arial" w:cs="Arial"/>
          <w:color w:val="auto"/>
          <w:szCs w:val="21"/>
          <w:highlight w:val="none"/>
        </w:rPr>
        <w:t>4.2</w:t>
      </w:r>
      <w:r>
        <w:rPr>
          <w:rFonts w:ascii="Arial" w:hAnsi="Arial" w:cs="Arial"/>
          <w:color w:val="auto"/>
          <w:szCs w:val="21"/>
          <w:highlight w:val="none"/>
        </w:rPr>
        <w:t>近年供应商类似成功案例的业绩证明。</w:t>
      </w:r>
    </w:p>
    <w:p>
      <w:pPr>
        <w:snapToGrid w:val="0"/>
        <w:spacing w:before="50" w:after="120" w:afterLines="50"/>
        <w:jc w:val="center"/>
        <w:rPr>
          <w:rFonts w:ascii="Arial" w:hAnsi="Arial" w:cs="Arial"/>
          <w:color w:val="auto"/>
          <w:szCs w:val="21"/>
          <w:highlight w:val="none"/>
        </w:rPr>
      </w:pPr>
      <w:r>
        <w:rPr>
          <w:rFonts w:ascii="Arial" w:hAnsi="Arial" w:cs="Arial"/>
          <w:b/>
          <w:color w:val="auto"/>
          <w:szCs w:val="21"/>
          <w:highlight w:val="none"/>
        </w:rPr>
        <w:t>类似成功案例业绩一览表</w:t>
      </w:r>
    </w:p>
    <w:tbl>
      <w:tblPr>
        <w:tblStyle w:val="5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93"/>
        <w:gridCol w:w="3895"/>
        <w:gridCol w:w="1230"/>
        <w:gridCol w:w="1230"/>
        <w:gridCol w:w="1640"/>
        <w:gridCol w:w="31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5" w:hRule="atLeast"/>
        </w:trPr>
        <w:tc>
          <w:tcPr>
            <w:tcW w:w="299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采购单位名称</w:t>
            </w:r>
          </w:p>
        </w:tc>
        <w:tc>
          <w:tcPr>
            <w:tcW w:w="389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产品或项目名称</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w:t>
            </w:r>
          </w:p>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数量</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单价（元）</w:t>
            </w:r>
          </w:p>
        </w:tc>
        <w:tc>
          <w:tcPr>
            <w:tcW w:w="164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合同总价（元）</w:t>
            </w:r>
          </w:p>
        </w:tc>
        <w:tc>
          <w:tcPr>
            <w:tcW w:w="3181" w:type="dxa"/>
            <w:vMerge w:val="restart"/>
            <w:tcBorders>
              <w:top w:val="single" w:color="auto" w:sz="4" w:space="0"/>
              <w:left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trPr>
        <w:tc>
          <w:tcPr>
            <w:tcW w:w="2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38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3181" w:type="dxa"/>
            <w:vMerge w:val="continue"/>
            <w:tcBorders>
              <w:left w:val="single" w:color="auto" w:sz="4" w:space="0"/>
              <w:bottom w:val="single" w:color="auto" w:sz="4" w:space="0"/>
              <w:right w:val="single" w:color="auto" w:sz="4" w:space="0"/>
            </w:tcBorders>
          </w:tcPr>
          <w:p>
            <w:pPr>
              <w:snapToGrid w:val="0"/>
              <w:spacing w:line="240" w:lineRule="exact"/>
              <w:jc w:val="center"/>
              <w:rPr>
                <w:rFonts w:ascii="Arial" w:hAnsi="Arial" w:cs="Arial"/>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99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3895"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12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16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c>
          <w:tcPr>
            <w:tcW w:w="318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Arial" w:hAnsi="Arial" w:cs="Arial"/>
                <w:color w:val="auto"/>
                <w:szCs w:val="21"/>
                <w:highlight w:val="none"/>
              </w:rPr>
            </w:pPr>
          </w:p>
        </w:tc>
      </w:tr>
    </w:tbl>
    <w:p>
      <w:pPr>
        <w:pStyle w:val="18"/>
        <w:snapToGrid w:val="0"/>
        <w:rPr>
          <w:rFonts w:eastAsia="宋体"/>
          <w:color w:val="auto"/>
          <w:sz w:val="21"/>
          <w:szCs w:val="21"/>
          <w:highlight w:val="none"/>
        </w:rPr>
      </w:pPr>
      <w:r>
        <w:rPr>
          <w:rFonts w:eastAsia="宋体"/>
          <w:color w:val="auto"/>
          <w:sz w:val="21"/>
          <w:szCs w:val="21"/>
          <w:highlight w:val="none"/>
        </w:rPr>
        <w:t>注：</w:t>
      </w:r>
      <w:bookmarkStart w:id="142" w:name="_Hlk19049505"/>
      <w:r>
        <w:rPr>
          <w:rFonts w:eastAsia="宋体"/>
          <w:color w:val="auto"/>
          <w:sz w:val="21"/>
          <w:szCs w:val="21"/>
          <w:highlight w:val="none"/>
        </w:rPr>
        <w:t>本表可拓展并逐页签字及盖章。</w:t>
      </w:r>
      <w:bookmarkEnd w:id="142"/>
    </w:p>
    <w:p>
      <w:pPr>
        <w:pStyle w:val="18"/>
        <w:snapToGrid w:val="0"/>
        <w:rPr>
          <w:rFonts w:eastAsia="宋体"/>
          <w:color w:val="auto"/>
          <w:sz w:val="21"/>
          <w:szCs w:val="21"/>
          <w:highlight w:val="none"/>
          <w:u w:val="single"/>
        </w:rPr>
      </w:pPr>
      <w:r>
        <w:rPr>
          <w:rFonts w:eastAsia="宋体"/>
          <w:color w:val="auto"/>
          <w:sz w:val="21"/>
          <w:szCs w:val="21"/>
          <w:highlight w:val="none"/>
        </w:rPr>
        <w:t>法定代表人或授权代表签字或个人CA签章：</w:t>
      </w:r>
      <w:r>
        <w:rPr>
          <w:rFonts w:eastAsia="宋体"/>
          <w:color w:val="auto"/>
          <w:sz w:val="21"/>
          <w:szCs w:val="21"/>
          <w:highlight w:val="none"/>
          <w:u w:val="single"/>
        </w:rPr>
        <w:t>　　　　　</w:t>
      </w:r>
    </w:p>
    <w:p>
      <w:pPr>
        <w:snapToGrid w:val="0"/>
        <w:spacing w:before="50"/>
        <w:jc w:val="left"/>
        <w:rPr>
          <w:rFonts w:ascii="Arial" w:hAnsi="Arial" w:cs="Arial"/>
          <w:color w:val="auto"/>
          <w:szCs w:val="21"/>
          <w:highlight w:val="none"/>
        </w:rPr>
      </w:pPr>
      <w:r>
        <w:rPr>
          <w:rFonts w:ascii="Arial" w:hAnsi="Arial" w:cs="Arial"/>
          <w:color w:val="auto"/>
          <w:szCs w:val="21"/>
          <w:highlight w:val="none"/>
        </w:rPr>
        <w:t>供应商公章（CA签章）：   年   月   日</w:t>
      </w:r>
    </w:p>
    <w:p>
      <w:pPr>
        <w:snapToGrid w:val="0"/>
        <w:spacing w:before="50"/>
        <w:jc w:val="left"/>
        <w:rPr>
          <w:rFonts w:ascii="Arial" w:hAnsi="Arial" w:cs="Arial"/>
          <w:color w:val="auto"/>
          <w:szCs w:val="21"/>
          <w:highlight w:val="none"/>
        </w:rPr>
      </w:pPr>
    </w:p>
    <w:p>
      <w:pPr>
        <w:snapToGrid w:val="0"/>
        <w:spacing w:before="50"/>
        <w:jc w:val="left"/>
        <w:rPr>
          <w:rFonts w:ascii="Arial" w:hAnsi="Arial" w:cs="Arial"/>
          <w:color w:val="auto"/>
          <w:szCs w:val="21"/>
          <w:highlight w:val="none"/>
        </w:rPr>
        <w:sectPr>
          <w:pgSz w:w="16838" w:h="11906" w:orient="landscape"/>
          <w:pgMar w:top="1418" w:right="1418" w:bottom="1133" w:left="1246" w:header="851" w:footer="992" w:gutter="0"/>
          <w:cols w:space="720" w:num="1"/>
          <w:docGrid w:linePitch="312" w:charSpace="0"/>
        </w:sectPr>
      </w:pP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5.符合政府采购政策加分条件证明材料。</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5.1列入节能产品政府采购品目清单及环境标志产品政府采购品目清单的货物清单。</w:t>
      </w:r>
      <w:r>
        <w:rPr>
          <w:rFonts w:ascii="Arial" w:hAnsi="Arial" w:cs="Arial"/>
          <w:b/>
          <w:color w:val="auto"/>
          <w:szCs w:val="21"/>
          <w:highlight w:val="none"/>
        </w:rPr>
        <w:t>（如有，须提供）</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投标产品中如有列入节能产品政府采购品目清单及环境标志产品政府采购品目清单的货物，应按下表提供清单。</w:t>
      </w:r>
    </w:p>
    <w:p>
      <w:pPr>
        <w:spacing w:line="360" w:lineRule="auto"/>
        <w:jc w:val="center"/>
        <w:rPr>
          <w:rFonts w:ascii="Arial" w:hAnsi="Arial" w:cs="Arial"/>
          <w:color w:val="auto"/>
          <w:szCs w:val="21"/>
          <w:highlight w:val="none"/>
        </w:rPr>
      </w:pPr>
      <w:r>
        <w:rPr>
          <w:rFonts w:ascii="Arial" w:hAnsi="Arial" w:cs="Arial"/>
          <w:b/>
          <w:color w:val="auto"/>
          <w:szCs w:val="21"/>
          <w:highlight w:val="none"/>
        </w:rPr>
        <w:t>节能产品及环境标志产品清单</w:t>
      </w:r>
    </w:p>
    <w:tbl>
      <w:tblPr>
        <w:tblStyle w:val="5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2</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r>
    </w:tbl>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注：类别填写节能或环境标志，品目填写编号及产品名称如A02010104台式计算机。</w:t>
      </w:r>
    </w:p>
    <w:p>
      <w:pPr>
        <w:snapToGrid w:val="0"/>
        <w:spacing w:before="50" w:after="120" w:afterLines="50"/>
        <w:jc w:val="left"/>
        <w:rPr>
          <w:rFonts w:ascii="Arial" w:hAnsi="Arial" w:cs="Arial"/>
          <w:color w:val="auto"/>
          <w:szCs w:val="21"/>
          <w:highlight w:val="none"/>
        </w:rPr>
      </w:pPr>
      <w:bookmarkStart w:id="143" w:name="_Hlk19050322"/>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6．无串标行为承诺函</w:t>
      </w:r>
    </w:p>
    <w:p>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投标人参加本项目无围标串标行为的承诺函</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一、我方承诺无下列相互串通投标的情形：</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1.不同投标人的投标文件由同一单位或者个人编制；或者不同投标人报名的IP地址一致的；</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2.不同投标人委托同一单位或者个人办理投标事宜；</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3.不同的投标人的投标文件载明的项目管理员为同一个人；</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4.不同投标人的投标文件异常一致或者投标报价呈规律性差异；</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5.不同投标人的投标文件相互混装；</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6.不同投标人的投标保证金从同一单位或者个人账户转出。</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二、我方承诺无下列恶意串通的情形：</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1.投标人直接或者间接从采购人或者采购代理机构处获得其他投标人的相关信息并修改其投标文件或者投标文件；</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2.投标人按照采购人或者采购代理机构的授意撤换、修改投标文件或者投标文件；</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3.投标人之间协商报价、技术方案等投标文件或者投标文件的实质性内容；</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4.属于同一集团、协会、商会等组织成员的投标人按照该组织要求协同参加政府采购活动；</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6.投标人之间商定部分投标人放弃参加政府采购活动或者放弃中标；</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7.投标人与采购人或者采购代理机构之间、投标人相互之间，为谋求特定投标人中标或者排斥其他投标人的其他串通行为。</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以上情形一经核查属实，我方愿意承担一切后果，并不再寻求任何旨在减轻或者免除法律责任的辩解。</w:t>
      </w:r>
    </w:p>
    <w:p>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 xml:space="preserve">                                   供应商名称(电子签章)：</w:t>
      </w:r>
    </w:p>
    <w:p>
      <w:pPr>
        <w:snapToGrid w:val="0"/>
        <w:spacing w:before="50" w:after="120" w:afterLines="50"/>
        <w:jc w:val="center"/>
        <w:rPr>
          <w:rFonts w:ascii="Arial" w:hAnsi="Arial" w:cs="Arial"/>
          <w:color w:val="auto"/>
          <w:szCs w:val="21"/>
          <w:highlight w:val="none"/>
        </w:rPr>
      </w:pPr>
      <w:r>
        <w:rPr>
          <w:rFonts w:ascii="Arial" w:hAnsi="Arial" w:cs="Arial"/>
          <w:color w:val="auto"/>
          <w:szCs w:val="21"/>
          <w:highlight w:val="none"/>
        </w:rPr>
        <w:t xml:space="preserve">                                 日期：  年  月   日</w:t>
      </w: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7.供应商认为需提供的其他材料（根据招标文件编写）</w:t>
      </w:r>
    </w:p>
    <w:bookmarkEnd w:id="143"/>
    <w:p>
      <w:pPr>
        <w:rPr>
          <w:rFonts w:ascii="Arial" w:hAnsi="Arial" w:cs="Arial"/>
          <w:b/>
          <w:bCs/>
          <w:color w:val="auto"/>
          <w:szCs w:val="21"/>
          <w:highlight w:val="none"/>
        </w:rPr>
      </w:pPr>
      <w:r>
        <w:rPr>
          <w:rFonts w:ascii="Arial" w:hAnsi="Arial" w:cs="Arial"/>
          <w:color w:val="auto"/>
          <w:szCs w:val="21"/>
          <w:highlight w:val="none"/>
        </w:rPr>
        <w:br w:type="page"/>
      </w:r>
    </w:p>
    <w:p>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第二部分 技术文件</w:t>
      </w:r>
    </w:p>
    <w:p>
      <w:pPr>
        <w:jc w:val="center"/>
        <w:rPr>
          <w:rFonts w:ascii="Arial" w:hAnsi="Arial" w:cs="Arial"/>
          <w:color w:val="auto"/>
          <w:highlight w:val="none"/>
        </w:rPr>
      </w:pPr>
      <w:r>
        <w:rPr>
          <w:rFonts w:ascii="Arial" w:hAnsi="Arial" w:cs="Arial"/>
          <w:color w:val="auto"/>
          <w:highlight w:val="none"/>
        </w:rPr>
        <w:t>（本技术文件除标注“必须提供”的部分外，其余部分供应商可自行编写，也可参照下述提纲编写）</w:t>
      </w:r>
    </w:p>
    <w:p>
      <w:pPr>
        <w:snapToGrid w:val="0"/>
        <w:spacing w:before="50" w:after="120" w:afterLines="50"/>
        <w:jc w:val="left"/>
        <w:rPr>
          <w:rFonts w:ascii="Arial" w:hAnsi="Arial" w:cs="Arial"/>
          <w:color w:val="auto"/>
          <w:szCs w:val="21"/>
          <w:highlight w:val="none"/>
        </w:rPr>
      </w:pPr>
    </w:p>
    <w:p>
      <w:pPr>
        <w:rPr>
          <w:rFonts w:ascii="Arial" w:hAnsi="Arial" w:cs="Arial"/>
          <w:color w:val="auto"/>
          <w:szCs w:val="21"/>
          <w:highlight w:val="none"/>
        </w:rPr>
      </w:pPr>
      <w:r>
        <w:rPr>
          <w:rFonts w:ascii="Arial" w:hAnsi="Arial" w:cs="Arial"/>
          <w:color w:val="auto"/>
          <w:szCs w:val="21"/>
          <w:highlight w:val="none"/>
        </w:rPr>
        <w:t>1．对本项目第二章《项目采购需求》技术要求的响应偏离表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p>
      <w:pPr>
        <w:rPr>
          <w:rFonts w:ascii="Arial" w:hAnsi="Arial" w:cs="Arial"/>
          <w:color w:val="auto"/>
          <w:szCs w:val="21"/>
          <w:highlight w:val="none"/>
        </w:rPr>
      </w:pPr>
    </w:p>
    <w:p>
      <w:pPr>
        <w:ind w:firstLine="420" w:firstLineChars="200"/>
        <w:rPr>
          <w:rFonts w:ascii="Arial" w:hAnsi="Arial" w:cs="Arial"/>
          <w:color w:val="auto"/>
          <w:szCs w:val="21"/>
          <w:highlight w:val="none"/>
        </w:rPr>
      </w:pPr>
      <w:r>
        <w:rPr>
          <w:rFonts w:ascii="Arial" w:hAnsi="Arial" w:cs="Arial"/>
          <w:color w:val="auto"/>
          <w:szCs w:val="21"/>
          <w:highlight w:val="none"/>
        </w:rPr>
        <w:t>对照第二章《项目采购需求》</w:t>
      </w:r>
      <w:r>
        <w:rPr>
          <w:rFonts w:ascii="Arial" w:hAnsi="Arial" w:cs="Arial"/>
          <w:color w:val="auto"/>
          <w:highlight w:val="none"/>
        </w:rPr>
        <w:t>中所列的除 “商务要求”外的技术要求的响应偏表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招标文件要求</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投标文件响应内容</w:t>
            </w:r>
          </w:p>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r>
    </w:tbl>
    <w:p>
      <w:pPr>
        <w:rPr>
          <w:rFonts w:ascii="Arial" w:hAnsi="Arial" w:cs="Arial"/>
          <w:color w:val="auto"/>
          <w:szCs w:val="21"/>
          <w:highlight w:val="none"/>
        </w:rPr>
      </w:pPr>
    </w:p>
    <w:p>
      <w:pPr>
        <w:rPr>
          <w:rFonts w:ascii="Arial" w:hAnsi="Arial" w:cs="Arial"/>
          <w:color w:val="auto"/>
          <w:highlight w:val="none"/>
        </w:rPr>
      </w:pPr>
      <w:r>
        <w:rPr>
          <w:rFonts w:ascii="Arial" w:hAnsi="Arial" w:cs="Arial"/>
          <w:color w:val="auto"/>
          <w:szCs w:val="21"/>
          <w:highlight w:val="none"/>
        </w:rPr>
        <w:t>注：</w:t>
      </w:r>
      <w:r>
        <w:rPr>
          <w:rFonts w:ascii="Arial" w:hAnsi="Arial" w:cs="Arial"/>
          <w:color w:val="auto"/>
          <w:highlight w:val="none"/>
        </w:rPr>
        <w:t>（1）</w:t>
      </w:r>
      <w:r>
        <w:rPr>
          <w:rFonts w:ascii="Arial" w:hAnsi="Arial" w:cs="Arial"/>
          <w:color w:val="auto"/>
          <w:szCs w:val="21"/>
          <w:highlight w:val="none"/>
        </w:rPr>
        <w:t>供应商应对照第二章《项目采购需求》</w:t>
      </w:r>
      <w:r>
        <w:rPr>
          <w:rFonts w:ascii="Arial" w:hAnsi="Arial" w:cs="Arial"/>
          <w:color w:val="auto"/>
          <w:highlight w:val="none"/>
        </w:rPr>
        <w:t>中所列技术要求（除 “商务要求”</w:t>
      </w:r>
      <w:r>
        <w:rPr>
          <w:rFonts w:ascii="Arial" w:hAnsi="Arial" w:cs="Arial"/>
          <w:color w:val="auto"/>
          <w:szCs w:val="21"/>
          <w:highlight w:val="none"/>
        </w:rPr>
        <w:t>逐条在“偏离说明”栏注明</w:t>
      </w:r>
      <w:r>
        <w:rPr>
          <w:rFonts w:ascii="Arial" w:hAnsi="Arial" w:cs="Arial"/>
          <w:color w:val="auto"/>
          <w:highlight w:val="none"/>
        </w:rPr>
        <w:t>“正偏离”</w:t>
      </w:r>
      <w:r>
        <w:rPr>
          <w:rFonts w:ascii="Arial" w:hAnsi="Arial" w:cs="Arial"/>
          <w:color w:val="auto"/>
          <w:szCs w:val="21"/>
          <w:highlight w:val="none"/>
        </w:rPr>
        <w:t>、</w:t>
      </w:r>
      <w:r>
        <w:rPr>
          <w:rFonts w:ascii="Arial" w:hAnsi="Arial" w:cs="Arial"/>
          <w:color w:val="auto"/>
          <w:highlight w:val="none"/>
        </w:rPr>
        <w:t xml:space="preserve"> “负偏离”</w:t>
      </w:r>
      <w:r>
        <w:rPr>
          <w:rFonts w:ascii="Arial" w:hAnsi="Arial" w:cs="Arial"/>
          <w:color w:val="auto"/>
          <w:szCs w:val="21"/>
          <w:highlight w:val="none"/>
        </w:rPr>
        <w:t>或</w:t>
      </w:r>
      <w:r>
        <w:rPr>
          <w:rFonts w:ascii="Arial" w:hAnsi="Arial" w:cs="Arial"/>
          <w:color w:val="auto"/>
          <w:highlight w:val="none"/>
        </w:rPr>
        <w:t>“无偏离”</w:t>
      </w:r>
      <w:r>
        <w:rPr>
          <w:rFonts w:ascii="Arial" w:hAnsi="Arial" w:cs="Arial"/>
          <w:color w:val="auto"/>
          <w:szCs w:val="21"/>
          <w:highlight w:val="none"/>
        </w:rPr>
        <w:t>。</w:t>
      </w:r>
      <w:r>
        <w:rPr>
          <w:rFonts w:ascii="Arial" w:hAnsi="Arial" w:cs="Arial"/>
          <w:color w:val="auto"/>
          <w:highlight w:val="none"/>
        </w:rPr>
        <w:t>填写“正偏离”或“无偏离”时，如相应条款在投标文件其他部分描述明确不满足招标文件要求时，评标委员会将按不满足要求进行评审。（2）</w:t>
      </w:r>
      <w:r>
        <w:rPr>
          <w:rFonts w:ascii="Arial" w:hAnsi="Arial" w:cs="Arial"/>
          <w:color w:val="auto"/>
          <w:szCs w:val="21"/>
          <w:highlight w:val="none"/>
        </w:rPr>
        <w:t>投标技术规格与招标要求相同的为无偏离，投标技术规格高于招标要求的为正偏离，低于招标要求的为负偏离。</w:t>
      </w:r>
      <w:r>
        <w:rPr>
          <w:rFonts w:ascii="Arial" w:hAnsi="Arial" w:cs="Arial"/>
          <w:color w:val="auto"/>
          <w:highlight w:val="none"/>
        </w:rPr>
        <w:t>（3）本表可扩展。</w:t>
      </w:r>
    </w:p>
    <w:p>
      <w:pPr>
        <w:rPr>
          <w:rFonts w:ascii="Arial" w:hAnsi="Arial" w:cs="Arial"/>
          <w:color w:val="auto"/>
          <w:szCs w:val="21"/>
          <w:highlight w:val="none"/>
        </w:rPr>
      </w:pPr>
    </w:p>
    <w:p>
      <w:pPr>
        <w:pStyle w:val="29"/>
        <w:rPr>
          <w:rFonts w:ascii="Arial" w:hAnsi="Arial" w:cs="Arial"/>
          <w:color w:val="auto"/>
          <w:highlight w:val="none"/>
        </w:rPr>
      </w:pPr>
    </w:p>
    <w:p>
      <w:pPr>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p>
    <w:p>
      <w:pPr>
        <w:rPr>
          <w:rFonts w:ascii="Arial" w:hAnsi="Arial" w:cs="Arial"/>
          <w:color w:val="auto"/>
          <w:spacing w:val="20"/>
          <w:szCs w:val="21"/>
          <w:highlight w:val="non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 xml:space="preserve">： </w:t>
      </w:r>
    </w:p>
    <w:p>
      <w:pPr>
        <w:rPr>
          <w:rFonts w:ascii="Arial" w:hAnsi="Arial" w:cs="Arial"/>
          <w:color w:val="auto"/>
          <w:szCs w:val="21"/>
          <w:highlight w:val="none"/>
        </w:rPr>
      </w:pPr>
      <w:r>
        <w:rPr>
          <w:rFonts w:ascii="Arial" w:hAnsi="Arial" w:cs="Arial"/>
          <w:color w:val="auto"/>
          <w:spacing w:val="20"/>
          <w:szCs w:val="21"/>
          <w:highlight w:val="none"/>
        </w:rPr>
        <w:t>日 期：</w:t>
      </w:r>
    </w:p>
    <w:p>
      <w:pPr>
        <w:snapToGrid w:val="0"/>
        <w:spacing w:before="50" w:after="120" w:afterLines="50"/>
        <w:jc w:val="left"/>
        <w:rPr>
          <w:rFonts w:ascii="Arial" w:hAnsi="Arial" w:cs="Arial"/>
          <w:color w:val="auto"/>
          <w:szCs w:val="21"/>
          <w:highlight w:val="none"/>
        </w:rPr>
      </w:pPr>
    </w:p>
    <w:p>
      <w:pPr>
        <w:rPr>
          <w:rFonts w:ascii="Arial" w:hAnsi="Arial" w:cs="Arial"/>
          <w:color w:val="auto"/>
          <w:szCs w:val="21"/>
          <w:highlight w:val="none"/>
        </w:rPr>
      </w:pPr>
    </w:p>
    <w:p>
      <w:pPr>
        <w:rPr>
          <w:rFonts w:ascii="Arial" w:hAnsi="Arial" w:cs="Arial"/>
          <w:color w:val="auto"/>
          <w:szCs w:val="21"/>
          <w:highlight w:val="none"/>
        </w:rPr>
      </w:pPr>
    </w:p>
    <w:p>
      <w:pPr>
        <w:rPr>
          <w:rFonts w:ascii="Arial" w:hAnsi="Arial" w:cs="Arial"/>
          <w:color w:val="auto"/>
          <w:szCs w:val="21"/>
          <w:highlight w:val="none"/>
        </w:rPr>
      </w:pPr>
      <w:r>
        <w:rPr>
          <w:rFonts w:hint="eastAsia" w:ascii="Arial" w:hAnsi="Arial" w:cs="Arial"/>
          <w:color w:val="auto"/>
          <w:szCs w:val="21"/>
          <w:highlight w:val="none"/>
          <w:lang w:val="en-US" w:eastAsia="zh-CN"/>
        </w:rPr>
        <w:t>2</w:t>
      </w:r>
      <w:r>
        <w:rPr>
          <w:rFonts w:ascii="Arial" w:hAnsi="Arial" w:cs="Arial"/>
          <w:color w:val="auto"/>
          <w:szCs w:val="21"/>
          <w:highlight w:val="none"/>
        </w:rPr>
        <w:t>．</w:t>
      </w:r>
      <w:r>
        <w:rPr>
          <w:rFonts w:hint="eastAsia" w:ascii="Arial" w:hAnsi="Arial" w:cs="Arial"/>
          <w:color w:val="auto"/>
          <w:szCs w:val="21"/>
          <w:highlight w:val="none"/>
          <w:lang w:val="en-US" w:eastAsia="zh-CN"/>
        </w:rPr>
        <w:t>服务团队</w:t>
      </w:r>
      <w:r>
        <w:rPr>
          <w:rFonts w:ascii="Arial" w:hAnsi="Arial" w:cs="Arial"/>
          <w:color w:val="auto"/>
          <w:szCs w:val="21"/>
          <w:highlight w:val="none"/>
        </w:rPr>
        <w:t>一览表。</w:t>
      </w:r>
    </w:p>
    <w:p>
      <w:pPr>
        <w:rPr>
          <w:rFonts w:ascii="Arial" w:hAnsi="Arial" w:cs="Arial"/>
          <w:color w:val="auto"/>
          <w:szCs w:val="21"/>
          <w:highlight w:val="none"/>
        </w:rPr>
      </w:pPr>
    </w:p>
    <w:p>
      <w:pPr>
        <w:snapToGrid w:val="0"/>
        <w:spacing w:before="120" w:beforeLines="50" w:after="50" w:line="400" w:lineRule="exact"/>
        <w:jc w:val="center"/>
        <w:rPr>
          <w:rFonts w:ascii="Arial" w:hAnsi="Arial" w:cs="Arial"/>
          <w:color w:val="auto"/>
          <w:szCs w:val="21"/>
          <w:highlight w:val="none"/>
        </w:rPr>
      </w:pPr>
      <w:r>
        <w:rPr>
          <w:rFonts w:hint="eastAsia" w:ascii="Arial" w:hAnsi="Arial" w:cs="Arial"/>
          <w:b/>
          <w:color w:val="auto"/>
          <w:szCs w:val="21"/>
          <w:highlight w:val="none"/>
        </w:rPr>
        <w:t>服务团队</w:t>
      </w:r>
      <w:r>
        <w:rPr>
          <w:rFonts w:ascii="Arial" w:hAnsi="Arial" w:cs="Arial"/>
          <w:b/>
          <w:color w:val="auto"/>
          <w:szCs w:val="21"/>
          <w:highlight w:val="none"/>
        </w:rPr>
        <w:t>（主要从业人员及其技术资格）一览表</w:t>
      </w:r>
    </w:p>
    <w:tbl>
      <w:tblPr>
        <w:tblStyle w:val="5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color w:val="auto"/>
                <w:szCs w:val="21"/>
                <w:highlight w:val="none"/>
              </w:rPr>
            </w:pPr>
            <w:r>
              <w:rPr>
                <w:rFonts w:ascii="Arial" w:hAnsi="Arial" w:cs="Arial"/>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bCs/>
                <w:color w:val="auto"/>
                <w:szCs w:val="21"/>
                <w:highlight w:val="none"/>
              </w:rPr>
            </w:pPr>
            <w:r>
              <w:rPr>
                <w:rFonts w:ascii="Arial" w:hAnsi="Arial" w:cs="Arial"/>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Arial" w:hAnsi="Arial" w:cs="Arial"/>
                <w:bCs/>
                <w:color w:val="auto"/>
                <w:szCs w:val="21"/>
                <w:highlight w:val="none"/>
              </w:rPr>
            </w:pPr>
            <w:r>
              <w:rPr>
                <w:rFonts w:ascii="Arial" w:hAnsi="Arial" w:cs="Arial"/>
                <w:bCs/>
                <w:color w:val="auto"/>
                <w:szCs w:val="21"/>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pPr>
              <w:pStyle w:val="31"/>
              <w:snapToGrid w:val="0"/>
              <w:spacing w:before="120" w:beforeLines="50" w:after="50"/>
              <w:ind w:left="5670" w:hanging="420"/>
              <w:rPr>
                <w:rFonts w:ascii="Arial" w:hAnsi="Arial" w:cs="Arial"/>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Arial" w:hAnsi="Arial" w:cs="Arial"/>
                <w:color w:val="auto"/>
                <w:szCs w:val="21"/>
                <w:highlight w:val="none"/>
              </w:rPr>
            </w:pPr>
          </w:p>
        </w:tc>
      </w:tr>
    </w:tbl>
    <w:p>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注：在填写时，如本表格不适合投标单位的实际情况，可根据本表格式自行划表填写。</w:t>
      </w:r>
    </w:p>
    <w:p>
      <w:pPr>
        <w:snapToGrid w:val="0"/>
        <w:spacing w:before="50" w:after="50" w:line="440" w:lineRule="exact"/>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rPr>
          <w:rFonts w:ascii="Arial" w:hAnsi="Arial" w:cs="Arial"/>
          <w:color w:val="auto"/>
          <w:spacing w:val="20"/>
          <w:szCs w:val="21"/>
          <w:highlight w:val="none"/>
          <w:u w:val="single"/>
        </w:rPr>
      </w:pPr>
      <w:r>
        <w:rPr>
          <w:rFonts w:ascii="Arial" w:hAnsi="Arial" w:cs="Arial"/>
          <w:color w:val="auto"/>
          <w:spacing w:val="20"/>
          <w:szCs w:val="21"/>
          <w:highlight w:val="none"/>
        </w:rPr>
        <w:t>供应商公章</w:t>
      </w:r>
      <w:r>
        <w:rPr>
          <w:rFonts w:ascii="Arial" w:hAnsi="Arial" w:cs="Arial"/>
          <w:color w:val="auto"/>
          <w:szCs w:val="21"/>
          <w:highlight w:val="none"/>
        </w:rPr>
        <w:t>（CA签章）</w:t>
      </w:r>
      <w:r>
        <w:rPr>
          <w:rFonts w:ascii="Arial" w:hAnsi="Arial" w:cs="Arial"/>
          <w:color w:val="auto"/>
          <w:spacing w:val="20"/>
          <w:szCs w:val="21"/>
          <w:highlight w:val="none"/>
        </w:rPr>
        <w:t>：日  期：</w:t>
      </w:r>
    </w:p>
    <w:p>
      <w:pPr>
        <w:rPr>
          <w:rFonts w:ascii="Arial" w:hAnsi="Arial" w:cs="Arial"/>
          <w:color w:val="auto"/>
          <w:szCs w:val="21"/>
          <w:highlight w:val="none"/>
        </w:rPr>
      </w:pPr>
    </w:p>
    <w:p>
      <w:pPr>
        <w:rPr>
          <w:rFonts w:ascii="Arial" w:hAnsi="Arial" w:cs="Arial"/>
          <w:color w:val="auto"/>
          <w:szCs w:val="21"/>
          <w:highlight w:val="none"/>
        </w:rPr>
      </w:pPr>
    </w:p>
    <w:p>
      <w:pPr>
        <w:rPr>
          <w:rFonts w:ascii="Arial" w:hAnsi="Arial" w:cs="Arial"/>
          <w:color w:val="auto"/>
          <w:szCs w:val="21"/>
          <w:highlight w:val="none"/>
        </w:rPr>
      </w:pPr>
      <w:r>
        <w:rPr>
          <w:rFonts w:hint="eastAsia" w:ascii="Arial" w:hAnsi="Arial" w:cs="Arial"/>
          <w:color w:val="auto"/>
          <w:szCs w:val="21"/>
          <w:highlight w:val="none"/>
          <w:lang w:val="en-US" w:eastAsia="zh-CN"/>
        </w:rPr>
        <w:t>3</w:t>
      </w:r>
      <w:r>
        <w:rPr>
          <w:rFonts w:ascii="Arial" w:hAnsi="Arial" w:cs="Arial"/>
          <w:color w:val="auto"/>
          <w:szCs w:val="21"/>
          <w:highlight w:val="none"/>
        </w:rPr>
        <w:t>．</w:t>
      </w:r>
      <w:r>
        <w:rPr>
          <w:rFonts w:hint="eastAsia" w:ascii="Arial" w:hAnsi="Arial" w:cs="Arial"/>
          <w:color w:val="auto"/>
          <w:szCs w:val="21"/>
          <w:highlight w:val="none"/>
        </w:rPr>
        <w:t>项目实施方案</w:t>
      </w:r>
    </w:p>
    <w:p>
      <w:pPr>
        <w:rPr>
          <w:rFonts w:ascii="Arial" w:hAnsi="Arial" w:cs="Arial"/>
          <w:color w:val="auto"/>
          <w:szCs w:val="21"/>
          <w:highlight w:val="none"/>
        </w:rPr>
      </w:pPr>
    </w:p>
    <w:p>
      <w:pPr>
        <w:rPr>
          <w:rFonts w:ascii="Arial" w:hAnsi="Arial" w:cs="Arial"/>
          <w:color w:val="auto"/>
          <w:szCs w:val="21"/>
          <w:highlight w:val="none"/>
        </w:rPr>
      </w:pPr>
    </w:p>
    <w:p>
      <w:pPr>
        <w:rPr>
          <w:rFonts w:ascii="Arial" w:hAnsi="Arial" w:cs="Arial"/>
          <w:color w:val="auto"/>
          <w:szCs w:val="21"/>
          <w:highlight w:val="none"/>
        </w:rPr>
      </w:pPr>
      <w:r>
        <w:rPr>
          <w:rFonts w:hint="eastAsia" w:ascii="Arial" w:hAnsi="Arial" w:cs="Arial"/>
          <w:color w:val="auto"/>
          <w:szCs w:val="21"/>
          <w:highlight w:val="none"/>
          <w:lang w:val="en-US" w:eastAsia="zh-CN"/>
        </w:rPr>
        <w:t>4</w:t>
      </w:r>
      <w:r>
        <w:rPr>
          <w:rFonts w:ascii="Arial" w:hAnsi="Arial" w:cs="Arial"/>
          <w:color w:val="auto"/>
          <w:szCs w:val="21"/>
          <w:highlight w:val="none"/>
        </w:rPr>
        <w:t>．</w:t>
      </w:r>
      <w:r>
        <w:rPr>
          <w:rFonts w:hint="eastAsia" w:ascii="Arial" w:hAnsi="Arial" w:cs="Arial"/>
          <w:color w:val="auto"/>
          <w:szCs w:val="21"/>
          <w:highlight w:val="none"/>
        </w:rPr>
        <w:t>医疗设备管理体系方案</w:t>
      </w:r>
    </w:p>
    <w:p>
      <w:pPr>
        <w:rPr>
          <w:rFonts w:ascii="Arial" w:hAnsi="Arial" w:cs="Arial"/>
          <w:color w:val="auto"/>
          <w:szCs w:val="21"/>
          <w:highlight w:val="none"/>
        </w:rPr>
      </w:pPr>
    </w:p>
    <w:p>
      <w:pPr>
        <w:numPr>
          <w:ilvl w:val="0"/>
          <w:numId w:val="2"/>
        </w:numPr>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培训方案</w:t>
      </w:r>
    </w:p>
    <w:p>
      <w:pPr>
        <w:pStyle w:val="2"/>
        <w:widowControl w:val="0"/>
        <w:numPr>
          <w:ilvl w:val="0"/>
          <w:numId w:val="0"/>
        </w:numPr>
        <w:spacing w:after="120"/>
        <w:jc w:val="both"/>
        <w:rPr>
          <w:rFonts w:hint="default"/>
          <w:highlight w:val="none"/>
          <w:lang w:val="en-US" w:eastAsia="zh-CN"/>
        </w:rPr>
      </w:pPr>
    </w:p>
    <w:p>
      <w:pPr>
        <w:numPr>
          <w:ilvl w:val="0"/>
          <w:numId w:val="2"/>
        </w:numPr>
        <w:ind w:left="0" w:leftChars="0" w:firstLine="0" w:firstLineChars="0"/>
        <w:rPr>
          <w:rFonts w:hint="default" w:ascii="Arial" w:hAnsi="Arial" w:cs="Arial"/>
          <w:bCs/>
          <w:color w:val="auto"/>
          <w:sz w:val="21"/>
          <w:szCs w:val="21"/>
          <w:highlight w:val="none"/>
        </w:rPr>
      </w:pPr>
      <w:r>
        <w:rPr>
          <w:rFonts w:hint="default" w:ascii="Arial" w:hAnsi="Arial" w:cs="Arial"/>
          <w:bCs/>
          <w:color w:val="auto"/>
          <w:sz w:val="21"/>
          <w:szCs w:val="21"/>
          <w:highlight w:val="none"/>
        </w:rPr>
        <w:t>应急服务方案</w:t>
      </w:r>
    </w:p>
    <w:p>
      <w:pPr>
        <w:pStyle w:val="2"/>
        <w:widowControl w:val="0"/>
        <w:numPr>
          <w:ilvl w:val="0"/>
          <w:numId w:val="0"/>
        </w:numPr>
        <w:spacing w:after="120"/>
        <w:jc w:val="both"/>
        <w:rPr>
          <w:rFonts w:hint="default"/>
          <w:highlight w:val="none"/>
          <w:lang w:val="en-US" w:eastAsia="zh-CN"/>
        </w:rPr>
      </w:pPr>
    </w:p>
    <w:p>
      <w:pPr>
        <w:numPr>
          <w:ilvl w:val="0"/>
          <w:numId w:val="2"/>
        </w:numPr>
        <w:ind w:left="0" w:leftChars="0" w:firstLine="0" w:firstLineChars="0"/>
        <w:rPr>
          <w:rFonts w:hint="eastAsia" w:ascii="Arial" w:hAnsi="Arial" w:eastAsia="宋体" w:cs="Arial"/>
          <w:bCs/>
          <w:color w:val="auto"/>
          <w:sz w:val="21"/>
          <w:szCs w:val="21"/>
          <w:highlight w:val="none"/>
          <w:lang w:val="en-US" w:eastAsia="zh-CN"/>
        </w:rPr>
      </w:pPr>
      <w:r>
        <w:rPr>
          <w:rFonts w:hint="eastAsia" w:ascii="Arial" w:hAnsi="Arial" w:eastAsia="宋体" w:cs="Arial"/>
          <w:bCs/>
          <w:color w:val="auto"/>
          <w:sz w:val="21"/>
          <w:szCs w:val="21"/>
          <w:highlight w:val="none"/>
          <w:lang w:val="en-US" w:eastAsia="zh-CN"/>
        </w:rPr>
        <w:t>服务能力</w:t>
      </w:r>
    </w:p>
    <w:p>
      <w:pPr>
        <w:pStyle w:val="2"/>
        <w:numPr>
          <w:ilvl w:val="0"/>
          <w:numId w:val="0"/>
        </w:numPr>
        <w:ind w:leftChars="0"/>
        <w:rPr>
          <w:rFonts w:hint="default"/>
          <w:highlight w:val="none"/>
          <w:lang w:val="en-US" w:eastAsia="zh-CN"/>
        </w:rPr>
      </w:pPr>
    </w:p>
    <w:p>
      <w:pPr>
        <w:rPr>
          <w:rFonts w:hint="default"/>
          <w:highlight w:val="none"/>
          <w:lang w:val="en-US" w:eastAsia="zh-CN"/>
        </w:rPr>
      </w:pPr>
    </w:p>
    <w:p>
      <w:pPr>
        <w:numPr>
          <w:ilvl w:val="0"/>
          <w:numId w:val="2"/>
        </w:numPr>
        <w:ind w:left="0" w:leftChars="0" w:firstLine="0" w:firstLineChars="0"/>
        <w:rPr>
          <w:rFonts w:hint="default" w:ascii="Arial" w:hAnsi="Arial" w:eastAsia="宋体" w:cs="Arial"/>
          <w:bCs/>
          <w:color w:val="auto"/>
          <w:sz w:val="21"/>
          <w:szCs w:val="21"/>
          <w:highlight w:val="none"/>
          <w:lang w:val="en-US" w:eastAsia="zh-CN"/>
        </w:rPr>
      </w:pPr>
      <w:r>
        <w:rPr>
          <w:rFonts w:hint="eastAsia" w:ascii="Arial" w:hAnsi="Arial" w:eastAsia="宋体" w:cs="Arial"/>
          <w:bCs/>
          <w:color w:val="auto"/>
          <w:sz w:val="21"/>
          <w:szCs w:val="21"/>
          <w:highlight w:val="none"/>
          <w:lang w:val="en-US" w:eastAsia="zh-CN"/>
        </w:rPr>
        <w:t>商务部分证明材料</w:t>
      </w:r>
    </w:p>
    <w:p>
      <w:pPr>
        <w:pStyle w:val="2"/>
        <w:ind w:left="0" w:leftChars="0" w:firstLine="0" w:firstLineChars="0"/>
        <w:rPr>
          <w:rFonts w:hint="default"/>
          <w:highlight w:val="none"/>
          <w:lang w:val="en-US" w:eastAsia="zh-CN"/>
        </w:rPr>
      </w:pPr>
    </w:p>
    <w:p>
      <w:pPr>
        <w:rPr>
          <w:rFonts w:ascii="Arial" w:hAnsi="Arial" w:cs="Arial"/>
          <w:color w:val="auto"/>
          <w:szCs w:val="21"/>
          <w:highlight w:val="none"/>
        </w:rPr>
      </w:pPr>
    </w:p>
    <w:p>
      <w:pPr>
        <w:rPr>
          <w:rFonts w:ascii="Arial" w:hAnsi="Arial" w:cs="Arial"/>
          <w:color w:val="auto"/>
          <w:szCs w:val="21"/>
          <w:highlight w:val="none"/>
        </w:rPr>
      </w:pPr>
      <w:r>
        <w:rPr>
          <w:rFonts w:hint="eastAsia" w:ascii="Arial" w:hAnsi="Arial" w:cs="Arial"/>
          <w:color w:val="auto"/>
          <w:szCs w:val="21"/>
          <w:highlight w:val="none"/>
          <w:lang w:val="en-US" w:eastAsia="zh-CN"/>
        </w:rPr>
        <w:t>9</w:t>
      </w:r>
      <w:r>
        <w:rPr>
          <w:rFonts w:ascii="Arial" w:hAnsi="Arial" w:cs="Arial"/>
          <w:color w:val="auto"/>
          <w:szCs w:val="21"/>
          <w:highlight w:val="none"/>
        </w:rPr>
        <w:t>．供应商需要说明的其他文件和说明。</w:t>
      </w:r>
    </w:p>
    <w:p>
      <w:pPr>
        <w:jc w:val="center"/>
        <w:rPr>
          <w:rFonts w:ascii="Arial" w:hAnsi="Arial" w:cs="Arial"/>
          <w:b/>
          <w:bCs/>
          <w:color w:val="auto"/>
          <w:szCs w:val="21"/>
          <w:highlight w:val="none"/>
        </w:rPr>
      </w:pPr>
      <w:r>
        <w:rPr>
          <w:rFonts w:ascii="Arial" w:hAnsi="Arial" w:cs="Arial"/>
          <w:b/>
          <w:color w:val="auto"/>
          <w:szCs w:val="21"/>
          <w:highlight w:val="none"/>
        </w:rPr>
        <w:br w:type="page"/>
      </w:r>
      <w:r>
        <w:rPr>
          <w:rFonts w:ascii="Arial" w:hAnsi="Arial" w:cs="Arial"/>
          <w:b/>
          <w:bCs/>
          <w:color w:val="auto"/>
          <w:szCs w:val="21"/>
          <w:highlight w:val="none"/>
        </w:rPr>
        <w:t xml:space="preserve"> </w:t>
      </w:r>
    </w:p>
    <w:p>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Cs/>
          <w:color w:val="auto"/>
          <w:sz w:val="24"/>
          <w:highlight w:val="none"/>
        </w:rPr>
        <w:t>第三部分 报价文件</w:t>
      </w:r>
    </w:p>
    <w:p>
      <w:pPr>
        <w:jc w:val="center"/>
        <w:rPr>
          <w:rFonts w:ascii="Arial" w:hAnsi="Arial" w:cs="Arial"/>
          <w:b/>
          <w:bCs/>
          <w:color w:val="auto"/>
          <w:szCs w:val="21"/>
          <w:highlight w:val="none"/>
        </w:rPr>
      </w:pPr>
    </w:p>
    <w:p>
      <w:pPr>
        <w:rPr>
          <w:rFonts w:ascii="Arial" w:hAnsi="Arial" w:cs="Arial"/>
          <w:color w:val="auto"/>
          <w:highlight w:val="none"/>
        </w:rPr>
      </w:pPr>
      <w:bookmarkStart w:id="144" w:name="_Hlk19115777"/>
      <w:r>
        <w:rPr>
          <w:rFonts w:ascii="Arial" w:hAnsi="Arial" w:cs="Arial"/>
          <w:color w:val="auto"/>
          <w:highlight w:val="none"/>
        </w:rPr>
        <w:t>1．投标函格式</w:t>
      </w:r>
      <w:r>
        <w:rPr>
          <w:rFonts w:ascii="Arial" w:hAnsi="Arial" w:cs="Arial"/>
          <w:b/>
          <w:color w:val="auto"/>
          <w:highlight w:val="none"/>
        </w:rPr>
        <w:t>（</w:t>
      </w:r>
      <w:r>
        <w:rPr>
          <w:rFonts w:ascii="Arial" w:hAnsi="Arial" w:cs="Arial"/>
          <w:b/>
          <w:color w:val="auto"/>
          <w:szCs w:val="21"/>
          <w:highlight w:val="none"/>
        </w:rPr>
        <w:t>必须提供</w:t>
      </w:r>
      <w:r>
        <w:rPr>
          <w:rFonts w:ascii="Arial" w:hAnsi="Arial" w:cs="Arial"/>
          <w:b/>
          <w:color w:val="auto"/>
          <w:highlight w:val="none"/>
        </w:rPr>
        <w:t>）</w:t>
      </w:r>
      <w:r>
        <w:rPr>
          <w:rFonts w:ascii="Arial" w:hAnsi="Arial" w:cs="Arial"/>
          <w:color w:val="auto"/>
          <w:highlight w:val="none"/>
        </w:rPr>
        <w:t>：</w:t>
      </w:r>
    </w:p>
    <w:p>
      <w:pPr>
        <w:jc w:val="center"/>
        <w:rPr>
          <w:rFonts w:ascii="Arial" w:hAnsi="Arial" w:cs="Arial"/>
          <w:b/>
          <w:color w:val="auto"/>
          <w:szCs w:val="21"/>
          <w:highlight w:val="none"/>
        </w:rPr>
      </w:pPr>
    </w:p>
    <w:p>
      <w:pPr>
        <w:jc w:val="center"/>
        <w:rPr>
          <w:rFonts w:ascii="Arial" w:hAnsi="Arial" w:cs="Arial"/>
          <w:b/>
          <w:color w:val="auto"/>
          <w:szCs w:val="21"/>
          <w:highlight w:val="none"/>
        </w:rPr>
      </w:pPr>
      <w:r>
        <w:rPr>
          <w:rFonts w:ascii="Arial" w:hAnsi="Arial" w:cs="Arial"/>
          <w:b/>
          <w:color w:val="auto"/>
          <w:szCs w:val="21"/>
          <w:highlight w:val="none"/>
        </w:rPr>
        <w:t>投 标 函</w:t>
      </w:r>
    </w:p>
    <w:p>
      <w:pPr>
        <w:rPr>
          <w:rFonts w:ascii="Arial" w:hAnsi="Arial" w:cs="Arial"/>
          <w:b/>
          <w:color w:val="auto"/>
          <w:szCs w:val="21"/>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致：</w:t>
      </w:r>
      <w:bookmarkStart w:id="145" w:name="_Hlk19051378"/>
      <w:r>
        <w:rPr>
          <w:rFonts w:ascii="Arial" w:hAnsi="Arial" w:cs="Arial"/>
          <w:color w:val="auto"/>
          <w:szCs w:val="21"/>
          <w:highlight w:val="none"/>
        </w:rPr>
        <w:t>_</w:t>
      </w:r>
      <w:r>
        <w:rPr>
          <w:rFonts w:ascii="Arial" w:hAnsi="Arial" w:cs="Arial"/>
          <w:i/>
          <w:iCs/>
          <w:color w:val="auto"/>
          <w:szCs w:val="21"/>
          <w:highlight w:val="none"/>
          <w:u w:val="single"/>
        </w:rPr>
        <w:t>（采购人名称）</w:t>
      </w:r>
      <w:r>
        <w:rPr>
          <w:rFonts w:ascii="Arial" w:hAnsi="Arial" w:cs="Arial"/>
          <w:i/>
          <w:iCs/>
          <w:color w:val="auto"/>
          <w:szCs w:val="21"/>
          <w:highlight w:val="none"/>
        </w:rPr>
        <w:t>_</w:t>
      </w:r>
      <w:bookmarkEnd w:id="145"/>
      <w:r>
        <w:rPr>
          <w:rFonts w:ascii="Arial" w:hAnsi="Arial" w:cs="Arial"/>
          <w:color w:val="auto"/>
          <w:szCs w:val="21"/>
          <w:highlight w:val="none"/>
        </w:rPr>
        <w:t>：</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我方已仔细研究了</w:t>
      </w:r>
      <w:bookmarkStart w:id="146" w:name="_Hlk19051388"/>
      <w:r>
        <w:rPr>
          <w:rFonts w:ascii="Arial" w:hAnsi="Arial" w:cs="Arial"/>
          <w:i/>
          <w:iCs/>
          <w:color w:val="auto"/>
          <w:szCs w:val="21"/>
          <w:highlight w:val="none"/>
          <w:u w:val="single"/>
        </w:rPr>
        <w:t>（项目名称）</w:t>
      </w:r>
      <w:bookmarkEnd w:id="146"/>
      <w:r>
        <w:rPr>
          <w:rFonts w:ascii="Arial" w:hAnsi="Arial" w:cs="Arial"/>
          <w:color w:val="auto"/>
          <w:szCs w:val="21"/>
          <w:highlight w:val="none"/>
        </w:rPr>
        <w:t>的招标文件的全部内容。签字代表</w:t>
      </w:r>
      <w:bookmarkStart w:id="147" w:name="_Hlk19051393"/>
      <w:r>
        <w:rPr>
          <w:rFonts w:ascii="Arial" w:hAnsi="Arial" w:cs="Arial"/>
          <w:i/>
          <w:iCs/>
          <w:color w:val="auto"/>
          <w:szCs w:val="21"/>
          <w:highlight w:val="none"/>
          <w:u w:val="single"/>
        </w:rPr>
        <w:t>（授权代表姓名）</w:t>
      </w:r>
      <w:bookmarkEnd w:id="147"/>
      <w:r>
        <w:rPr>
          <w:rFonts w:ascii="Arial" w:hAnsi="Arial" w:cs="Arial"/>
          <w:color w:val="auto"/>
          <w:szCs w:val="21"/>
          <w:highlight w:val="none"/>
        </w:rPr>
        <w:t>经正式授权并代表供应商_</w:t>
      </w:r>
      <w:bookmarkStart w:id="148" w:name="_Hlk19051402"/>
      <w:r>
        <w:rPr>
          <w:rFonts w:ascii="Arial" w:hAnsi="Arial" w:cs="Arial"/>
          <w:i/>
          <w:iCs/>
          <w:color w:val="auto"/>
          <w:szCs w:val="21"/>
          <w:highlight w:val="none"/>
          <w:u w:val="single"/>
        </w:rPr>
        <w:t>（供应商名称）</w:t>
      </w:r>
      <w:bookmarkEnd w:id="148"/>
      <w:r>
        <w:rPr>
          <w:rFonts w:ascii="Arial" w:hAnsi="Arial" w:cs="Arial"/>
          <w:color w:val="auto"/>
          <w:szCs w:val="21"/>
          <w:highlight w:val="none"/>
        </w:rPr>
        <w:t>提交投标文件。</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据此函，签字代表宣布同意如下：</w:t>
      </w:r>
    </w:p>
    <w:p>
      <w:pPr>
        <w:spacing w:line="360" w:lineRule="auto"/>
        <w:rPr>
          <w:rFonts w:ascii="Arial" w:hAnsi="Arial" w:cs="Arial"/>
          <w:color w:val="auto"/>
          <w:szCs w:val="21"/>
          <w:highlight w:val="none"/>
        </w:rPr>
      </w:pPr>
      <w:r>
        <w:rPr>
          <w:rFonts w:ascii="Arial" w:hAnsi="Arial" w:cs="Arial"/>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ascii="Arial" w:hAnsi="Arial" w:cs="Arial"/>
          <w:color w:val="auto"/>
          <w:szCs w:val="21"/>
          <w:highlight w:val="none"/>
        </w:rPr>
      </w:pPr>
      <w:r>
        <w:rPr>
          <w:rFonts w:ascii="Arial" w:hAnsi="Arial" w:cs="Arial"/>
          <w:color w:val="auto"/>
          <w:szCs w:val="21"/>
          <w:highlight w:val="none"/>
        </w:rPr>
        <w:t>（2）我方在投标之前已经与贵方进行了充分的沟通，完全理解并接受招标文件的各项规定和要求，对招标文件的合理性、合法性不再有异议。</w:t>
      </w:r>
    </w:p>
    <w:p>
      <w:pPr>
        <w:spacing w:line="360" w:lineRule="auto"/>
        <w:rPr>
          <w:rFonts w:ascii="Arial" w:hAnsi="Arial" w:cs="Arial"/>
          <w:color w:val="auto"/>
          <w:szCs w:val="21"/>
          <w:highlight w:val="none"/>
        </w:rPr>
      </w:pPr>
      <w:r>
        <w:rPr>
          <w:rFonts w:ascii="Arial" w:hAnsi="Arial" w:cs="Arial"/>
          <w:color w:val="auto"/>
          <w:szCs w:val="21"/>
          <w:highlight w:val="none"/>
        </w:rPr>
        <w:t>（3）本投标有效期自投标截止之日起</w:t>
      </w:r>
      <w:r>
        <w:rPr>
          <w:rFonts w:ascii="Arial" w:hAnsi="Arial" w:cs="Arial"/>
          <w:color w:val="auto"/>
          <w:szCs w:val="21"/>
          <w:highlight w:val="none"/>
          <w:u w:val="single"/>
        </w:rPr>
        <w:t xml:space="preserve"> 90  </w:t>
      </w:r>
      <w:r>
        <w:rPr>
          <w:rFonts w:ascii="Arial" w:hAnsi="Arial" w:cs="Arial"/>
          <w:color w:val="auto"/>
          <w:szCs w:val="21"/>
          <w:highlight w:val="none"/>
        </w:rPr>
        <w:t>天。</w:t>
      </w:r>
    </w:p>
    <w:p>
      <w:pPr>
        <w:spacing w:line="360" w:lineRule="auto"/>
        <w:rPr>
          <w:rFonts w:ascii="Arial" w:hAnsi="Arial" w:cs="Arial"/>
          <w:color w:val="auto"/>
          <w:szCs w:val="21"/>
          <w:highlight w:val="none"/>
        </w:rPr>
      </w:pPr>
      <w:r>
        <w:rPr>
          <w:rFonts w:ascii="Arial" w:hAnsi="Arial" w:cs="Arial"/>
          <w:color w:val="auto"/>
          <w:szCs w:val="21"/>
          <w:highlight w:val="none"/>
        </w:rPr>
        <w:t>（4）如中标，本投标文件至本项目合同履行完毕止均保持有效，我方将按“招标文件”及政府采购法律、法规的规定履行合同责任和义务，并承诺不分包及转包他人。</w:t>
      </w:r>
    </w:p>
    <w:p>
      <w:pPr>
        <w:spacing w:line="360" w:lineRule="auto"/>
        <w:rPr>
          <w:rFonts w:ascii="Arial" w:hAnsi="Arial" w:cs="Arial"/>
          <w:color w:val="auto"/>
          <w:szCs w:val="21"/>
          <w:highlight w:val="none"/>
        </w:rPr>
      </w:pPr>
      <w:r>
        <w:rPr>
          <w:rFonts w:ascii="Arial" w:hAnsi="Arial" w:cs="Arial"/>
          <w:color w:val="auto"/>
          <w:szCs w:val="21"/>
          <w:highlight w:val="none"/>
        </w:rPr>
        <w:t>（5）我方同意按照贵方要求提供与投标有关的一切数据或资料。</w:t>
      </w:r>
    </w:p>
    <w:p>
      <w:pPr>
        <w:spacing w:line="360" w:lineRule="auto"/>
        <w:rPr>
          <w:rFonts w:ascii="Arial" w:hAnsi="Arial" w:cs="Arial"/>
          <w:color w:val="auto"/>
          <w:szCs w:val="21"/>
          <w:highlight w:val="none"/>
        </w:rPr>
      </w:pPr>
      <w:r>
        <w:rPr>
          <w:rFonts w:ascii="Arial" w:hAnsi="Arial" w:cs="Arial"/>
          <w:color w:val="auto"/>
          <w:szCs w:val="21"/>
          <w:highlight w:val="none"/>
        </w:rPr>
        <w:t>（6）与本项目有关的一切正式往来信函请寄：</w:t>
      </w:r>
    </w:p>
    <w:p>
      <w:pPr>
        <w:spacing w:line="360" w:lineRule="auto"/>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r>
        <w:rPr>
          <w:rFonts w:ascii="Arial" w:hAnsi="Arial" w:cs="Arial"/>
          <w:color w:val="auto"/>
          <w:szCs w:val="21"/>
          <w:highlight w:val="none"/>
        </w:rPr>
        <w:t>邮编： 电话：</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传真：</w:t>
      </w:r>
    </w:p>
    <w:p>
      <w:pPr>
        <w:spacing w:line="360" w:lineRule="auto"/>
        <w:rPr>
          <w:rFonts w:ascii="Arial" w:hAnsi="Arial" w:cs="Arial"/>
          <w:color w:val="auto"/>
          <w:szCs w:val="21"/>
          <w:highlight w:val="none"/>
        </w:rPr>
      </w:pPr>
      <w:r>
        <w:rPr>
          <w:rFonts w:ascii="Arial" w:hAnsi="Arial" w:cs="Arial"/>
          <w:color w:val="auto"/>
          <w:szCs w:val="21"/>
          <w:highlight w:val="none"/>
        </w:rPr>
        <w:t>供应商代表姓名 职务：邮箱：</w:t>
      </w:r>
    </w:p>
    <w:bookmarkEnd w:id="144"/>
    <w:p>
      <w:pPr>
        <w:spacing w:line="360" w:lineRule="auto"/>
        <w:rPr>
          <w:rFonts w:ascii="Arial" w:hAnsi="Arial" w:cs="Arial"/>
          <w:color w:val="auto"/>
          <w:szCs w:val="21"/>
          <w:highlight w:val="none"/>
        </w:rPr>
      </w:pPr>
    </w:p>
    <w:p>
      <w:pPr>
        <w:spacing w:line="360" w:lineRule="auto"/>
        <w:rPr>
          <w:rFonts w:ascii="Arial" w:hAnsi="Arial" w:cs="Arial"/>
          <w:color w:val="auto"/>
          <w:szCs w:val="21"/>
          <w:highlight w:val="none"/>
        </w:rPr>
      </w:pPr>
    </w:p>
    <w:p>
      <w:pPr>
        <w:spacing w:line="360" w:lineRule="auto"/>
        <w:rPr>
          <w:rFonts w:ascii="Arial" w:hAnsi="Arial" w:cs="Arial"/>
          <w:color w:val="auto"/>
          <w:szCs w:val="21"/>
          <w:highlight w:val="none"/>
          <w:u w:val="single"/>
        </w:rPr>
      </w:pPr>
      <w:r>
        <w:rPr>
          <w:rFonts w:ascii="Arial" w:hAnsi="Arial" w:cs="Arial"/>
          <w:color w:val="auto"/>
          <w:szCs w:val="21"/>
          <w:highlight w:val="none"/>
        </w:rPr>
        <w:t>供应商名称(公章)（CA签章）：</w:t>
      </w:r>
    </w:p>
    <w:p>
      <w:pPr>
        <w:spacing w:line="360" w:lineRule="auto"/>
        <w:rPr>
          <w:rFonts w:ascii="Arial" w:hAnsi="Arial" w:cs="Arial"/>
          <w:color w:val="auto"/>
          <w:szCs w:val="21"/>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 xml:space="preserve">法定代表人或授权代表签字或个人CA签章： </w:t>
      </w:r>
    </w:p>
    <w:p>
      <w:pPr>
        <w:spacing w:line="360" w:lineRule="auto"/>
        <w:rPr>
          <w:rFonts w:ascii="Arial" w:hAnsi="Arial" w:cs="Arial"/>
          <w:color w:val="auto"/>
          <w:szCs w:val="21"/>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pPr>
        <w:rPr>
          <w:rFonts w:ascii="Arial" w:hAnsi="Arial" w:cs="Arial"/>
          <w:color w:val="auto"/>
          <w:highlight w:val="none"/>
        </w:rPr>
      </w:pPr>
      <w:r>
        <w:rPr>
          <w:rFonts w:ascii="Arial" w:hAnsi="Arial" w:cs="Arial"/>
          <w:b/>
          <w:color w:val="auto"/>
          <w:szCs w:val="21"/>
          <w:highlight w:val="none"/>
        </w:rPr>
        <w:br w:type="page"/>
      </w:r>
      <w:r>
        <w:rPr>
          <w:rFonts w:ascii="Arial" w:hAnsi="Arial" w:cs="Arial"/>
          <w:color w:val="auto"/>
          <w:highlight w:val="none"/>
        </w:rPr>
        <w:t>2．投标报价明细表格式：</w:t>
      </w:r>
    </w:p>
    <w:p>
      <w:pPr>
        <w:jc w:val="center"/>
        <w:rPr>
          <w:rFonts w:ascii="Arial" w:hAnsi="Arial" w:cs="Arial"/>
          <w:b/>
          <w:color w:val="auto"/>
          <w:szCs w:val="21"/>
          <w:highlight w:val="none"/>
        </w:rPr>
      </w:pPr>
      <w:r>
        <w:rPr>
          <w:rFonts w:ascii="Arial" w:hAnsi="Arial" w:cs="Arial"/>
          <w:b/>
          <w:color w:val="auto"/>
          <w:szCs w:val="21"/>
          <w:highlight w:val="none"/>
        </w:rPr>
        <w:t>投标报价明细表</w:t>
      </w:r>
    </w:p>
    <w:p>
      <w:pPr>
        <w:ind w:firstLine="2415" w:firstLineChars="1150"/>
        <w:rPr>
          <w:rFonts w:ascii="Arial" w:hAnsi="Arial" w:cs="Arial"/>
          <w:color w:val="auto"/>
          <w:szCs w:val="21"/>
          <w:highlight w:val="none"/>
        </w:rPr>
      </w:pPr>
      <w:r>
        <w:rPr>
          <w:rFonts w:ascii="Arial" w:hAnsi="Arial" w:cs="Arial"/>
          <w:color w:val="auto"/>
          <w:szCs w:val="21"/>
          <w:highlight w:val="none"/>
        </w:rPr>
        <w:t xml:space="preserve"> 金额单位：人民币（元）                  </w:t>
      </w:r>
    </w:p>
    <w:tbl>
      <w:tblPr>
        <w:tblStyle w:val="54"/>
        <w:tblW w:w="104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480"/>
        <w:gridCol w:w="1875"/>
        <w:gridCol w:w="2013"/>
        <w:gridCol w:w="2092"/>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r>
              <w:rPr>
                <w:rFonts w:ascii="Arial" w:hAnsi="Arial" w:cs="Arial"/>
                <w:color w:val="auto"/>
                <w:szCs w:val="21"/>
                <w:highlight w:val="none"/>
              </w:rPr>
              <w:t>序号</w:t>
            </w:r>
          </w:p>
        </w:tc>
        <w:tc>
          <w:tcPr>
            <w:tcW w:w="24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lang w:val="en-US" w:eastAsia="zh-CN"/>
              </w:rPr>
              <w:t>项目</w:t>
            </w:r>
            <w:r>
              <w:rPr>
                <w:rFonts w:ascii="Arial" w:hAnsi="Arial" w:cs="Arial"/>
                <w:color w:val="auto"/>
                <w:szCs w:val="21"/>
                <w:highlight w:val="none"/>
              </w:rPr>
              <w:t>名称</w:t>
            </w: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服务商</w:t>
            </w:r>
          </w:p>
        </w:tc>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color w:val="auto"/>
                <w:szCs w:val="21"/>
                <w:highlight w:val="none"/>
                <w:lang w:eastAsia="zh-CN"/>
              </w:rPr>
            </w:pPr>
            <w:r>
              <w:rPr>
                <w:rFonts w:hint="eastAsia" w:ascii="Arial" w:hAnsi="Arial" w:cs="Arial"/>
                <w:color w:val="auto"/>
                <w:szCs w:val="21"/>
                <w:highlight w:val="none"/>
                <w:lang w:val="en-US" w:eastAsia="zh-CN"/>
              </w:rPr>
              <w:t>服务期</w:t>
            </w:r>
          </w:p>
        </w:tc>
        <w:tc>
          <w:tcPr>
            <w:tcW w:w="209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24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201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2092"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6"/>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auto"/>
                <w:spacing w:val="20"/>
                <w:szCs w:val="21"/>
                <w:highlight w:val="none"/>
              </w:rPr>
            </w:pPr>
            <w:r>
              <w:rPr>
                <w:rFonts w:ascii="Arial" w:hAnsi="Arial" w:cs="Arial"/>
                <w:color w:val="auto"/>
                <w:spacing w:val="20"/>
                <w:szCs w:val="21"/>
                <w:highlight w:val="none"/>
              </w:rPr>
              <w:t>投标总价：大写                 小写</w:t>
            </w:r>
          </w:p>
        </w:tc>
      </w:tr>
    </w:tbl>
    <w:p>
      <w:pPr>
        <w:jc w:val="left"/>
        <w:rPr>
          <w:rFonts w:ascii="Arial" w:hAnsi="Arial" w:cs="Arial"/>
          <w:color w:val="auto"/>
          <w:szCs w:val="21"/>
          <w:highlight w:val="none"/>
        </w:rPr>
      </w:pPr>
      <w:r>
        <w:rPr>
          <w:rFonts w:ascii="Arial" w:hAnsi="Arial" w:cs="Arial"/>
          <w:color w:val="auto"/>
          <w:szCs w:val="21"/>
          <w:highlight w:val="none"/>
        </w:rPr>
        <w:t>注：本表可扩展，并逐页签字及盖章</w:t>
      </w:r>
    </w:p>
    <w:p>
      <w:pPr>
        <w:spacing w:line="360" w:lineRule="auto"/>
        <w:rPr>
          <w:rFonts w:ascii="Arial" w:hAnsi="Arial" w:cs="Arial"/>
          <w:color w:val="auto"/>
          <w:spacing w:val="20"/>
          <w:szCs w:val="21"/>
          <w:highlight w:val="none"/>
        </w:rPr>
      </w:pPr>
    </w:p>
    <w:p>
      <w:pPr>
        <w:spacing w:line="360"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法定代表人或授权代表（签字或个人CA签章）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 xml:space="preserve">供应商名称（公章）（CA签章）： </w:t>
      </w:r>
      <w:r>
        <w:rPr>
          <w:rFonts w:ascii="Arial" w:hAnsi="Arial" w:cs="Arial"/>
          <w:color w:val="auto"/>
          <w:szCs w:val="21"/>
          <w:highlight w:val="none"/>
          <w:u w:val="single"/>
        </w:rPr>
        <w:t xml:space="preserve">           </w:t>
      </w:r>
    </w:p>
    <w:p>
      <w:pPr>
        <w:spacing w:line="360" w:lineRule="auto"/>
        <w:rPr>
          <w:rFonts w:ascii="Arial" w:hAnsi="Arial" w:cs="Arial"/>
          <w:color w:val="auto"/>
          <w:spacing w:val="20"/>
          <w:szCs w:val="21"/>
          <w:highlight w:val="none"/>
          <w:u w:val="single"/>
        </w:rPr>
      </w:pPr>
      <w:r>
        <w:rPr>
          <w:rFonts w:ascii="Arial" w:hAnsi="Arial" w:cs="Arial"/>
          <w:color w:val="auto"/>
          <w:szCs w:val="21"/>
          <w:highlight w:val="none"/>
        </w:rPr>
        <w:t xml:space="preserve">日  期：   年  月   日 </w:t>
      </w: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br w:type="page"/>
      </w:r>
      <w:bookmarkStart w:id="149" w:name="_Hlk19115862"/>
      <w:r>
        <w:rPr>
          <w:rFonts w:ascii="Arial" w:hAnsi="Arial" w:cs="Arial"/>
          <w:color w:val="auto"/>
          <w:szCs w:val="21"/>
          <w:highlight w:val="none"/>
        </w:rPr>
        <w:t>3．过低报价合理性的说明。（如有）</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评标委员会认为供应商的报价明显低于其他通过符合性审查供应商报价的，供应商将被要求以书面方式提供说明。为避免在评标现场因未能及时提供说明而导致被评标委员会作为无效投标，供应商</w:t>
      </w:r>
      <w:r>
        <w:rPr>
          <w:rFonts w:ascii="Arial" w:hAnsi="Arial" w:cs="Arial"/>
          <w:color w:val="auto"/>
          <w:highlight w:val="none"/>
        </w:rPr>
        <w:t>自行决定是否</w:t>
      </w:r>
      <w:r>
        <w:rPr>
          <w:rFonts w:ascii="Arial" w:hAnsi="Arial" w:cs="Arial"/>
          <w:color w:val="auto"/>
          <w:kern w:val="1"/>
          <w:szCs w:val="21"/>
          <w:highlight w:val="none"/>
        </w:rPr>
        <w:t>直接在</w:t>
      </w:r>
      <w:r>
        <w:rPr>
          <w:rFonts w:ascii="Arial" w:hAnsi="Arial" w:cs="Arial"/>
          <w:color w:val="auto"/>
          <w:szCs w:val="21"/>
          <w:highlight w:val="none"/>
        </w:rPr>
        <w:t>此处进行陈述。格式自拟。（</w:t>
      </w:r>
      <w:r>
        <w:rPr>
          <w:rFonts w:ascii="Arial" w:hAnsi="Arial" w:cs="Arial"/>
          <w:color w:val="auto"/>
          <w:kern w:val="1"/>
          <w:szCs w:val="21"/>
          <w:highlight w:val="none"/>
        </w:rPr>
        <w:t>具体要求详见第四章评标方法及评标标准“过低报价合理性的审查”</w:t>
      </w:r>
      <w:r>
        <w:rPr>
          <w:rFonts w:ascii="Arial" w:hAnsi="Arial" w:cs="Arial"/>
          <w:color w:val="auto"/>
          <w:szCs w:val="21"/>
          <w:highlight w:val="none"/>
        </w:rPr>
        <w:t>）</w:t>
      </w:r>
    </w:p>
    <w:bookmarkEnd w:id="149"/>
    <w:p>
      <w:pPr>
        <w:snapToGrid w:val="0"/>
        <w:spacing w:before="50" w:after="120" w:afterLines="50"/>
        <w:jc w:val="left"/>
        <w:rPr>
          <w:rFonts w:ascii="Arial" w:hAnsi="Arial" w:cs="Arial"/>
          <w:color w:val="auto"/>
          <w:szCs w:val="21"/>
          <w:highlight w:val="none"/>
        </w:rPr>
      </w:pPr>
    </w:p>
    <w:p>
      <w:pPr>
        <w:rPr>
          <w:rFonts w:ascii="Arial" w:hAnsi="Arial" w:cs="Arial"/>
          <w:color w:val="auto"/>
          <w:highlight w:val="none"/>
        </w:rPr>
      </w:pPr>
      <w:r>
        <w:rPr>
          <w:rFonts w:ascii="Arial" w:hAnsi="Arial" w:cs="Arial"/>
          <w:color w:val="auto"/>
          <w:highlight w:val="none"/>
        </w:rPr>
        <w:t xml:space="preserve"> </w:t>
      </w:r>
    </w:p>
    <w:p>
      <w:pPr>
        <w:rPr>
          <w:rFonts w:ascii="Arial" w:hAnsi="Arial" w:cs="Arial"/>
          <w:b/>
          <w:color w:val="auto"/>
          <w:szCs w:val="21"/>
          <w:highlight w:val="none"/>
        </w:rPr>
      </w:pPr>
    </w:p>
    <w:p>
      <w:pPr>
        <w:rPr>
          <w:rFonts w:ascii="Arial" w:hAnsi="Arial" w:cs="Arial"/>
          <w:b/>
          <w:color w:val="auto"/>
          <w:szCs w:val="21"/>
          <w:highlight w:val="none"/>
        </w:rPr>
      </w:pP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4．符合政府采购政策价格扣除证明材料。</w:t>
      </w:r>
    </w:p>
    <w:p>
      <w:pPr>
        <w:rPr>
          <w:rFonts w:ascii="Arial" w:hAnsi="Arial" w:cs="Arial"/>
          <w:color w:val="auto"/>
          <w:szCs w:val="21"/>
          <w:highlight w:val="none"/>
        </w:rPr>
      </w:pPr>
      <w:r>
        <w:rPr>
          <w:rFonts w:ascii="Arial" w:hAnsi="Arial" w:cs="Arial"/>
          <w:color w:val="auto"/>
          <w:szCs w:val="21"/>
          <w:highlight w:val="none"/>
        </w:rPr>
        <w:t>4.1</w:t>
      </w:r>
      <w:r>
        <w:rPr>
          <w:rFonts w:ascii="Arial" w:hAnsi="Arial" w:cs="Arial"/>
          <w:bCs/>
          <w:color w:val="auto"/>
          <w:szCs w:val="21"/>
          <w:highlight w:val="none"/>
        </w:rPr>
        <w:t>符合小型、微型企业</w:t>
      </w:r>
      <w:r>
        <w:rPr>
          <w:rFonts w:ascii="Arial" w:hAnsi="Arial" w:cs="Arial"/>
          <w:color w:val="auto"/>
          <w:szCs w:val="21"/>
          <w:highlight w:val="none"/>
        </w:rPr>
        <w:t>政府采购政策证明材料。（非小型、微型企业无需提供）。</w:t>
      </w:r>
    </w:p>
    <w:p>
      <w:pPr>
        <w:spacing w:line="360" w:lineRule="auto"/>
        <w:ind w:firstLine="3584" w:firstLineChars="1700"/>
        <w:rPr>
          <w:rFonts w:ascii="Arial" w:hAnsi="Arial" w:cs="Arial"/>
          <w:b/>
          <w:color w:val="auto"/>
          <w:szCs w:val="21"/>
          <w:highlight w:val="none"/>
        </w:rPr>
      </w:pPr>
    </w:p>
    <w:p>
      <w:pPr>
        <w:spacing w:line="360" w:lineRule="auto"/>
        <w:ind w:firstLine="3584" w:firstLineChars="1700"/>
        <w:rPr>
          <w:rFonts w:ascii="Arial" w:hAnsi="Arial" w:cs="Arial"/>
          <w:b/>
          <w:color w:val="auto"/>
          <w:szCs w:val="21"/>
          <w:highlight w:val="none"/>
        </w:rPr>
      </w:pPr>
      <w:r>
        <w:rPr>
          <w:rFonts w:ascii="Arial" w:hAnsi="Arial" w:cs="Arial"/>
          <w:b/>
          <w:color w:val="auto"/>
          <w:szCs w:val="21"/>
          <w:highlight w:val="none"/>
        </w:rPr>
        <w:t>中小企业声明函（服务）</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本公司（联合体）郑重声明，根据《政府采购促进中小企业发展管理办法》（财库﹝2020﹞46 号）的规定，本公司（联合体）参加</w:t>
      </w:r>
      <w:r>
        <w:rPr>
          <w:rFonts w:ascii="Arial" w:hAnsi="Arial" w:cs="Arial"/>
          <w:bCs/>
          <w:color w:val="auto"/>
          <w:szCs w:val="21"/>
          <w:highlight w:val="none"/>
          <w:u w:val="single"/>
        </w:rPr>
        <w:t>（单位名称）</w:t>
      </w:r>
      <w:r>
        <w:rPr>
          <w:rFonts w:ascii="Arial" w:hAnsi="Arial" w:cs="Arial"/>
          <w:bCs/>
          <w:color w:val="auto"/>
          <w:szCs w:val="21"/>
          <w:highlight w:val="none"/>
        </w:rPr>
        <w:t>的</w:t>
      </w:r>
      <w:r>
        <w:rPr>
          <w:rFonts w:ascii="Arial" w:hAnsi="Arial" w:cs="Arial"/>
          <w:bCs/>
          <w:color w:val="auto"/>
          <w:szCs w:val="21"/>
          <w:highlight w:val="none"/>
          <w:u w:val="single"/>
        </w:rPr>
        <w:t>（项目名称）</w:t>
      </w:r>
      <w:r>
        <w:rPr>
          <w:rFonts w:ascii="Arial" w:hAnsi="Arial" w:cs="Arial"/>
          <w:bCs/>
          <w:color w:val="auto"/>
          <w:szCs w:val="21"/>
          <w:highlight w:val="none"/>
        </w:rPr>
        <w:t>采购活动，服务全部由符合政策要求的中小企业承接。相关企业（含联合体中的中小企业、签订分包意向协议的中小企业） 的具体情况如下：</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1.</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2.</w:t>
      </w:r>
      <w:r>
        <w:rPr>
          <w:rFonts w:ascii="Arial" w:hAnsi="Arial" w:cs="Arial"/>
          <w:bCs/>
          <w:color w:val="auto"/>
          <w:szCs w:val="21"/>
          <w:highlight w:val="none"/>
          <w:u w:val="single"/>
        </w:rPr>
        <w:t>（标的名称）</w:t>
      </w:r>
      <w:r>
        <w:rPr>
          <w:rFonts w:ascii="Arial" w:hAnsi="Arial" w:cs="Arial"/>
          <w:bCs/>
          <w:color w:val="auto"/>
          <w:szCs w:val="21"/>
          <w:highlight w:val="none"/>
        </w:rPr>
        <w:t>，属于</w:t>
      </w:r>
      <w:r>
        <w:rPr>
          <w:rFonts w:ascii="Arial" w:hAnsi="Arial" w:cs="Arial"/>
          <w:bCs/>
          <w:color w:val="auto"/>
          <w:szCs w:val="21"/>
          <w:highlight w:val="none"/>
          <w:u w:val="single"/>
        </w:rPr>
        <w:t>（招标文件中明确的所属行业）</w:t>
      </w:r>
      <w:r>
        <w:rPr>
          <w:rFonts w:ascii="Arial" w:hAnsi="Arial" w:cs="Arial"/>
          <w:bCs/>
          <w:color w:val="auto"/>
          <w:szCs w:val="21"/>
          <w:highlight w:val="none"/>
        </w:rPr>
        <w:t>行业；承接企业为</w:t>
      </w:r>
      <w:r>
        <w:rPr>
          <w:rFonts w:ascii="Arial" w:hAnsi="Arial" w:cs="Arial"/>
          <w:bCs/>
          <w:color w:val="auto"/>
          <w:szCs w:val="21"/>
          <w:highlight w:val="none"/>
          <w:u w:val="single"/>
        </w:rPr>
        <w:t>（企业名称）</w:t>
      </w:r>
      <w:r>
        <w:rPr>
          <w:rFonts w:ascii="Arial" w:hAnsi="Arial" w:cs="Arial"/>
          <w:bCs/>
          <w:color w:val="auto"/>
          <w:szCs w:val="21"/>
          <w:highlight w:val="none"/>
        </w:rPr>
        <w:t>，从业人员</w:t>
      </w:r>
      <w:r>
        <w:rPr>
          <w:rFonts w:ascii="Arial" w:hAnsi="Arial" w:cs="Arial"/>
          <w:bCs/>
          <w:color w:val="auto"/>
          <w:szCs w:val="21"/>
          <w:highlight w:val="none"/>
          <w:u w:val="single"/>
        </w:rPr>
        <w:t xml:space="preserve">       </w:t>
      </w:r>
      <w:r>
        <w:rPr>
          <w:rFonts w:ascii="Arial" w:hAnsi="Arial" w:cs="Arial"/>
          <w:bCs/>
          <w:color w:val="auto"/>
          <w:szCs w:val="21"/>
          <w:highlight w:val="none"/>
        </w:rPr>
        <w:t>人，营业收入为</w:t>
      </w:r>
      <w:r>
        <w:rPr>
          <w:rFonts w:ascii="Arial" w:hAnsi="Arial" w:cs="Arial"/>
          <w:bCs/>
          <w:color w:val="auto"/>
          <w:szCs w:val="21"/>
          <w:highlight w:val="none"/>
          <w:u w:val="single"/>
        </w:rPr>
        <w:t xml:space="preserve">     </w:t>
      </w:r>
      <w:r>
        <w:rPr>
          <w:rFonts w:ascii="Arial" w:hAnsi="Arial" w:cs="Arial"/>
          <w:bCs/>
          <w:color w:val="auto"/>
          <w:szCs w:val="21"/>
          <w:highlight w:val="none"/>
        </w:rPr>
        <w:t>万元，资产总额为</w:t>
      </w:r>
      <w:r>
        <w:rPr>
          <w:rFonts w:ascii="Arial" w:hAnsi="Arial" w:cs="Arial"/>
          <w:bCs/>
          <w:color w:val="auto"/>
          <w:szCs w:val="21"/>
          <w:highlight w:val="none"/>
          <w:u w:val="single"/>
        </w:rPr>
        <w:t xml:space="preserve">       </w:t>
      </w:r>
      <w:r>
        <w:rPr>
          <w:rFonts w:ascii="Arial" w:hAnsi="Arial" w:cs="Arial"/>
          <w:bCs/>
          <w:color w:val="auto"/>
          <w:szCs w:val="21"/>
          <w:highlight w:val="none"/>
        </w:rPr>
        <w:t>万元，属于</w:t>
      </w:r>
      <w:r>
        <w:rPr>
          <w:rFonts w:ascii="Arial" w:hAnsi="Arial" w:cs="Arial"/>
          <w:bCs/>
          <w:color w:val="auto"/>
          <w:szCs w:val="21"/>
          <w:highlight w:val="none"/>
          <w:u w:val="single"/>
        </w:rPr>
        <w:t>（中型企业、小型企业、微型企业）</w:t>
      </w:r>
      <w:r>
        <w:rPr>
          <w:rFonts w:ascii="Arial" w:hAnsi="Arial" w:cs="Arial"/>
          <w:bCs/>
          <w:color w:val="auto"/>
          <w:szCs w:val="21"/>
          <w:highlight w:val="none"/>
        </w:rPr>
        <w:t>；</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以上企业，不属于大企业的分支机构，不存在控股股东为大企业的情形，也不存在与大企业的负责人为同一人的情形。</w:t>
      </w:r>
    </w:p>
    <w:p>
      <w:pPr>
        <w:spacing w:line="360" w:lineRule="auto"/>
        <w:ind w:firstLine="420"/>
        <w:rPr>
          <w:rFonts w:ascii="Arial" w:hAnsi="Arial" w:cs="Arial"/>
          <w:bCs/>
          <w:color w:val="auto"/>
          <w:szCs w:val="21"/>
          <w:highlight w:val="none"/>
        </w:rPr>
      </w:pPr>
      <w:r>
        <w:rPr>
          <w:rFonts w:ascii="Arial" w:hAnsi="Arial" w:cs="Arial"/>
          <w:bCs/>
          <w:color w:val="auto"/>
          <w:szCs w:val="21"/>
          <w:highlight w:val="none"/>
        </w:rPr>
        <w:t>本企业对上述声明内容的真实性负责。如有虚假，将依法承担相应责任。</w:t>
      </w:r>
    </w:p>
    <w:p>
      <w:pPr>
        <w:spacing w:line="360" w:lineRule="auto"/>
        <w:ind w:firstLine="3150" w:firstLineChars="1500"/>
        <w:rPr>
          <w:rFonts w:ascii="Arial" w:hAnsi="Arial" w:cs="Arial"/>
          <w:bCs/>
          <w:color w:val="auto"/>
          <w:szCs w:val="21"/>
          <w:highlight w:val="none"/>
        </w:rPr>
      </w:pPr>
      <w:r>
        <w:rPr>
          <w:rFonts w:ascii="Arial" w:hAnsi="Arial" w:cs="Arial"/>
          <w:bCs/>
          <w:color w:val="auto"/>
          <w:szCs w:val="21"/>
          <w:highlight w:val="none"/>
        </w:rPr>
        <w:t>企业名称（电子签章）：  日期：</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（1）标的名称按照第二章采购需求一览表中的名称填写，</w:t>
      </w:r>
      <w:r>
        <w:rPr>
          <w:rFonts w:ascii="Arial" w:hAnsi="Arial" w:cs="Arial"/>
          <w:color w:val="auto"/>
          <w:szCs w:val="21"/>
          <w:highlight w:val="none"/>
        </w:rPr>
        <w:t>所属行业标明“/”的</w:t>
      </w:r>
      <w:r>
        <w:rPr>
          <w:rFonts w:ascii="Arial" w:hAnsi="Arial" w:cs="Arial"/>
          <w:bCs/>
          <w:color w:val="auto"/>
          <w:szCs w:val="21"/>
          <w:highlight w:val="none"/>
        </w:rPr>
        <w:t>，无需在上表填写。</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（2）如供应商为联合体或分包的，声明函中“项目名称”应填写联合体中小微企业承担的具体内容或者小微企业具体分包内容。</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（3）从业人员、营业收入、资产总额填报上一年度数据，无上一年度数据的新成立企业参照国务院批准的中小企业划分标准，根据企业自身情况如实判断。</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（5）根据国际统计局《劳动工资统计报表制度》，从业人员数是指本单位工作，并取得工资活其他形式劳动报酬的人员数，是在岗职工、劳务派遣人员及其他从业人员之和。</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（6）本声明函由供应商填写，供应商应按中小企业划分标准《关于印发中小企业划型标准规定的通知》（工信部联企业〔2011〕300号</w:t>
      </w:r>
      <w:r>
        <w:rPr>
          <w:rFonts w:ascii="Arial" w:hAnsi="Arial" w:cs="Arial"/>
          <w:color w:val="auto"/>
          <w:szCs w:val="21"/>
          <w:highlight w:val="none"/>
        </w:rPr>
        <w:t>以及《金融业企业划型标准规定》（银发〔2015〕309号）</w:t>
      </w:r>
      <w:r>
        <w:rPr>
          <w:rFonts w:ascii="Arial" w:hAnsi="Arial" w:cs="Arial"/>
          <w:bCs/>
          <w:color w:val="auto"/>
          <w:szCs w:val="21"/>
          <w:highlight w:val="none"/>
        </w:rPr>
        <w:t>）判断是否为中小企业。</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pPr>
        <w:spacing w:line="360" w:lineRule="auto"/>
        <w:jc w:val="left"/>
        <w:rPr>
          <w:rFonts w:ascii="Arial" w:hAnsi="Arial" w:cs="Arial"/>
          <w:bCs/>
          <w:color w:val="auto"/>
          <w:szCs w:val="21"/>
          <w:highlight w:val="none"/>
        </w:rPr>
      </w:pPr>
      <w:r>
        <w:rPr>
          <w:rFonts w:ascii="Arial" w:hAnsi="Arial" w:cs="Arial"/>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4.2监狱企业须提供最新一期《XX省监狱企业产品目录》或其他监狱企业证明材料。（非监狱企业无需提供）</w:t>
      </w: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highlight w:val="none"/>
        </w:rPr>
      </w:pPr>
      <w:r>
        <w:rPr>
          <w:rFonts w:ascii="Arial" w:hAnsi="Arial" w:cs="Arial"/>
          <w:color w:val="auto"/>
          <w:szCs w:val="21"/>
          <w:highlight w:val="none"/>
        </w:rPr>
        <w:t>4.3</w:t>
      </w:r>
      <w:bookmarkStart w:id="150" w:name="_Hlk19051624"/>
      <w:r>
        <w:rPr>
          <w:rFonts w:ascii="Arial" w:hAnsi="Arial" w:cs="Arial"/>
          <w:color w:val="auto"/>
          <w:highlight w:val="none"/>
        </w:rPr>
        <w:t>残疾人福利性单位须提供《残疾人福利性单位声明函》，格式如下。</w:t>
      </w:r>
      <w:r>
        <w:rPr>
          <w:rFonts w:ascii="Arial" w:hAnsi="Arial" w:cs="Arial"/>
          <w:color w:val="auto"/>
          <w:szCs w:val="21"/>
          <w:highlight w:val="none"/>
        </w:rPr>
        <w:t>（非残疾人福利性单位无需提供）</w:t>
      </w:r>
    </w:p>
    <w:bookmarkEnd w:id="150"/>
    <w:p>
      <w:pPr>
        <w:spacing w:line="360" w:lineRule="auto"/>
        <w:jc w:val="center"/>
        <w:rPr>
          <w:rFonts w:ascii="Arial" w:hAnsi="Arial" w:cs="Arial"/>
          <w:b/>
          <w:color w:val="auto"/>
          <w:szCs w:val="21"/>
          <w:highlight w:val="none"/>
        </w:rPr>
      </w:pPr>
    </w:p>
    <w:p>
      <w:pPr>
        <w:spacing w:line="360" w:lineRule="auto"/>
        <w:jc w:val="center"/>
        <w:rPr>
          <w:rFonts w:ascii="Arial" w:hAnsi="Arial" w:cs="Arial"/>
          <w:b/>
          <w:color w:val="auto"/>
          <w:szCs w:val="21"/>
          <w:highlight w:val="none"/>
        </w:rPr>
      </w:pPr>
      <w:r>
        <w:rPr>
          <w:rFonts w:ascii="Arial" w:hAnsi="Arial" w:cs="Arial"/>
          <w:b/>
          <w:color w:val="auto"/>
          <w:szCs w:val="21"/>
          <w:highlight w:val="none"/>
        </w:rPr>
        <w:t>残疾人福利性单位声明函</w:t>
      </w:r>
    </w:p>
    <w:p>
      <w:pPr>
        <w:spacing w:line="360" w:lineRule="auto"/>
        <w:ind w:firstLine="420"/>
        <w:jc w:val="left"/>
        <w:rPr>
          <w:rFonts w:ascii="Arial" w:hAnsi="Arial" w:cs="Arial"/>
          <w:color w:val="auto"/>
          <w:szCs w:val="21"/>
          <w:highlight w:val="none"/>
        </w:rPr>
      </w:pPr>
      <w:r>
        <w:rPr>
          <w:rFonts w:ascii="Arial" w:hAnsi="Arial" w:cs="Arial"/>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Cs w:val="21"/>
          <w:highlight w:val="none"/>
          <w:u w:val="single"/>
        </w:rPr>
        <w:t xml:space="preserve">        </w:t>
      </w:r>
      <w:r>
        <w:rPr>
          <w:rFonts w:ascii="Arial" w:hAnsi="Arial" w:cs="Arial"/>
          <w:color w:val="auto"/>
          <w:szCs w:val="21"/>
          <w:highlight w:val="none"/>
        </w:rPr>
        <w:t>单位的</w:t>
      </w:r>
      <w:r>
        <w:rPr>
          <w:rFonts w:ascii="Arial" w:hAnsi="Arial" w:cs="Arial"/>
          <w:color w:val="auto"/>
          <w:szCs w:val="21"/>
          <w:highlight w:val="none"/>
          <w:u w:val="single"/>
        </w:rPr>
        <w:t xml:space="preserve">           </w:t>
      </w:r>
      <w:r>
        <w:rPr>
          <w:rFonts w:ascii="Arial" w:hAnsi="Arial" w:cs="Arial"/>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cs="Arial"/>
          <w:color w:val="auto"/>
          <w:szCs w:val="21"/>
          <w:highlight w:val="none"/>
        </w:rPr>
      </w:pPr>
      <w:r>
        <w:rPr>
          <w:rFonts w:ascii="Arial" w:hAnsi="Arial" w:cs="Arial"/>
          <w:color w:val="auto"/>
          <w:szCs w:val="21"/>
          <w:highlight w:val="none"/>
        </w:rPr>
        <w:t>本单位对上述声明的真实性负责。如有虚假，将依法承担相应责任。</w:t>
      </w:r>
    </w:p>
    <w:p>
      <w:pPr>
        <w:spacing w:line="360" w:lineRule="auto"/>
        <w:ind w:firstLine="420"/>
        <w:jc w:val="right"/>
        <w:rPr>
          <w:rFonts w:ascii="Arial" w:hAnsi="Arial" w:cs="Arial"/>
          <w:color w:val="auto"/>
          <w:spacing w:val="6"/>
          <w:szCs w:val="21"/>
          <w:highlight w:val="none"/>
        </w:rPr>
      </w:pPr>
      <w:r>
        <w:rPr>
          <w:rFonts w:ascii="Arial" w:hAnsi="Arial" w:cs="Arial"/>
          <w:color w:val="auto"/>
          <w:spacing w:val="6"/>
          <w:sz w:val="30"/>
          <w:szCs w:val="30"/>
          <w:highlight w:val="none"/>
        </w:rPr>
        <w:t xml:space="preserve"> </w:t>
      </w:r>
      <w:r>
        <w:rPr>
          <w:rFonts w:ascii="Arial" w:hAnsi="Arial" w:cs="Arial"/>
          <w:color w:val="auto"/>
          <w:spacing w:val="6"/>
          <w:szCs w:val="21"/>
          <w:highlight w:val="none"/>
        </w:rPr>
        <w:t xml:space="preserve">                                             单位名称</w:t>
      </w:r>
      <w:r>
        <w:rPr>
          <w:rFonts w:ascii="Arial" w:hAnsi="Arial" w:cs="Arial"/>
          <w:color w:val="auto"/>
          <w:szCs w:val="21"/>
          <w:highlight w:val="none"/>
        </w:rPr>
        <w:t>(电子签章)</w:t>
      </w:r>
      <w:r>
        <w:rPr>
          <w:rFonts w:ascii="Arial" w:hAnsi="Arial" w:cs="Arial"/>
          <w:color w:val="auto"/>
          <w:spacing w:val="6"/>
          <w:szCs w:val="21"/>
          <w:highlight w:val="none"/>
        </w:rPr>
        <w:t xml:space="preserve">：          </w:t>
      </w:r>
    </w:p>
    <w:p>
      <w:pPr>
        <w:spacing w:line="360" w:lineRule="auto"/>
        <w:ind w:firstLine="420"/>
        <w:jc w:val="right"/>
        <w:rPr>
          <w:rFonts w:ascii="Arial" w:hAnsi="Arial" w:cs="Arial"/>
          <w:color w:val="auto"/>
          <w:spacing w:val="6"/>
          <w:szCs w:val="21"/>
          <w:highlight w:val="none"/>
        </w:rPr>
      </w:pPr>
      <w:r>
        <w:rPr>
          <w:rFonts w:ascii="Arial" w:hAnsi="Arial" w:cs="Arial"/>
          <w:color w:val="auto"/>
          <w:spacing w:val="6"/>
          <w:szCs w:val="21"/>
          <w:highlight w:val="none"/>
        </w:rPr>
        <w:t xml:space="preserve">                                                       日  期：</w:t>
      </w:r>
    </w:p>
    <w:p>
      <w:pPr>
        <w:pStyle w:val="23"/>
        <w:rPr>
          <w:rFonts w:ascii="Arial" w:hAnsi="Arial" w:cs="Arial"/>
          <w:color w:val="auto"/>
          <w:highlight w:val="none"/>
        </w:rPr>
      </w:pPr>
    </w:p>
    <w:p>
      <w:pPr>
        <w:rPr>
          <w:rFonts w:ascii="Arial" w:hAnsi="Arial" w:cs="Arial"/>
          <w:b/>
          <w:color w:val="auto"/>
          <w:szCs w:val="21"/>
          <w:highlight w:val="none"/>
        </w:rPr>
      </w:pPr>
    </w:p>
    <w:p>
      <w:pPr>
        <w:rPr>
          <w:rFonts w:ascii="Arial" w:hAnsi="Arial" w:cs="Arial"/>
          <w:b/>
          <w:color w:val="auto"/>
          <w:szCs w:val="21"/>
          <w:highlight w:val="none"/>
        </w:rPr>
      </w:pPr>
    </w:p>
    <w:p>
      <w:pPr>
        <w:rPr>
          <w:rFonts w:ascii="Arial" w:hAnsi="Arial" w:cs="Arial"/>
          <w:b/>
          <w:color w:val="auto"/>
          <w:szCs w:val="21"/>
          <w:highlight w:val="none"/>
        </w:rPr>
      </w:pPr>
    </w:p>
    <w:p>
      <w:pPr>
        <w:rPr>
          <w:rFonts w:ascii="Arial" w:hAnsi="Arial" w:cs="Arial"/>
          <w:b/>
          <w:color w:val="auto"/>
          <w:szCs w:val="21"/>
          <w:highlight w:val="none"/>
        </w:rPr>
      </w:pPr>
    </w:p>
    <w:p>
      <w:pPr>
        <w:rPr>
          <w:rFonts w:ascii="Arial" w:hAnsi="Arial" w:cs="Arial"/>
          <w:b/>
          <w:color w:val="auto"/>
          <w:szCs w:val="21"/>
          <w:highlight w:val="none"/>
        </w:rPr>
      </w:pPr>
    </w:p>
    <w:p>
      <w:pPr>
        <w:rPr>
          <w:rFonts w:ascii="Arial" w:hAnsi="Arial" w:cs="Arial"/>
          <w:bCs/>
          <w:color w:val="auto"/>
          <w:szCs w:val="21"/>
          <w:highlight w:val="none"/>
        </w:rPr>
      </w:pPr>
      <w:r>
        <w:rPr>
          <w:rFonts w:ascii="Arial" w:hAnsi="Arial" w:cs="Arial"/>
          <w:bCs/>
          <w:color w:val="auto"/>
          <w:szCs w:val="21"/>
          <w:highlight w:val="none"/>
        </w:rPr>
        <w:t>5.开标一览表</w:t>
      </w:r>
    </w:p>
    <w:p>
      <w:pPr>
        <w:rPr>
          <w:rFonts w:ascii="Arial" w:hAnsi="Arial" w:cs="Arial"/>
          <w:b/>
          <w:color w:val="auto"/>
          <w:szCs w:val="21"/>
          <w:highlight w:val="none"/>
        </w:rPr>
      </w:pPr>
    </w:p>
    <w:p>
      <w:pPr>
        <w:ind w:firstLine="422" w:firstLineChars="200"/>
        <w:rPr>
          <w:rFonts w:ascii="Arial" w:hAnsi="Arial" w:cs="Arial"/>
          <w:color w:val="auto"/>
          <w:szCs w:val="21"/>
          <w:highlight w:val="none"/>
        </w:rPr>
      </w:pPr>
      <w:r>
        <w:rPr>
          <w:rFonts w:ascii="Arial" w:hAnsi="Arial" w:cs="Arial"/>
          <w:b/>
          <w:color w:val="auto"/>
          <w:szCs w:val="21"/>
          <w:highlight w:val="none"/>
        </w:rPr>
        <w:t>格式详见广西政府采购云平台，且仅在广西政府采购云平台填写即可。</w:t>
      </w:r>
    </w:p>
    <w:sectPr>
      <w:headerReference r:id="rId16" w:type="default"/>
      <w:pgSz w:w="11906" w:h="16838"/>
      <w:pgMar w:top="1418" w:right="723" w:bottom="1246" w:left="12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8"/>
      </w:rPr>
    </w:pPr>
    <w:r>
      <w:fldChar w:fldCharType="begin"/>
    </w:r>
    <w:r>
      <w:rPr>
        <w:rStyle w:val="58"/>
      </w:rPr>
      <w:instrText xml:space="preserve">PAGE  </w:instrText>
    </w:r>
    <w: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9</w:t>
                          </w:r>
                          <w: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hqRXXAQAAsgMAAA4AAAAAAAAAAQAgAAAA&#10;HgEAAGRycy9lMm9Eb2MueG1sUEsFBgAAAAAGAAYAWQEAAGcFA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NgGEXXAQAAsgMAAA4AAAAAAAAAAQAgAAAA&#10;HgEAAGRycy9lMm9Eb2MueG1sUEsFBgAAAAAGAAYAWQEAAGcFAAAAAA==&#10;">
              <v:fill on="f" focussize="0,0"/>
              <v:stroke on="f"/>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ZRbelNkBAAC1AwAADgAAAAAAAAABACAA&#10;AAAeAQAAZHJzL2Uyb0RvYy54bWxQSwUGAAAAAAYABgBZAQAAaQUAAAAA&#10;">
              <v:fill on="f" focussize="0,0"/>
              <v:stroke on="f"/>
              <v:imagedata o:title=""/>
              <o:lock v:ext="edit" aspectratio="f"/>
              <v:textbox inset="0mm,0mm,0mm,0mm" style="mso-fit-shape-to-text:t;">
                <w:txbxContent>
                  <w:p>
                    <w:pPr>
                      <w:pStyle w:val="34"/>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广西机电设备招标有限公司招标文件</w:t>
    </w:r>
  </w:p>
  <w:p>
    <w:pPr>
      <w:pStyle w:val="3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广西机电设备招标有限公司招标文件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 xml:space="preserve">广西机电设备招标有限公司招标文件                                                           </w:t>
    </w:r>
  </w:p>
  <w:p>
    <w:pPr>
      <w:pStyle w:val="35"/>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广西机电设备招标有限公司招标文件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left"/>
    </w:pPr>
    <w:r>
      <w:rPr>
        <w:rFonts w:hint="eastAsia"/>
      </w:rPr>
      <w:t>广西机电设备招标有限公司招标文件评标方法及评标标准</w:t>
    </w:r>
  </w:p>
  <w:p>
    <w:pPr>
      <w:pStyle w:val="35"/>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广西机电设备招标有限公司招标文件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161E3"/>
    <w:multiLevelType w:val="singleLevel"/>
    <w:tmpl w:val="E76161E3"/>
    <w:lvl w:ilvl="0" w:tentative="0">
      <w:start w:val="1"/>
      <w:numFmt w:val="decimal"/>
      <w:lvlText w:val="(%1)"/>
      <w:lvlJc w:val="left"/>
      <w:pPr>
        <w:ind w:left="425" w:hanging="425"/>
      </w:pPr>
      <w:rPr>
        <w:rFonts w:hint="default"/>
      </w:rPr>
    </w:lvl>
  </w:abstractNum>
  <w:abstractNum w:abstractNumId="1">
    <w:nsid w:val="1EDC42BC"/>
    <w:multiLevelType w:val="singleLevel"/>
    <w:tmpl w:val="1EDC42BC"/>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ODdkZjM5MmMzZTg1ZmE0OTAzMjQ0OTM3ZjcyODIifQ=="/>
    <w:docVar w:name="KSO_WPS_MARK_KEY" w:val="8c4edea4-0f05-4c2b-9821-c574c37d6ffe"/>
  </w:docVars>
  <w:rsids>
    <w:rsidRoot w:val="00172A27"/>
    <w:rsid w:val="000003B8"/>
    <w:rsid w:val="000003EF"/>
    <w:rsid w:val="00000653"/>
    <w:rsid w:val="000008B9"/>
    <w:rsid w:val="0000091B"/>
    <w:rsid w:val="00000D0A"/>
    <w:rsid w:val="00000D19"/>
    <w:rsid w:val="00000E1A"/>
    <w:rsid w:val="00001B3E"/>
    <w:rsid w:val="00001CD6"/>
    <w:rsid w:val="00001E6F"/>
    <w:rsid w:val="00002AC8"/>
    <w:rsid w:val="00002DDA"/>
    <w:rsid w:val="00002F41"/>
    <w:rsid w:val="00003255"/>
    <w:rsid w:val="00003742"/>
    <w:rsid w:val="00003C81"/>
    <w:rsid w:val="00003D02"/>
    <w:rsid w:val="00003DAE"/>
    <w:rsid w:val="0000436E"/>
    <w:rsid w:val="00005672"/>
    <w:rsid w:val="000058D7"/>
    <w:rsid w:val="00005E55"/>
    <w:rsid w:val="00006E2C"/>
    <w:rsid w:val="000079FF"/>
    <w:rsid w:val="00007B0D"/>
    <w:rsid w:val="00007F38"/>
    <w:rsid w:val="000102A9"/>
    <w:rsid w:val="000105C3"/>
    <w:rsid w:val="00011B70"/>
    <w:rsid w:val="00011D72"/>
    <w:rsid w:val="00012078"/>
    <w:rsid w:val="00012218"/>
    <w:rsid w:val="00012320"/>
    <w:rsid w:val="000128AC"/>
    <w:rsid w:val="000129EA"/>
    <w:rsid w:val="00013391"/>
    <w:rsid w:val="00013748"/>
    <w:rsid w:val="00013D41"/>
    <w:rsid w:val="00013D8B"/>
    <w:rsid w:val="000143A3"/>
    <w:rsid w:val="000144F2"/>
    <w:rsid w:val="00014DD6"/>
    <w:rsid w:val="0001532B"/>
    <w:rsid w:val="0001598C"/>
    <w:rsid w:val="00016007"/>
    <w:rsid w:val="00016C31"/>
    <w:rsid w:val="00016CE3"/>
    <w:rsid w:val="00017504"/>
    <w:rsid w:val="000178D7"/>
    <w:rsid w:val="00017F40"/>
    <w:rsid w:val="00020861"/>
    <w:rsid w:val="00020BB1"/>
    <w:rsid w:val="00020BF0"/>
    <w:rsid w:val="00020C0B"/>
    <w:rsid w:val="00020F60"/>
    <w:rsid w:val="000215B7"/>
    <w:rsid w:val="000217BF"/>
    <w:rsid w:val="00021C98"/>
    <w:rsid w:val="00021CCD"/>
    <w:rsid w:val="00021EE3"/>
    <w:rsid w:val="000228AB"/>
    <w:rsid w:val="00022C7D"/>
    <w:rsid w:val="00022F2A"/>
    <w:rsid w:val="00022F8B"/>
    <w:rsid w:val="000233CA"/>
    <w:rsid w:val="00023652"/>
    <w:rsid w:val="000236EE"/>
    <w:rsid w:val="00024633"/>
    <w:rsid w:val="0002560A"/>
    <w:rsid w:val="00025DA0"/>
    <w:rsid w:val="000262BC"/>
    <w:rsid w:val="0002696D"/>
    <w:rsid w:val="0002754D"/>
    <w:rsid w:val="00027666"/>
    <w:rsid w:val="000276B2"/>
    <w:rsid w:val="00027A46"/>
    <w:rsid w:val="00027AF3"/>
    <w:rsid w:val="00030024"/>
    <w:rsid w:val="00030124"/>
    <w:rsid w:val="000302F0"/>
    <w:rsid w:val="000305FD"/>
    <w:rsid w:val="0003084F"/>
    <w:rsid w:val="00030C2F"/>
    <w:rsid w:val="00031169"/>
    <w:rsid w:val="00031757"/>
    <w:rsid w:val="00031DDD"/>
    <w:rsid w:val="00032686"/>
    <w:rsid w:val="0003274B"/>
    <w:rsid w:val="00032AD8"/>
    <w:rsid w:val="00032ADF"/>
    <w:rsid w:val="000331CC"/>
    <w:rsid w:val="0003322E"/>
    <w:rsid w:val="00033927"/>
    <w:rsid w:val="000352BA"/>
    <w:rsid w:val="00035840"/>
    <w:rsid w:val="00035844"/>
    <w:rsid w:val="00035A8D"/>
    <w:rsid w:val="00035C94"/>
    <w:rsid w:val="00036BAA"/>
    <w:rsid w:val="00037101"/>
    <w:rsid w:val="00037C2D"/>
    <w:rsid w:val="00037C63"/>
    <w:rsid w:val="00037CE4"/>
    <w:rsid w:val="00037DB6"/>
    <w:rsid w:val="00040187"/>
    <w:rsid w:val="000401FD"/>
    <w:rsid w:val="00040AC1"/>
    <w:rsid w:val="00040ED3"/>
    <w:rsid w:val="0004139C"/>
    <w:rsid w:val="000415E3"/>
    <w:rsid w:val="000418B1"/>
    <w:rsid w:val="00042280"/>
    <w:rsid w:val="0004231D"/>
    <w:rsid w:val="000424AB"/>
    <w:rsid w:val="00042BF9"/>
    <w:rsid w:val="00042ED7"/>
    <w:rsid w:val="000431D3"/>
    <w:rsid w:val="00043295"/>
    <w:rsid w:val="00044236"/>
    <w:rsid w:val="00044578"/>
    <w:rsid w:val="00045069"/>
    <w:rsid w:val="00045070"/>
    <w:rsid w:val="00045947"/>
    <w:rsid w:val="000459FB"/>
    <w:rsid w:val="000462A8"/>
    <w:rsid w:val="00046360"/>
    <w:rsid w:val="0004653D"/>
    <w:rsid w:val="000465AB"/>
    <w:rsid w:val="00046DA5"/>
    <w:rsid w:val="00046E59"/>
    <w:rsid w:val="000472E6"/>
    <w:rsid w:val="000479CD"/>
    <w:rsid w:val="000479FF"/>
    <w:rsid w:val="000500E6"/>
    <w:rsid w:val="000504FE"/>
    <w:rsid w:val="000513E2"/>
    <w:rsid w:val="00051C80"/>
    <w:rsid w:val="00052326"/>
    <w:rsid w:val="00052DBE"/>
    <w:rsid w:val="00053175"/>
    <w:rsid w:val="000534EE"/>
    <w:rsid w:val="0005359C"/>
    <w:rsid w:val="0005387F"/>
    <w:rsid w:val="00053BFC"/>
    <w:rsid w:val="0005428F"/>
    <w:rsid w:val="000544F4"/>
    <w:rsid w:val="000545D3"/>
    <w:rsid w:val="00054870"/>
    <w:rsid w:val="00054AB0"/>
    <w:rsid w:val="00054ABD"/>
    <w:rsid w:val="00054F7D"/>
    <w:rsid w:val="00055230"/>
    <w:rsid w:val="00055557"/>
    <w:rsid w:val="000555EA"/>
    <w:rsid w:val="00055945"/>
    <w:rsid w:val="00055A8A"/>
    <w:rsid w:val="00055E6D"/>
    <w:rsid w:val="00055FB0"/>
    <w:rsid w:val="0005625F"/>
    <w:rsid w:val="0005649E"/>
    <w:rsid w:val="0005682D"/>
    <w:rsid w:val="00056945"/>
    <w:rsid w:val="00056B45"/>
    <w:rsid w:val="0005700C"/>
    <w:rsid w:val="00057393"/>
    <w:rsid w:val="00057E45"/>
    <w:rsid w:val="00060523"/>
    <w:rsid w:val="000606B6"/>
    <w:rsid w:val="000609AC"/>
    <w:rsid w:val="0006148A"/>
    <w:rsid w:val="000618AE"/>
    <w:rsid w:val="00062637"/>
    <w:rsid w:val="0006263C"/>
    <w:rsid w:val="00062949"/>
    <w:rsid w:val="000631AC"/>
    <w:rsid w:val="000631B7"/>
    <w:rsid w:val="00063894"/>
    <w:rsid w:val="000639D4"/>
    <w:rsid w:val="00063B29"/>
    <w:rsid w:val="0006408F"/>
    <w:rsid w:val="00064840"/>
    <w:rsid w:val="00064A48"/>
    <w:rsid w:val="00064C80"/>
    <w:rsid w:val="00065429"/>
    <w:rsid w:val="00065AB7"/>
    <w:rsid w:val="00065BFE"/>
    <w:rsid w:val="00065C40"/>
    <w:rsid w:val="00065D71"/>
    <w:rsid w:val="000673D8"/>
    <w:rsid w:val="00067DE7"/>
    <w:rsid w:val="0007014F"/>
    <w:rsid w:val="000706AC"/>
    <w:rsid w:val="00070950"/>
    <w:rsid w:val="000709D3"/>
    <w:rsid w:val="00070A7D"/>
    <w:rsid w:val="00070AAB"/>
    <w:rsid w:val="000712F8"/>
    <w:rsid w:val="00071A68"/>
    <w:rsid w:val="00071A6A"/>
    <w:rsid w:val="00071C95"/>
    <w:rsid w:val="00072A95"/>
    <w:rsid w:val="00072CEC"/>
    <w:rsid w:val="0007340B"/>
    <w:rsid w:val="0007368B"/>
    <w:rsid w:val="00073C3B"/>
    <w:rsid w:val="00074923"/>
    <w:rsid w:val="00074EE8"/>
    <w:rsid w:val="000750EA"/>
    <w:rsid w:val="0007539D"/>
    <w:rsid w:val="000774F1"/>
    <w:rsid w:val="00077698"/>
    <w:rsid w:val="000777B1"/>
    <w:rsid w:val="00077891"/>
    <w:rsid w:val="0007797E"/>
    <w:rsid w:val="00077C1B"/>
    <w:rsid w:val="0008017C"/>
    <w:rsid w:val="00080321"/>
    <w:rsid w:val="00080AA6"/>
    <w:rsid w:val="00080BE2"/>
    <w:rsid w:val="00081C1C"/>
    <w:rsid w:val="0008224F"/>
    <w:rsid w:val="000822F0"/>
    <w:rsid w:val="000824BD"/>
    <w:rsid w:val="00082611"/>
    <w:rsid w:val="0008264F"/>
    <w:rsid w:val="0008304A"/>
    <w:rsid w:val="0008372E"/>
    <w:rsid w:val="00083A64"/>
    <w:rsid w:val="00083B97"/>
    <w:rsid w:val="000842B5"/>
    <w:rsid w:val="00085560"/>
    <w:rsid w:val="00085E63"/>
    <w:rsid w:val="00086067"/>
    <w:rsid w:val="000866A9"/>
    <w:rsid w:val="00086EC2"/>
    <w:rsid w:val="00087358"/>
    <w:rsid w:val="000873F5"/>
    <w:rsid w:val="00087E2E"/>
    <w:rsid w:val="000900DF"/>
    <w:rsid w:val="00090193"/>
    <w:rsid w:val="0009021F"/>
    <w:rsid w:val="00090524"/>
    <w:rsid w:val="0009134B"/>
    <w:rsid w:val="000916DF"/>
    <w:rsid w:val="00091D8D"/>
    <w:rsid w:val="000929E5"/>
    <w:rsid w:val="00093BC0"/>
    <w:rsid w:val="00093DF8"/>
    <w:rsid w:val="000941F6"/>
    <w:rsid w:val="0009454A"/>
    <w:rsid w:val="000945C5"/>
    <w:rsid w:val="00094ECF"/>
    <w:rsid w:val="0009592E"/>
    <w:rsid w:val="00095AAF"/>
    <w:rsid w:val="00095B76"/>
    <w:rsid w:val="00096946"/>
    <w:rsid w:val="0009715C"/>
    <w:rsid w:val="00097406"/>
    <w:rsid w:val="000A10DB"/>
    <w:rsid w:val="000A111D"/>
    <w:rsid w:val="000A117F"/>
    <w:rsid w:val="000A128A"/>
    <w:rsid w:val="000A165F"/>
    <w:rsid w:val="000A2960"/>
    <w:rsid w:val="000A2968"/>
    <w:rsid w:val="000A299E"/>
    <w:rsid w:val="000A2E97"/>
    <w:rsid w:val="000A3515"/>
    <w:rsid w:val="000A3518"/>
    <w:rsid w:val="000A4852"/>
    <w:rsid w:val="000A509A"/>
    <w:rsid w:val="000A6C4D"/>
    <w:rsid w:val="000A6C54"/>
    <w:rsid w:val="000A6F1D"/>
    <w:rsid w:val="000A70C7"/>
    <w:rsid w:val="000A7238"/>
    <w:rsid w:val="000A745D"/>
    <w:rsid w:val="000A7687"/>
    <w:rsid w:val="000A791D"/>
    <w:rsid w:val="000A7931"/>
    <w:rsid w:val="000B0720"/>
    <w:rsid w:val="000B09FE"/>
    <w:rsid w:val="000B0BB1"/>
    <w:rsid w:val="000B15EF"/>
    <w:rsid w:val="000B26D6"/>
    <w:rsid w:val="000B2D1E"/>
    <w:rsid w:val="000B316D"/>
    <w:rsid w:val="000B3194"/>
    <w:rsid w:val="000B3CFE"/>
    <w:rsid w:val="000B4EF3"/>
    <w:rsid w:val="000B554C"/>
    <w:rsid w:val="000B5D87"/>
    <w:rsid w:val="000B60C6"/>
    <w:rsid w:val="000B68A5"/>
    <w:rsid w:val="000B6E64"/>
    <w:rsid w:val="000B6F18"/>
    <w:rsid w:val="000B70DB"/>
    <w:rsid w:val="000B76E7"/>
    <w:rsid w:val="000B797D"/>
    <w:rsid w:val="000B7AC2"/>
    <w:rsid w:val="000B7E6D"/>
    <w:rsid w:val="000C17E4"/>
    <w:rsid w:val="000C1979"/>
    <w:rsid w:val="000C20B5"/>
    <w:rsid w:val="000C270D"/>
    <w:rsid w:val="000C2B1E"/>
    <w:rsid w:val="000C350A"/>
    <w:rsid w:val="000C3518"/>
    <w:rsid w:val="000C3762"/>
    <w:rsid w:val="000C41CD"/>
    <w:rsid w:val="000C4988"/>
    <w:rsid w:val="000C59D1"/>
    <w:rsid w:val="000C5C88"/>
    <w:rsid w:val="000C655F"/>
    <w:rsid w:val="000C66AB"/>
    <w:rsid w:val="000C6872"/>
    <w:rsid w:val="000C7045"/>
    <w:rsid w:val="000C71D4"/>
    <w:rsid w:val="000C7563"/>
    <w:rsid w:val="000C757A"/>
    <w:rsid w:val="000C7D9F"/>
    <w:rsid w:val="000D074C"/>
    <w:rsid w:val="000D0C28"/>
    <w:rsid w:val="000D0F2E"/>
    <w:rsid w:val="000D1788"/>
    <w:rsid w:val="000D31CB"/>
    <w:rsid w:val="000D3E1B"/>
    <w:rsid w:val="000D4061"/>
    <w:rsid w:val="000D4860"/>
    <w:rsid w:val="000D48FB"/>
    <w:rsid w:val="000D4B4F"/>
    <w:rsid w:val="000D4EC1"/>
    <w:rsid w:val="000D544F"/>
    <w:rsid w:val="000D55FD"/>
    <w:rsid w:val="000D56C7"/>
    <w:rsid w:val="000D672C"/>
    <w:rsid w:val="000D68F4"/>
    <w:rsid w:val="000D6A04"/>
    <w:rsid w:val="000D6A61"/>
    <w:rsid w:val="000D6C78"/>
    <w:rsid w:val="000D74B9"/>
    <w:rsid w:val="000E01DF"/>
    <w:rsid w:val="000E1094"/>
    <w:rsid w:val="000E18A1"/>
    <w:rsid w:val="000E1AC3"/>
    <w:rsid w:val="000E1C04"/>
    <w:rsid w:val="000E20DA"/>
    <w:rsid w:val="000E2AD1"/>
    <w:rsid w:val="000E2F86"/>
    <w:rsid w:val="000E3D2F"/>
    <w:rsid w:val="000E42EF"/>
    <w:rsid w:val="000E4712"/>
    <w:rsid w:val="000E4723"/>
    <w:rsid w:val="000E612C"/>
    <w:rsid w:val="000E6372"/>
    <w:rsid w:val="000E6D38"/>
    <w:rsid w:val="000E6D94"/>
    <w:rsid w:val="000E72E7"/>
    <w:rsid w:val="000E72F6"/>
    <w:rsid w:val="000E7533"/>
    <w:rsid w:val="000E75B3"/>
    <w:rsid w:val="000E77D2"/>
    <w:rsid w:val="000E7CC8"/>
    <w:rsid w:val="000F0D10"/>
    <w:rsid w:val="000F0E1D"/>
    <w:rsid w:val="000F1B78"/>
    <w:rsid w:val="000F1F51"/>
    <w:rsid w:val="000F1FB0"/>
    <w:rsid w:val="000F2181"/>
    <w:rsid w:val="000F24AC"/>
    <w:rsid w:val="000F2688"/>
    <w:rsid w:val="000F28A5"/>
    <w:rsid w:val="000F2943"/>
    <w:rsid w:val="000F2E97"/>
    <w:rsid w:val="000F2F22"/>
    <w:rsid w:val="000F2F60"/>
    <w:rsid w:val="000F3461"/>
    <w:rsid w:val="000F4B3A"/>
    <w:rsid w:val="000F5331"/>
    <w:rsid w:val="000F55C9"/>
    <w:rsid w:val="000F6242"/>
    <w:rsid w:val="000F666F"/>
    <w:rsid w:val="000F6F32"/>
    <w:rsid w:val="000F75A8"/>
    <w:rsid w:val="000F76E0"/>
    <w:rsid w:val="000F77B5"/>
    <w:rsid w:val="000F79FD"/>
    <w:rsid w:val="00100331"/>
    <w:rsid w:val="00101255"/>
    <w:rsid w:val="001014D2"/>
    <w:rsid w:val="001016BB"/>
    <w:rsid w:val="00101A14"/>
    <w:rsid w:val="0010251A"/>
    <w:rsid w:val="00102768"/>
    <w:rsid w:val="00102BC3"/>
    <w:rsid w:val="00102EF2"/>
    <w:rsid w:val="00103458"/>
    <w:rsid w:val="001037BD"/>
    <w:rsid w:val="001047CB"/>
    <w:rsid w:val="00104AFF"/>
    <w:rsid w:val="001053EE"/>
    <w:rsid w:val="00105629"/>
    <w:rsid w:val="0010574F"/>
    <w:rsid w:val="00105996"/>
    <w:rsid w:val="001059FC"/>
    <w:rsid w:val="00105A06"/>
    <w:rsid w:val="00105F3E"/>
    <w:rsid w:val="001066F6"/>
    <w:rsid w:val="001078F4"/>
    <w:rsid w:val="001105FF"/>
    <w:rsid w:val="00110744"/>
    <w:rsid w:val="00110797"/>
    <w:rsid w:val="00110E04"/>
    <w:rsid w:val="0011170E"/>
    <w:rsid w:val="00111849"/>
    <w:rsid w:val="00111ECD"/>
    <w:rsid w:val="001121DD"/>
    <w:rsid w:val="00112D31"/>
    <w:rsid w:val="00112DBF"/>
    <w:rsid w:val="00113646"/>
    <w:rsid w:val="00113CD1"/>
    <w:rsid w:val="00114359"/>
    <w:rsid w:val="0011487E"/>
    <w:rsid w:val="00115093"/>
    <w:rsid w:val="001161CA"/>
    <w:rsid w:val="00116258"/>
    <w:rsid w:val="00116494"/>
    <w:rsid w:val="001166D3"/>
    <w:rsid w:val="001167AE"/>
    <w:rsid w:val="001202C5"/>
    <w:rsid w:val="0012030C"/>
    <w:rsid w:val="0012077F"/>
    <w:rsid w:val="00120813"/>
    <w:rsid w:val="0012099E"/>
    <w:rsid w:val="00120CE3"/>
    <w:rsid w:val="00120E60"/>
    <w:rsid w:val="0012130E"/>
    <w:rsid w:val="001213B0"/>
    <w:rsid w:val="00121741"/>
    <w:rsid w:val="00121832"/>
    <w:rsid w:val="00122050"/>
    <w:rsid w:val="00122232"/>
    <w:rsid w:val="0012235C"/>
    <w:rsid w:val="00122857"/>
    <w:rsid w:val="00122A75"/>
    <w:rsid w:val="00123529"/>
    <w:rsid w:val="00124118"/>
    <w:rsid w:val="001241D1"/>
    <w:rsid w:val="00124271"/>
    <w:rsid w:val="00124457"/>
    <w:rsid w:val="00124985"/>
    <w:rsid w:val="00125609"/>
    <w:rsid w:val="001257A9"/>
    <w:rsid w:val="00126655"/>
    <w:rsid w:val="00126707"/>
    <w:rsid w:val="0012679D"/>
    <w:rsid w:val="001269E0"/>
    <w:rsid w:val="001270F4"/>
    <w:rsid w:val="001274D7"/>
    <w:rsid w:val="00127514"/>
    <w:rsid w:val="00130D23"/>
    <w:rsid w:val="001311C9"/>
    <w:rsid w:val="00131627"/>
    <w:rsid w:val="001318CD"/>
    <w:rsid w:val="0013190A"/>
    <w:rsid w:val="00131955"/>
    <w:rsid w:val="00131C94"/>
    <w:rsid w:val="00131DE6"/>
    <w:rsid w:val="001323E6"/>
    <w:rsid w:val="001326D3"/>
    <w:rsid w:val="001326DF"/>
    <w:rsid w:val="00132A53"/>
    <w:rsid w:val="00132AD8"/>
    <w:rsid w:val="00132CCE"/>
    <w:rsid w:val="00133BBE"/>
    <w:rsid w:val="00133CA0"/>
    <w:rsid w:val="00133D01"/>
    <w:rsid w:val="001342A2"/>
    <w:rsid w:val="00134510"/>
    <w:rsid w:val="001358D6"/>
    <w:rsid w:val="00136073"/>
    <w:rsid w:val="001361F7"/>
    <w:rsid w:val="00136606"/>
    <w:rsid w:val="001367BA"/>
    <w:rsid w:val="00136806"/>
    <w:rsid w:val="001369A6"/>
    <w:rsid w:val="00136BD6"/>
    <w:rsid w:val="00136DBC"/>
    <w:rsid w:val="00136F77"/>
    <w:rsid w:val="001370A8"/>
    <w:rsid w:val="001371D9"/>
    <w:rsid w:val="00137856"/>
    <w:rsid w:val="00137B4E"/>
    <w:rsid w:val="00137BD8"/>
    <w:rsid w:val="00140291"/>
    <w:rsid w:val="0014229D"/>
    <w:rsid w:val="001422D4"/>
    <w:rsid w:val="0014235F"/>
    <w:rsid w:val="0014236F"/>
    <w:rsid w:val="001428FA"/>
    <w:rsid w:val="00142A87"/>
    <w:rsid w:val="001442C2"/>
    <w:rsid w:val="001449E1"/>
    <w:rsid w:val="00144D5F"/>
    <w:rsid w:val="00144DD9"/>
    <w:rsid w:val="001455BA"/>
    <w:rsid w:val="00145DDE"/>
    <w:rsid w:val="0014621F"/>
    <w:rsid w:val="0014647C"/>
    <w:rsid w:val="00146907"/>
    <w:rsid w:val="00146E85"/>
    <w:rsid w:val="0014745C"/>
    <w:rsid w:val="00147916"/>
    <w:rsid w:val="0014795D"/>
    <w:rsid w:val="001479AA"/>
    <w:rsid w:val="00147F00"/>
    <w:rsid w:val="001502FF"/>
    <w:rsid w:val="00150564"/>
    <w:rsid w:val="001506A7"/>
    <w:rsid w:val="0015087C"/>
    <w:rsid w:val="00150882"/>
    <w:rsid w:val="00150A4A"/>
    <w:rsid w:val="00150FFB"/>
    <w:rsid w:val="001518B5"/>
    <w:rsid w:val="00151BBA"/>
    <w:rsid w:val="0015252D"/>
    <w:rsid w:val="00152656"/>
    <w:rsid w:val="00152C00"/>
    <w:rsid w:val="00152C2B"/>
    <w:rsid w:val="00152E98"/>
    <w:rsid w:val="00153084"/>
    <w:rsid w:val="00153A54"/>
    <w:rsid w:val="00154072"/>
    <w:rsid w:val="00154304"/>
    <w:rsid w:val="001546EA"/>
    <w:rsid w:val="0015477A"/>
    <w:rsid w:val="00154951"/>
    <w:rsid w:val="00154F0A"/>
    <w:rsid w:val="001559DA"/>
    <w:rsid w:val="00156891"/>
    <w:rsid w:val="00156BA3"/>
    <w:rsid w:val="00157320"/>
    <w:rsid w:val="001579B9"/>
    <w:rsid w:val="001602EB"/>
    <w:rsid w:val="0016080B"/>
    <w:rsid w:val="00160853"/>
    <w:rsid w:val="00160F65"/>
    <w:rsid w:val="001610EB"/>
    <w:rsid w:val="00161216"/>
    <w:rsid w:val="001614D4"/>
    <w:rsid w:val="00161BB8"/>
    <w:rsid w:val="00161C1F"/>
    <w:rsid w:val="00161C2F"/>
    <w:rsid w:val="00161F11"/>
    <w:rsid w:val="001620B6"/>
    <w:rsid w:val="001622BA"/>
    <w:rsid w:val="00162664"/>
    <w:rsid w:val="00163194"/>
    <w:rsid w:val="001639B6"/>
    <w:rsid w:val="00163DB9"/>
    <w:rsid w:val="00163DD8"/>
    <w:rsid w:val="00164F8F"/>
    <w:rsid w:val="0016529F"/>
    <w:rsid w:val="001658F5"/>
    <w:rsid w:val="00165F38"/>
    <w:rsid w:val="001661B8"/>
    <w:rsid w:val="00166237"/>
    <w:rsid w:val="00166385"/>
    <w:rsid w:val="0016644D"/>
    <w:rsid w:val="0016655F"/>
    <w:rsid w:val="00166EE6"/>
    <w:rsid w:val="001672AF"/>
    <w:rsid w:val="00167460"/>
    <w:rsid w:val="00170377"/>
    <w:rsid w:val="00170A14"/>
    <w:rsid w:val="0017112B"/>
    <w:rsid w:val="00171185"/>
    <w:rsid w:val="00171C71"/>
    <w:rsid w:val="001726CF"/>
    <w:rsid w:val="00172A27"/>
    <w:rsid w:val="00172A39"/>
    <w:rsid w:val="00172BAF"/>
    <w:rsid w:val="00172D05"/>
    <w:rsid w:val="00172EC0"/>
    <w:rsid w:val="00173191"/>
    <w:rsid w:val="00173686"/>
    <w:rsid w:val="001737FE"/>
    <w:rsid w:val="00173F0C"/>
    <w:rsid w:val="0017426E"/>
    <w:rsid w:val="00175014"/>
    <w:rsid w:val="001751EE"/>
    <w:rsid w:val="001753D1"/>
    <w:rsid w:val="00175B11"/>
    <w:rsid w:val="00175B5B"/>
    <w:rsid w:val="00176AFA"/>
    <w:rsid w:val="00176C25"/>
    <w:rsid w:val="00176E50"/>
    <w:rsid w:val="0017723E"/>
    <w:rsid w:val="001775DA"/>
    <w:rsid w:val="00177935"/>
    <w:rsid w:val="00177AD0"/>
    <w:rsid w:val="00181019"/>
    <w:rsid w:val="00181135"/>
    <w:rsid w:val="001813A3"/>
    <w:rsid w:val="00181C0B"/>
    <w:rsid w:val="00181EF7"/>
    <w:rsid w:val="001820BF"/>
    <w:rsid w:val="00182382"/>
    <w:rsid w:val="00182C79"/>
    <w:rsid w:val="00182DF8"/>
    <w:rsid w:val="0018376E"/>
    <w:rsid w:val="0018502B"/>
    <w:rsid w:val="00186403"/>
    <w:rsid w:val="00186455"/>
    <w:rsid w:val="00186DC9"/>
    <w:rsid w:val="0018707E"/>
    <w:rsid w:val="00187892"/>
    <w:rsid w:val="00187DFB"/>
    <w:rsid w:val="00190463"/>
    <w:rsid w:val="00191435"/>
    <w:rsid w:val="00192213"/>
    <w:rsid w:val="001927A2"/>
    <w:rsid w:val="00192FED"/>
    <w:rsid w:val="00192FF5"/>
    <w:rsid w:val="0019335B"/>
    <w:rsid w:val="001938DB"/>
    <w:rsid w:val="001940F4"/>
    <w:rsid w:val="0019423A"/>
    <w:rsid w:val="00194FA4"/>
    <w:rsid w:val="00195203"/>
    <w:rsid w:val="00195234"/>
    <w:rsid w:val="00195648"/>
    <w:rsid w:val="001959DC"/>
    <w:rsid w:val="00195A29"/>
    <w:rsid w:val="00195F44"/>
    <w:rsid w:val="00195FC6"/>
    <w:rsid w:val="00196019"/>
    <w:rsid w:val="001963F9"/>
    <w:rsid w:val="00196B1D"/>
    <w:rsid w:val="00196C83"/>
    <w:rsid w:val="00196E92"/>
    <w:rsid w:val="001A0896"/>
    <w:rsid w:val="001A0FF1"/>
    <w:rsid w:val="001A2185"/>
    <w:rsid w:val="001A2679"/>
    <w:rsid w:val="001A315B"/>
    <w:rsid w:val="001A334F"/>
    <w:rsid w:val="001A3856"/>
    <w:rsid w:val="001A3954"/>
    <w:rsid w:val="001A3F6D"/>
    <w:rsid w:val="001A4C94"/>
    <w:rsid w:val="001A56FD"/>
    <w:rsid w:val="001A5923"/>
    <w:rsid w:val="001A5DA1"/>
    <w:rsid w:val="001A6A4C"/>
    <w:rsid w:val="001A7328"/>
    <w:rsid w:val="001A775C"/>
    <w:rsid w:val="001A7CBA"/>
    <w:rsid w:val="001B0DF5"/>
    <w:rsid w:val="001B1736"/>
    <w:rsid w:val="001B1AE6"/>
    <w:rsid w:val="001B32D3"/>
    <w:rsid w:val="001B32E4"/>
    <w:rsid w:val="001B3778"/>
    <w:rsid w:val="001B3E30"/>
    <w:rsid w:val="001B43A2"/>
    <w:rsid w:val="001B4634"/>
    <w:rsid w:val="001B48C3"/>
    <w:rsid w:val="001B4ED3"/>
    <w:rsid w:val="001B5091"/>
    <w:rsid w:val="001B50CC"/>
    <w:rsid w:val="001B5355"/>
    <w:rsid w:val="001B5426"/>
    <w:rsid w:val="001B593D"/>
    <w:rsid w:val="001B6049"/>
    <w:rsid w:val="001B60D4"/>
    <w:rsid w:val="001B6482"/>
    <w:rsid w:val="001B7014"/>
    <w:rsid w:val="001B739D"/>
    <w:rsid w:val="001B7432"/>
    <w:rsid w:val="001B7C32"/>
    <w:rsid w:val="001B7CBF"/>
    <w:rsid w:val="001C0476"/>
    <w:rsid w:val="001C0846"/>
    <w:rsid w:val="001C148A"/>
    <w:rsid w:val="001C15DB"/>
    <w:rsid w:val="001C17AC"/>
    <w:rsid w:val="001C1814"/>
    <w:rsid w:val="001C1B36"/>
    <w:rsid w:val="001C1FEF"/>
    <w:rsid w:val="001C2831"/>
    <w:rsid w:val="001C3D5E"/>
    <w:rsid w:val="001C3D80"/>
    <w:rsid w:val="001C4222"/>
    <w:rsid w:val="001C4361"/>
    <w:rsid w:val="001C4AA8"/>
    <w:rsid w:val="001C51A3"/>
    <w:rsid w:val="001C5358"/>
    <w:rsid w:val="001C56D1"/>
    <w:rsid w:val="001C6F0D"/>
    <w:rsid w:val="001C7325"/>
    <w:rsid w:val="001C7A8C"/>
    <w:rsid w:val="001D0D82"/>
    <w:rsid w:val="001D0F05"/>
    <w:rsid w:val="001D151F"/>
    <w:rsid w:val="001D15D9"/>
    <w:rsid w:val="001D1912"/>
    <w:rsid w:val="001D1DD7"/>
    <w:rsid w:val="001D23EF"/>
    <w:rsid w:val="001D2608"/>
    <w:rsid w:val="001D273D"/>
    <w:rsid w:val="001D285A"/>
    <w:rsid w:val="001D2A9B"/>
    <w:rsid w:val="001D3534"/>
    <w:rsid w:val="001D49FD"/>
    <w:rsid w:val="001D4EB1"/>
    <w:rsid w:val="001D537F"/>
    <w:rsid w:val="001D540C"/>
    <w:rsid w:val="001D565B"/>
    <w:rsid w:val="001D6B8D"/>
    <w:rsid w:val="001D6D80"/>
    <w:rsid w:val="001D723E"/>
    <w:rsid w:val="001D7681"/>
    <w:rsid w:val="001E0531"/>
    <w:rsid w:val="001E131D"/>
    <w:rsid w:val="001E15B4"/>
    <w:rsid w:val="001E1FA3"/>
    <w:rsid w:val="001E21AC"/>
    <w:rsid w:val="001E24A4"/>
    <w:rsid w:val="001E28CC"/>
    <w:rsid w:val="001E28E4"/>
    <w:rsid w:val="001E290A"/>
    <w:rsid w:val="001E2DA9"/>
    <w:rsid w:val="001E321D"/>
    <w:rsid w:val="001E38B1"/>
    <w:rsid w:val="001E3A2B"/>
    <w:rsid w:val="001E478C"/>
    <w:rsid w:val="001E4C00"/>
    <w:rsid w:val="001E4D12"/>
    <w:rsid w:val="001E4D56"/>
    <w:rsid w:val="001E4DB4"/>
    <w:rsid w:val="001E5559"/>
    <w:rsid w:val="001E5BBC"/>
    <w:rsid w:val="001E6542"/>
    <w:rsid w:val="001E69FA"/>
    <w:rsid w:val="001E72E0"/>
    <w:rsid w:val="001E7739"/>
    <w:rsid w:val="001E7AB5"/>
    <w:rsid w:val="001F0064"/>
    <w:rsid w:val="001F16DF"/>
    <w:rsid w:val="001F193B"/>
    <w:rsid w:val="001F1960"/>
    <w:rsid w:val="001F3066"/>
    <w:rsid w:val="001F327B"/>
    <w:rsid w:val="001F32DA"/>
    <w:rsid w:val="001F3DAE"/>
    <w:rsid w:val="001F4A98"/>
    <w:rsid w:val="001F4F82"/>
    <w:rsid w:val="001F6159"/>
    <w:rsid w:val="001F633E"/>
    <w:rsid w:val="001F6680"/>
    <w:rsid w:val="001F6C51"/>
    <w:rsid w:val="001F6DC6"/>
    <w:rsid w:val="001F6FB6"/>
    <w:rsid w:val="001F740D"/>
    <w:rsid w:val="001F792F"/>
    <w:rsid w:val="001F7AC9"/>
    <w:rsid w:val="001F7B9E"/>
    <w:rsid w:val="001F7BE1"/>
    <w:rsid w:val="001F7C97"/>
    <w:rsid w:val="00200A84"/>
    <w:rsid w:val="00200C40"/>
    <w:rsid w:val="00200F97"/>
    <w:rsid w:val="00201229"/>
    <w:rsid w:val="00201270"/>
    <w:rsid w:val="002014F7"/>
    <w:rsid w:val="002023BE"/>
    <w:rsid w:val="00202576"/>
    <w:rsid w:val="00202583"/>
    <w:rsid w:val="0020269C"/>
    <w:rsid w:val="00202B50"/>
    <w:rsid w:val="00202EF9"/>
    <w:rsid w:val="00203204"/>
    <w:rsid w:val="00203236"/>
    <w:rsid w:val="00203395"/>
    <w:rsid w:val="002036E8"/>
    <w:rsid w:val="00203939"/>
    <w:rsid w:val="00203B3F"/>
    <w:rsid w:val="002048AD"/>
    <w:rsid w:val="002051F7"/>
    <w:rsid w:val="0020531C"/>
    <w:rsid w:val="00205AD3"/>
    <w:rsid w:val="00205B53"/>
    <w:rsid w:val="002066C1"/>
    <w:rsid w:val="002067D2"/>
    <w:rsid w:val="00206D59"/>
    <w:rsid w:val="0020708A"/>
    <w:rsid w:val="0020731F"/>
    <w:rsid w:val="00207435"/>
    <w:rsid w:val="00207642"/>
    <w:rsid w:val="00207AAC"/>
    <w:rsid w:val="00207F6A"/>
    <w:rsid w:val="00210191"/>
    <w:rsid w:val="00210256"/>
    <w:rsid w:val="00210394"/>
    <w:rsid w:val="0021051F"/>
    <w:rsid w:val="0021076E"/>
    <w:rsid w:val="0021206E"/>
    <w:rsid w:val="002127B9"/>
    <w:rsid w:val="00212B08"/>
    <w:rsid w:val="00213289"/>
    <w:rsid w:val="00213825"/>
    <w:rsid w:val="00213CEF"/>
    <w:rsid w:val="00214189"/>
    <w:rsid w:val="0021432D"/>
    <w:rsid w:val="00214532"/>
    <w:rsid w:val="00214ADD"/>
    <w:rsid w:val="0021525B"/>
    <w:rsid w:val="00216356"/>
    <w:rsid w:val="002164F1"/>
    <w:rsid w:val="00216A00"/>
    <w:rsid w:val="00216B19"/>
    <w:rsid w:val="00216CCC"/>
    <w:rsid w:val="00216E16"/>
    <w:rsid w:val="0021738B"/>
    <w:rsid w:val="00220082"/>
    <w:rsid w:val="002203BD"/>
    <w:rsid w:val="00220517"/>
    <w:rsid w:val="00220776"/>
    <w:rsid w:val="002216CC"/>
    <w:rsid w:val="00221ED0"/>
    <w:rsid w:val="002221C3"/>
    <w:rsid w:val="0022299A"/>
    <w:rsid w:val="00222A0B"/>
    <w:rsid w:val="00222B91"/>
    <w:rsid w:val="002230FD"/>
    <w:rsid w:val="002232B3"/>
    <w:rsid w:val="00223664"/>
    <w:rsid w:val="0022401E"/>
    <w:rsid w:val="002244FF"/>
    <w:rsid w:val="00224756"/>
    <w:rsid w:val="00224878"/>
    <w:rsid w:val="0022514D"/>
    <w:rsid w:val="00225CEE"/>
    <w:rsid w:val="00226447"/>
    <w:rsid w:val="002266DB"/>
    <w:rsid w:val="00226894"/>
    <w:rsid w:val="002268B0"/>
    <w:rsid w:val="002272F5"/>
    <w:rsid w:val="00227577"/>
    <w:rsid w:val="002277E9"/>
    <w:rsid w:val="00230153"/>
    <w:rsid w:val="002303A6"/>
    <w:rsid w:val="00230894"/>
    <w:rsid w:val="002308E9"/>
    <w:rsid w:val="00230B84"/>
    <w:rsid w:val="00231B36"/>
    <w:rsid w:val="00231F9E"/>
    <w:rsid w:val="00232498"/>
    <w:rsid w:val="0023254E"/>
    <w:rsid w:val="00232918"/>
    <w:rsid w:val="0023350C"/>
    <w:rsid w:val="00233E70"/>
    <w:rsid w:val="00234281"/>
    <w:rsid w:val="00234FD3"/>
    <w:rsid w:val="00235CC1"/>
    <w:rsid w:val="00236B90"/>
    <w:rsid w:val="00236C21"/>
    <w:rsid w:val="002371BF"/>
    <w:rsid w:val="002371E1"/>
    <w:rsid w:val="00237A87"/>
    <w:rsid w:val="002404C3"/>
    <w:rsid w:val="00241129"/>
    <w:rsid w:val="002411AE"/>
    <w:rsid w:val="00241205"/>
    <w:rsid w:val="00241731"/>
    <w:rsid w:val="00241840"/>
    <w:rsid w:val="00241C36"/>
    <w:rsid w:val="0024270B"/>
    <w:rsid w:val="002427EB"/>
    <w:rsid w:val="002427F0"/>
    <w:rsid w:val="002428BD"/>
    <w:rsid w:val="00242D15"/>
    <w:rsid w:val="00242E09"/>
    <w:rsid w:val="002432B7"/>
    <w:rsid w:val="002440B2"/>
    <w:rsid w:val="002445FE"/>
    <w:rsid w:val="002451B3"/>
    <w:rsid w:val="002458CE"/>
    <w:rsid w:val="002459C5"/>
    <w:rsid w:val="00245DE9"/>
    <w:rsid w:val="00245F09"/>
    <w:rsid w:val="00246513"/>
    <w:rsid w:val="00246851"/>
    <w:rsid w:val="00246B1D"/>
    <w:rsid w:val="00246E71"/>
    <w:rsid w:val="00246F16"/>
    <w:rsid w:val="0024705A"/>
    <w:rsid w:val="002477AE"/>
    <w:rsid w:val="00247BDE"/>
    <w:rsid w:val="00247D4D"/>
    <w:rsid w:val="002504FC"/>
    <w:rsid w:val="00250B11"/>
    <w:rsid w:val="00250D82"/>
    <w:rsid w:val="00251CC2"/>
    <w:rsid w:val="00251EB3"/>
    <w:rsid w:val="00252136"/>
    <w:rsid w:val="0025329B"/>
    <w:rsid w:val="00253582"/>
    <w:rsid w:val="002538BA"/>
    <w:rsid w:val="00253EC4"/>
    <w:rsid w:val="0025418A"/>
    <w:rsid w:val="00254240"/>
    <w:rsid w:val="0025425A"/>
    <w:rsid w:val="0025531B"/>
    <w:rsid w:val="00255536"/>
    <w:rsid w:val="002557BB"/>
    <w:rsid w:val="002558AC"/>
    <w:rsid w:val="00255BC2"/>
    <w:rsid w:val="00255D89"/>
    <w:rsid w:val="00256539"/>
    <w:rsid w:val="00256DEA"/>
    <w:rsid w:val="00257117"/>
    <w:rsid w:val="00257923"/>
    <w:rsid w:val="00257C49"/>
    <w:rsid w:val="002603B3"/>
    <w:rsid w:val="0026072F"/>
    <w:rsid w:val="00260952"/>
    <w:rsid w:val="00260C11"/>
    <w:rsid w:val="002610D7"/>
    <w:rsid w:val="00261192"/>
    <w:rsid w:val="00261A11"/>
    <w:rsid w:val="00261CB5"/>
    <w:rsid w:val="00261D8A"/>
    <w:rsid w:val="002625F2"/>
    <w:rsid w:val="00262CA3"/>
    <w:rsid w:val="00262D43"/>
    <w:rsid w:val="00263413"/>
    <w:rsid w:val="00263AEC"/>
    <w:rsid w:val="00263E3B"/>
    <w:rsid w:val="0026408F"/>
    <w:rsid w:val="0026431A"/>
    <w:rsid w:val="002644A4"/>
    <w:rsid w:val="00264C8F"/>
    <w:rsid w:val="00265066"/>
    <w:rsid w:val="00265548"/>
    <w:rsid w:val="00265C93"/>
    <w:rsid w:val="00266300"/>
    <w:rsid w:val="0026641E"/>
    <w:rsid w:val="00266678"/>
    <w:rsid w:val="002669B2"/>
    <w:rsid w:val="00266EE2"/>
    <w:rsid w:val="002678CA"/>
    <w:rsid w:val="00267BBD"/>
    <w:rsid w:val="00267F3E"/>
    <w:rsid w:val="0027038F"/>
    <w:rsid w:val="00271150"/>
    <w:rsid w:val="00272EB3"/>
    <w:rsid w:val="0027447A"/>
    <w:rsid w:val="002747CC"/>
    <w:rsid w:val="00274830"/>
    <w:rsid w:val="00274DF9"/>
    <w:rsid w:val="00275170"/>
    <w:rsid w:val="00275D77"/>
    <w:rsid w:val="0027602C"/>
    <w:rsid w:val="00276A43"/>
    <w:rsid w:val="00276D2F"/>
    <w:rsid w:val="00276FBF"/>
    <w:rsid w:val="002775C7"/>
    <w:rsid w:val="002778F2"/>
    <w:rsid w:val="00277F52"/>
    <w:rsid w:val="002809A3"/>
    <w:rsid w:val="00280E91"/>
    <w:rsid w:val="00281979"/>
    <w:rsid w:val="00281E85"/>
    <w:rsid w:val="00282011"/>
    <w:rsid w:val="00282533"/>
    <w:rsid w:val="00282622"/>
    <w:rsid w:val="002837F8"/>
    <w:rsid w:val="00283ACF"/>
    <w:rsid w:val="00283C99"/>
    <w:rsid w:val="00283D11"/>
    <w:rsid w:val="0028473D"/>
    <w:rsid w:val="00284850"/>
    <w:rsid w:val="00284CEE"/>
    <w:rsid w:val="00284D22"/>
    <w:rsid w:val="00284F33"/>
    <w:rsid w:val="002851E8"/>
    <w:rsid w:val="0028529C"/>
    <w:rsid w:val="00285326"/>
    <w:rsid w:val="00285DE8"/>
    <w:rsid w:val="00287067"/>
    <w:rsid w:val="00290337"/>
    <w:rsid w:val="00290891"/>
    <w:rsid w:val="00291DA9"/>
    <w:rsid w:val="00292661"/>
    <w:rsid w:val="00292773"/>
    <w:rsid w:val="002927AC"/>
    <w:rsid w:val="002928D1"/>
    <w:rsid w:val="00292D88"/>
    <w:rsid w:val="00293689"/>
    <w:rsid w:val="00294241"/>
    <w:rsid w:val="002943E7"/>
    <w:rsid w:val="0029469F"/>
    <w:rsid w:val="0029476B"/>
    <w:rsid w:val="00295405"/>
    <w:rsid w:val="002954FB"/>
    <w:rsid w:val="00295E06"/>
    <w:rsid w:val="0029618D"/>
    <w:rsid w:val="002965BA"/>
    <w:rsid w:val="00296814"/>
    <w:rsid w:val="00296D48"/>
    <w:rsid w:val="00296EB8"/>
    <w:rsid w:val="00296F5F"/>
    <w:rsid w:val="0029716C"/>
    <w:rsid w:val="002976F2"/>
    <w:rsid w:val="00297A95"/>
    <w:rsid w:val="002A07C4"/>
    <w:rsid w:val="002A0DD4"/>
    <w:rsid w:val="002A16C3"/>
    <w:rsid w:val="002A2537"/>
    <w:rsid w:val="002A2AB8"/>
    <w:rsid w:val="002A2B8E"/>
    <w:rsid w:val="002A3789"/>
    <w:rsid w:val="002A5126"/>
    <w:rsid w:val="002A5948"/>
    <w:rsid w:val="002A6115"/>
    <w:rsid w:val="002A639F"/>
    <w:rsid w:val="002A64F2"/>
    <w:rsid w:val="002A6590"/>
    <w:rsid w:val="002A7478"/>
    <w:rsid w:val="002A7678"/>
    <w:rsid w:val="002A7B26"/>
    <w:rsid w:val="002B01AD"/>
    <w:rsid w:val="002B047F"/>
    <w:rsid w:val="002B1824"/>
    <w:rsid w:val="002B1845"/>
    <w:rsid w:val="002B1A9F"/>
    <w:rsid w:val="002B210C"/>
    <w:rsid w:val="002B2402"/>
    <w:rsid w:val="002B27A2"/>
    <w:rsid w:val="002B2847"/>
    <w:rsid w:val="002B2D78"/>
    <w:rsid w:val="002B32B6"/>
    <w:rsid w:val="002B32C9"/>
    <w:rsid w:val="002B35D8"/>
    <w:rsid w:val="002B3736"/>
    <w:rsid w:val="002B4054"/>
    <w:rsid w:val="002B41A8"/>
    <w:rsid w:val="002B427C"/>
    <w:rsid w:val="002B46A0"/>
    <w:rsid w:val="002B46FF"/>
    <w:rsid w:val="002B497D"/>
    <w:rsid w:val="002B4BBC"/>
    <w:rsid w:val="002B4D0E"/>
    <w:rsid w:val="002B542A"/>
    <w:rsid w:val="002B5495"/>
    <w:rsid w:val="002B54C5"/>
    <w:rsid w:val="002B55E5"/>
    <w:rsid w:val="002B653E"/>
    <w:rsid w:val="002B664C"/>
    <w:rsid w:val="002B6703"/>
    <w:rsid w:val="002B6D69"/>
    <w:rsid w:val="002B6E5B"/>
    <w:rsid w:val="002B6F67"/>
    <w:rsid w:val="002B7411"/>
    <w:rsid w:val="002B7F1B"/>
    <w:rsid w:val="002C0083"/>
    <w:rsid w:val="002C0186"/>
    <w:rsid w:val="002C032E"/>
    <w:rsid w:val="002C081A"/>
    <w:rsid w:val="002C087B"/>
    <w:rsid w:val="002C108A"/>
    <w:rsid w:val="002C1553"/>
    <w:rsid w:val="002C2035"/>
    <w:rsid w:val="002C25D4"/>
    <w:rsid w:val="002C29F1"/>
    <w:rsid w:val="002C2CCD"/>
    <w:rsid w:val="002C2F7F"/>
    <w:rsid w:val="002C2FB4"/>
    <w:rsid w:val="002C2FD3"/>
    <w:rsid w:val="002C3683"/>
    <w:rsid w:val="002C4AFD"/>
    <w:rsid w:val="002C5516"/>
    <w:rsid w:val="002C5A3A"/>
    <w:rsid w:val="002C5D7E"/>
    <w:rsid w:val="002C6DC2"/>
    <w:rsid w:val="002C6DDA"/>
    <w:rsid w:val="002C713E"/>
    <w:rsid w:val="002C77B0"/>
    <w:rsid w:val="002D0068"/>
    <w:rsid w:val="002D0466"/>
    <w:rsid w:val="002D053D"/>
    <w:rsid w:val="002D0829"/>
    <w:rsid w:val="002D0B99"/>
    <w:rsid w:val="002D1936"/>
    <w:rsid w:val="002D1CE8"/>
    <w:rsid w:val="002D1F76"/>
    <w:rsid w:val="002D2403"/>
    <w:rsid w:val="002D2D0D"/>
    <w:rsid w:val="002D2FB2"/>
    <w:rsid w:val="002D3066"/>
    <w:rsid w:val="002D32C1"/>
    <w:rsid w:val="002D34FE"/>
    <w:rsid w:val="002D35EA"/>
    <w:rsid w:val="002D3782"/>
    <w:rsid w:val="002D3B24"/>
    <w:rsid w:val="002D4837"/>
    <w:rsid w:val="002D48E6"/>
    <w:rsid w:val="002D5331"/>
    <w:rsid w:val="002D5B16"/>
    <w:rsid w:val="002D5BC9"/>
    <w:rsid w:val="002D5DDC"/>
    <w:rsid w:val="002D67F7"/>
    <w:rsid w:val="002D6DE0"/>
    <w:rsid w:val="002D7621"/>
    <w:rsid w:val="002D769A"/>
    <w:rsid w:val="002D7789"/>
    <w:rsid w:val="002D77B7"/>
    <w:rsid w:val="002D79D9"/>
    <w:rsid w:val="002D7CC4"/>
    <w:rsid w:val="002D7DBC"/>
    <w:rsid w:val="002E00DB"/>
    <w:rsid w:val="002E0A65"/>
    <w:rsid w:val="002E0C21"/>
    <w:rsid w:val="002E192A"/>
    <w:rsid w:val="002E2048"/>
    <w:rsid w:val="002E2471"/>
    <w:rsid w:val="002E2A52"/>
    <w:rsid w:val="002E2B84"/>
    <w:rsid w:val="002E300A"/>
    <w:rsid w:val="002E3543"/>
    <w:rsid w:val="002E3B82"/>
    <w:rsid w:val="002E3C95"/>
    <w:rsid w:val="002E40D7"/>
    <w:rsid w:val="002E4679"/>
    <w:rsid w:val="002E4D81"/>
    <w:rsid w:val="002E4E88"/>
    <w:rsid w:val="002E591E"/>
    <w:rsid w:val="002E5BC7"/>
    <w:rsid w:val="002E5F0D"/>
    <w:rsid w:val="002E6EE7"/>
    <w:rsid w:val="002E7655"/>
    <w:rsid w:val="002E7750"/>
    <w:rsid w:val="002E7964"/>
    <w:rsid w:val="002E79AB"/>
    <w:rsid w:val="002E7D40"/>
    <w:rsid w:val="002F0A52"/>
    <w:rsid w:val="002F0C6B"/>
    <w:rsid w:val="002F1686"/>
    <w:rsid w:val="002F1771"/>
    <w:rsid w:val="002F1CD0"/>
    <w:rsid w:val="002F1D5C"/>
    <w:rsid w:val="002F207F"/>
    <w:rsid w:val="002F23FA"/>
    <w:rsid w:val="002F249E"/>
    <w:rsid w:val="002F24AF"/>
    <w:rsid w:val="002F32ED"/>
    <w:rsid w:val="002F3799"/>
    <w:rsid w:val="002F3A84"/>
    <w:rsid w:val="002F41D5"/>
    <w:rsid w:val="002F43B6"/>
    <w:rsid w:val="002F49F9"/>
    <w:rsid w:val="002F4D5A"/>
    <w:rsid w:val="002F515D"/>
    <w:rsid w:val="002F5F68"/>
    <w:rsid w:val="002F6673"/>
    <w:rsid w:val="002F66DB"/>
    <w:rsid w:val="002F7155"/>
    <w:rsid w:val="002F7700"/>
    <w:rsid w:val="002F778A"/>
    <w:rsid w:val="002F7EB8"/>
    <w:rsid w:val="0030086D"/>
    <w:rsid w:val="00300D86"/>
    <w:rsid w:val="00300E82"/>
    <w:rsid w:val="00301655"/>
    <w:rsid w:val="003017E1"/>
    <w:rsid w:val="003021BB"/>
    <w:rsid w:val="00302EFF"/>
    <w:rsid w:val="00302F6A"/>
    <w:rsid w:val="00303061"/>
    <w:rsid w:val="00303A66"/>
    <w:rsid w:val="00303D62"/>
    <w:rsid w:val="003040C0"/>
    <w:rsid w:val="003044AD"/>
    <w:rsid w:val="00304917"/>
    <w:rsid w:val="00305040"/>
    <w:rsid w:val="00305BB3"/>
    <w:rsid w:val="00305CC7"/>
    <w:rsid w:val="00305F62"/>
    <w:rsid w:val="0030688B"/>
    <w:rsid w:val="00306AAF"/>
    <w:rsid w:val="003074FD"/>
    <w:rsid w:val="00307A2D"/>
    <w:rsid w:val="00310204"/>
    <w:rsid w:val="00310272"/>
    <w:rsid w:val="00310D86"/>
    <w:rsid w:val="00310EC5"/>
    <w:rsid w:val="00310F34"/>
    <w:rsid w:val="0031233D"/>
    <w:rsid w:val="003126B1"/>
    <w:rsid w:val="00312AF6"/>
    <w:rsid w:val="00312CB7"/>
    <w:rsid w:val="00312E68"/>
    <w:rsid w:val="0031351A"/>
    <w:rsid w:val="0031460F"/>
    <w:rsid w:val="00314C8A"/>
    <w:rsid w:val="0031505B"/>
    <w:rsid w:val="00315595"/>
    <w:rsid w:val="00315F66"/>
    <w:rsid w:val="003161E5"/>
    <w:rsid w:val="00316884"/>
    <w:rsid w:val="00316C18"/>
    <w:rsid w:val="00317071"/>
    <w:rsid w:val="003170F2"/>
    <w:rsid w:val="00317767"/>
    <w:rsid w:val="0031786E"/>
    <w:rsid w:val="0032043F"/>
    <w:rsid w:val="003204DA"/>
    <w:rsid w:val="00320582"/>
    <w:rsid w:val="00321282"/>
    <w:rsid w:val="0032130E"/>
    <w:rsid w:val="0032187E"/>
    <w:rsid w:val="003218EA"/>
    <w:rsid w:val="00321B6B"/>
    <w:rsid w:val="00321F93"/>
    <w:rsid w:val="0032278A"/>
    <w:rsid w:val="0032279E"/>
    <w:rsid w:val="00322A25"/>
    <w:rsid w:val="00322E8B"/>
    <w:rsid w:val="0032318E"/>
    <w:rsid w:val="0032399E"/>
    <w:rsid w:val="00324067"/>
    <w:rsid w:val="003246F7"/>
    <w:rsid w:val="003248E7"/>
    <w:rsid w:val="00324925"/>
    <w:rsid w:val="00324A14"/>
    <w:rsid w:val="00325668"/>
    <w:rsid w:val="00325F1E"/>
    <w:rsid w:val="003262AB"/>
    <w:rsid w:val="0032659C"/>
    <w:rsid w:val="00327292"/>
    <w:rsid w:val="003272FD"/>
    <w:rsid w:val="0032744E"/>
    <w:rsid w:val="00327480"/>
    <w:rsid w:val="003300E1"/>
    <w:rsid w:val="003303B7"/>
    <w:rsid w:val="00330A37"/>
    <w:rsid w:val="00330A59"/>
    <w:rsid w:val="00330B81"/>
    <w:rsid w:val="00330E2F"/>
    <w:rsid w:val="003311FC"/>
    <w:rsid w:val="00331300"/>
    <w:rsid w:val="00331820"/>
    <w:rsid w:val="00333A15"/>
    <w:rsid w:val="00333A6D"/>
    <w:rsid w:val="00333F1D"/>
    <w:rsid w:val="003341BB"/>
    <w:rsid w:val="00335776"/>
    <w:rsid w:val="00336075"/>
    <w:rsid w:val="00336787"/>
    <w:rsid w:val="003371DD"/>
    <w:rsid w:val="003374B9"/>
    <w:rsid w:val="003375AB"/>
    <w:rsid w:val="00337697"/>
    <w:rsid w:val="00337717"/>
    <w:rsid w:val="003378B1"/>
    <w:rsid w:val="003408D4"/>
    <w:rsid w:val="003408E2"/>
    <w:rsid w:val="00340A5B"/>
    <w:rsid w:val="00340D35"/>
    <w:rsid w:val="0034123C"/>
    <w:rsid w:val="003412BF"/>
    <w:rsid w:val="00341449"/>
    <w:rsid w:val="003415A2"/>
    <w:rsid w:val="0034168B"/>
    <w:rsid w:val="00341CF7"/>
    <w:rsid w:val="0034295D"/>
    <w:rsid w:val="0034312D"/>
    <w:rsid w:val="0034330F"/>
    <w:rsid w:val="00343669"/>
    <w:rsid w:val="00343C67"/>
    <w:rsid w:val="003440AE"/>
    <w:rsid w:val="0034413A"/>
    <w:rsid w:val="00344BA3"/>
    <w:rsid w:val="00344BDC"/>
    <w:rsid w:val="00344D5E"/>
    <w:rsid w:val="00345475"/>
    <w:rsid w:val="00346AE5"/>
    <w:rsid w:val="00346C56"/>
    <w:rsid w:val="00347782"/>
    <w:rsid w:val="00347D51"/>
    <w:rsid w:val="00347E11"/>
    <w:rsid w:val="00350268"/>
    <w:rsid w:val="00350594"/>
    <w:rsid w:val="00350B46"/>
    <w:rsid w:val="003518DC"/>
    <w:rsid w:val="00352012"/>
    <w:rsid w:val="00352542"/>
    <w:rsid w:val="00352668"/>
    <w:rsid w:val="00352677"/>
    <w:rsid w:val="0035326A"/>
    <w:rsid w:val="0035327A"/>
    <w:rsid w:val="003534CB"/>
    <w:rsid w:val="00353803"/>
    <w:rsid w:val="00353C29"/>
    <w:rsid w:val="00353D69"/>
    <w:rsid w:val="00353FC5"/>
    <w:rsid w:val="003541B5"/>
    <w:rsid w:val="003542FC"/>
    <w:rsid w:val="00354407"/>
    <w:rsid w:val="00354730"/>
    <w:rsid w:val="003555CF"/>
    <w:rsid w:val="00355B59"/>
    <w:rsid w:val="0035620E"/>
    <w:rsid w:val="003562FE"/>
    <w:rsid w:val="00356475"/>
    <w:rsid w:val="003564B6"/>
    <w:rsid w:val="0035669E"/>
    <w:rsid w:val="003574FA"/>
    <w:rsid w:val="00357C05"/>
    <w:rsid w:val="00357DE5"/>
    <w:rsid w:val="00360354"/>
    <w:rsid w:val="0036071E"/>
    <w:rsid w:val="00360FEF"/>
    <w:rsid w:val="00362D66"/>
    <w:rsid w:val="00363B12"/>
    <w:rsid w:val="003640DD"/>
    <w:rsid w:val="0036423C"/>
    <w:rsid w:val="003648BB"/>
    <w:rsid w:val="00364D59"/>
    <w:rsid w:val="003654BE"/>
    <w:rsid w:val="003654DD"/>
    <w:rsid w:val="00365B9B"/>
    <w:rsid w:val="00365D2E"/>
    <w:rsid w:val="00365DBB"/>
    <w:rsid w:val="00365DF5"/>
    <w:rsid w:val="003668A0"/>
    <w:rsid w:val="0036695E"/>
    <w:rsid w:val="00366EE1"/>
    <w:rsid w:val="003673E6"/>
    <w:rsid w:val="003675F0"/>
    <w:rsid w:val="003678EA"/>
    <w:rsid w:val="00367A90"/>
    <w:rsid w:val="00367D53"/>
    <w:rsid w:val="003703EC"/>
    <w:rsid w:val="00370668"/>
    <w:rsid w:val="00370963"/>
    <w:rsid w:val="00371009"/>
    <w:rsid w:val="00371252"/>
    <w:rsid w:val="0037191D"/>
    <w:rsid w:val="00371AED"/>
    <w:rsid w:val="00371BC4"/>
    <w:rsid w:val="00371EEB"/>
    <w:rsid w:val="0037224C"/>
    <w:rsid w:val="003722E8"/>
    <w:rsid w:val="00372733"/>
    <w:rsid w:val="0037280D"/>
    <w:rsid w:val="003728E1"/>
    <w:rsid w:val="00372C4C"/>
    <w:rsid w:val="0037300F"/>
    <w:rsid w:val="00373B9D"/>
    <w:rsid w:val="0037445B"/>
    <w:rsid w:val="003745D0"/>
    <w:rsid w:val="0037468A"/>
    <w:rsid w:val="00375613"/>
    <w:rsid w:val="0037570A"/>
    <w:rsid w:val="00375B8A"/>
    <w:rsid w:val="00375E04"/>
    <w:rsid w:val="0037642E"/>
    <w:rsid w:val="00376AF3"/>
    <w:rsid w:val="00377D45"/>
    <w:rsid w:val="003801DC"/>
    <w:rsid w:val="00380E15"/>
    <w:rsid w:val="00380F51"/>
    <w:rsid w:val="00381993"/>
    <w:rsid w:val="00381AC4"/>
    <w:rsid w:val="00381B3A"/>
    <w:rsid w:val="00381F75"/>
    <w:rsid w:val="0038248C"/>
    <w:rsid w:val="00382D1F"/>
    <w:rsid w:val="003832B6"/>
    <w:rsid w:val="00383E24"/>
    <w:rsid w:val="003840B7"/>
    <w:rsid w:val="00384837"/>
    <w:rsid w:val="0038549F"/>
    <w:rsid w:val="003856C6"/>
    <w:rsid w:val="0038576D"/>
    <w:rsid w:val="00385BDE"/>
    <w:rsid w:val="00385E50"/>
    <w:rsid w:val="0038685F"/>
    <w:rsid w:val="00386B43"/>
    <w:rsid w:val="00386CBA"/>
    <w:rsid w:val="00386FC4"/>
    <w:rsid w:val="0038728C"/>
    <w:rsid w:val="00387677"/>
    <w:rsid w:val="00387F7C"/>
    <w:rsid w:val="00391901"/>
    <w:rsid w:val="00391AC1"/>
    <w:rsid w:val="00391B2B"/>
    <w:rsid w:val="00391B84"/>
    <w:rsid w:val="00391E1C"/>
    <w:rsid w:val="003923E6"/>
    <w:rsid w:val="003929A4"/>
    <w:rsid w:val="00393FE9"/>
    <w:rsid w:val="0039476B"/>
    <w:rsid w:val="003949BE"/>
    <w:rsid w:val="00394B29"/>
    <w:rsid w:val="00394E45"/>
    <w:rsid w:val="00395205"/>
    <w:rsid w:val="00396113"/>
    <w:rsid w:val="0039627D"/>
    <w:rsid w:val="00396980"/>
    <w:rsid w:val="003969C2"/>
    <w:rsid w:val="00396F26"/>
    <w:rsid w:val="00396FF4"/>
    <w:rsid w:val="003970B3"/>
    <w:rsid w:val="003973FD"/>
    <w:rsid w:val="00397413"/>
    <w:rsid w:val="003976E4"/>
    <w:rsid w:val="0039772B"/>
    <w:rsid w:val="003977F5"/>
    <w:rsid w:val="00397E21"/>
    <w:rsid w:val="00397FDC"/>
    <w:rsid w:val="003A04AE"/>
    <w:rsid w:val="003A0667"/>
    <w:rsid w:val="003A0EA6"/>
    <w:rsid w:val="003A1719"/>
    <w:rsid w:val="003A19D6"/>
    <w:rsid w:val="003A2CEE"/>
    <w:rsid w:val="003A2D4E"/>
    <w:rsid w:val="003A314E"/>
    <w:rsid w:val="003A3717"/>
    <w:rsid w:val="003A393F"/>
    <w:rsid w:val="003A3999"/>
    <w:rsid w:val="003A4462"/>
    <w:rsid w:val="003A4497"/>
    <w:rsid w:val="003A4663"/>
    <w:rsid w:val="003A4BFF"/>
    <w:rsid w:val="003A4F4E"/>
    <w:rsid w:val="003A5CFA"/>
    <w:rsid w:val="003A5D90"/>
    <w:rsid w:val="003A6084"/>
    <w:rsid w:val="003A62DA"/>
    <w:rsid w:val="003A6366"/>
    <w:rsid w:val="003A7A69"/>
    <w:rsid w:val="003A7B14"/>
    <w:rsid w:val="003A7B7B"/>
    <w:rsid w:val="003A7D2A"/>
    <w:rsid w:val="003A7D38"/>
    <w:rsid w:val="003A7ED5"/>
    <w:rsid w:val="003B08CD"/>
    <w:rsid w:val="003B0C92"/>
    <w:rsid w:val="003B0F13"/>
    <w:rsid w:val="003B0F7B"/>
    <w:rsid w:val="003B13E9"/>
    <w:rsid w:val="003B14FD"/>
    <w:rsid w:val="003B16D4"/>
    <w:rsid w:val="003B1BB7"/>
    <w:rsid w:val="003B2427"/>
    <w:rsid w:val="003B28A8"/>
    <w:rsid w:val="003B2D7D"/>
    <w:rsid w:val="003B3E12"/>
    <w:rsid w:val="003B4696"/>
    <w:rsid w:val="003B4859"/>
    <w:rsid w:val="003B4E65"/>
    <w:rsid w:val="003B4EB6"/>
    <w:rsid w:val="003B5177"/>
    <w:rsid w:val="003B5200"/>
    <w:rsid w:val="003B53E7"/>
    <w:rsid w:val="003B5482"/>
    <w:rsid w:val="003B5663"/>
    <w:rsid w:val="003B59DC"/>
    <w:rsid w:val="003B6031"/>
    <w:rsid w:val="003B6178"/>
    <w:rsid w:val="003B6E81"/>
    <w:rsid w:val="003B7661"/>
    <w:rsid w:val="003B7E05"/>
    <w:rsid w:val="003C0456"/>
    <w:rsid w:val="003C052A"/>
    <w:rsid w:val="003C0AE9"/>
    <w:rsid w:val="003C131E"/>
    <w:rsid w:val="003C166B"/>
    <w:rsid w:val="003C19A5"/>
    <w:rsid w:val="003C1C85"/>
    <w:rsid w:val="003C1F69"/>
    <w:rsid w:val="003C2010"/>
    <w:rsid w:val="003C2240"/>
    <w:rsid w:val="003C2323"/>
    <w:rsid w:val="003C2BA9"/>
    <w:rsid w:val="003C2C59"/>
    <w:rsid w:val="003C3A2A"/>
    <w:rsid w:val="003C3CC7"/>
    <w:rsid w:val="003C3E7F"/>
    <w:rsid w:val="003C4482"/>
    <w:rsid w:val="003C504B"/>
    <w:rsid w:val="003C5260"/>
    <w:rsid w:val="003C5936"/>
    <w:rsid w:val="003C612F"/>
    <w:rsid w:val="003C6468"/>
    <w:rsid w:val="003C676E"/>
    <w:rsid w:val="003D0AF6"/>
    <w:rsid w:val="003D0BFD"/>
    <w:rsid w:val="003D115F"/>
    <w:rsid w:val="003D11D9"/>
    <w:rsid w:val="003D1E5A"/>
    <w:rsid w:val="003D2939"/>
    <w:rsid w:val="003D3990"/>
    <w:rsid w:val="003D3C6E"/>
    <w:rsid w:val="003D3FA7"/>
    <w:rsid w:val="003D42CB"/>
    <w:rsid w:val="003D43E2"/>
    <w:rsid w:val="003D4B62"/>
    <w:rsid w:val="003D4E9A"/>
    <w:rsid w:val="003D51F4"/>
    <w:rsid w:val="003D5345"/>
    <w:rsid w:val="003D5811"/>
    <w:rsid w:val="003D58C5"/>
    <w:rsid w:val="003D6316"/>
    <w:rsid w:val="003D6638"/>
    <w:rsid w:val="003D7786"/>
    <w:rsid w:val="003D7FC4"/>
    <w:rsid w:val="003E0354"/>
    <w:rsid w:val="003E08DC"/>
    <w:rsid w:val="003E10A8"/>
    <w:rsid w:val="003E127A"/>
    <w:rsid w:val="003E184A"/>
    <w:rsid w:val="003E1887"/>
    <w:rsid w:val="003E18C9"/>
    <w:rsid w:val="003E19E2"/>
    <w:rsid w:val="003E1EF3"/>
    <w:rsid w:val="003E2538"/>
    <w:rsid w:val="003E2784"/>
    <w:rsid w:val="003E278F"/>
    <w:rsid w:val="003E2E55"/>
    <w:rsid w:val="003E2F58"/>
    <w:rsid w:val="003E311C"/>
    <w:rsid w:val="003E3A5D"/>
    <w:rsid w:val="003E4296"/>
    <w:rsid w:val="003E43C8"/>
    <w:rsid w:val="003E4B5F"/>
    <w:rsid w:val="003E530F"/>
    <w:rsid w:val="003E5A33"/>
    <w:rsid w:val="003E65FD"/>
    <w:rsid w:val="003E69CF"/>
    <w:rsid w:val="003E6DA0"/>
    <w:rsid w:val="003E72DA"/>
    <w:rsid w:val="003E739B"/>
    <w:rsid w:val="003E7C3C"/>
    <w:rsid w:val="003F009B"/>
    <w:rsid w:val="003F031C"/>
    <w:rsid w:val="003F0EED"/>
    <w:rsid w:val="003F0FBA"/>
    <w:rsid w:val="003F1622"/>
    <w:rsid w:val="003F1AA3"/>
    <w:rsid w:val="003F25EF"/>
    <w:rsid w:val="003F2A3E"/>
    <w:rsid w:val="003F3277"/>
    <w:rsid w:val="003F33C5"/>
    <w:rsid w:val="003F3EC5"/>
    <w:rsid w:val="003F49D2"/>
    <w:rsid w:val="003F4C79"/>
    <w:rsid w:val="003F4E06"/>
    <w:rsid w:val="003F4FB6"/>
    <w:rsid w:val="003F4FD7"/>
    <w:rsid w:val="003F58F4"/>
    <w:rsid w:val="003F5990"/>
    <w:rsid w:val="003F5E3F"/>
    <w:rsid w:val="003F6152"/>
    <w:rsid w:val="003F67CB"/>
    <w:rsid w:val="003F759C"/>
    <w:rsid w:val="00400688"/>
    <w:rsid w:val="00401318"/>
    <w:rsid w:val="004018B0"/>
    <w:rsid w:val="00401CD0"/>
    <w:rsid w:val="00402608"/>
    <w:rsid w:val="00403542"/>
    <w:rsid w:val="004036AC"/>
    <w:rsid w:val="00403A15"/>
    <w:rsid w:val="00403AD6"/>
    <w:rsid w:val="004042E5"/>
    <w:rsid w:val="00405461"/>
    <w:rsid w:val="00405477"/>
    <w:rsid w:val="0040566B"/>
    <w:rsid w:val="004058B9"/>
    <w:rsid w:val="004067F1"/>
    <w:rsid w:val="0040689D"/>
    <w:rsid w:val="00406C91"/>
    <w:rsid w:val="00407363"/>
    <w:rsid w:val="00410441"/>
    <w:rsid w:val="0041074C"/>
    <w:rsid w:val="0041078F"/>
    <w:rsid w:val="00410B78"/>
    <w:rsid w:val="0041102C"/>
    <w:rsid w:val="00411154"/>
    <w:rsid w:val="00411B1C"/>
    <w:rsid w:val="00411D31"/>
    <w:rsid w:val="00412BDE"/>
    <w:rsid w:val="0041398B"/>
    <w:rsid w:val="004146E5"/>
    <w:rsid w:val="00414828"/>
    <w:rsid w:val="00414D14"/>
    <w:rsid w:val="00414DE0"/>
    <w:rsid w:val="004150FE"/>
    <w:rsid w:val="004158A0"/>
    <w:rsid w:val="00415D69"/>
    <w:rsid w:val="00415DEC"/>
    <w:rsid w:val="00415FAD"/>
    <w:rsid w:val="0041600F"/>
    <w:rsid w:val="0041619C"/>
    <w:rsid w:val="0041747C"/>
    <w:rsid w:val="00417701"/>
    <w:rsid w:val="00417C68"/>
    <w:rsid w:val="00417D7A"/>
    <w:rsid w:val="004203AA"/>
    <w:rsid w:val="00420948"/>
    <w:rsid w:val="00420BA6"/>
    <w:rsid w:val="00420E13"/>
    <w:rsid w:val="0042121D"/>
    <w:rsid w:val="0042181C"/>
    <w:rsid w:val="004219E8"/>
    <w:rsid w:val="00421FAA"/>
    <w:rsid w:val="00422508"/>
    <w:rsid w:val="0042267A"/>
    <w:rsid w:val="00422BE1"/>
    <w:rsid w:val="00422C59"/>
    <w:rsid w:val="00422CFC"/>
    <w:rsid w:val="00423E35"/>
    <w:rsid w:val="0042412E"/>
    <w:rsid w:val="0042472D"/>
    <w:rsid w:val="0042505E"/>
    <w:rsid w:val="00425115"/>
    <w:rsid w:val="004257A7"/>
    <w:rsid w:val="00425A22"/>
    <w:rsid w:val="00425EF9"/>
    <w:rsid w:val="00426396"/>
    <w:rsid w:val="0042663A"/>
    <w:rsid w:val="0043009A"/>
    <w:rsid w:val="004303BB"/>
    <w:rsid w:val="004305C5"/>
    <w:rsid w:val="00430C05"/>
    <w:rsid w:val="0043115F"/>
    <w:rsid w:val="004318F9"/>
    <w:rsid w:val="00431977"/>
    <w:rsid w:val="00431BB8"/>
    <w:rsid w:val="004327A9"/>
    <w:rsid w:val="004329E5"/>
    <w:rsid w:val="00432B9E"/>
    <w:rsid w:val="00432F84"/>
    <w:rsid w:val="0043362A"/>
    <w:rsid w:val="00434374"/>
    <w:rsid w:val="00434E4F"/>
    <w:rsid w:val="00435197"/>
    <w:rsid w:val="0043557B"/>
    <w:rsid w:val="0043561C"/>
    <w:rsid w:val="0043678E"/>
    <w:rsid w:val="0043699B"/>
    <w:rsid w:val="00436DF9"/>
    <w:rsid w:val="00437005"/>
    <w:rsid w:val="00437B57"/>
    <w:rsid w:val="00440068"/>
    <w:rsid w:val="004410BC"/>
    <w:rsid w:val="00441164"/>
    <w:rsid w:val="004414D3"/>
    <w:rsid w:val="00441A6C"/>
    <w:rsid w:val="004420F9"/>
    <w:rsid w:val="004422EC"/>
    <w:rsid w:val="0044249D"/>
    <w:rsid w:val="004426AD"/>
    <w:rsid w:val="004435D7"/>
    <w:rsid w:val="0044410A"/>
    <w:rsid w:val="00444188"/>
    <w:rsid w:val="00444473"/>
    <w:rsid w:val="0044482D"/>
    <w:rsid w:val="00444927"/>
    <w:rsid w:val="004449A6"/>
    <w:rsid w:val="00444FEA"/>
    <w:rsid w:val="0044536C"/>
    <w:rsid w:val="004458AB"/>
    <w:rsid w:val="00445C9F"/>
    <w:rsid w:val="00445F4E"/>
    <w:rsid w:val="0044672C"/>
    <w:rsid w:val="00446D64"/>
    <w:rsid w:val="004503A1"/>
    <w:rsid w:val="00450674"/>
    <w:rsid w:val="0045197A"/>
    <w:rsid w:val="0045201A"/>
    <w:rsid w:val="00453DB3"/>
    <w:rsid w:val="00453DC1"/>
    <w:rsid w:val="00454B8F"/>
    <w:rsid w:val="00454C05"/>
    <w:rsid w:val="00454C20"/>
    <w:rsid w:val="0045546F"/>
    <w:rsid w:val="004558FA"/>
    <w:rsid w:val="00455CAE"/>
    <w:rsid w:val="00455E9B"/>
    <w:rsid w:val="00456D15"/>
    <w:rsid w:val="004578E3"/>
    <w:rsid w:val="00457CF5"/>
    <w:rsid w:val="004602D4"/>
    <w:rsid w:val="0046031D"/>
    <w:rsid w:val="004608BA"/>
    <w:rsid w:val="00460A4B"/>
    <w:rsid w:val="00460AA8"/>
    <w:rsid w:val="00461252"/>
    <w:rsid w:val="0046159B"/>
    <w:rsid w:val="00461A7C"/>
    <w:rsid w:val="00461A84"/>
    <w:rsid w:val="00461E66"/>
    <w:rsid w:val="00462286"/>
    <w:rsid w:val="00462D87"/>
    <w:rsid w:val="00462D95"/>
    <w:rsid w:val="00462F25"/>
    <w:rsid w:val="004631A1"/>
    <w:rsid w:val="0046330C"/>
    <w:rsid w:val="00463393"/>
    <w:rsid w:val="00463717"/>
    <w:rsid w:val="00463754"/>
    <w:rsid w:val="004637CD"/>
    <w:rsid w:val="00463EC9"/>
    <w:rsid w:val="004653AD"/>
    <w:rsid w:val="00465498"/>
    <w:rsid w:val="00465A3C"/>
    <w:rsid w:val="00465A7C"/>
    <w:rsid w:val="00465F55"/>
    <w:rsid w:val="00466093"/>
    <w:rsid w:val="0046615C"/>
    <w:rsid w:val="0046635D"/>
    <w:rsid w:val="004666B2"/>
    <w:rsid w:val="00466742"/>
    <w:rsid w:val="00466A2E"/>
    <w:rsid w:val="00466AE4"/>
    <w:rsid w:val="00467370"/>
    <w:rsid w:val="0046756D"/>
    <w:rsid w:val="00467B68"/>
    <w:rsid w:val="00467D8B"/>
    <w:rsid w:val="0047122D"/>
    <w:rsid w:val="00471361"/>
    <w:rsid w:val="00471A12"/>
    <w:rsid w:val="00472834"/>
    <w:rsid w:val="004729E4"/>
    <w:rsid w:val="00472ADA"/>
    <w:rsid w:val="00472AF9"/>
    <w:rsid w:val="00472CA4"/>
    <w:rsid w:val="00472E87"/>
    <w:rsid w:val="004738E8"/>
    <w:rsid w:val="00474322"/>
    <w:rsid w:val="0047443D"/>
    <w:rsid w:val="00474620"/>
    <w:rsid w:val="004746A9"/>
    <w:rsid w:val="004746DA"/>
    <w:rsid w:val="00474A03"/>
    <w:rsid w:val="0047548C"/>
    <w:rsid w:val="004754C9"/>
    <w:rsid w:val="00476446"/>
    <w:rsid w:val="00476D81"/>
    <w:rsid w:val="0047762B"/>
    <w:rsid w:val="004779AB"/>
    <w:rsid w:val="00477B96"/>
    <w:rsid w:val="00477C52"/>
    <w:rsid w:val="00477CA1"/>
    <w:rsid w:val="00477FA2"/>
    <w:rsid w:val="004801BA"/>
    <w:rsid w:val="0048028B"/>
    <w:rsid w:val="004802B8"/>
    <w:rsid w:val="00480316"/>
    <w:rsid w:val="00481382"/>
    <w:rsid w:val="00481C87"/>
    <w:rsid w:val="004828B4"/>
    <w:rsid w:val="00482F94"/>
    <w:rsid w:val="00483314"/>
    <w:rsid w:val="004836CB"/>
    <w:rsid w:val="004840B7"/>
    <w:rsid w:val="00485352"/>
    <w:rsid w:val="0048639E"/>
    <w:rsid w:val="00486EA4"/>
    <w:rsid w:val="00486FCB"/>
    <w:rsid w:val="004876C2"/>
    <w:rsid w:val="004878B6"/>
    <w:rsid w:val="00487B62"/>
    <w:rsid w:val="00487C76"/>
    <w:rsid w:val="00487F1E"/>
    <w:rsid w:val="004902C0"/>
    <w:rsid w:val="00490831"/>
    <w:rsid w:val="00491095"/>
    <w:rsid w:val="004918B1"/>
    <w:rsid w:val="00491C5E"/>
    <w:rsid w:val="0049269C"/>
    <w:rsid w:val="00492B8D"/>
    <w:rsid w:val="00492C56"/>
    <w:rsid w:val="00492F1A"/>
    <w:rsid w:val="0049304E"/>
    <w:rsid w:val="00493782"/>
    <w:rsid w:val="004939A6"/>
    <w:rsid w:val="00493CF5"/>
    <w:rsid w:val="00493E2D"/>
    <w:rsid w:val="00494B2E"/>
    <w:rsid w:val="004952A2"/>
    <w:rsid w:val="0049590C"/>
    <w:rsid w:val="00495D9A"/>
    <w:rsid w:val="004966E0"/>
    <w:rsid w:val="00496FD6"/>
    <w:rsid w:val="0049793F"/>
    <w:rsid w:val="004A05C8"/>
    <w:rsid w:val="004A0ECC"/>
    <w:rsid w:val="004A1163"/>
    <w:rsid w:val="004A1246"/>
    <w:rsid w:val="004A17FA"/>
    <w:rsid w:val="004A1932"/>
    <w:rsid w:val="004A1DAD"/>
    <w:rsid w:val="004A25D9"/>
    <w:rsid w:val="004A270B"/>
    <w:rsid w:val="004A29C7"/>
    <w:rsid w:val="004A2CD5"/>
    <w:rsid w:val="004A321F"/>
    <w:rsid w:val="004A3429"/>
    <w:rsid w:val="004A3A41"/>
    <w:rsid w:val="004A3F18"/>
    <w:rsid w:val="004A45FD"/>
    <w:rsid w:val="004A471D"/>
    <w:rsid w:val="004A493E"/>
    <w:rsid w:val="004A4D06"/>
    <w:rsid w:val="004A4FC8"/>
    <w:rsid w:val="004A5232"/>
    <w:rsid w:val="004A55BE"/>
    <w:rsid w:val="004A664D"/>
    <w:rsid w:val="004A6825"/>
    <w:rsid w:val="004A723F"/>
    <w:rsid w:val="004A76F0"/>
    <w:rsid w:val="004A7922"/>
    <w:rsid w:val="004B0A5F"/>
    <w:rsid w:val="004B11AD"/>
    <w:rsid w:val="004B140D"/>
    <w:rsid w:val="004B15CE"/>
    <w:rsid w:val="004B20E2"/>
    <w:rsid w:val="004B2630"/>
    <w:rsid w:val="004B2918"/>
    <w:rsid w:val="004B4A60"/>
    <w:rsid w:val="004B51A3"/>
    <w:rsid w:val="004B534E"/>
    <w:rsid w:val="004B5551"/>
    <w:rsid w:val="004B59CB"/>
    <w:rsid w:val="004B64D4"/>
    <w:rsid w:val="004B6901"/>
    <w:rsid w:val="004B6F05"/>
    <w:rsid w:val="004B702B"/>
    <w:rsid w:val="004B768B"/>
    <w:rsid w:val="004B7AD9"/>
    <w:rsid w:val="004C0244"/>
    <w:rsid w:val="004C0712"/>
    <w:rsid w:val="004C0F0D"/>
    <w:rsid w:val="004C0F1D"/>
    <w:rsid w:val="004C142D"/>
    <w:rsid w:val="004C175A"/>
    <w:rsid w:val="004C1838"/>
    <w:rsid w:val="004C19D2"/>
    <w:rsid w:val="004C1AA7"/>
    <w:rsid w:val="004C1CE3"/>
    <w:rsid w:val="004C2C95"/>
    <w:rsid w:val="004C3829"/>
    <w:rsid w:val="004C3FD7"/>
    <w:rsid w:val="004C4648"/>
    <w:rsid w:val="004C48E5"/>
    <w:rsid w:val="004C4971"/>
    <w:rsid w:val="004C5AA1"/>
    <w:rsid w:val="004C5BBD"/>
    <w:rsid w:val="004C5D10"/>
    <w:rsid w:val="004C600D"/>
    <w:rsid w:val="004C6374"/>
    <w:rsid w:val="004C64D0"/>
    <w:rsid w:val="004C6641"/>
    <w:rsid w:val="004C683A"/>
    <w:rsid w:val="004C6B4F"/>
    <w:rsid w:val="004C6D63"/>
    <w:rsid w:val="004C6DF5"/>
    <w:rsid w:val="004C79D9"/>
    <w:rsid w:val="004D0EBA"/>
    <w:rsid w:val="004D14E1"/>
    <w:rsid w:val="004D199D"/>
    <w:rsid w:val="004D1E35"/>
    <w:rsid w:val="004D21E5"/>
    <w:rsid w:val="004D2237"/>
    <w:rsid w:val="004D259F"/>
    <w:rsid w:val="004D25E2"/>
    <w:rsid w:val="004D26A0"/>
    <w:rsid w:val="004D3A17"/>
    <w:rsid w:val="004D3E36"/>
    <w:rsid w:val="004D4588"/>
    <w:rsid w:val="004D4AC2"/>
    <w:rsid w:val="004D5038"/>
    <w:rsid w:val="004D50DC"/>
    <w:rsid w:val="004D51D4"/>
    <w:rsid w:val="004D5D9E"/>
    <w:rsid w:val="004D5EBD"/>
    <w:rsid w:val="004D6314"/>
    <w:rsid w:val="004D68BE"/>
    <w:rsid w:val="004D68ED"/>
    <w:rsid w:val="004D6A67"/>
    <w:rsid w:val="004D7312"/>
    <w:rsid w:val="004D7420"/>
    <w:rsid w:val="004E054D"/>
    <w:rsid w:val="004E06B0"/>
    <w:rsid w:val="004E07DA"/>
    <w:rsid w:val="004E1454"/>
    <w:rsid w:val="004E2459"/>
    <w:rsid w:val="004E26C8"/>
    <w:rsid w:val="004E2921"/>
    <w:rsid w:val="004E2BC5"/>
    <w:rsid w:val="004E305F"/>
    <w:rsid w:val="004E3834"/>
    <w:rsid w:val="004E3C85"/>
    <w:rsid w:val="004E3FB6"/>
    <w:rsid w:val="004E41AF"/>
    <w:rsid w:val="004E4277"/>
    <w:rsid w:val="004E46EE"/>
    <w:rsid w:val="004E4F95"/>
    <w:rsid w:val="004E53FC"/>
    <w:rsid w:val="004E578F"/>
    <w:rsid w:val="004E5CB9"/>
    <w:rsid w:val="004E5CF5"/>
    <w:rsid w:val="004E650B"/>
    <w:rsid w:val="004E6BC9"/>
    <w:rsid w:val="004E6CBA"/>
    <w:rsid w:val="004E73E8"/>
    <w:rsid w:val="004E7540"/>
    <w:rsid w:val="004E7FC0"/>
    <w:rsid w:val="004F0148"/>
    <w:rsid w:val="004F04C9"/>
    <w:rsid w:val="004F0564"/>
    <w:rsid w:val="004F056A"/>
    <w:rsid w:val="004F05B8"/>
    <w:rsid w:val="004F0DF9"/>
    <w:rsid w:val="004F1A7E"/>
    <w:rsid w:val="004F2715"/>
    <w:rsid w:val="004F2F35"/>
    <w:rsid w:val="004F34AC"/>
    <w:rsid w:val="004F3BE6"/>
    <w:rsid w:val="004F3D20"/>
    <w:rsid w:val="004F40AD"/>
    <w:rsid w:val="004F41C8"/>
    <w:rsid w:val="004F4978"/>
    <w:rsid w:val="004F4F47"/>
    <w:rsid w:val="004F56ED"/>
    <w:rsid w:val="004F588D"/>
    <w:rsid w:val="004F5D56"/>
    <w:rsid w:val="004F5FA0"/>
    <w:rsid w:val="004F6045"/>
    <w:rsid w:val="004F6147"/>
    <w:rsid w:val="004F614F"/>
    <w:rsid w:val="004F6782"/>
    <w:rsid w:val="004F69FE"/>
    <w:rsid w:val="004F6ED6"/>
    <w:rsid w:val="004F6EE4"/>
    <w:rsid w:val="004F752A"/>
    <w:rsid w:val="004F781C"/>
    <w:rsid w:val="004F7918"/>
    <w:rsid w:val="004F7F31"/>
    <w:rsid w:val="0050098F"/>
    <w:rsid w:val="00500CC6"/>
    <w:rsid w:val="00502190"/>
    <w:rsid w:val="005034E2"/>
    <w:rsid w:val="00503797"/>
    <w:rsid w:val="005038CB"/>
    <w:rsid w:val="0050398F"/>
    <w:rsid w:val="005039EE"/>
    <w:rsid w:val="00503F6D"/>
    <w:rsid w:val="00504CF2"/>
    <w:rsid w:val="00505B35"/>
    <w:rsid w:val="0050634D"/>
    <w:rsid w:val="00506441"/>
    <w:rsid w:val="005067EB"/>
    <w:rsid w:val="00506B64"/>
    <w:rsid w:val="00510431"/>
    <w:rsid w:val="005106A0"/>
    <w:rsid w:val="00510A77"/>
    <w:rsid w:val="00510B78"/>
    <w:rsid w:val="005111E1"/>
    <w:rsid w:val="00511586"/>
    <w:rsid w:val="0051227C"/>
    <w:rsid w:val="0051254F"/>
    <w:rsid w:val="005129F7"/>
    <w:rsid w:val="005130A1"/>
    <w:rsid w:val="005133C9"/>
    <w:rsid w:val="00513E25"/>
    <w:rsid w:val="0051430B"/>
    <w:rsid w:val="005144B5"/>
    <w:rsid w:val="00514710"/>
    <w:rsid w:val="0051524A"/>
    <w:rsid w:val="0051601C"/>
    <w:rsid w:val="005162F1"/>
    <w:rsid w:val="00516603"/>
    <w:rsid w:val="0051788F"/>
    <w:rsid w:val="0052095A"/>
    <w:rsid w:val="00520E0A"/>
    <w:rsid w:val="0052125B"/>
    <w:rsid w:val="00521565"/>
    <w:rsid w:val="005219BF"/>
    <w:rsid w:val="005221B4"/>
    <w:rsid w:val="005224A4"/>
    <w:rsid w:val="00522B66"/>
    <w:rsid w:val="00523055"/>
    <w:rsid w:val="005234BC"/>
    <w:rsid w:val="00523D53"/>
    <w:rsid w:val="00523D66"/>
    <w:rsid w:val="00523F12"/>
    <w:rsid w:val="00523FCF"/>
    <w:rsid w:val="0052446A"/>
    <w:rsid w:val="00524490"/>
    <w:rsid w:val="00525285"/>
    <w:rsid w:val="0052553B"/>
    <w:rsid w:val="00525A6A"/>
    <w:rsid w:val="00525BBB"/>
    <w:rsid w:val="00526118"/>
    <w:rsid w:val="005263EB"/>
    <w:rsid w:val="0052699C"/>
    <w:rsid w:val="00526C90"/>
    <w:rsid w:val="00526CF2"/>
    <w:rsid w:val="0052700A"/>
    <w:rsid w:val="005275E5"/>
    <w:rsid w:val="00527868"/>
    <w:rsid w:val="00527A5E"/>
    <w:rsid w:val="00527BA9"/>
    <w:rsid w:val="00530166"/>
    <w:rsid w:val="00530771"/>
    <w:rsid w:val="00530783"/>
    <w:rsid w:val="00530833"/>
    <w:rsid w:val="00530DE9"/>
    <w:rsid w:val="00530EBF"/>
    <w:rsid w:val="00531469"/>
    <w:rsid w:val="005320EA"/>
    <w:rsid w:val="0053578C"/>
    <w:rsid w:val="00535955"/>
    <w:rsid w:val="0053625D"/>
    <w:rsid w:val="00536F59"/>
    <w:rsid w:val="00537507"/>
    <w:rsid w:val="00537A32"/>
    <w:rsid w:val="0054077E"/>
    <w:rsid w:val="00540889"/>
    <w:rsid w:val="00540997"/>
    <w:rsid w:val="005412F3"/>
    <w:rsid w:val="00541413"/>
    <w:rsid w:val="005414EF"/>
    <w:rsid w:val="00542366"/>
    <w:rsid w:val="005424AA"/>
    <w:rsid w:val="005425AD"/>
    <w:rsid w:val="00542A02"/>
    <w:rsid w:val="005431F0"/>
    <w:rsid w:val="005431FC"/>
    <w:rsid w:val="0054332B"/>
    <w:rsid w:val="00544329"/>
    <w:rsid w:val="00544453"/>
    <w:rsid w:val="005446AA"/>
    <w:rsid w:val="005448CD"/>
    <w:rsid w:val="00545440"/>
    <w:rsid w:val="0054766B"/>
    <w:rsid w:val="005501CE"/>
    <w:rsid w:val="00550AA6"/>
    <w:rsid w:val="005516BD"/>
    <w:rsid w:val="0055172A"/>
    <w:rsid w:val="00552833"/>
    <w:rsid w:val="00552F06"/>
    <w:rsid w:val="005530E3"/>
    <w:rsid w:val="00553457"/>
    <w:rsid w:val="005539EC"/>
    <w:rsid w:val="00553A0B"/>
    <w:rsid w:val="00554329"/>
    <w:rsid w:val="00554607"/>
    <w:rsid w:val="00554627"/>
    <w:rsid w:val="005547FF"/>
    <w:rsid w:val="00555E12"/>
    <w:rsid w:val="005563C9"/>
    <w:rsid w:val="005566AA"/>
    <w:rsid w:val="00556B93"/>
    <w:rsid w:val="0055711B"/>
    <w:rsid w:val="0055738E"/>
    <w:rsid w:val="005574F9"/>
    <w:rsid w:val="00560031"/>
    <w:rsid w:val="00560404"/>
    <w:rsid w:val="00560624"/>
    <w:rsid w:val="00560881"/>
    <w:rsid w:val="00560C38"/>
    <w:rsid w:val="00560D2B"/>
    <w:rsid w:val="00560DE2"/>
    <w:rsid w:val="00560FAC"/>
    <w:rsid w:val="005611B9"/>
    <w:rsid w:val="005612D4"/>
    <w:rsid w:val="005613A3"/>
    <w:rsid w:val="005613A7"/>
    <w:rsid w:val="00561975"/>
    <w:rsid w:val="005619B7"/>
    <w:rsid w:val="00561C1C"/>
    <w:rsid w:val="00561CCE"/>
    <w:rsid w:val="00561D3C"/>
    <w:rsid w:val="00562E3D"/>
    <w:rsid w:val="005634BA"/>
    <w:rsid w:val="00563ADB"/>
    <w:rsid w:val="00563F75"/>
    <w:rsid w:val="005640EB"/>
    <w:rsid w:val="00564600"/>
    <w:rsid w:val="0056495D"/>
    <w:rsid w:val="00564EB4"/>
    <w:rsid w:val="005651DE"/>
    <w:rsid w:val="00565514"/>
    <w:rsid w:val="0056557A"/>
    <w:rsid w:val="005659DE"/>
    <w:rsid w:val="00565FCB"/>
    <w:rsid w:val="00566845"/>
    <w:rsid w:val="00566A6C"/>
    <w:rsid w:val="00566F82"/>
    <w:rsid w:val="00567B69"/>
    <w:rsid w:val="0057013D"/>
    <w:rsid w:val="00570584"/>
    <w:rsid w:val="0057094E"/>
    <w:rsid w:val="00570A00"/>
    <w:rsid w:val="005712D6"/>
    <w:rsid w:val="00571812"/>
    <w:rsid w:val="00571DCD"/>
    <w:rsid w:val="0057218C"/>
    <w:rsid w:val="005723F9"/>
    <w:rsid w:val="00572C81"/>
    <w:rsid w:val="00572E70"/>
    <w:rsid w:val="00572EB6"/>
    <w:rsid w:val="00573369"/>
    <w:rsid w:val="005737C9"/>
    <w:rsid w:val="00573C20"/>
    <w:rsid w:val="00574098"/>
    <w:rsid w:val="0057418A"/>
    <w:rsid w:val="00574923"/>
    <w:rsid w:val="00574D59"/>
    <w:rsid w:val="0057535A"/>
    <w:rsid w:val="00575C24"/>
    <w:rsid w:val="00576226"/>
    <w:rsid w:val="005762EA"/>
    <w:rsid w:val="005767AE"/>
    <w:rsid w:val="00576933"/>
    <w:rsid w:val="005773EC"/>
    <w:rsid w:val="00580390"/>
    <w:rsid w:val="00580F52"/>
    <w:rsid w:val="005816EE"/>
    <w:rsid w:val="005817B2"/>
    <w:rsid w:val="005819F7"/>
    <w:rsid w:val="00581C35"/>
    <w:rsid w:val="0058204A"/>
    <w:rsid w:val="00582265"/>
    <w:rsid w:val="005824C6"/>
    <w:rsid w:val="00582629"/>
    <w:rsid w:val="00582674"/>
    <w:rsid w:val="005826EE"/>
    <w:rsid w:val="0058271E"/>
    <w:rsid w:val="0058283F"/>
    <w:rsid w:val="00582BA6"/>
    <w:rsid w:val="005834BC"/>
    <w:rsid w:val="00583930"/>
    <w:rsid w:val="00583BFE"/>
    <w:rsid w:val="00583D8A"/>
    <w:rsid w:val="00583DBE"/>
    <w:rsid w:val="005840EF"/>
    <w:rsid w:val="005845A3"/>
    <w:rsid w:val="005848F8"/>
    <w:rsid w:val="00584E2F"/>
    <w:rsid w:val="00585151"/>
    <w:rsid w:val="0058523B"/>
    <w:rsid w:val="0058525B"/>
    <w:rsid w:val="00585C03"/>
    <w:rsid w:val="00585F1C"/>
    <w:rsid w:val="00586637"/>
    <w:rsid w:val="00587C46"/>
    <w:rsid w:val="00587F56"/>
    <w:rsid w:val="00587FD9"/>
    <w:rsid w:val="005902C9"/>
    <w:rsid w:val="005908B9"/>
    <w:rsid w:val="00591265"/>
    <w:rsid w:val="00591283"/>
    <w:rsid w:val="005915A4"/>
    <w:rsid w:val="005924D3"/>
    <w:rsid w:val="005924F1"/>
    <w:rsid w:val="005925E3"/>
    <w:rsid w:val="0059304D"/>
    <w:rsid w:val="005933AE"/>
    <w:rsid w:val="005934A8"/>
    <w:rsid w:val="00593CBE"/>
    <w:rsid w:val="00593F5D"/>
    <w:rsid w:val="0059404E"/>
    <w:rsid w:val="005944F1"/>
    <w:rsid w:val="005948E1"/>
    <w:rsid w:val="00594B14"/>
    <w:rsid w:val="00595156"/>
    <w:rsid w:val="005965C9"/>
    <w:rsid w:val="005966C9"/>
    <w:rsid w:val="005967C0"/>
    <w:rsid w:val="00596832"/>
    <w:rsid w:val="00596CCB"/>
    <w:rsid w:val="00596DB6"/>
    <w:rsid w:val="005970CD"/>
    <w:rsid w:val="00597753"/>
    <w:rsid w:val="005979C3"/>
    <w:rsid w:val="00597E6F"/>
    <w:rsid w:val="005A0203"/>
    <w:rsid w:val="005A052F"/>
    <w:rsid w:val="005A05DF"/>
    <w:rsid w:val="005A0C7F"/>
    <w:rsid w:val="005A0ECA"/>
    <w:rsid w:val="005A0EFC"/>
    <w:rsid w:val="005A1018"/>
    <w:rsid w:val="005A1099"/>
    <w:rsid w:val="005A10AE"/>
    <w:rsid w:val="005A12EF"/>
    <w:rsid w:val="005A13B0"/>
    <w:rsid w:val="005A15D8"/>
    <w:rsid w:val="005A1980"/>
    <w:rsid w:val="005A1A26"/>
    <w:rsid w:val="005A1BC8"/>
    <w:rsid w:val="005A1C64"/>
    <w:rsid w:val="005A1F74"/>
    <w:rsid w:val="005A207E"/>
    <w:rsid w:val="005A256B"/>
    <w:rsid w:val="005A2593"/>
    <w:rsid w:val="005A3196"/>
    <w:rsid w:val="005A339E"/>
    <w:rsid w:val="005A3858"/>
    <w:rsid w:val="005A3CF7"/>
    <w:rsid w:val="005A3E4B"/>
    <w:rsid w:val="005A408B"/>
    <w:rsid w:val="005A48B4"/>
    <w:rsid w:val="005A581C"/>
    <w:rsid w:val="005A6E32"/>
    <w:rsid w:val="005A6F80"/>
    <w:rsid w:val="005A7215"/>
    <w:rsid w:val="005A726F"/>
    <w:rsid w:val="005A7550"/>
    <w:rsid w:val="005A782E"/>
    <w:rsid w:val="005A793B"/>
    <w:rsid w:val="005A79AE"/>
    <w:rsid w:val="005A7EBC"/>
    <w:rsid w:val="005B0168"/>
    <w:rsid w:val="005B01B7"/>
    <w:rsid w:val="005B05E7"/>
    <w:rsid w:val="005B0774"/>
    <w:rsid w:val="005B0E02"/>
    <w:rsid w:val="005B1731"/>
    <w:rsid w:val="005B2054"/>
    <w:rsid w:val="005B247D"/>
    <w:rsid w:val="005B2561"/>
    <w:rsid w:val="005B25AA"/>
    <w:rsid w:val="005B2607"/>
    <w:rsid w:val="005B26FD"/>
    <w:rsid w:val="005B3EF1"/>
    <w:rsid w:val="005B3F34"/>
    <w:rsid w:val="005B429E"/>
    <w:rsid w:val="005B42A7"/>
    <w:rsid w:val="005B44D0"/>
    <w:rsid w:val="005B4CD8"/>
    <w:rsid w:val="005B5B11"/>
    <w:rsid w:val="005B5C27"/>
    <w:rsid w:val="005B5C4A"/>
    <w:rsid w:val="005B5FC3"/>
    <w:rsid w:val="005B60BD"/>
    <w:rsid w:val="005B67FE"/>
    <w:rsid w:val="005B6837"/>
    <w:rsid w:val="005B705F"/>
    <w:rsid w:val="005B7A53"/>
    <w:rsid w:val="005C0607"/>
    <w:rsid w:val="005C0A76"/>
    <w:rsid w:val="005C0F3A"/>
    <w:rsid w:val="005C0F51"/>
    <w:rsid w:val="005C0FA9"/>
    <w:rsid w:val="005C0FE5"/>
    <w:rsid w:val="005C11E6"/>
    <w:rsid w:val="005C147A"/>
    <w:rsid w:val="005C1F3B"/>
    <w:rsid w:val="005C208C"/>
    <w:rsid w:val="005C2A7E"/>
    <w:rsid w:val="005C2E67"/>
    <w:rsid w:val="005C35ED"/>
    <w:rsid w:val="005C35FA"/>
    <w:rsid w:val="005C37F2"/>
    <w:rsid w:val="005C42EA"/>
    <w:rsid w:val="005C4616"/>
    <w:rsid w:val="005C4D24"/>
    <w:rsid w:val="005C4DD7"/>
    <w:rsid w:val="005C539A"/>
    <w:rsid w:val="005C5693"/>
    <w:rsid w:val="005C6F04"/>
    <w:rsid w:val="005C74F8"/>
    <w:rsid w:val="005C75B9"/>
    <w:rsid w:val="005C778A"/>
    <w:rsid w:val="005C794A"/>
    <w:rsid w:val="005C7B1F"/>
    <w:rsid w:val="005D070B"/>
    <w:rsid w:val="005D0C8D"/>
    <w:rsid w:val="005D12BF"/>
    <w:rsid w:val="005D14E9"/>
    <w:rsid w:val="005D1B75"/>
    <w:rsid w:val="005D1C71"/>
    <w:rsid w:val="005D21A6"/>
    <w:rsid w:val="005D29D5"/>
    <w:rsid w:val="005D3947"/>
    <w:rsid w:val="005D3D18"/>
    <w:rsid w:val="005D3E4A"/>
    <w:rsid w:val="005D3E97"/>
    <w:rsid w:val="005D3F76"/>
    <w:rsid w:val="005D4095"/>
    <w:rsid w:val="005D4641"/>
    <w:rsid w:val="005D49FF"/>
    <w:rsid w:val="005D4ACD"/>
    <w:rsid w:val="005D4BBC"/>
    <w:rsid w:val="005D4C36"/>
    <w:rsid w:val="005D4D0A"/>
    <w:rsid w:val="005D4D75"/>
    <w:rsid w:val="005D526E"/>
    <w:rsid w:val="005D52B6"/>
    <w:rsid w:val="005D5695"/>
    <w:rsid w:val="005D63D6"/>
    <w:rsid w:val="005D6CA0"/>
    <w:rsid w:val="005D7ED3"/>
    <w:rsid w:val="005E0862"/>
    <w:rsid w:val="005E08CF"/>
    <w:rsid w:val="005E1375"/>
    <w:rsid w:val="005E147F"/>
    <w:rsid w:val="005E178A"/>
    <w:rsid w:val="005E1CEB"/>
    <w:rsid w:val="005E2576"/>
    <w:rsid w:val="005E2A30"/>
    <w:rsid w:val="005E2FF1"/>
    <w:rsid w:val="005E3850"/>
    <w:rsid w:val="005E3B4D"/>
    <w:rsid w:val="005E3B5B"/>
    <w:rsid w:val="005E3DEF"/>
    <w:rsid w:val="005E3EE3"/>
    <w:rsid w:val="005E41A6"/>
    <w:rsid w:val="005E4E97"/>
    <w:rsid w:val="005E54F0"/>
    <w:rsid w:val="005E5790"/>
    <w:rsid w:val="005E57F7"/>
    <w:rsid w:val="005E5C65"/>
    <w:rsid w:val="005E5DFA"/>
    <w:rsid w:val="005E682E"/>
    <w:rsid w:val="005E68F3"/>
    <w:rsid w:val="005E6A57"/>
    <w:rsid w:val="005E6F86"/>
    <w:rsid w:val="005E70D9"/>
    <w:rsid w:val="005E7479"/>
    <w:rsid w:val="005E756A"/>
    <w:rsid w:val="005E7892"/>
    <w:rsid w:val="005F0245"/>
    <w:rsid w:val="005F0652"/>
    <w:rsid w:val="005F07BE"/>
    <w:rsid w:val="005F0DE4"/>
    <w:rsid w:val="005F1146"/>
    <w:rsid w:val="005F191F"/>
    <w:rsid w:val="005F3C0A"/>
    <w:rsid w:val="005F3CEA"/>
    <w:rsid w:val="005F4587"/>
    <w:rsid w:val="005F4A97"/>
    <w:rsid w:val="005F4E85"/>
    <w:rsid w:val="005F546F"/>
    <w:rsid w:val="005F5479"/>
    <w:rsid w:val="005F5B32"/>
    <w:rsid w:val="005F66DC"/>
    <w:rsid w:val="005F731B"/>
    <w:rsid w:val="005F786A"/>
    <w:rsid w:val="005F7EA3"/>
    <w:rsid w:val="00600DA1"/>
    <w:rsid w:val="006013FB"/>
    <w:rsid w:val="00601583"/>
    <w:rsid w:val="00601F1A"/>
    <w:rsid w:val="00601F8B"/>
    <w:rsid w:val="0060259D"/>
    <w:rsid w:val="00602746"/>
    <w:rsid w:val="0060294C"/>
    <w:rsid w:val="00602FB1"/>
    <w:rsid w:val="00603073"/>
    <w:rsid w:val="00603105"/>
    <w:rsid w:val="00603128"/>
    <w:rsid w:val="006036E2"/>
    <w:rsid w:val="006037C5"/>
    <w:rsid w:val="00603A7A"/>
    <w:rsid w:val="00604319"/>
    <w:rsid w:val="00604F87"/>
    <w:rsid w:val="0060508A"/>
    <w:rsid w:val="006052B9"/>
    <w:rsid w:val="00605607"/>
    <w:rsid w:val="00605E4D"/>
    <w:rsid w:val="00606002"/>
    <w:rsid w:val="0060624B"/>
    <w:rsid w:val="00606458"/>
    <w:rsid w:val="00606720"/>
    <w:rsid w:val="00606841"/>
    <w:rsid w:val="00606CC5"/>
    <w:rsid w:val="00606E65"/>
    <w:rsid w:val="00607141"/>
    <w:rsid w:val="00607385"/>
    <w:rsid w:val="00607B23"/>
    <w:rsid w:val="00610057"/>
    <w:rsid w:val="00610C20"/>
    <w:rsid w:val="00611189"/>
    <w:rsid w:val="00611765"/>
    <w:rsid w:val="0061233F"/>
    <w:rsid w:val="006125C5"/>
    <w:rsid w:val="00612766"/>
    <w:rsid w:val="0061278B"/>
    <w:rsid w:val="00612B0D"/>
    <w:rsid w:val="0061385B"/>
    <w:rsid w:val="00613AB5"/>
    <w:rsid w:val="006144BB"/>
    <w:rsid w:val="00614667"/>
    <w:rsid w:val="006149AD"/>
    <w:rsid w:val="00614CAC"/>
    <w:rsid w:val="00615189"/>
    <w:rsid w:val="00616089"/>
    <w:rsid w:val="00616900"/>
    <w:rsid w:val="00616A41"/>
    <w:rsid w:val="00616ACC"/>
    <w:rsid w:val="00616B2A"/>
    <w:rsid w:val="0061744E"/>
    <w:rsid w:val="0061799E"/>
    <w:rsid w:val="00617B9D"/>
    <w:rsid w:val="00617CDA"/>
    <w:rsid w:val="00620102"/>
    <w:rsid w:val="0062032D"/>
    <w:rsid w:val="006204D9"/>
    <w:rsid w:val="0062057F"/>
    <w:rsid w:val="006205AD"/>
    <w:rsid w:val="0062165E"/>
    <w:rsid w:val="00621934"/>
    <w:rsid w:val="00621C89"/>
    <w:rsid w:val="00621FA9"/>
    <w:rsid w:val="00622007"/>
    <w:rsid w:val="00622079"/>
    <w:rsid w:val="00622782"/>
    <w:rsid w:val="00622874"/>
    <w:rsid w:val="006239A3"/>
    <w:rsid w:val="00623D94"/>
    <w:rsid w:val="00623F1D"/>
    <w:rsid w:val="00624D93"/>
    <w:rsid w:val="006254B1"/>
    <w:rsid w:val="0062607F"/>
    <w:rsid w:val="006261D9"/>
    <w:rsid w:val="006265D8"/>
    <w:rsid w:val="00626AAB"/>
    <w:rsid w:val="00630007"/>
    <w:rsid w:val="006305AE"/>
    <w:rsid w:val="00630940"/>
    <w:rsid w:val="00630B6A"/>
    <w:rsid w:val="006312F7"/>
    <w:rsid w:val="00631B50"/>
    <w:rsid w:val="006320CB"/>
    <w:rsid w:val="00632656"/>
    <w:rsid w:val="00632F67"/>
    <w:rsid w:val="006331E5"/>
    <w:rsid w:val="006335DE"/>
    <w:rsid w:val="006339B8"/>
    <w:rsid w:val="00633FD6"/>
    <w:rsid w:val="006345ED"/>
    <w:rsid w:val="006345EE"/>
    <w:rsid w:val="00634C72"/>
    <w:rsid w:val="0063515E"/>
    <w:rsid w:val="006361DC"/>
    <w:rsid w:val="00636330"/>
    <w:rsid w:val="00640005"/>
    <w:rsid w:val="0064043A"/>
    <w:rsid w:val="0064099A"/>
    <w:rsid w:val="00640EE9"/>
    <w:rsid w:val="00640FBA"/>
    <w:rsid w:val="00641758"/>
    <w:rsid w:val="00641A7A"/>
    <w:rsid w:val="00641B57"/>
    <w:rsid w:val="00641DF1"/>
    <w:rsid w:val="00641E4F"/>
    <w:rsid w:val="006420AB"/>
    <w:rsid w:val="00642978"/>
    <w:rsid w:val="00642B83"/>
    <w:rsid w:val="0064341D"/>
    <w:rsid w:val="00644462"/>
    <w:rsid w:val="00645164"/>
    <w:rsid w:val="00645C8C"/>
    <w:rsid w:val="006469A2"/>
    <w:rsid w:val="00646AB8"/>
    <w:rsid w:val="00646D0D"/>
    <w:rsid w:val="006470E5"/>
    <w:rsid w:val="006471F9"/>
    <w:rsid w:val="0064776F"/>
    <w:rsid w:val="0064782E"/>
    <w:rsid w:val="006479EC"/>
    <w:rsid w:val="00647A3C"/>
    <w:rsid w:val="0065045B"/>
    <w:rsid w:val="006507E9"/>
    <w:rsid w:val="00650822"/>
    <w:rsid w:val="00650A98"/>
    <w:rsid w:val="006521E6"/>
    <w:rsid w:val="006525F9"/>
    <w:rsid w:val="00652863"/>
    <w:rsid w:val="0065290E"/>
    <w:rsid w:val="00652921"/>
    <w:rsid w:val="00652950"/>
    <w:rsid w:val="00652E02"/>
    <w:rsid w:val="006532FB"/>
    <w:rsid w:val="00653C4B"/>
    <w:rsid w:val="00653D6D"/>
    <w:rsid w:val="006548AD"/>
    <w:rsid w:val="00654978"/>
    <w:rsid w:val="00655018"/>
    <w:rsid w:val="006559C6"/>
    <w:rsid w:val="006560A2"/>
    <w:rsid w:val="00656401"/>
    <w:rsid w:val="00656989"/>
    <w:rsid w:val="006572C7"/>
    <w:rsid w:val="00657372"/>
    <w:rsid w:val="006578FA"/>
    <w:rsid w:val="0066025F"/>
    <w:rsid w:val="00660473"/>
    <w:rsid w:val="0066047B"/>
    <w:rsid w:val="00660E13"/>
    <w:rsid w:val="0066141F"/>
    <w:rsid w:val="00661471"/>
    <w:rsid w:val="006615CE"/>
    <w:rsid w:val="00661B9D"/>
    <w:rsid w:val="006624EE"/>
    <w:rsid w:val="006628C1"/>
    <w:rsid w:val="00662E8A"/>
    <w:rsid w:val="00663136"/>
    <w:rsid w:val="00663BB8"/>
    <w:rsid w:val="00663CD7"/>
    <w:rsid w:val="00663EBA"/>
    <w:rsid w:val="00663F2E"/>
    <w:rsid w:val="0066419D"/>
    <w:rsid w:val="0066434A"/>
    <w:rsid w:val="00664404"/>
    <w:rsid w:val="00664879"/>
    <w:rsid w:val="006655C3"/>
    <w:rsid w:val="00665DB3"/>
    <w:rsid w:val="006661AE"/>
    <w:rsid w:val="006661E7"/>
    <w:rsid w:val="0066694C"/>
    <w:rsid w:val="00666EAA"/>
    <w:rsid w:val="0066711D"/>
    <w:rsid w:val="006671D6"/>
    <w:rsid w:val="00667451"/>
    <w:rsid w:val="006674AF"/>
    <w:rsid w:val="00667861"/>
    <w:rsid w:val="00667CE2"/>
    <w:rsid w:val="00667EF3"/>
    <w:rsid w:val="00667FEE"/>
    <w:rsid w:val="00670175"/>
    <w:rsid w:val="006701A1"/>
    <w:rsid w:val="006707CC"/>
    <w:rsid w:val="006708F6"/>
    <w:rsid w:val="00670DF0"/>
    <w:rsid w:val="00670E7B"/>
    <w:rsid w:val="00670ECD"/>
    <w:rsid w:val="0067129F"/>
    <w:rsid w:val="00671629"/>
    <w:rsid w:val="00671A26"/>
    <w:rsid w:val="00671D8A"/>
    <w:rsid w:val="00671E40"/>
    <w:rsid w:val="00671EAF"/>
    <w:rsid w:val="00673BEE"/>
    <w:rsid w:val="00673D65"/>
    <w:rsid w:val="00673E42"/>
    <w:rsid w:val="006740EF"/>
    <w:rsid w:val="006746D0"/>
    <w:rsid w:val="00675115"/>
    <w:rsid w:val="00675502"/>
    <w:rsid w:val="00675FA0"/>
    <w:rsid w:val="006775D3"/>
    <w:rsid w:val="00677B79"/>
    <w:rsid w:val="00677FAC"/>
    <w:rsid w:val="006805AC"/>
    <w:rsid w:val="00680B1F"/>
    <w:rsid w:val="00680E20"/>
    <w:rsid w:val="00680E4A"/>
    <w:rsid w:val="00681209"/>
    <w:rsid w:val="00681436"/>
    <w:rsid w:val="006815F6"/>
    <w:rsid w:val="00681A6F"/>
    <w:rsid w:val="00681C2D"/>
    <w:rsid w:val="00681D97"/>
    <w:rsid w:val="00681E9C"/>
    <w:rsid w:val="00681F24"/>
    <w:rsid w:val="006826D6"/>
    <w:rsid w:val="00682D13"/>
    <w:rsid w:val="00682DEB"/>
    <w:rsid w:val="00682F49"/>
    <w:rsid w:val="006838FF"/>
    <w:rsid w:val="00683A08"/>
    <w:rsid w:val="006840B6"/>
    <w:rsid w:val="006840C7"/>
    <w:rsid w:val="0068441B"/>
    <w:rsid w:val="0068476F"/>
    <w:rsid w:val="00684C89"/>
    <w:rsid w:val="00685196"/>
    <w:rsid w:val="0068553C"/>
    <w:rsid w:val="006856C2"/>
    <w:rsid w:val="00686F72"/>
    <w:rsid w:val="0068744E"/>
    <w:rsid w:val="00687644"/>
    <w:rsid w:val="00687A58"/>
    <w:rsid w:val="00687CF6"/>
    <w:rsid w:val="00687D00"/>
    <w:rsid w:val="0069098B"/>
    <w:rsid w:val="00691115"/>
    <w:rsid w:val="006914F0"/>
    <w:rsid w:val="006915DB"/>
    <w:rsid w:val="006926D4"/>
    <w:rsid w:val="00692D1A"/>
    <w:rsid w:val="006930F8"/>
    <w:rsid w:val="00693912"/>
    <w:rsid w:val="00693BDB"/>
    <w:rsid w:val="006940D3"/>
    <w:rsid w:val="006940F0"/>
    <w:rsid w:val="00694113"/>
    <w:rsid w:val="006947F6"/>
    <w:rsid w:val="006949CD"/>
    <w:rsid w:val="00694D72"/>
    <w:rsid w:val="00695C9D"/>
    <w:rsid w:val="006962AA"/>
    <w:rsid w:val="006966DF"/>
    <w:rsid w:val="00696FF1"/>
    <w:rsid w:val="006972F7"/>
    <w:rsid w:val="00697F3F"/>
    <w:rsid w:val="006A0405"/>
    <w:rsid w:val="006A0747"/>
    <w:rsid w:val="006A14AC"/>
    <w:rsid w:val="006A1640"/>
    <w:rsid w:val="006A16A8"/>
    <w:rsid w:val="006A18E6"/>
    <w:rsid w:val="006A1DBF"/>
    <w:rsid w:val="006A273B"/>
    <w:rsid w:val="006A29F8"/>
    <w:rsid w:val="006A3786"/>
    <w:rsid w:val="006A3E95"/>
    <w:rsid w:val="006A43FD"/>
    <w:rsid w:val="006A4E28"/>
    <w:rsid w:val="006A50E1"/>
    <w:rsid w:val="006A55B0"/>
    <w:rsid w:val="006A5946"/>
    <w:rsid w:val="006A5BE3"/>
    <w:rsid w:val="006A5C43"/>
    <w:rsid w:val="006A683D"/>
    <w:rsid w:val="006A6C1F"/>
    <w:rsid w:val="006A6CA6"/>
    <w:rsid w:val="006A77AB"/>
    <w:rsid w:val="006A7A44"/>
    <w:rsid w:val="006A7D09"/>
    <w:rsid w:val="006B0723"/>
    <w:rsid w:val="006B0794"/>
    <w:rsid w:val="006B0EF2"/>
    <w:rsid w:val="006B1213"/>
    <w:rsid w:val="006B14B4"/>
    <w:rsid w:val="006B1692"/>
    <w:rsid w:val="006B1A4C"/>
    <w:rsid w:val="006B25B8"/>
    <w:rsid w:val="006B26C9"/>
    <w:rsid w:val="006B3E1A"/>
    <w:rsid w:val="006B3F37"/>
    <w:rsid w:val="006B484B"/>
    <w:rsid w:val="006B49F5"/>
    <w:rsid w:val="006B4DB0"/>
    <w:rsid w:val="006B51B9"/>
    <w:rsid w:val="006B6130"/>
    <w:rsid w:val="006B632A"/>
    <w:rsid w:val="006B657B"/>
    <w:rsid w:val="006B7123"/>
    <w:rsid w:val="006B75B6"/>
    <w:rsid w:val="006B7772"/>
    <w:rsid w:val="006C0484"/>
    <w:rsid w:val="006C05A9"/>
    <w:rsid w:val="006C0F83"/>
    <w:rsid w:val="006C179E"/>
    <w:rsid w:val="006C1850"/>
    <w:rsid w:val="006C1A10"/>
    <w:rsid w:val="006C1A5F"/>
    <w:rsid w:val="006C1D4C"/>
    <w:rsid w:val="006C2910"/>
    <w:rsid w:val="006C2CB1"/>
    <w:rsid w:val="006C2D53"/>
    <w:rsid w:val="006C3AB5"/>
    <w:rsid w:val="006C3FF2"/>
    <w:rsid w:val="006C562C"/>
    <w:rsid w:val="006C61A8"/>
    <w:rsid w:val="006C65A0"/>
    <w:rsid w:val="006C6E7A"/>
    <w:rsid w:val="006C7394"/>
    <w:rsid w:val="006C76C7"/>
    <w:rsid w:val="006C7EC3"/>
    <w:rsid w:val="006D023C"/>
    <w:rsid w:val="006D0793"/>
    <w:rsid w:val="006D0B8E"/>
    <w:rsid w:val="006D0F97"/>
    <w:rsid w:val="006D130E"/>
    <w:rsid w:val="006D1A28"/>
    <w:rsid w:val="006D1B1C"/>
    <w:rsid w:val="006D21C1"/>
    <w:rsid w:val="006D2BDA"/>
    <w:rsid w:val="006D348B"/>
    <w:rsid w:val="006D3522"/>
    <w:rsid w:val="006D3530"/>
    <w:rsid w:val="006D3751"/>
    <w:rsid w:val="006D4415"/>
    <w:rsid w:val="006D47F4"/>
    <w:rsid w:val="006D48BD"/>
    <w:rsid w:val="006D4DAD"/>
    <w:rsid w:val="006D511D"/>
    <w:rsid w:val="006D5683"/>
    <w:rsid w:val="006D60C9"/>
    <w:rsid w:val="006D6997"/>
    <w:rsid w:val="006D6F11"/>
    <w:rsid w:val="006D7E4B"/>
    <w:rsid w:val="006D7EAC"/>
    <w:rsid w:val="006E02BA"/>
    <w:rsid w:val="006E03A8"/>
    <w:rsid w:val="006E0CFF"/>
    <w:rsid w:val="006E17E8"/>
    <w:rsid w:val="006E1A47"/>
    <w:rsid w:val="006E255D"/>
    <w:rsid w:val="006E3379"/>
    <w:rsid w:val="006E3648"/>
    <w:rsid w:val="006E38CF"/>
    <w:rsid w:val="006E4494"/>
    <w:rsid w:val="006E551D"/>
    <w:rsid w:val="006E566E"/>
    <w:rsid w:val="006E5CD9"/>
    <w:rsid w:val="006E737E"/>
    <w:rsid w:val="006E7CBD"/>
    <w:rsid w:val="006E7FC2"/>
    <w:rsid w:val="006F000F"/>
    <w:rsid w:val="006F003B"/>
    <w:rsid w:val="006F090F"/>
    <w:rsid w:val="006F1238"/>
    <w:rsid w:val="006F1358"/>
    <w:rsid w:val="006F1F39"/>
    <w:rsid w:val="006F27E3"/>
    <w:rsid w:val="006F28FB"/>
    <w:rsid w:val="006F2EE7"/>
    <w:rsid w:val="006F316D"/>
    <w:rsid w:val="006F337A"/>
    <w:rsid w:val="006F3918"/>
    <w:rsid w:val="006F39CD"/>
    <w:rsid w:val="006F3DAA"/>
    <w:rsid w:val="006F4F72"/>
    <w:rsid w:val="006F529F"/>
    <w:rsid w:val="006F5FB6"/>
    <w:rsid w:val="006F7DDF"/>
    <w:rsid w:val="00700123"/>
    <w:rsid w:val="007004A0"/>
    <w:rsid w:val="0070109F"/>
    <w:rsid w:val="00701447"/>
    <w:rsid w:val="007016A8"/>
    <w:rsid w:val="007016D3"/>
    <w:rsid w:val="00701979"/>
    <w:rsid w:val="00701F65"/>
    <w:rsid w:val="007021FC"/>
    <w:rsid w:val="007023A5"/>
    <w:rsid w:val="00702672"/>
    <w:rsid w:val="00702F78"/>
    <w:rsid w:val="00702F7F"/>
    <w:rsid w:val="00703425"/>
    <w:rsid w:val="00703C9A"/>
    <w:rsid w:val="00703CFD"/>
    <w:rsid w:val="00703E2E"/>
    <w:rsid w:val="00703FAC"/>
    <w:rsid w:val="00704A0E"/>
    <w:rsid w:val="00704A76"/>
    <w:rsid w:val="00704B01"/>
    <w:rsid w:val="00704E72"/>
    <w:rsid w:val="0070538E"/>
    <w:rsid w:val="00705495"/>
    <w:rsid w:val="007055DE"/>
    <w:rsid w:val="007056E8"/>
    <w:rsid w:val="0070661B"/>
    <w:rsid w:val="0070698D"/>
    <w:rsid w:val="00706F45"/>
    <w:rsid w:val="00706FCE"/>
    <w:rsid w:val="00707892"/>
    <w:rsid w:val="00707ACC"/>
    <w:rsid w:val="007103DE"/>
    <w:rsid w:val="007104DD"/>
    <w:rsid w:val="007108D9"/>
    <w:rsid w:val="00711196"/>
    <w:rsid w:val="00711564"/>
    <w:rsid w:val="00711B3F"/>
    <w:rsid w:val="00712024"/>
    <w:rsid w:val="007121B4"/>
    <w:rsid w:val="00712886"/>
    <w:rsid w:val="00713D1E"/>
    <w:rsid w:val="00713DE8"/>
    <w:rsid w:val="00714306"/>
    <w:rsid w:val="0071490A"/>
    <w:rsid w:val="007150D4"/>
    <w:rsid w:val="0071544C"/>
    <w:rsid w:val="007155A7"/>
    <w:rsid w:val="00715664"/>
    <w:rsid w:val="00715A72"/>
    <w:rsid w:val="00715EA4"/>
    <w:rsid w:val="00717B75"/>
    <w:rsid w:val="00717ECB"/>
    <w:rsid w:val="00717FE8"/>
    <w:rsid w:val="007203E3"/>
    <w:rsid w:val="0072064C"/>
    <w:rsid w:val="00720710"/>
    <w:rsid w:val="00720C72"/>
    <w:rsid w:val="007213E4"/>
    <w:rsid w:val="0072161F"/>
    <w:rsid w:val="0072163E"/>
    <w:rsid w:val="007219FB"/>
    <w:rsid w:val="00721B66"/>
    <w:rsid w:val="00721D3E"/>
    <w:rsid w:val="00722F64"/>
    <w:rsid w:val="00723F70"/>
    <w:rsid w:val="00723F81"/>
    <w:rsid w:val="007241E9"/>
    <w:rsid w:val="00724511"/>
    <w:rsid w:val="00724A61"/>
    <w:rsid w:val="00724F8A"/>
    <w:rsid w:val="0072578A"/>
    <w:rsid w:val="00725F9F"/>
    <w:rsid w:val="0072662E"/>
    <w:rsid w:val="00726CB3"/>
    <w:rsid w:val="00730355"/>
    <w:rsid w:val="00730825"/>
    <w:rsid w:val="00730CA1"/>
    <w:rsid w:val="00730D1A"/>
    <w:rsid w:val="007311D1"/>
    <w:rsid w:val="00731544"/>
    <w:rsid w:val="0073158E"/>
    <w:rsid w:val="007315F4"/>
    <w:rsid w:val="0073172A"/>
    <w:rsid w:val="00732773"/>
    <w:rsid w:val="00732EBC"/>
    <w:rsid w:val="00733672"/>
    <w:rsid w:val="0073379C"/>
    <w:rsid w:val="00733B01"/>
    <w:rsid w:val="00733FAF"/>
    <w:rsid w:val="00733FFC"/>
    <w:rsid w:val="0073414D"/>
    <w:rsid w:val="00734191"/>
    <w:rsid w:val="00734289"/>
    <w:rsid w:val="007345C7"/>
    <w:rsid w:val="00734DB4"/>
    <w:rsid w:val="00734EF6"/>
    <w:rsid w:val="00734F10"/>
    <w:rsid w:val="00735263"/>
    <w:rsid w:val="00735626"/>
    <w:rsid w:val="007358CC"/>
    <w:rsid w:val="00735B47"/>
    <w:rsid w:val="00735C2D"/>
    <w:rsid w:val="0073630A"/>
    <w:rsid w:val="00736733"/>
    <w:rsid w:val="00736A2F"/>
    <w:rsid w:val="007371A6"/>
    <w:rsid w:val="00737264"/>
    <w:rsid w:val="00737B6E"/>
    <w:rsid w:val="00737BA6"/>
    <w:rsid w:val="007409B2"/>
    <w:rsid w:val="00740BA0"/>
    <w:rsid w:val="00741015"/>
    <w:rsid w:val="00741510"/>
    <w:rsid w:val="00742DC6"/>
    <w:rsid w:val="007433F0"/>
    <w:rsid w:val="00743ADC"/>
    <w:rsid w:val="00743CE3"/>
    <w:rsid w:val="00744416"/>
    <w:rsid w:val="00744493"/>
    <w:rsid w:val="007446F8"/>
    <w:rsid w:val="00744C97"/>
    <w:rsid w:val="007462EC"/>
    <w:rsid w:val="00746589"/>
    <w:rsid w:val="0074663B"/>
    <w:rsid w:val="00747DCF"/>
    <w:rsid w:val="0075090A"/>
    <w:rsid w:val="00750B94"/>
    <w:rsid w:val="00751195"/>
    <w:rsid w:val="007514A9"/>
    <w:rsid w:val="00751720"/>
    <w:rsid w:val="0075215B"/>
    <w:rsid w:val="007522AF"/>
    <w:rsid w:val="007533C9"/>
    <w:rsid w:val="007539CB"/>
    <w:rsid w:val="00753B99"/>
    <w:rsid w:val="00753F62"/>
    <w:rsid w:val="007544A9"/>
    <w:rsid w:val="007550EE"/>
    <w:rsid w:val="00755901"/>
    <w:rsid w:val="00755D9A"/>
    <w:rsid w:val="00756B31"/>
    <w:rsid w:val="00757425"/>
    <w:rsid w:val="0075771E"/>
    <w:rsid w:val="00757887"/>
    <w:rsid w:val="0075790F"/>
    <w:rsid w:val="00761795"/>
    <w:rsid w:val="00761AC8"/>
    <w:rsid w:val="00761DB1"/>
    <w:rsid w:val="0076206F"/>
    <w:rsid w:val="00762226"/>
    <w:rsid w:val="00762400"/>
    <w:rsid w:val="00762BA4"/>
    <w:rsid w:val="00762CF0"/>
    <w:rsid w:val="007632E0"/>
    <w:rsid w:val="007634AC"/>
    <w:rsid w:val="00764453"/>
    <w:rsid w:val="00764801"/>
    <w:rsid w:val="00764C4A"/>
    <w:rsid w:val="0076515D"/>
    <w:rsid w:val="007655FA"/>
    <w:rsid w:val="007658E5"/>
    <w:rsid w:val="00765AA7"/>
    <w:rsid w:val="00765C16"/>
    <w:rsid w:val="00766003"/>
    <w:rsid w:val="007669D7"/>
    <w:rsid w:val="007679EB"/>
    <w:rsid w:val="00770C8A"/>
    <w:rsid w:val="00770D94"/>
    <w:rsid w:val="0077160D"/>
    <w:rsid w:val="00771631"/>
    <w:rsid w:val="007719AA"/>
    <w:rsid w:val="00771F9B"/>
    <w:rsid w:val="00772559"/>
    <w:rsid w:val="0077261D"/>
    <w:rsid w:val="00772656"/>
    <w:rsid w:val="0077271B"/>
    <w:rsid w:val="00772ADE"/>
    <w:rsid w:val="00772D6E"/>
    <w:rsid w:val="00772F01"/>
    <w:rsid w:val="00774114"/>
    <w:rsid w:val="007756C3"/>
    <w:rsid w:val="00776033"/>
    <w:rsid w:val="0077621D"/>
    <w:rsid w:val="007762CD"/>
    <w:rsid w:val="0077684B"/>
    <w:rsid w:val="00776BD3"/>
    <w:rsid w:val="00777290"/>
    <w:rsid w:val="007772E8"/>
    <w:rsid w:val="00780273"/>
    <w:rsid w:val="00780355"/>
    <w:rsid w:val="00780956"/>
    <w:rsid w:val="00781619"/>
    <w:rsid w:val="00781725"/>
    <w:rsid w:val="007818C2"/>
    <w:rsid w:val="00781C82"/>
    <w:rsid w:val="00781F43"/>
    <w:rsid w:val="0078233F"/>
    <w:rsid w:val="007828D5"/>
    <w:rsid w:val="00782A08"/>
    <w:rsid w:val="00782D8F"/>
    <w:rsid w:val="00782F00"/>
    <w:rsid w:val="00782FC5"/>
    <w:rsid w:val="00783263"/>
    <w:rsid w:val="0078357E"/>
    <w:rsid w:val="0078385A"/>
    <w:rsid w:val="007839E7"/>
    <w:rsid w:val="007841FF"/>
    <w:rsid w:val="00785009"/>
    <w:rsid w:val="0078599A"/>
    <w:rsid w:val="00785A63"/>
    <w:rsid w:val="00785E26"/>
    <w:rsid w:val="00785EFF"/>
    <w:rsid w:val="00786824"/>
    <w:rsid w:val="0078724C"/>
    <w:rsid w:val="0078751E"/>
    <w:rsid w:val="00787C9D"/>
    <w:rsid w:val="007906CA"/>
    <w:rsid w:val="00791503"/>
    <w:rsid w:val="00791E96"/>
    <w:rsid w:val="007934D4"/>
    <w:rsid w:val="0079394A"/>
    <w:rsid w:val="007939BD"/>
    <w:rsid w:val="00793C16"/>
    <w:rsid w:val="00793FBD"/>
    <w:rsid w:val="00795610"/>
    <w:rsid w:val="0079574C"/>
    <w:rsid w:val="00795792"/>
    <w:rsid w:val="00795B10"/>
    <w:rsid w:val="0079663A"/>
    <w:rsid w:val="00796AC3"/>
    <w:rsid w:val="00796C5E"/>
    <w:rsid w:val="00796F84"/>
    <w:rsid w:val="00796F8B"/>
    <w:rsid w:val="007970F4"/>
    <w:rsid w:val="0079775B"/>
    <w:rsid w:val="00797C38"/>
    <w:rsid w:val="00797D39"/>
    <w:rsid w:val="00797E54"/>
    <w:rsid w:val="007A0692"/>
    <w:rsid w:val="007A0B62"/>
    <w:rsid w:val="007A11B0"/>
    <w:rsid w:val="007A1236"/>
    <w:rsid w:val="007A1760"/>
    <w:rsid w:val="007A1D32"/>
    <w:rsid w:val="007A21A0"/>
    <w:rsid w:val="007A28A4"/>
    <w:rsid w:val="007A2A69"/>
    <w:rsid w:val="007A2A6F"/>
    <w:rsid w:val="007A39D3"/>
    <w:rsid w:val="007A3BDD"/>
    <w:rsid w:val="007A3D3F"/>
    <w:rsid w:val="007A3E4D"/>
    <w:rsid w:val="007A4506"/>
    <w:rsid w:val="007A4BE7"/>
    <w:rsid w:val="007A518D"/>
    <w:rsid w:val="007A57AE"/>
    <w:rsid w:val="007A6C29"/>
    <w:rsid w:val="007A6E20"/>
    <w:rsid w:val="007A6FD8"/>
    <w:rsid w:val="007A7136"/>
    <w:rsid w:val="007A73DA"/>
    <w:rsid w:val="007A7498"/>
    <w:rsid w:val="007A74B2"/>
    <w:rsid w:val="007A7C64"/>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3057"/>
    <w:rsid w:val="007B4597"/>
    <w:rsid w:val="007B47A0"/>
    <w:rsid w:val="007B5174"/>
    <w:rsid w:val="007B5336"/>
    <w:rsid w:val="007B55C5"/>
    <w:rsid w:val="007B57D2"/>
    <w:rsid w:val="007B5E43"/>
    <w:rsid w:val="007B5F3C"/>
    <w:rsid w:val="007B5F62"/>
    <w:rsid w:val="007B6CC6"/>
    <w:rsid w:val="007B6F4D"/>
    <w:rsid w:val="007B70FB"/>
    <w:rsid w:val="007B72CD"/>
    <w:rsid w:val="007B74DB"/>
    <w:rsid w:val="007B7566"/>
    <w:rsid w:val="007C0482"/>
    <w:rsid w:val="007C123C"/>
    <w:rsid w:val="007C1637"/>
    <w:rsid w:val="007C1DC9"/>
    <w:rsid w:val="007C20FE"/>
    <w:rsid w:val="007C2343"/>
    <w:rsid w:val="007C24BB"/>
    <w:rsid w:val="007C2678"/>
    <w:rsid w:val="007C277D"/>
    <w:rsid w:val="007C3435"/>
    <w:rsid w:val="007C35A9"/>
    <w:rsid w:val="007C360B"/>
    <w:rsid w:val="007C376A"/>
    <w:rsid w:val="007C3888"/>
    <w:rsid w:val="007C4A77"/>
    <w:rsid w:val="007C4AC1"/>
    <w:rsid w:val="007C4ACA"/>
    <w:rsid w:val="007C55A5"/>
    <w:rsid w:val="007C55BE"/>
    <w:rsid w:val="007C5AB5"/>
    <w:rsid w:val="007C62D0"/>
    <w:rsid w:val="007C766F"/>
    <w:rsid w:val="007C7AD6"/>
    <w:rsid w:val="007C7C59"/>
    <w:rsid w:val="007C7DC7"/>
    <w:rsid w:val="007D03B3"/>
    <w:rsid w:val="007D0816"/>
    <w:rsid w:val="007D0F3B"/>
    <w:rsid w:val="007D15F0"/>
    <w:rsid w:val="007D178B"/>
    <w:rsid w:val="007D1B64"/>
    <w:rsid w:val="007D1F73"/>
    <w:rsid w:val="007D22CE"/>
    <w:rsid w:val="007D2C50"/>
    <w:rsid w:val="007D33FA"/>
    <w:rsid w:val="007D3A86"/>
    <w:rsid w:val="007D3B12"/>
    <w:rsid w:val="007D3BC5"/>
    <w:rsid w:val="007D40F5"/>
    <w:rsid w:val="007D46D8"/>
    <w:rsid w:val="007D4892"/>
    <w:rsid w:val="007D48E9"/>
    <w:rsid w:val="007D4A1A"/>
    <w:rsid w:val="007D4D44"/>
    <w:rsid w:val="007D53CB"/>
    <w:rsid w:val="007D561F"/>
    <w:rsid w:val="007D5857"/>
    <w:rsid w:val="007D5BB4"/>
    <w:rsid w:val="007D5E4F"/>
    <w:rsid w:val="007D6246"/>
    <w:rsid w:val="007D68DB"/>
    <w:rsid w:val="007D6E43"/>
    <w:rsid w:val="007D6F86"/>
    <w:rsid w:val="007D72CB"/>
    <w:rsid w:val="007D72EB"/>
    <w:rsid w:val="007D7CDD"/>
    <w:rsid w:val="007E08C9"/>
    <w:rsid w:val="007E0F8F"/>
    <w:rsid w:val="007E13A8"/>
    <w:rsid w:val="007E2236"/>
    <w:rsid w:val="007E296A"/>
    <w:rsid w:val="007E2A9F"/>
    <w:rsid w:val="007E317C"/>
    <w:rsid w:val="007E3456"/>
    <w:rsid w:val="007E35D0"/>
    <w:rsid w:val="007E3A03"/>
    <w:rsid w:val="007E3E82"/>
    <w:rsid w:val="007E44F9"/>
    <w:rsid w:val="007E47D5"/>
    <w:rsid w:val="007E4C3C"/>
    <w:rsid w:val="007E502A"/>
    <w:rsid w:val="007E5268"/>
    <w:rsid w:val="007E53AF"/>
    <w:rsid w:val="007E5ED9"/>
    <w:rsid w:val="007E5EDC"/>
    <w:rsid w:val="007E6646"/>
    <w:rsid w:val="007E67D9"/>
    <w:rsid w:val="007E6C51"/>
    <w:rsid w:val="007E7232"/>
    <w:rsid w:val="007E72AB"/>
    <w:rsid w:val="007E7E0F"/>
    <w:rsid w:val="007F0378"/>
    <w:rsid w:val="007F0684"/>
    <w:rsid w:val="007F06B6"/>
    <w:rsid w:val="007F06E8"/>
    <w:rsid w:val="007F0AF8"/>
    <w:rsid w:val="007F1933"/>
    <w:rsid w:val="007F1B94"/>
    <w:rsid w:val="007F1F1C"/>
    <w:rsid w:val="007F219A"/>
    <w:rsid w:val="007F35B8"/>
    <w:rsid w:val="007F3A71"/>
    <w:rsid w:val="007F3D80"/>
    <w:rsid w:val="007F3F16"/>
    <w:rsid w:val="007F4906"/>
    <w:rsid w:val="007F4981"/>
    <w:rsid w:val="007F507E"/>
    <w:rsid w:val="007F6340"/>
    <w:rsid w:val="007F65DB"/>
    <w:rsid w:val="007F6761"/>
    <w:rsid w:val="007F6BC4"/>
    <w:rsid w:val="007F70D4"/>
    <w:rsid w:val="007F76B6"/>
    <w:rsid w:val="007F7ABF"/>
    <w:rsid w:val="0080073F"/>
    <w:rsid w:val="00801607"/>
    <w:rsid w:val="00801713"/>
    <w:rsid w:val="0080176E"/>
    <w:rsid w:val="00801B94"/>
    <w:rsid w:val="00801CB1"/>
    <w:rsid w:val="008026A2"/>
    <w:rsid w:val="00802A50"/>
    <w:rsid w:val="00802AA7"/>
    <w:rsid w:val="00802B6F"/>
    <w:rsid w:val="008038AE"/>
    <w:rsid w:val="00803AAC"/>
    <w:rsid w:val="00803ACE"/>
    <w:rsid w:val="00805834"/>
    <w:rsid w:val="00805B99"/>
    <w:rsid w:val="00805D3E"/>
    <w:rsid w:val="008065B9"/>
    <w:rsid w:val="00806E9B"/>
    <w:rsid w:val="00807090"/>
    <w:rsid w:val="00807926"/>
    <w:rsid w:val="00807A15"/>
    <w:rsid w:val="00807AB5"/>
    <w:rsid w:val="008100A2"/>
    <w:rsid w:val="008107F5"/>
    <w:rsid w:val="00810A75"/>
    <w:rsid w:val="00810D27"/>
    <w:rsid w:val="00810E30"/>
    <w:rsid w:val="00810ED7"/>
    <w:rsid w:val="00811057"/>
    <w:rsid w:val="0081169E"/>
    <w:rsid w:val="008123D4"/>
    <w:rsid w:val="00812B2D"/>
    <w:rsid w:val="00813AEB"/>
    <w:rsid w:val="00814049"/>
    <w:rsid w:val="00814CAD"/>
    <w:rsid w:val="00814CEC"/>
    <w:rsid w:val="0081580E"/>
    <w:rsid w:val="00815914"/>
    <w:rsid w:val="00815BB1"/>
    <w:rsid w:val="0081623E"/>
    <w:rsid w:val="00817D96"/>
    <w:rsid w:val="00817E6F"/>
    <w:rsid w:val="00817F9A"/>
    <w:rsid w:val="00820896"/>
    <w:rsid w:val="00821A07"/>
    <w:rsid w:val="008227FA"/>
    <w:rsid w:val="008229A2"/>
    <w:rsid w:val="00823352"/>
    <w:rsid w:val="0082443D"/>
    <w:rsid w:val="00824A9E"/>
    <w:rsid w:val="00824E44"/>
    <w:rsid w:val="00825ED1"/>
    <w:rsid w:val="00825EDB"/>
    <w:rsid w:val="00825F58"/>
    <w:rsid w:val="008264EB"/>
    <w:rsid w:val="008266E6"/>
    <w:rsid w:val="008268CF"/>
    <w:rsid w:val="00826DEF"/>
    <w:rsid w:val="008270EE"/>
    <w:rsid w:val="00827497"/>
    <w:rsid w:val="008275A9"/>
    <w:rsid w:val="0083026B"/>
    <w:rsid w:val="008307F9"/>
    <w:rsid w:val="00830845"/>
    <w:rsid w:val="0083098F"/>
    <w:rsid w:val="008309E1"/>
    <w:rsid w:val="00831472"/>
    <w:rsid w:val="008327F0"/>
    <w:rsid w:val="008329FF"/>
    <w:rsid w:val="00832ECB"/>
    <w:rsid w:val="0083302B"/>
    <w:rsid w:val="00833511"/>
    <w:rsid w:val="00833526"/>
    <w:rsid w:val="008340EC"/>
    <w:rsid w:val="00834B47"/>
    <w:rsid w:val="00835459"/>
    <w:rsid w:val="00836259"/>
    <w:rsid w:val="00836E1B"/>
    <w:rsid w:val="0083793C"/>
    <w:rsid w:val="00837C92"/>
    <w:rsid w:val="00837F0F"/>
    <w:rsid w:val="00837FEE"/>
    <w:rsid w:val="008416E5"/>
    <w:rsid w:val="00841A00"/>
    <w:rsid w:val="00841E3A"/>
    <w:rsid w:val="0084210C"/>
    <w:rsid w:val="00842BBA"/>
    <w:rsid w:val="00842D41"/>
    <w:rsid w:val="00842E56"/>
    <w:rsid w:val="00843029"/>
    <w:rsid w:val="00843420"/>
    <w:rsid w:val="00843B5D"/>
    <w:rsid w:val="00843F87"/>
    <w:rsid w:val="008447D4"/>
    <w:rsid w:val="0084506C"/>
    <w:rsid w:val="008454BD"/>
    <w:rsid w:val="008463F3"/>
    <w:rsid w:val="00846509"/>
    <w:rsid w:val="008467D3"/>
    <w:rsid w:val="00846845"/>
    <w:rsid w:val="00846D76"/>
    <w:rsid w:val="00847650"/>
    <w:rsid w:val="008476DC"/>
    <w:rsid w:val="00847829"/>
    <w:rsid w:val="008479B1"/>
    <w:rsid w:val="0085005F"/>
    <w:rsid w:val="008500F5"/>
    <w:rsid w:val="0085062F"/>
    <w:rsid w:val="00851307"/>
    <w:rsid w:val="008515B1"/>
    <w:rsid w:val="00851C40"/>
    <w:rsid w:val="00852508"/>
    <w:rsid w:val="00852578"/>
    <w:rsid w:val="00852E5B"/>
    <w:rsid w:val="0085323E"/>
    <w:rsid w:val="008535EB"/>
    <w:rsid w:val="00853677"/>
    <w:rsid w:val="00853A88"/>
    <w:rsid w:val="00853ACD"/>
    <w:rsid w:val="00853ACF"/>
    <w:rsid w:val="00853F1F"/>
    <w:rsid w:val="008544D3"/>
    <w:rsid w:val="00855089"/>
    <w:rsid w:val="008558A1"/>
    <w:rsid w:val="00855A1E"/>
    <w:rsid w:val="00855DEB"/>
    <w:rsid w:val="0085642F"/>
    <w:rsid w:val="008573AF"/>
    <w:rsid w:val="008573F8"/>
    <w:rsid w:val="00857645"/>
    <w:rsid w:val="00857D80"/>
    <w:rsid w:val="008602FC"/>
    <w:rsid w:val="00860989"/>
    <w:rsid w:val="00860CF9"/>
    <w:rsid w:val="008614A8"/>
    <w:rsid w:val="008622D3"/>
    <w:rsid w:val="0086268A"/>
    <w:rsid w:val="008627D9"/>
    <w:rsid w:val="00862EE5"/>
    <w:rsid w:val="00863626"/>
    <w:rsid w:val="008639A2"/>
    <w:rsid w:val="00863BBB"/>
    <w:rsid w:val="008640FD"/>
    <w:rsid w:val="0086426C"/>
    <w:rsid w:val="008644D5"/>
    <w:rsid w:val="0086564F"/>
    <w:rsid w:val="00865681"/>
    <w:rsid w:val="00865C9A"/>
    <w:rsid w:val="00866618"/>
    <w:rsid w:val="00867578"/>
    <w:rsid w:val="00867B6B"/>
    <w:rsid w:val="00867FDD"/>
    <w:rsid w:val="0087000F"/>
    <w:rsid w:val="00870788"/>
    <w:rsid w:val="00870923"/>
    <w:rsid w:val="00870A8A"/>
    <w:rsid w:val="00870AFC"/>
    <w:rsid w:val="00870F67"/>
    <w:rsid w:val="00870F6E"/>
    <w:rsid w:val="008715CC"/>
    <w:rsid w:val="00872589"/>
    <w:rsid w:val="00872770"/>
    <w:rsid w:val="00873125"/>
    <w:rsid w:val="008731F2"/>
    <w:rsid w:val="00873754"/>
    <w:rsid w:val="00873CF3"/>
    <w:rsid w:val="008752FC"/>
    <w:rsid w:val="0087591B"/>
    <w:rsid w:val="00875FA4"/>
    <w:rsid w:val="008763C8"/>
    <w:rsid w:val="0087656D"/>
    <w:rsid w:val="0087672D"/>
    <w:rsid w:val="008779E9"/>
    <w:rsid w:val="00877D2C"/>
    <w:rsid w:val="00877D6E"/>
    <w:rsid w:val="00877E35"/>
    <w:rsid w:val="0088014E"/>
    <w:rsid w:val="00880AA4"/>
    <w:rsid w:val="00880BAB"/>
    <w:rsid w:val="008817FF"/>
    <w:rsid w:val="0088239C"/>
    <w:rsid w:val="00882745"/>
    <w:rsid w:val="008828F7"/>
    <w:rsid w:val="00882946"/>
    <w:rsid w:val="00882A65"/>
    <w:rsid w:val="00882C4D"/>
    <w:rsid w:val="00882D67"/>
    <w:rsid w:val="00882E58"/>
    <w:rsid w:val="0088318D"/>
    <w:rsid w:val="008835B1"/>
    <w:rsid w:val="00883B3F"/>
    <w:rsid w:val="00884A91"/>
    <w:rsid w:val="008851BE"/>
    <w:rsid w:val="00885538"/>
    <w:rsid w:val="00886188"/>
    <w:rsid w:val="0088651F"/>
    <w:rsid w:val="00886632"/>
    <w:rsid w:val="00886922"/>
    <w:rsid w:val="00887063"/>
    <w:rsid w:val="00887798"/>
    <w:rsid w:val="0088796B"/>
    <w:rsid w:val="00887D83"/>
    <w:rsid w:val="00887F1B"/>
    <w:rsid w:val="008900CF"/>
    <w:rsid w:val="008903F8"/>
    <w:rsid w:val="00890709"/>
    <w:rsid w:val="00891AE3"/>
    <w:rsid w:val="00891C10"/>
    <w:rsid w:val="00891D67"/>
    <w:rsid w:val="00892165"/>
    <w:rsid w:val="008922CF"/>
    <w:rsid w:val="008923D1"/>
    <w:rsid w:val="008925B9"/>
    <w:rsid w:val="00892AEE"/>
    <w:rsid w:val="008937AC"/>
    <w:rsid w:val="008937CB"/>
    <w:rsid w:val="00893FF7"/>
    <w:rsid w:val="0089427B"/>
    <w:rsid w:val="008942A5"/>
    <w:rsid w:val="0089483C"/>
    <w:rsid w:val="00894A6B"/>
    <w:rsid w:val="00894A7F"/>
    <w:rsid w:val="00895DCC"/>
    <w:rsid w:val="00895E5A"/>
    <w:rsid w:val="008962BC"/>
    <w:rsid w:val="008973BA"/>
    <w:rsid w:val="00897502"/>
    <w:rsid w:val="00897602"/>
    <w:rsid w:val="00897855"/>
    <w:rsid w:val="008A03C3"/>
    <w:rsid w:val="008A0B6D"/>
    <w:rsid w:val="008A0E02"/>
    <w:rsid w:val="008A0E63"/>
    <w:rsid w:val="008A0F85"/>
    <w:rsid w:val="008A173F"/>
    <w:rsid w:val="008A1EFD"/>
    <w:rsid w:val="008A1F90"/>
    <w:rsid w:val="008A211F"/>
    <w:rsid w:val="008A2385"/>
    <w:rsid w:val="008A2790"/>
    <w:rsid w:val="008A2830"/>
    <w:rsid w:val="008A2C5D"/>
    <w:rsid w:val="008A30BD"/>
    <w:rsid w:val="008A3C32"/>
    <w:rsid w:val="008A3F1E"/>
    <w:rsid w:val="008A444A"/>
    <w:rsid w:val="008A46CB"/>
    <w:rsid w:val="008A4876"/>
    <w:rsid w:val="008A4F57"/>
    <w:rsid w:val="008A52CE"/>
    <w:rsid w:val="008A544C"/>
    <w:rsid w:val="008A574C"/>
    <w:rsid w:val="008A5BC7"/>
    <w:rsid w:val="008A67A1"/>
    <w:rsid w:val="008A6A25"/>
    <w:rsid w:val="008A720F"/>
    <w:rsid w:val="008A77BD"/>
    <w:rsid w:val="008A7949"/>
    <w:rsid w:val="008A7A03"/>
    <w:rsid w:val="008A7B45"/>
    <w:rsid w:val="008B0BA7"/>
    <w:rsid w:val="008B0E9B"/>
    <w:rsid w:val="008B103F"/>
    <w:rsid w:val="008B12FC"/>
    <w:rsid w:val="008B1C8C"/>
    <w:rsid w:val="008B1D7A"/>
    <w:rsid w:val="008B1E06"/>
    <w:rsid w:val="008B20A4"/>
    <w:rsid w:val="008B2F1A"/>
    <w:rsid w:val="008B31AD"/>
    <w:rsid w:val="008B331F"/>
    <w:rsid w:val="008B3A87"/>
    <w:rsid w:val="008B3C1F"/>
    <w:rsid w:val="008B3D7A"/>
    <w:rsid w:val="008B4243"/>
    <w:rsid w:val="008B47F4"/>
    <w:rsid w:val="008B4953"/>
    <w:rsid w:val="008B4E19"/>
    <w:rsid w:val="008B4F72"/>
    <w:rsid w:val="008B58E4"/>
    <w:rsid w:val="008B5A61"/>
    <w:rsid w:val="008B5F58"/>
    <w:rsid w:val="008B6190"/>
    <w:rsid w:val="008B6367"/>
    <w:rsid w:val="008B63AD"/>
    <w:rsid w:val="008B6939"/>
    <w:rsid w:val="008B6A05"/>
    <w:rsid w:val="008B6ADB"/>
    <w:rsid w:val="008B7546"/>
    <w:rsid w:val="008B75A5"/>
    <w:rsid w:val="008B7ECB"/>
    <w:rsid w:val="008C0557"/>
    <w:rsid w:val="008C0771"/>
    <w:rsid w:val="008C0845"/>
    <w:rsid w:val="008C12D2"/>
    <w:rsid w:val="008C1779"/>
    <w:rsid w:val="008C1DC1"/>
    <w:rsid w:val="008C287C"/>
    <w:rsid w:val="008C28B3"/>
    <w:rsid w:val="008C3591"/>
    <w:rsid w:val="008C3982"/>
    <w:rsid w:val="008C3A88"/>
    <w:rsid w:val="008C3AC1"/>
    <w:rsid w:val="008C3D73"/>
    <w:rsid w:val="008C41CD"/>
    <w:rsid w:val="008C482E"/>
    <w:rsid w:val="008C4E96"/>
    <w:rsid w:val="008C4EB8"/>
    <w:rsid w:val="008C4FFE"/>
    <w:rsid w:val="008C51AD"/>
    <w:rsid w:val="008C5A8B"/>
    <w:rsid w:val="008C61B0"/>
    <w:rsid w:val="008C6E3D"/>
    <w:rsid w:val="008C6FD3"/>
    <w:rsid w:val="008C70EB"/>
    <w:rsid w:val="008C71DE"/>
    <w:rsid w:val="008C7C23"/>
    <w:rsid w:val="008C7FA7"/>
    <w:rsid w:val="008D0E8E"/>
    <w:rsid w:val="008D155D"/>
    <w:rsid w:val="008D15E6"/>
    <w:rsid w:val="008D229E"/>
    <w:rsid w:val="008D24C5"/>
    <w:rsid w:val="008D24FA"/>
    <w:rsid w:val="008D2F91"/>
    <w:rsid w:val="008D36D2"/>
    <w:rsid w:val="008D3E05"/>
    <w:rsid w:val="008D3FE4"/>
    <w:rsid w:val="008D415F"/>
    <w:rsid w:val="008D463D"/>
    <w:rsid w:val="008D536E"/>
    <w:rsid w:val="008D5506"/>
    <w:rsid w:val="008D56FD"/>
    <w:rsid w:val="008D5C9A"/>
    <w:rsid w:val="008D5D6F"/>
    <w:rsid w:val="008D5DAB"/>
    <w:rsid w:val="008D6641"/>
    <w:rsid w:val="008D6847"/>
    <w:rsid w:val="008D6968"/>
    <w:rsid w:val="008D6C68"/>
    <w:rsid w:val="008D71F3"/>
    <w:rsid w:val="008D746A"/>
    <w:rsid w:val="008D7640"/>
    <w:rsid w:val="008D7AFD"/>
    <w:rsid w:val="008D7DEB"/>
    <w:rsid w:val="008D7E3E"/>
    <w:rsid w:val="008D7EA6"/>
    <w:rsid w:val="008E0029"/>
    <w:rsid w:val="008E01BA"/>
    <w:rsid w:val="008E0219"/>
    <w:rsid w:val="008E03B3"/>
    <w:rsid w:val="008E054A"/>
    <w:rsid w:val="008E08F2"/>
    <w:rsid w:val="008E0DE2"/>
    <w:rsid w:val="008E0EF1"/>
    <w:rsid w:val="008E19E9"/>
    <w:rsid w:val="008E1A0B"/>
    <w:rsid w:val="008E1CA4"/>
    <w:rsid w:val="008E22E0"/>
    <w:rsid w:val="008E260B"/>
    <w:rsid w:val="008E2BCC"/>
    <w:rsid w:val="008E3682"/>
    <w:rsid w:val="008E3958"/>
    <w:rsid w:val="008E52E7"/>
    <w:rsid w:val="008E53DB"/>
    <w:rsid w:val="008E5A4E"/>
    <w:rsid w:val="008E6282"/>
    <w:rsid w:val="008E646A"/>
    <w:rsid w:val="008E6D37"/>
    <w:rsid w:val="008E6F52"/>
    <w:rsid w:val="008E6F6B"/>
    <w:rsid w:val="008E712B"/>
    <w:rsid w:val="008E7155"/>
    <w:rsid w:val="008E71FB"/>
    <w:rsid w:val="008E7365"/>
    <w:rsid w:val="008E78ED"/>
    <w:rsid w:val="008F0248"/>
    <w:rsid w:val="008F07B8"/>
    <w:rsid w:val="008F0932"/>
    <w:rsid w:val="008F0945"/>
    <w:rsid w:val="008F0A86"/>
    <w:rsid w:val="008F0EF5"/>
    <w:rsid w:val="008F1238"/>
    <w:rsid w:val="008F14CA"/>
    <w:rsid w:val="008F257A"/>
    <w:rsid w:val="008F2A47"/>
    <w:rsid w:val="008F35D9"/>
    <w:rsid w:val="008F3793"/>
    <w:rsid w:val="008F3F41"/>
    <w:rsid w:val="008F438C"/>
    <w:rsid w:val="008F43D6"/>
    <w:rsid w:val="008F45BC"/>
    <w:rsid w:val="008F49F3"/>
    <w:rsid w:val="008F525C"/>
    <w:rsid w:val="008F5309"/>
    <w:rsid w:val="008F540C"/>
    <w:rsid w:val="008F6060"/>
    <w:rsid w:val="008F61B8"/>
    <w:rsid w:val="008F6426"/>
    <w:rsid w:val="008F6B8B"/>
    <w:rsid w:val="0090097F"/>
    <w:rsid w:val="00900D92"/>
    <w:rsid w:val="0090146E"/>
    <w:rsid w:val="009015F4"/>
    <w:rsid w:val="009017C8"/>
    <w:rsid w:val="00901E4D"/>
    <w:rsid w:val="0090296B"/>
    <w:rsid w:val="00903424"/>
    <w:rsid w:val="00904206"/>
    <w:rsid w:val="0090441B"/>
    <w:rsid w:val="00905456"/>
    <w:rsid w:val="00905C75"/>
    <w:rsid w:val="0090621C"/>
    <w:rsid w:val="00906618"/>
    <w:rsid w:val="00906BB6"/>
    <w:rsid w:val="00906C4A"/>
    <w:rsid w:val="00907986"/>
    <w:rsid w:val="00907D90"/>
    <w:rsid w:val="00910078"/>
    <w:rsid w:val="009104AB"/>
    <w:rsid w:val="00910866"/>
    <w:rsid w:val="0091095D"/>
    <w:rsid w:val="00910E2C"/>
    <w:rsid w:val="009110AD"/>
    <w:rsid w:val="009111CC"/>
    <w:rsid w:val="009114FF"/>
    <w:rsid w:val="00911A79"/>
    <w:rsid w:val="00911D8B"/>
    <w:rsid w:val="00911DAD"/>
    <w:rsid w:val="00912464"/>
    <w:rsid w:val="009127CC"/>
    <w:rsid w:val="009132CE"/>
    <w:rsid w:val="009133DD"/>
    <w:rsid w:val="00914525"/>
    <w:rsid w:val="009151EB"/>
    <w:rsid w:val="00915465"/>
    <w:rsid w:val="009158B9"/>
    <w:rsid w:val="009160F5"/>
    <w:rsid w:val="0091620A"/>
    <w:rsid w:val="00916301"/>
    <w:rsid w:val="00916863"/>
    <w:rsid w:val="0091688E"/>
    <w:rsid w:val="00916F1E"/>
    <w:rsid w:val="00917458"/>
    <w:rsid w:val="00917CA8"/>
    <w:rsid w:val="0092096D"/>
    <w:rsid w:val="00920975"/>
    <w:rsid w:val="009217B9"/>
    <w:rsid w:val="00921D9C"/>
    <w:rsid w:val="00921E56"/>
    <w:rsid w:val="009221ED"/>
    <w:rsid w:val="0092259C"/>
    <w:rsid w:val="009234E2"/>
    <w:rsid w:val="00923EDA"/>
    <w:rsid w:val="009265F7"/>
    <w:rsid w:val="00926F12"/>
    <w:rsid w:val="009278EB"/>
    <w:rsid w:val="00927C90"/>
    <w:rsid w:val="00927DE3"/>
    <w:rsid w:val="00930591"/>
    <w:rsid w:val="00930609"/>
    <w:rsid w:val="00930B72"/>
    <w:rsid w:val="0093110E"/>
    <w:rsid w:val="0093122C"/>
    <w:rsid w:val="0093196E"/>
    <w:rsid w:val="00931A58"/>
    <w:rsid w:val="00932113"/>
    <w:rsid w:val="00932670"/>
    <w:rsid w:val="00932AD7"/>
    <w:rsid w:val="00932AFD"/>
    <w:rsid w:val="00932DAC"/>
    <w:rsid w:val="00932E71"/>
    <w:rsid w:val="009332E0"/>
    <w:rsid w:val="00934DE7"/>
    <w:rsid w:val="00935130"/>
    <w:rsid w:val="009352C5"/>
    <w:rsid w:val="00935534"/>
    <w:rsid w:val="0093562F"/>
    <w:rsid w:val="0093573A"/>
    <w:rsid w:val="009359EE"/>
    <w:rsid w:val="00935F61"/>
    <w:rsid w:val="009360BB"/>
    <w:rsid w:val="00936276"/>
    <w:rsid w:val="00936981"/>
    <w:rsid w:val="00936B1F"/>
    <w:rsid w:val="0093775C"/>
    <w:rsid w:val="00937887"/>
    <w:rsid w:val="009379F0"/>
    <w:rsid w:val="00937A67"/>
    <w:rsid w:val="00937BEC"/>
    <w:rsid w:val="0094055F"/>
    <w:rsid w:val="00940757"/>
    <w:rsid w:val="00941A0C"/>
    <w:rsid w:val="00941A8A"/>
    <w:rsid w:val="00941FF5"/>
    <w:rsid w:val="00942B2E"/>
    <w:rsid w:val="00942DF0"/>
    <w:rsid w:val="00943238"/>
    <w:rsid w:val="00943464"/>
    <w:rsid w:val="009434EB"/>
    <w:rsid w:val="00943572"/>
    <w:rsid w:val="00943CFE"/>
    <w:rsid w:val="00943F96"/>
    <w:rsid w:val="00943FA2"/>
    <w:rsid w:val="0094494D"/>
    <w:rsid w:val="00944BA5"/>
    <w:rsid w:val="00944E59"/>
    <w:rsid w:val="00944FD3"/>
    <w:rsid w:val="00945401"/>
    <w:rsid w:val="009456F4"/>
    <w:rsid w:val="009459F4"/>
    <w:rsid w:val="00945ABE"/>
    <w:rsid w:val="00945E58"/>
    <w:rsid w:val="00945F1C"/>
    <w:rsid w:val="00945F58"/>
    <w:rsid w:val="00946127"/>
    <w:rsid w:val="00946907"/>
    <w:rsid w:val="00947556"/>
    <w:rsid w:val="00947607"/>
    <w:rsid w:val="00950CAE"/>
    <w:rsid w:val="00951164"/>
    <w:rsid w:val="009512EC"/>
    <w:rsid w:val="00952E7D"/>
    <w:rsid w:val="0095315A"/>
    <w:rsid w:val="009534DD"/>
    <w:rsid w:val="009535C2"/>
    <w:rsid w:val="00953A73"/>
    <w:rsid w:val="0095432C"/>
    <w:rsid w:val="00954BB2"/>
    <w:rsid w:val="00954D5A"/>
    <w:rsid w:val="009551A8"/>
    <w:rsid w:val="00955665"/>
    <w:rsid w:val="00955C1A"/>
    <w:rsid w:val="00956984"/>
    <w:rsid w:val="009569BE"/>
    <w:rsid w:val="00956B6C"/>
    <w:rsid w:val="009578D7"/>
    <w:rsid w:val="00957932"/>
    <w:rsid w:val="00957B5B"/>
    <w:rsid w:val="009601CB"/>
    <w:rsid w:val="0096059A"/>
    <w:rsid w:val="0096081E"/>
    <w:rsid w:val="00960C64"/>
    <w:rsid w:val="00960D39"/>
    <w:rsid w:val="00960F7E"/>
    <w:rsid w:val="009611A5"/>
    <w:rsid w:val="00961279"/>
    <w:rsid w:val="0096193B"/>
    <w:rsid w:val="00961B25"/>
    <w:rsid w:val="009622A5"/>
    <w:rsid w:val="0096267A"/>
    <w:rsid w:val="009629FE"/>
    <w:rsid w:val="00963188"/>
    <w:rsid w:val="00963240"/>
    <w:rsid w:val="00963957"/>
    <w:rsid w:val="00963B82"/>
    <w:rsid w:val="00964475"/>
    <w:rsid w:val="00964A6E"/>
    <w:rsid w:val="00964FB4"/>
    <w:rsid w:val="009656A4"/>
    <w:rsid w:val="0096582E"/>
    <w:rsid w:val="00965DAE"/>
    <w:rsid w:val="009666BD"/>
    <w:rsid w:val="00966B91"/>
    <w:rsid w:val="00966BFB"/>
    <w:rsid w:val="00966FF8"/>
    <w:rsid w:val="0096749A"/>
    <w:rsid w:val="00967CDA"/>
    <w:rsid w:val="00970048"/>
    <w:rsid w:val="00971831"/>
    <w:rsid w:val="0097216D"/>
    <w:rsid w:val="00972D8F"/>
    <w:rsid w:val="00973C2B"/>
    <w:rsid w:val="0097437B"/>
    <w:rsid w:val="0097441E"/>
    <w:rsid w:val="00975990"/>
    <w:rsid w:val="00975FB0"/>
    <w:rsid w:val="009762C7"/>
    <w:rsid w:val="0097670F"/>
    <w:rsid w:val="00976C61"/>
    <w:rsid w:val="0097710C"/>
    <w:rsid w:val="009803EC"/>
    <w:rsid w:val="00980DC7"/>
    <w:rsid w:val="00981215"/>
    <w:rsid w:val="009812AC"/>
    <w:rsid w:val="009812FC"/>
    <w:rsid w:val="009813BF"/>
    <w:rsid w:val="009816E3"/>
    <w:rsid w:val="009819CD"/>
    <w:rsid w:val="00981AC2"/>
    <w:rsid w:val="00982032"/>
    <w:rsid w:val="009824DD"/>
    <w:rsid w:val="00982C0D"/>
    <w:rsid w:val="009834ED"/>
    <w:rsid w:val="00983D98"/>
    <w:rsid w:val="009844B4"/>
    <w:rsid w:val="0098453B"/>
    <w:rsid w:val="0098461D"/>
    <w:rsid w:val="009849BE"/>
    <w:rsid w:val="00984BB9"/>
    <w:rsid w:val="00984D82"/>
    <w:rsid w:val="0098572B"/>
    <w:rsid w:val="00985CDA"/>
    <w:rsid w:val="0098603A"/>
    <w:rsid w:val="00986137"/>
    <w:rsid w:val="00986B96"/>
    <w:rsid w:val="0098740B"/>
    <w:rsid w:val="00987506"/>
    <w:rsid w:val="00987512"/>
    <w:rsid w:val="00987C6F"/>
    <w:rsid w:val="00990117"/>
    <w:rsid w:val="0099018C"/>
    <w:rsid w:val="00990708"/>
    <w:rsid w:val="00990718"/>
    <w:rsid w:val="00990C3D"/>
    <w:rsid w:val="00991269"/>
    <w:rsid w:val="0099199D"/>
    <w:rsid w:val="00991B9A"/>
    <w:rsid w:val="0099238D"/>
    <w:rsid w:val="0099242C"/>
    <w:rsid w:val="00992837"/>
    <w:rsid w:val="00992A01"/>
    <w:rsid w:val="00993499"/>
    <w:rsid w:val="009934DB"/>
    <w:rsid w:val="009939CB"/>
    <w:rsid w:val="00993D95"/>
    <w:rsid w:val="009945C0"/>
    <w:rsid w:val="009948FE"/>
    <w:rsid w:val="009949AE"/>
    <w:rsid w:val="00994D3D"/>
    <w:rsid w:val="00995267"/>
    <w:rsid w:val="009952F4"/>
    <w:rsid w:val="00995756"/>
    <w:rsid w:val="00995B8C"/>
    <w:rsid w:val="00995E08"/>
    <w:rsid w:val="00996468"/>
    <w:rsid w:val="009966AD"/>
    <w:rsid w:val="009967AF"/>
    <w:rsid w:val="00997125"/>
    <w:rsid w:val="00997F39"/>
    <w:rsid w:val="009A0208"/>
    <w:rsid w:val="009A03AC"/>
    <w:rsid w:val="009A0B05"/>
    <w:rsid w:val="009A0BE4"/>
    <w:rsid w:val="009A1089"/>
    <w:rsid w:val="009A1B80"/>
    <w:rsid w:val="009A1D3F"/>
    <w:rsid w:val="009A1F44"/>
    <w:rsid w:val="009A21EE"/>
    <w:rsid w:val="009A24A0"/>
    <w:rsid w:val="009A253B"/>
    <w:rsid w:val="009A3205"/>
    <w:rsid w:val="009A346F"/>
    <w:rsid w:val="009A3C6E"/>
    <w:rsid w:val="009A3CC7"/>
    <w:rsid w:val="009A3DA2"/>
    <w:rsid w:val="009A49BD"/>
    <w:rsid w:val="009A640C"/>
    <w:rsid w:val="009A671A"/>
    <w:rsid w:val="009A6A04"/>
    <w:rsid w:val="009A6A34"/>
    <w:rsid w:val="009A78A6"/>
    <w:rsid w:val="009A7BB0"/>
    <w:rsid w:val="009B01AE"/>
    <w:rsid w:val="009B04F2"/>
    <w:rsid w:val="009B0A43"/>
    <w:rsid w:val="009B0EAE"/>
    <w:rsid w:val="009B123D"/>
    <w:rsid w:val="009B12D4"/>
    <w:rsid w:val="009B1C1B"/>
    <w:rsid w:val="009B1E55"/>
    <w:rsid w:val="009B1FF8"/>
    <w:rsid w:val="009B22AC"/>
    <w:rsid w:val="009B35BF"/>
    <w:rsid w:val="009B4C28"/>
    <w:rsid w:val="009B4C3E"/>
    <w:rsid w:val="009B4D2F"/>
    <w:rsid w:val="009B5038"/>
    <w:rsid w:val="009B56BE"/>
    <w:rsid w:val="009B573C"/>
    <w:rsid w:val="009B6071"/>
    <w:rsid w:val="009B6509"/>
    <w:rsid w:val="009B6E0F"/>
    <w:rsid w:val="009B6EF9"/>
    <w:rsid w:val="009B7356"/>
    <w:rsid w:val="009B78A7"/>
    <w:rsid w:val="009B7A8A"/>
    <w:rsid w:val="009C03A2"/>
    <w:rsid w:val="009C099B"/>
    <w:rsid w:val="009C0B86"/>
    <w:rsid w:val="009C113F"/>
    <w:rsid w:val="009C1832"/>
    <w:rsid w:val="009C1ADB"/>
    <w:rsid w:val="009C37BF"/>
    <w:rsid w:val="009C398A"/>
    <w:rsid w:val="009C39D9"/>
    <w:rsid w:val="009C407C"/>
    <w:rsid w:val="009C4676"/>
    <w:rsid w:val="009C4ADF"/>
    <w:rsid w:val="009C576C"/>
    <w:rsid w:val="009C5BB9"/>
    <w:rsid w:val="009C5FC3"/>
    <w:rsid w:val="009C60E9"/>
    <w:rsid w:val="009C6629"/>
    <w:rsid w:val="009C7231"/>
    <w:rsid w:val="009C7896"/>
    <w:rsid w:val="009C7E85"/>
    <w:rsid w:val="009D014A"/>
    <w:rsid w:val="009D0530"/>
    <w:rsid w:val="009D0C23"/>
    <w:rsid w:val="009D0CF4"/>
    <w:rsid w:val="009D0D52"/>
    <w:rsid w:val="009D140A"/>
    <w:rsid w:val="009D1A74"/>
    <w:rsid w:val="009D1C65"/>
    <w:rsid w:val="009D2470"/>
    <w:rsid w:val="009D2B87"/>
    <w:rsid w:val="009D2C76"/>
    <w:rsid w:val="009D2CDC"/>
    <w:rsid w:val="009D3079"/>
    <w:rsid w:val="009D39E1"/>
    <w:rsid w:val="009D3D90"/>
    <w:rsid w:val="009D4060"/>
    <w:rsid w:val="009D43C4"/>
    <w:rsid w:val="009D4AF8"/>
    <w:rsid w:val="009D4C5D"/>
    <w:rsid w:val="009D5B6B"/>
    <w:rsid w:val="009D645F"/>
    <w:rsid w:val="009D6D3F"/>
    <w:rsid w:val="009D7410"/>
    <w:rsid w:val="009D7601"/>
    <w:rsid w:val="009D7622"/>
    <w:rsid w:val="009E055D"/>
    <w:rsid w:val="009E09DF"/>
    <w:rsid w:val="009E0BE2"/>
    <w:rsid w:val="009E137C"/>
    <w:rsid w:val="009E188B"/>
    <w:rsid w:val="009E1908"/>
    <w:rsid w:val="009E2463"/>
    <w:rsid w:val="009E262E"/>
    <w:rsid w:val="009E2B4C"/>
    <w:rsid w:val="009E2C55"/>
    <w:rsid w:val="009E2E3F"/>
    <w:rsid w:val="009E2FAC"/>
    <w:rsid w:val="009E44A4"/>
    <w:rsid w:val="009E4A34"/>
    <w:rsid w:val="009E4E3B"/>
    <w:rsid w:val="009E59F4"/>
    <w:rsid w:val="009E5A96"/>
    <w:rsid w:val="009E5DD3"/>
    <w:rsid w:val="009E5EDA"/>
    <w:rsid w:val="009E61B0"/>
    <w:rsid w:val="009E622E"/>
    <w:rsid w:val="009E6387"/>
    <w:rsid w:val="009E63F0"/>
    <w:rsid w:val="009E7209"/>
    <w:rsid w:val="009E760A"/>
    <w:rsid w:val="009E7BCD"/>
    <w:rsid w:val="009E7BFC"/>
    <w:rsid w:val="009F012F"/>
    <w:rsid w:val="009F0217"/>
    <w:rsid w:val="009F05AC"/>
    <w:rsid w:val="009F0707"/>
    <w:rsid w:val="009F086C"/>
    <w:rsid w:val="009F09BE"/>
    <w:rsid w:val="009F1191"/>
    <w:rsid w:val="009F1443"/>
    <w:rsid w:val="009F1448"/>
    <w:rsid w:val="009F1778"/>
    <w:rsid w:val="009F1949"/>
    <w:rsid w:val="009F1EEE"/>
    <w:rsid w:val="009F1F3F"/>
    <w:rsid w:val="009F2131"/>
    <w:rsid w:val="009F239C"/>
    <w:rsid w:val="009F2E88"/>
    <w:rsid w:val="009F39A1"/>
    <w:rsid w:val="009F3FE4"/>
    <w:rsid w:val="009F43DD"/>
    <w:rsid w:val="009F4825"/>
    <w:rsid w:val="009F49FF"/>
    <w:rsid w:val="009F5CE6"/>
    <w:rsid w:val="009F6041"/>
    <w:rsid w:val="009F60E0"/>
    <w:rsid w:val="009F68A3"/>
    <w:rsid w:val="009F6B75"/>
    <w:rsid w:val="009F6F3D"/>
    <w:rsid w:val="009F71FD"/>
    <w:rsid w:val="009F74DB"/>
    <w:rsid w:val="009F77DF"/>
    <w:rsid w:val="009F7813"/>
    <w:rsid w:val="009F7F8E"/>
    <w:rsid w:val="00A00221"/>
    <w:rsid w:val="00A00437"/>
    <w:rsid w:val="00A00792"/>
    <w:rsid w:val="00A00BCB"/>
    <w:rsid w:val="00A00DDA"/>
    <w:rsid w:val="00A01385"/>
    <w:rsid w:val="00A01B9D"/>
    <w:rsid w:val="00A0201C"/>
    <w:rsid w:val="00A02C0A"/>
    <w:rsid w:val="00A03068"/>
    <w:rsid w:val="00A03652"/>
    <w:rsid w:val="00A03A2A"/>
    <w:rsid w:val="00A03E4B"/>
    <w:rsid w:val="00A042BE"/>
    <w:rsid w:val="00A047DA"/>
    <w:rsid w:val="00A0480E"/>
    <w:rsid w:val="00A04844"/>
    <w:rsid w:val="00A04982"/>
    <w:rsid w:val="00A051EA"/>
    <w:rsid w:val="00A05464"/>
    <w:rsid w:val="00A05CA6"/>
    <w:rsid w:val="00A05CF4"/>
    <w:rsid w:val="00A06990"/>
    <w:rsid w:val="00A06ED8"/>
    <w:rsid w:val="00A06F9D"/>
    <w:rsid w:val="00A07570"/>
    <w:rsid w:val="00A10103"/>
    <w:rsid w:val="00A10BC9"/>
    <w:rsid w:val="00A11137"/>
    <w:rsid w:val="00A111EA"/>
    <w:rsid w:val="00A1135E"/>
    <w:rsid w:val="00A11447"/>
    <w:rsid w:val="00A11555"/>
    <w:rsid w:val="00A11B67"/>
    <w:rsid w:val="00A11DEE"/>
    <w:rsid w:val="00A127F8"/>
    <w:rsid w:val="00A12A38"/>
    <w:rsid w:val="00A12A97"/>
    <w:rsid w:val="00A12B28"/>
    <w:rsid w:val="00A1374B"/>
    <w:rsid w:val="00A13EAB"/>
    <w:rsid w:val="00A15545"/>
    <w:rsid w:val="00A1602B"/>
    <w:rsid w:val="00A162DF"/>
    <w:rsid w:val="00A16324"/>
    <w:rsid w:val="00A16FA7"/>
    <w:rsid w:val="00A17013"/>
    <w:rsid w:val="00A17AF1"/>
    <w:rsid w:val="00A17B4D"/>
    <w:rsid w:val="00A17B91"/>
    <w:rsid w:val="00A20220"/>
    <w:rsid w:val="00A2055E"/>
    <w:rsid w:val="00A20CAE"/>
    <w:rsid w:val="00A21676"/>
    <w:rsid w:val="00A21C7C"/>
    <w:rsid w:val="00A225DB"/>
    <w:rsid w:val="00A23269"/>
    <w:rsid w:val="00A23DCC"/>
    <w:rsid w:val="00A23F95"/>
    <w:rsid w:val="00A24090"/>
    <w:rsid w:val="00A24C51"/>
    <w:rsid w:val="00A252DC"/>
    <w:rsid w:val="00A256A9"/>
    <w:rsid w:val="00A25E6E"/>
    <w:rsid w:val="00A26159"/>
    <w:rsid w:val="00A26462"/>
    <w:rsid w:val="00A26700"/>
    <w:rsid w:val="00A26B21"/>
    <w:rsid w:val="00A274E2"/>
    <w:rsid w:val="00A27891"/>
    <w:rsid w:val="00A27A34"/>
    <w:rsid w:val="00A27BE4"/>
    <w:rsid w:val="00A27E94"/>
    <w:rsid w:val="00A301FD"/>
    <w:rsid w:val="00A30B97"/>
    <w:rsid w:val="00A31193"/>
    <w:rsid w:val="00A312FC"/>
    <w:rsid w:val="00A31F9A"/>
    <w:rsid w:val="00A31FF4"/>
    <w:rsid w:val="00A32429"/>
    <w:rsid w:val="00A3288D"/>
    <w:rsid w:val="00A3307A"/>
    <w:rsid w:val="00A33111"/>
    <w:rsid w:val="00A33A21"/>
    <w:rsid w:val="00A33A75"/>
    <w:rsid w:val="00A34BDA"/>
    <w:rsid w:val="00A358DC"/>
    <w:rsid w:val="00A362FE"/>
    <w:rsid w:val="00A36EC0"/>
    <w:rsid w:val="00A37357"/>
    <w:rsid w:val="00A374BC"/>
    <w:rsid w:val="00A375B5"/>
    <w:rsid w:val="00A37719"/>
    <w:rsid w:val="00A40089"/>
    <w:rsid w:val="00A4164A"/>
    <w:rsid w:val="00A41C3D"/>
    <w:rsid w:val="00A41F2E"/>
    <w:rsid w:val="00A432A0"/>
    <w:rsid w:val="00A4354B"/>
    <w:rsid w:val="00A43F0A"/>
    <w:rsid w:val="00A43FF9"/>
    <w:rsid w:val="00A44220"/>
    <w:rsid w:val="00A45207"/>
    <w:rsid w:val="00A45944"/>
    <w:rsid w:val="00A46305"/>
    <w:rsid w:val="00A465E9"/>
    <w:rsid w:val="00A468F2"/>
    <w:rsid w:val="00A46A4B"/>
    <w:rsid w:val="00A470C6"/>
    <w:rsid w:val="00A47774"/>
    <w:rsid w:val="00A47BC1"/>
    <w:rsid w:val="00A50713"/>
    <w:rsid w:val="00A5077D"/>
    <w:rsid w:val="00A50899"/>
    <w:rsid w:val="00A50D1E"/>
    <w:rsid w:val="00A51049"/>
    <w:rsid w:val="00A51084"/>
    <w:rsid w:val="00A512A2"/>
    <w:rsid w:val="00A5175F"/>
    <w:rsid w:val="00A51875"/>
    <w:rsid w:val="00A518F7"/>
    <w:rsid w:val="00A51A4B"/>
    <w:rsid w:val="00A5216F"/>
    <w:rsid w:val="00A52254"/>
    <w:rsid w:val="00A52401"/>
    <w:rsid w:val="00A5287D"/>
    <w:rsid w:val="00A529D4"/>
    <w:rsid w:val="00A54C42"/>
    <w:rsid w:val="00A550F7"/>
    <w:rsid w:val="00A55BF7"/>
    <w:rsid w:val="00A55F4F"/>
    <w:rsid w:val="00A55F9E"/>
    <w:rsid w:val="00A562BE"/>
    <w:rsid w:val="00A568ED"/>
    <w:rsid w:val="00A56A4F"/>
    <w:rsid w:val="00A56DDE"/>
    <w:rsid w:val="00A5773B"/>
    <w:rsid w:val="00A5787F"/>
    <w:rsid w:val="00A57E73"/>
    <w:rsid w:val="00A600F7"/>
    <w:rsid w:val="00A601FA"/>
    <w:rsid w:val="00A60436"/>
    <w:rsid w:val="00A6052E"/>
    <w:rsid w:val="00A60601"/>
    <w:rsid w:val="00A607D9"/>
    <w:rsid w:val="00A60C3A"/>
    <w:rsid w:val="00A61BD3"/>
    <w:rsid w:val="00A61C35"/>
    <w:rsid w:val="00A621B7"/>
    <w:rsid w:val="00A62DC7"/>
    <w:rsid w:val="00A62E23"/>
    <w:rsid w:val="00A63037"/>
    <w:rsid w:val="00A6323E"/>
    <w:rsid w:val="00A63277"/>
    <w:rsid w:val="00A638B4"/>
    <w:rsid w:val="00A63AF3"/>
    <w:rsid w:val="00A63C03"/>
    <w:rsid w:val="00A6419E"/>
    <w:rsid w:val="00A64E32"/>
    <w:rsid w:val="00A64E8C"/>
    <w:rsid w:val="00A64EF8"/>
    <w:rsid w:val="00A65CE4"/>
    <w:rsid w:val="00A65E01"/>
    <w:rsid w:val="00A6619D"/>
    <w:rsid w:val="00A664B6"/>
    <w:rsid w:val="00A6677B"/>
    <w:rsid w:val="00A66CE9"/>
    <w:rsid w:val="00A67D1C"/>
    <w:rsid w:val="00A702BB"/>
    <w:rsid w:val="00A70798"/>
    <w:rsid w:val="00A70BB5"/>
    <w:rsid w:val="00A70F1D"/>
    <w:rsid w:val="00A70FB9"/>
    <w:rsid w:val="00A70FE6"/>
    <w:rsid w:val="00A710AC"/>
    <w:rsid w:val="00A7177F"/>
    <w:rsid w:val="00A717AD"/>
    <w:rsid w:val="00A7186E"/>
    <w:rsid w:val="00A71CBF"/>
    <w:rsid w:val="00A71FC9"/>
    <w:rsid w:val="00A725DB"/>
    <w:rsid w:val="00A72980"/>
    <w:rsid w:val="00A729FA"/>
    <w:rsid w:val="00A72C03"/>
    <w:rsid w:val="00A733FB"/>
    <w:rsid w:val="00A73738"/>
    <w:rsid w:val="00A73D7C"/>
    <w:rsid w:val="00A73E8F"/>
    <w:rsid w:val="00A747DC"/>
    <w:rsid w:val="00A74D4E"/>
    <w:rsid w:val="00A74DFA"/>
    <w:rsid w:val="00A752A2"/>
    <w:rsid w:val="00A753BD"/>
    <w:rsid w:val="00A761EE"/>
    <w:rsid w:val="00A766DD"/>
    <w:rsid w:val="00A76A99"/>
    <w:rsid w:val="00A76B33"/>
    <w:rsid w:val="00A76FA4"/>
    <w:rsid w:val="00A777C4"/>
    <w:rsid w:val="00A77933"/>
    <w:rsid w:val="00A77F98"/>
    <w:rsid w:val="00A77FCB"/>
    <w:rsid w:val="00A80559"/>
    <w:rsid w:val="00A80813"/>
    <w:rsid w:val="00A80EA4"/>
    <w:rsid w:val="00A8115F"/>
    <w:rsid w:val="00A819DD"/>
    <w:rsid w:val="00A81C95"/>
    <w:rsid w:val="00A81DE0"/>
    <w:rsid w:val="00A81F01"/>
    <w:rsid w:val="00A82D4D"/>
    <w:rsid w:val="00A83A16"/>
    <w:rsid w:val="00A83CA5"/>
    <w:rsid w:val="00A83DCF"/>
    <w:rsid w:val="00A84336"/>
    <w:rsid w:val="00A84863"/>
    <w:rsid w:val="00A84EAD"/>
    <w:rsid w:val="00A84EBD"/>
    <w:rsid w:val="00A84EDD"/>
    <w:rsid w:val="00A84F34"/>
    <w:rsid w:val="00A86125"/>
    <w:rsid w:val="00A8620E"/>
    <w:rsid w:val="00A864E9"/>
    <w:rsid w:val="00A86521"/>
    <w:rsid w:val="00A86CC9"/>
    <w:rsid w:val="00A8717F"/>
    <w:rsid w:val="00A87673"/>
    <w:rsid w:val="00A87906"/>
    <w:rsid w:val="00A87958"/>
    <w:rsid w:val="00A87E75"/>
    <w:rsid w:val="00A87E9E"/>
    <w:rsid w:val="00A901BE"/>
    <w:rsid w:val="00A904E2"/>
    <w:rsid w:val="00A90D2E"/>
    <w:rsid w:val="00A912E7"/>
    <w:rsid w:val="00A915CA"/>
    <w:rsid w:val="00A91B6C"/>
    <w:rsid w:val="00A91E97"/>
    <w:rsid w:val="00A92BCF"/>
    <w:rsid w:val="00A93095"/>
    <w:rsid w:val="00A93309"/>
    <w:rsid w:val="00A939EB"/>
    <w:rsid w:val="00A9448F"/>
    <w:rsid w:val="00A94F32"/>
    <w:rsid w:val="00A95326"/>
    <w:rsid w:val="00A9542D"/>
    <w:rsid w:val="00A954FD"/>
    <w:rsid w:val="00A957DD"/>
    <w:rsid w:val="00A95C73"/>
    <w:rsid w:val="00A95E2B"/>
    <w:rsid w:val="00A96085"/>
    <w:rsid w:val="00A96151"/>
    <w:rsid w:val="00A96424"/>
    <w:rsid w:val="00A96A1C"/>
    <w:rsid w:val="00A97616"/>
    <w:rsid w:val="00A97AC3"/>
    <w:rsid w:val="00AA0125"/>
    <w:rsid w:val="00AA0297"/>
    <w:rsid w:val="00AA1499"/>
    <w:rsid w:val="00AA170D"/>
    <w:rsid w:val="00AA19A6"/>
    <w:rsid w:val="00AA1AED"/>
    <w:rsid w:val="00AA1EE1"/>
    <w:rsid w:val="00AA20B1"/>
    <w:rsid w:val="00AA262E"/>
    <w:rsid w:val="00AA2993"/>
    <w:rsid w:val="00AA2BA2"/>
    <w:rsid w:val="00AA2C89"/>
    <w:rsid w:val="00AA3451"/>
    <w:rsid w:val="00AA3C1A"/>
    <w:rsid w:val="00AA43BD"/>
    <w:rsid w:val="00AA46E6"/>
    <w:rsid w:val="00AA48B6"/>
    <w:rsid w:val="00AA48C1"/>
    <w:rsid w:val="00AA5EC1"/>
    <w:rsid w:val="00AA60A4"/>
    <w:rsid w:val="00AA6AB5"/>
    <w:rsid w:val="00AA6FE1"/>
    <w:rsid w:val="00AA73A8"/>
    <w:rsid w:val="00AA7ADF"/>
    <w:rsid w:val="00AA7C13"/>
    <w:rsid w:val="00AA7E0A"/>
    <w:rsid w:val="00AB006F"/>
    <w:rsid w:val="00AB0BEA"/>
    <w:rsid w:val="00AB1A9F"/>
    <w:rsid w:val="00AB200F"/>
    <w:rsid w:val="00AB3037"/>
    <w:rsid w:val="00AB3184"/>
    <w:rsid w:val="00AB33CF"/>
    <w:rsid w:val="00AB33F9"/>
    <w:rsid w:val="00AB35B0"/>
    <w:rsid w:val="00AB3CEC"/>
    <w:rsid w:val="00AB3E8B"/>
    <w:rsid w:val="00AB4AFF"/>
    <w:rsid w:val="00AB537C"/>
    <w:rsid w:val="00AB5887"/>
    <w:rsid w:val="00AB5B81"/>
    <w:rsid w:val="00AB5C13"/>
    <w:rsid w:val="00AB5D24"/>
    <w:rsid w:val="00AB617F"/>
    <w:rsid w:val="00AB6276"/>
    <w:rsid w:val="00AB64E5"/>
    <w:rsid w:val="00AB65F3"/>
    <w:rsid w:val="00AB6C31"/>
    <w:rsid w:val="00AB7213"/>
    <w:rsid w:val="00AB7442"/>
    <w:rsid w:val="00AB74CF"/>
    <w:rsid w:val="00AC0717"/>
    <w:rsid w:val="00AC0A0A"/>
    <w:rsid w:val="00AC1226"/>
    <w:rsid w:val="00AC1686"/>
    <w:rsid w:val="00AC179A"/>
    <w:rsid w:val="00AC18EF"/>
    <w:rsid w:val="00AC24F6"/>
    <w:rsid w:val="00AC299E"/>
    <w:rsid w:val="00AC2A54"/>
    <w:rsid w:val="00AC2CAF"/>
    <w:rsid w:val="00AC4AC3"/>
    <w:rsid w:val="00AC598F"/>
    <w:rsid w:val="00AC5C6A"/>
    <w:rsid w:val="00AC635D"/>
    <w:rsid w:val="00AC6484"/>
    <w:rsid w:val="00AC65AF"/>
    <w:rsid w:val="00AC679E"/>
    <w:rsid w:val="00AC7052"/>
    <w:rsid w:val="00AC7703"/>
    <w:rsid w:val="00AC7E57"/>
    <w:rsid w:val="00AD0558"/>
    <w:rsid w:val="00AD10E5"/>
    <w:rsid w:val="00AD13A8"/>
    <w:rsid w:val="00AD1A75"/>
    <w:rsid w:val="00AD1FF4"/>
    <w:rsid w:val="00AD23CC"/>
    <w:rsid w:val="00AD2479"/>
    <w:rsid w:val="00AD248F"/>
    <w:rsid w:val="00AD31B5"/>
    <w:rsid w:val="00AD31EC"/>
    <w:rsid w:val="00AD32BE"/>
    <w:rsid w:val="00AD35A4"/>
    <w:rsid w:val="00AD37F0"/>
    <w:rsid w:val="00AD3C2A"/>
    <w:rsid w:val="00AD3E6B"/>
    <w:rsid w:val="00AD4028"/>
    <w:rsid w:val="00AD4379"/>
    <w:rsid w:val="00AD4652"/>
    <w:rsid w:val="00AD4A21"/>
    <w:rsid w:val="00AD4C27"/>
    <w:rsid w:val="00AD4DAE"/>
    <w:rsid w:val="00AD59D8"/>
    <w:rsid w:val="00AD5D1F"/>
    <w:rsid w:val="00AD5D9A"/>
    <w:rsid w:val="00AD5E26"/>
    <w:rsid w:val="00AD6676"/>
    <w:rsid w:val="00AD6833"/>
    <w:rsid w:val="00AD6D41"/>
    <w:rsid w:val="00AD715B"/>
    <w:rsid w:val="00AD7356"/>
    <w:rsid w:val="00AD77FA"/>
    <w:rsid w:val="00AE06F7"/>
    <w:rsid w:val="00AE0E20"/>
    <w:rsid w:val="00AE1220"/>
    <w:rsid w:val="00AE14B9"/>
    <w:rsid w:val="00AE1923"/>
    <w:rsid w:val="00AE1B66"/>
    <w:rsid w:val="00AE1CFC"/>
    <w:rsid w:val="00AE1D4C"/>
    <w:rsid w:val="00AE23AB"/>
    <w:rsid w:val="00AE252A"/>
    <w:rsid w:val="00AE29AA"/>
    <w:rsid w:val="00AE3B14"/>
    <w:rsid w:val="00AE3D0F"/>
    <w:rsid w:val="00AE4513"/>
    <w:rsid w:val="00AE48A4"/>
    <w:rsid w:val="00AE4D24"/>
    <w:rsid w:val="00AE4F38"/>
    <w:rsid w:val="00AE507F"/>
    <w:rsid w:val="00AE521A"/>
    <w:rsid w:val="00AE600B"/>
    <w:rsid w:val="00AE6139"/>
    <w:rsid w:val="00AE6873"/>
    <w:rsid w:val="00AE6D21"/>
    <w:rsid w:val="00AE6D50"/>
    <w:rsid w:val="00AE7F9B"/>
    <w:rsid w:val="00AF03AA"/>
    <w:rsid w:val="00AF1099"/>
    <w:rsid w:val="00AF1DE2"/>
    <w:rsid w:val="00AF278C"/>
    <w:rsid w:val="00AF2806"/>
    <w:rsid w:val="00AF34EA"/>
    <w:rsid w:val="00AF362D"/>
    <w:rsid w:val="00AF406C"/>
    <w:rsid w:val="00AF428A"/>
    <w:rsid w:val="00AF498E"/>
    <w:rsid w:val="00AF4AF0"/>
    <w:rsid w:val="00AF4E90"/>
    <w:rsid w:val="00AF4FDE"/>
    <w:rsid w:val="00AF5391"/>
    <w:rsid w:val="00AF5912"/>
    <w:rsid w:val="00AF5D8B"/>
    <w:rsid w:val="00AF698E"/>
    <w:rsid w:val="00AF6A75"/>
    <w:rsid w:val="00AF6EE6"/>
    <w:rsid w:val="00AF7341"/>
    <w:rsid w:val="00AF7555"/>
    <w:rsid w:val="00AF7CBE"/>
    <w:rsid w:val="00B0063B"/>
    <w:rsid w:val="00B00A76"/>
    <w:rsid w:val="00B00EA1"/>
    <w:rsid w:val="00B00F17"/>
    <w:rsid w:val="00B01DB9"/>
    <w:rsid w:val="00B01E36"/>
    <w:rsid w:val="00B025A1"/>
    <w:rsid w:val="00B0264A"/>
    <w:rsid w:val="00B03DEE"/>
    <w:rsid w:val="00B04C10"/>
    <w:rsid w:val="00B04D6B"/>
    <w:rsid w:val="00B0575B"/>
    <w:rsid w:val="00B068E4"/>
    <w:rsid w:val="00B068FF"/>
    <w:rsid w:val="00B069DE"/>
    <w:rsid w:val="00B06A46"/>
    <w:rsid w:val="00B078AE"/>
    <w:rsid w:val="00B07ED5"/>
    <w:rsid w:val="00B1063A"/>
    <w:rsid w:val="00B10802"/>
    <w:rsid w:val="00B1147E"/>
    <w:rsid w:val="00B115ED"/>
    <w:rsid w:val="00B117CB"/>
    <w:rsid w:val="00B117D7"/>
    <w:rsid w:val="00B12047"/>
    <w:rsid w:val="00B12732"/>
    <w:rsid w:val="00B12E82"/>
    <w:rsid w:val="00B12FD8"/>
    <w:rsid w:val="00B13785"/>
    <w:rsid w:val="00B13B16"/>
    <w:rsid w:val="00B13B8E"/>
    <w:rsid w:val="00B13BC6"/>
    <w:rsid w:val="00B142E0"/>
    <w:rsid w:val="00B15237"/>
    <w:rsid w:val="00B156A9"/>
    <w:rsid w:val="00B15E04"/>
    <w:rsid w:val="00B16360"/>
    <w:rsid w:val="00B166F6"/>
    <w:rsid w:val="00B2074F"/>
    <w:rsid w:val="00B210CC"/>
    <w:rsid w:val="00B21E4C"/>
    <w:rsid w:val="00B231BC"/>
    <w:rsid w:val="00B23573"/>
    <w:rsid w:val="00B23ABE"/>
    <w:rsid w:val="00B23B67"/>
    <w:rsid w:val="00B23E8B"/>
    <w:rsid w:val="00B23F6D"/>
    <w:rsid w:val="00B24B78"/>
    <w:rsid w:val="00B26797"/>
    <w:rsid w:val="00B26C98"/>
    <w:rsid w:val="00B26E4F"/>
    <w:rsid w:val="00B27027"/>
    <w:rsid w:val="00B271E8"/>
    <w:rsid w:val="00B275D8"/>
    <w:rsid w:val="00B27981"/>
    <w:rsid w:val="00B3135E"/>
    <w:rsid w:val="00B313F6"/>
    <w:rsid w:val="00B31BDA"/>
    <w:rsid w:val="00B31DC7"/>
    <w:rsid w:val="00B31E63"/>
    <w:rsid w:val="00B32506"/>
    <w:rsid w:val="00B32CCD"/>
    <w:rsid w:val="00B32CDB"/>
    <w:rsid w:val="00B32F66"/>
    <w:rsid w:val="00B33678"/>
    <w:rsid w:val="00B33E58"/>
    <w:rsid w:val="00B33FD6"/>
    <w:rsid w:val="00B340B5"/>
    <w:rsid w:val="00B348D2"/>
    <w:rsid w:val="00B34AFD"/>
    <w:rsid w:val="00B3512D"/>
    <w:rsid w:val="00B353F0"/>
    <w:rsid w:val="00B354E2"/>
    <w:rsid w:val="00B358C1"/>
    <w:rsid w:val="00B35C85"/>
    <w:rsid w:val="00B35D0C"/>
    <w:rsid w:val="00B361AC"/>
    <w:rsid w:val="00B36705"/>
    <w:rsid w:val="00B36B2F"/>
    <w:rsid w:val="00B37073"/>
    <w:rsid w:val="00B37391"/>
    <w:rsid w:val="00B3740B"/>
    <w:rsid w:val="00B37D98"/>
    <w:rsid w:val="00B40037"/>
    <w:rsid w:val="00B4141C"/>
    <w:rsid w:val="00B414E0"/>
    <w:rsid w:val="00B41861"/>
    <w:rsid w:val="00B41A1A"/>
    <w:rsid w:val="00B41D7E"/>
    <w:rsid w:val="00B42107"/>
    <w:rsid w:val="00B4244B"/>
    <w:rsid w:val="00B4274F"/>
    <w:rsid w:val="00B427F8"/>
    <w:rsid w:val="00B42B07"/>
    <w:rsid w:val="00B439E2"/>
    <w:rsid w:val="00B43A1C"/>
    <w:rsid w:val="00B43F14"/>
    <w:rsid w:val="00B440D1"/>
    <w:rsid w:val="00B443DF"/>
    <w:rsid w:val="00B446E4"/>
    <w:rsid w:val="00B4492B"/>
    <w:rsid w:val="00B44A28"/>
    <w:rsid w:val="00B453BC"/>
    <w:rsid w:val="00B457F9"/>
    <w:rsid w:val="00B45B91"/>
    <w:rsid w:val="00B45BBA"/>
    <w:rsid w:val="00B462D8"/>
    <w:rsid w:val="00B46347"/>
    <w:rsid w:val="00B46444"/>
    <w:rsid w:val="00B47117"/>
    <w:rsid w:val="00B475E1"/>
    <w:rsid w:val="00B4762E"/>
    <w:rsid w:val="00B47D1C"/>
    <w:rsid w:val="00B507E3"/>
    <w:rsid w:val="00B5155A"/>
    <w:rsid w:val="00B51800"/>
    <w:rsid w:val="00B51E22"/>
    <w:rsid w:val="00B51E5E"/>
    <w:rsid w:val="00B51F70"/>
    <w:rsid w:val="00B52425"/>
    <w:rsid w:val="00B52EAD"/>
    <w:rsid w:val="00B52F35"/>
    <w:rsid w:val="00B52F36"/>
    <w:rsid w:val="00B546AB"/>
    <w:rsid w:val="00B5474A"/>
    <w:rsid w:val="00B547C5"/>
    <w:rsid w:val="00B54851"/>
    <w:rsid w:val="00B54B97"/>
    <w:rsid w:val="00B54C7E"/>
    <w:rsid w:val="00B554EB"/>
    <w:rsid w:val="00B55825"/>
    <w:rsid w:val="00B55C56"/>
    <w:rsid w:val="00B55E9E"/>
    <w:rsid w:val="00B566ED"/>
    <w:rsid w:val="00B57205"/>
    <w:rsid w:val="00B57320"/>
    <w:rsid w:val="00B574FC"/>
    <w:rsid w:val="00B603D4"/>
    <w:rsid w:val="00B604C7"/>
    <w:rsid w:val="00B60CC4"/>
    <w:rsid w:val="00B60E24"/>
    <w:rsid w:val="00B61068"/>
    <w:rsid w:val="00B6118D"/>
    <w:rsid w:val="00B61F6B"/>
    <w:rsid w:val="00B62104"/>
    <w:rsid w:val="00B6233A"/>
    <w:rsid w:val="00B62AFD"/>
    <w:rsid w:val="00B6312A"/>
    <w:rsid w:val="00B63594"/>
    <w:rsid w:val="00B63CE9"/>
    <w:rsid w:val="00B64FF2"/>
    <w:rsid w:val="00B651B7"/>
    <w:rsid w:val="00B65553"/>
    <w:rsid w:val="00B65643"/>
    <w:rsid w:val="00B658B7"/>
    <w:rsid w:val="00B66D63"/>
    <w:rsid w:val="00B66E77"/>
    <w:rsid w:val="00B674BE"/>
    <w:rsid w:val="00B6799D"/>
    <w:rsid w:val="00B67A5D"/>
    <w:rsid w:val="00B67BF5"/>
    <w:rsid w:val="00B70240"/>
    <w:rsid w:val="00B7038A"/>
    <w:rsid w:val="00B706E0"/>
    <w:rsid w:val="00B70E68"/>
    <w:rsid w:val="00B71BEA"/>
    <w:rsid w:val="00B71D0E"/>
    <w:rsid w:val="00B71D57"/>
    <w:rsid w:val="00B7222F"/>
    <w:rsid w:val="00B72616"/>
    <w:rsid w:val="00B72C21"/>
    <w:rsid w:val="00B7351F"/>
    <w:rsid w:val="00B73814"/>
    <w:rsid w:val="00B73D20"/>
    <w:rsid w:val="00B73F56"/>
    <w:rsid w:val="00B743DF"/>
    <w:rsid w:val="00B74B6F"/>
    <w:rsid w:val="00B752A3"/>
    <w:rsid w:val="00B75640"/>
    <w:rsid w:val="00B75690"/>
    <w:rsid w:val="00B759E3"/>
    <w:rsid w:val="00B76B9D"/>
    <w:rsid w:val="00B7706F"/>
    <w:rsid w:val="00B77355"/>
    <w:rsid w:val="00B776A8"/>
    <w:rsid w:val="00B77A84"/>
    <w:rsid w:val="00B77E94"/>
    <w:rsid w:val="00B80321"/>
    <w:rsid w:val="00B81EC7"/>
    <w:rsid w:val="00B821B7"/>
    <w:rsid w:val="00B8299B"/>
    <w:rsid w:val="00B83503"/>
    <w:rsid w:val="00B84D02"/>
    <w:rsid w:val="00B84ED5"/>
    <w:rsid w:val="00B85018"/>
    <w:rsid w:val="00B85517"/>
    <w:rsid w:val="00B858B4"/>
    <w:rsid w:val="00B863E7"/>
    <w:rsid w:val="00B86CD2"/>
    <w:rsid w:val="00B8778B"/>
    <w:rsid w:val="00B9031C"/>
    <w:rsid w:val="00B90653"/>
    <w:rsid w:val="00B925DB"/>
    <w:rsid w:val="00B9333B"/>
    <w:rsid w:val="00B938E4"/>
    <w:rsid w:val="00B93D40"/>
    <w:rsid w:val="00B947BF"/>
    <w:rsid w:val="00B94811"/>
    <w:rsid w:val="00B94BC2"/>
    <w:rsid w:val="00B94E55"/>
    <w:rsid w:val="00B94F87"/>
    <w:rsid w:val="00B951C1"/>
    <w:rsid w:val="00B9556E"/>
    <w:rsid w:val="00B95619"/>
    <w:rsid w:val="00B95DC7"/>
    <w:rsid w:val="00B96335"/>
    <w:rsid w:val="00B96C53"/>
    <w:rsid w:val="00B975CF"/>
    <w:rsid w:val="00B97784"/>
    <w:rsid w:val="00BA0103"/>
    <w:rsid w:val="00BA0DF2"/>
    <w:rsid w:val="00BA0E5B"/>
    <w:rsid w:val="00BA0F89"/>
    <w:rsid w:val="00BA1049"/>
    <w:rsid w:val="00BA108A"/>
    <w:rsid w:val="00BA179D"/>
    <w:rsid w:val="00BA181F"/>
    <w:rsid w:val="00BA1AFD"/>
    <w:rsid w:val="00BA217B"/>
    <w:rsid w:val="00BA2A85"/>
    <w:rsid w:val="00BA3074"/>
    <w:rsid w:val="00BA3094"/>
    <w:rsid w:val="00BA37F0"/>
    <w:rsid w:val="00BA3CC9"/>
    <w:rsid w:val="00BA42EA"/>
    <w:rsid w:val="00BA4418"/>
    <w:rsid w:val="00BA4525"/>
    <w:rsid w:val="00BA4547"/>
    <w:rsid w:val="00BA4AAE"/>
    <w:rsid w:val="00BA4BFB"/>
    <w:rsid w:val="00BA4D60"/>
    <w:rsid w:val="00BA4E2C"/>
    <w:rsid w:val="00BA509D"/>
    <w:rsid w:val="00BA51F6"/>
    <w:rsid w:val="00BA5B47"/>
    <w:rsid w:val="00BA5ED6"/>
    <w:rsid w:val="00BA648B"/>
    <w:rsid w:val="00BA6818"/>
    <w:rsid w:val="00BA6E28"/>
    <w:rsid w:val="00BA74ED"/>
    <w:rsid w:val="00BA771E"/>
    <w:rsid w:val="00BA77DE"/>
    <w:rsid w:val="00BA782E"/>
    <w:rsid w:val="00BA7A25"/>
    <w:rsid w:val="00BA7C2F"/>
    <w:rsid w:val="00BB05F4"/>
    <w:rsid w:val="00BB0630"/>
    <w:rsid w:val="00BB064E"/>
    <w:rsid w:val="00BB12F6"/>
    <w:rsid w:val="00BB13AC"/>
    <w:rsid w:val="00BB1CAB"/>
    <w:rsid w:val="00BB2405"/>
    <w:rsid w:val="00BB2DFE"/>
    <w:rsid w:val="00BB3436"/>
    <w:rsid w:val="00BB3828"/>
    <w:rsid w:val="00BB3A7C"/>
    <w:rsid w:val="00BB3D9E"/>
    <w:rsid w:val="00BB4199"/>
    <w:rsid w:val="00BB48F9"/>
    <w:rsid w:val="00BB4D2D"/>
    <w:rsid w:val="00BB4D97"/>
    <w:rsid w:val="00BB51DC"/>
    <w:rsid w:val="00BB53DF"/>
    <w:rsid w:val="00BB56C4"/>
    <w:rsid w:val="00BB5776"/>
    <w:rsid w:val="00BB5B56"/>
    <w:rsid w:val="00BB6030"/>
    <w:rsid w:val="00BB6067"/>
    <w:rsid w:val="00BB6172"/>
    <w:rsid w:val="00BB6853"/>
    <w:rsid w:val="00BB6B0B"/>
    <w:rsid w:val="00BB6C0B"/>
    <w:rsid w:val="00BB6DEB"/>
    <w:rsid w:val="00BB6F1C"/>
    <w:rsid w:val="00BB772D"/>
    <w:rsid w:val="00BB7E75"/>
    <w:rsid w:val="00BC0725"/>
    <w:rsid w:val="00BC091B"/>
    <w:rsid w:val="00BC13E1"/>
    <w:rsid w:val="00BC1A7C"/>
    <w:rsid w:val="00BC23C0"/>
    <w:rsid w:val="00BC25A3"/>
    <w:rsid w:val="00BC265E"/>
    <w:rsid w:val="00BC2978"/>
    <w:rsid w:val="00BC3563"/>
    <w:rsid w:val="00BC3677"/>
    <w:rsid w:val="00BC4118"/>
    <w:rsid w:val="00BC466E"/>
    <w:rsid w:val="00BC4D34"/>
    <w:rsid w:val="00BC6794"/>
    <w:rsid w:val="00BC6862"/>
    <w:rsid w:val="00BC730B"/>
    <w:rsid w:val="00BC7530"/>
    <w:rsid w:val="00BC77EA"/>
    <w:rsid w:val="00BC7C23"/>
    <w:rsid w:val="00BD0264"/>
    <w:rsid w:val="00BD070A"/>
    <w:rsid w:val="00BD0750"/>
    <w:rsid w:val="00BD08AA"/>
    <w:rsid w:val="00BD0E33"/>
    <w:rsid w:val="00BD14A8"/>
    <w:rsid w:val="00BD1D83"/>
    <w:rsid w:val="00BD35F1"/>
    <w:rsid w:val="00BD369A"/>
    <w:rsid w:val="00BD37BA"/>
    <w:rsid w:val="00BD383C"/>
    <w:rsid w:val="00BD3A57"/>
    <w:rsid w:val="00BD4CCC"/>
    <w:rsid w:val="00BD51DF"/>
    <w:rsid w:val="00BD577E"/>
    <w:rsid w:val="00BD58C0"/>
    <w:rsid w:val="00BD58CD"/>
    <w:rsid w:val="00BD5FD1"/>
    <w:rsid w:val="00BD601C"/>
    <w:rsid w:val="00BD6550"/>
    <w:rsid w:val="00BD6B3A"/>
    <w:rsid w:val="00BD6E31"/>
    <w:rsid w:val="00BD70AE"/>
    <w:rsid w:val="00BD7A78"/>
    <w:rsid w:val="00BE024B"/>
    <w:rsid w:val="00BE05AF"/>
    <w:rsid w:val="00BE0CB7"/>
    <w:rsid w:val="00BE0DCB"/>
    <w:rsid w:val="00BE14AB"/>
    <w:rsid w:val="00BE172B"/>
    <w:rsid w:val="00BE1859"/>
    <w:rsid w:val="00BE1C87"/>
    <w:rsid w:val="00BE24E9"/>
    <w:rsid w:val="00BE2D0C"/>
    <w:rsid w:val="00BE2E40"/>
    <w:rsid w:val="00BE2EA5"/>
    <w:rsid w:val="00BE2EBD"/>
    <w:rsid w:val="00BE2F37"/>
    <w:rsid w:val="00BE32A6"/>
    <w:rsid w:val="00BE3535"/>
    <w:rsid w:val="00BE3F30"/>
    <w:rsid w:val="00BE4090"/>
    <w:rsid w:val="00BE40B0"/>
    <w:rsid w:val="00BE428C"/>
    <w:rsid w:val="00BE538C"/>
    <w:rsid w:val="00BE55E1"/>
    <w:rsid w:val="00BE6738"/>
    <w:rsid w:val="00BE72B2"/>
    <w:rsid w:val="00BE756C"/>
    <w:rsid w:val="00BE7822"/>
    <w:rsid w:val="00BE7934"/>
    <w:rsid w:val="00BE79B8"/>
    <w:rsid w:val="00BE7AC2"/>
    <w:rsid w:val="00BF00B4"/>
    <w:rsid w:val="00BF01F1"/>
    <w:rsid w:val="00BF04AD"/>
    <w:rsid w:val="00BF05A0"/>
    <w:rsid w:val="00BF07D6"/>
    <w:rsid w:val="00BF0BDC"/>
    <w:rsid w:val="00BF10ED"/>
    <w:rsid w:val="00BF1740"/>
    <w:rsid w:val="00BF19B3"/>
    <w:rsid w:val="00BF2146"/>
    <w:rsid w:val="00BF2184"/>
    <w:rsid w:val="00BF2BBE"/>
    <w:rsid w:val="00BF36F1"/>
    <w:rsid w:val="00BF381C"/>
    <w:rsid w:val="00BF4606"/>
    <w:rsid w:val="00BF4733"/>
    <w:rsid w:val="00BF498B"/>
    <w:rsid w:val="00BF4E4A"/>
    <w:rsid w:val="00BF4EB8"/>
    <w:rsid w:val="00BF5D42"/>
    <w:rsid w:val="00BF6690"/>
    <w:rsid w:val="00BF6A28"/>
    <w:rsid w:val="00BF7E99"/>
    <w:rsid w:val="00C00469"/>
    <w:rsid w:val="00C0047B"/>
    <w:rsid w:val="00C010FA"/>
    <w:rsid w:val="00C015EB"/>
    <w:rsid w:val="00C01A05"/>
    <w:rsid w:val="00C01AF6"/>
    <w:rsid w:val="00C01BB0"/>
    <w:rsid w:val="00C01C75"/>
    <w:rsid w:val="00C02210"/>
    <w:rsid w:val="00C037FC"/>
    <w:rsid w:val="00C03BCA"/>
    <w:rsid w:val="00C03FC3"/>
    <w:rsid w:val="00C042FB"/>
    <w:rsid w:val="00C0440C"/>
    <w:rsid w:val="00C04568"/>
    <w:rsid w:val="00C04A9A"/>
    <w:rsid w:val="00C04B40"/>
    <w:rsid w:val="00C04DCB"/>
    <w:rsid w:val="00C05057"/>
    <w:rsid w:val="00C05098"/>
    <w:rsid w:val="00C05267"/>
    <w:rsid w:val="00C05422"/>
    <w:rsid w:val="00C0546D"/>
    <w:rsid w:val="00C05541"/>
    <w:rsid w:val="00C0591B"/>
    <w:rsid w:val="00C0643E"/>
    <w:rsid w:val="00C06A28"/>
    <w:rsid w:val="00C06FD8"/>
    <w:rsid w:val="00C07889"/>
    <w:rsid w:val="00C07AE4"/>
    <w:rsid w:val="00C10E4A"/>
    <w:rsid w:val="00C10F84"/>
    <w:rsid w:val="00C111C4"/>
    <w:rsid w:val="00C115D3"/>
    <w:rsid w:val="00C11958"/>
    <w:rsid w:val="00C11E2F"/>
    <w:rsid w:val="00C11E76"/>
    <w:rsid w:val="00C1230A"/>
    <w:rsid w:val="00C125A7"/>
    <w:rsid w:val="00C129C1"/>
    <w:rsid w:val="00C13EC6"/>
    <w:rsid w:val="00C14145"/>
    <w:rsid w:val="00C14D49"/>
    <w:rsid w:val="00C15346"/>
    <w:rsid w:val="00C15E18"/>
    <w:rsid w:val="00C163E9"/>
    <w:rsid w:val="00C16DA8"/>
    <w:rsid w:val="00C17D16"/>
    <w:rsid w:val="00C202DC"/>
    <w:rsid w:val="00C20364"/>
    <w:rsid w:val="00C203F0"/>
    <w:rsid w:val="00C20431"/>
    <w:rsid w:val="00C20959"/>
    <w:rsid w:val="00C20C2D"/>
    <w:rsid w:val="00C20D32"/>
    <w:rsid w:val="00C20DA8"/>
    <w:rsid w:val="00C20DF3"/>
    <w:rsid w:val="00C21563"/>
    <w:rsid w:val="00C21792"/>
    <w:rsid w:val="00C21910"/>
    <w:rsid w:val="00C2200C"/>
    <w:rsid w:val="00C224D0"/>
    <w:rsid w:val="00C22655"/>
    <w:rsid w:val="00C2285B"/>
    <w:rsid w:val="00C22E4B"/>
    <w:rsid w:val="00C22FD7"/>
    <w:rsid w:val="00C23397"/>
    <w:rsid w:val="00C233C0"/>
    <w:rsid w:val="00C23610"/>
    <w:rsid w:val="00C238FD"/>
    <w:rsid w:val="00C23CB8"/>
    <w:rsid w:val="00C23E65"/>
    <w:rsid w:val="00C240D2"/>
    <w:rsid w:val="00C2442D"/>
    <w:rsid w:val="00C24886"/>
    <w:rsid w:val="00C24A19"/>
    <w:rsid w:val="00C24A20"/>
    <w:rsid w:val="00C24D83"/>
    <w:rsid w:val="00C254D7"/>
    <w:rsid w:val="00C25770"/>
    <w:rsid w:val="00C2636E"/>
    <w:rsid w:val="00C268C6"/>
    <w:rsid w:val="00C270A5"/>
    <w:rsid w:val="00C274F3"/>
    <w:rsid w:val="00C27F83"/>
    <w:rsid w:val="00C3074B"/>
    <w:rsid w:val="00C30904"/>
    <w:rsid w:val="00C30957"/>
    <w:rsid w:val="00C3188D"/>
    <w:rsid w:val="00C318AF"/>
    <w:rsid w:val="00C321FC"/>
    <w:rsid w:val="00C324F0"/>
    <w:rsid w:val="00C3267E"/>
    <w:rsid w:val="00C327BC"/>
    <w:rsid w:val="00C32E23"/>
    <w:rsid w:val="00C3327C"/>
    <w:rsid w:val="00C3385B"/>
    <w:rsid w:val="00C33BE1"/>
    <w:rsid w:val="00C34193"/>
    <w:rsid w:val="00C34B20"/>
    <w:rsid w:val="00C35323"/>
    <w:rsid w:val="00C354FC"/>
    <w:rsid w:val="00C35747"/>
    <w:rsid w:val="00C35780"/>
    <w:rsid w:val="00C35A2D"/>
    <w:rsid w:val="00C3607D"/>
    <w:rsid w:val="00C3671C"/>
    <w:rsid w:val="00C368B2"/>
    <w:rsid w:val="00C369C5"/>
    <w:rsid w:val="00C36E59"/>
    <w:rsid w:val="00C36FB7"/>
    <w:rsid w:val="00C37102"/>
    <w:rsid w:val="00C378BB"/>
    <w:rsid w:val="00C37A49"/>
    <w:rsid w:val="00C4004B"/>
    <w:rsid w:val="00C40C65"/>
    <w:rsid w:val="00C40D7A"/>
    <w:rsid w:val="00C411C6"/>
    <w:rsid w:val="00C411E8"/>
    <w:rsid w:val="00C42009"/>
    <w:rsid w:val="00C42089"/>
    <w:rsid w:val="00C4227F"/>
    <w:rsid w:val="00C425B1"/>
    <w:rsid w:val="00C43733"/>
    <w:rsid w:val="00C43770"/>
    <w:rsid w:val="00C43996"/>
    <w:rsid w:val="00C43D1B"/>
    <w:rsid w:val="00C43DB2"/>
    <w:rsid w:val="00C43F3C"/>
    <w:rsid w:val="00C44997"/>
    <w:rsid w:val="00C44B2F"/>
    <w:rsid w:val="00C44B92"/>
    <w:rsid w:val="00C44D9B"/>
    <w:rsid w:val="00C4508E"/>
    <w:rsid w:val="00C45F1A"/>
    <w:rsid w:val="00C45FCA"/>
    <w:rsid w:val="00C46358"/>
    <w:rsid w:val="00C46905"/>
    <w:rsid w:val="00C46E0F"/>
    <w:rsid w:val="00C46FC4"/>
    <w:rsid w:val="00C4786D"/>
    <w:rsid w:val="00C47A35"/>
    <w:rsid w:val="00C47C19"/>
    <w:rsid w:val="00C47DE2"/>
    <w:rsid w:val="00C50543"/>
    <w:rsid w:val="00C505BA"/>
    <w:rsid w:val="00C508DA"/>
    <w:rsid w:val="00C50B3A"/>
    <w:rsid w:val="00C51470"/>
    <w:rsid w:val="00C5157D"/>
    <w:rsid w:val="00C519DA"/>
    <w:rsid w:val="00C51A3B"/>
    <w:rsid w:val="00C522FC"/>
    <w:rsid w:val="00C52CEE"/>
    <w:rsid w:val="00C530B7"/>
    <w:rsid w:val="00C53C97"/>
    <w:rsid w:val="00C54D41"/>
    <w:rsid w:val="00C5514C"/>
    <w:rsid w:val="00C56DA7"/>
    <w:rsid w:val="00C56EA1"/>
    <w:rsid w:val="00C57721"/>
    <w:rsid w:val="00C57A60"/>
    <w:rsid w:val="00C57C31"/>
    <w:rsid w:val="00C57D85"/>
    <w:rsid w:val="00C603F9"/>
    <w:rsid w:val="00C60AE1"/>
    <w:rsid w:val="00C61102"/>
    <w:rsid w:val="00C620C3"/>
    <w:rsid w:val="00C624A9"/>
    <w:rsid w:val="00C62B22"/>
    <w:rsid w:val="00C63304"/>
    <w:rsid w:val="00C63926"/>
    <w:rsid w:val="00C63BC0"/>
    <w:rsid w:val="00C63D7F"/>
    <w:rsid w:val="00C63FCC"/>
    <w:rsid w:val="00C63FEC"/>
    <w:rsid w:val="00C64D09"/>
    <w:rsid w:val="00C65A73"/>
    <w:rsid w:val="00C65AE0"/>
    <w:rsid w:val="00C65E33"/>
    <w:rsid w:val="00C661CD"/>
    <w:rsid w:val="00C66925"/>
    <w:rsid w:val="00C66FFA"/>
    <w:rsid w:val="00C6779C"/>
    <w:rsid w:val="00C67BA4"/>
    <w:rsid w:val="00C67C07"/>
    <w:rsid w:val="00C700B4"/>
    <w:rsid w:val="00C703AA"/>
    <w:rsid w:val="00C7112E"/>
    <w:rsid w:val="00C71A7E"/>
    <w:rsid w:val="00C71C06"/>
    <w:rsid w:val="00C7254D"/>
    <w:rsid w:val="00C72A44"/>
    <w:rsid w:val="00C72CA9"/>
    <w:rsid w:val="00C72F5F"/>
    <w:rsid w:val="00C73184"/>
    <w:rsid w:val="00C733D9"/>
    <w:rsid w:val="00C73401"/>
    <w:rsid w:val="00C7346A"/>
    <w:rsid w:val="00C736A6"/>
    <w:rsid w:val="00C73BEB"/>
    <w:rsid w:val="00C73F09"/>
    <w:rsid w:val="00C744F3"/>
    <w:rsid w:val="00C74825"/>
    <w:rsid w:val="00C7524C"/>
    <w:rsid w:val="00C76508"/>
    <w:rsid w:val="00C766FC"/>
    <w:rsid w:val="00C76BCA"/>
    <w:rsid w:val="00C76D6D"/>
    <w:rsid w:val="00C775FD"/>
    <w:rsid w:val="00C776FD"/>
    <w:rsid w:val="00C8020F"/>
    <w:rsid w:val="00C804E2"/>
    <w:rsid w:val="00C80B8B"/>
    <w:rsid w:val="00C81705"/>
    <w:rsid w:val="00C81842"/>
    <w:rsid w:val="00C81CF0"/>
    <w:rsid w:val="00C82240"/>
    <w:rsid w:val="00C8225E"/>
    <w:rsid w:val="00C82B49"/>
    <w:rsid w:val="00C82BD2"/>
    <w:rsid w:val="00C82D8D"/>
    <w:rsid w:val="00C836FC"/>
    <w:rsid w:val="00C83948"/>
    <w:rsid w:val="00C83AF5"/>
    <w:rsid w:val="00C83C4A"/>
    <w:rsid w:val="00C83E7A"/>
    <w:rsid w:val="00C83FC0"/>
    <w:rsid w:val="00C84351"/>
    <w:rsid w:val="00C848BA"/>
    <w:rsid w:val="00C84F98"/>
    <w:rsid w:val="00C852CD"/>
    <w:rsid w:val="00C856EC"/>
    <w:rsid w:val="00C85810"/>
    <w:rsid w:val="00C85969"/>
    <w:rsid w:val="00C85CA7"/>
    <w:rsid w:val="00C8627D"/>
    <w:rsid w:val="00C86A07"/>
    <w:rsid w:val="00C87201"/>
    <w:rsid w:val="00C8799A"/>
    <w:rsid w:val="00C9029B"/>
    <w:rsid w:val="00C903B9"/>
    <w:rsid w:val="00C909E3"/>
    <w:rsid w:val="00C90DD2"/>
    <w:rsid w:val="00C91C46"/>
    <w:rsid w:val="00C93087"/>
    <w:rsid w:val="00C93512"/>
    <w:rsid w:val="00C935FF"/>
    <w:rsid w:val="00C93944"/>
    <w:rsid w:val="00C93964"/>
    <w:rsid w:val="00C939E0"/>
    <w:rsid w:val="00C93BBF"/>
    <w:rsid w:val="00C94149"/>
    <w:rsid w:val="00C9424C"/>
    <w:rsid w:val="00C94660"/>
    <w:rsid w:val="00C94796"/>
    <w:rsid w:val="00C94C8D"/>
    <w:rsid w:val="00C9516A"/>
    <w:rsid w:val="00C955D7"/>
    <w:rsid w:val="00C95F4E"/>
    <w:rsid w:val="00C96502"/>
    <w:rsid w:val="00C9681F"/>
    <w:rsid w:val="00C971AB"/>
    <w:rsid w:val="00C9755E"/>
    <w:rsid w:val="00C97617"/>
    <w:rsid w:val="00C97DCE"/>
    <w:rsid w:val="00CA043B"/>
    <w:rsid w:val="00CA062B"/>
    <w:rsid w:val="00CA0CFC"/>
    <w:rsid w:val="00CA121B"/>
    <w:rsid w:val="00CA1283"/>
    <w:rsid w:val="00CA19A4"/>
    <w:rsid w:val="00CA1D40"/>
    <w:rsid w:val="00CA1EDA"/>
    <w:rsid w:val="00CA2076"/>
    <w:rsid w:val="00CA2564"/>
    <w:rsid w:val="00CA2E6A"/>
    <w:rsid w:val="00CA301A"/>
    <w:rsid w:val="00CA3771"/>
    <w:rsid w:val="00CA3981"/>
    <w:rsid w:val="00CA461D"/>
    <w:rsid w:val="00CA46A4"/>
    <w:rsid w:val="00CA4B8E"/>
    <w:rsid w:val="00CA4CB1"/>
    <w:rsid w:val="00CA5A78"/>
    <w:rsid w:val="00CA5AB7"/>
    <w:rsid w:val="00CA5F9E"/>
    <w:rsid w:val="00CA5FEC"/>
    <w:rsid w:val="00CA68D4"/>
    <w:rsid w:val="00CA776F"/>
    <w:rsid w:val="00CA7CF2"/>
    <w:rsid w:val="00CB0479"/>
    <w:rsid w:val="00CB0A16"/>
    <w:rsid w:val="00CB0F0C"/>
    <w:rsid w:val="00CB10F5"/>
    <w:rsid w:val="00CB1696"/>
    <w:rsid w:val="00CB177F"/>
    <w:rsid w:val="00CB1DCD"/>
    <w:rsid w:val="00CB2363"/>
    <w:rsid w:val="00CB2434"/>
    <w:rsid w:val="00CB2774"/>
    <w:rsid w:val="00CB2A32"/>
    <w:rsid w:val="00CB2A50"/>
    <w:rsid w:val="00CB4022"/>
    <w:rsid w:val="00CB4562"/>
    <w:rsid w:val="00CB471F"/>
    <w:rsid w:val="00CB47F9"/>
    <w:rsid w:val="00CB4FA0"/>
    <w:rsid w:val="00CB5679"/>
    <w:rsid w:val="00CB5713"/>
    <w:rsid w:val="00CB5AAB"/>
    <w:rsid w:val="00CB6792"/>
    <w:rsid w:val="00CB68A2"/>
    <w:rsid w:val="00CB70E1"/>
    <w:rsid w:val="00CB731B"/>
    <w:rsid w:val="00CB7F3B"/>
    <w:rsid w:val="00CC01EB"/>
    <w:rsid w:val="00CC0A7F"/>
    <w:rsid w:val="00CC150E"/>
    <w:rsid w:val="00CC1768"/>
    <w:rsid w:val="00CC1F89"/>
    <w:rsid w:val="00CC2314"/>
    <w:rsid w:val="00CC2408"/>
    <w:rsid w:val="00CC258C"/>
    <w:rsid w:val="00CC25FD"/>
    <w:rsid w:val="00CC2CA2"/>
    <w:rsid w:val="00CC327F"/>
    <w:rsid w:val="00CC34CB"/>
    <w:rsid w:val="00CC385A"/>
    <w:rsid w:val="00CC474A"/>
    <w:rsid w:val="00CC47D7"/>
    <w:rsid w:val="00CC4C03"/>
    <w:rsid w:val="00CC60F5"/>
    <w:rsid w:val="00CC61AA"/>
    <w:rsid w:val="00CC6E85"/>
    <w:rsid w:val="00CC71A0"/>
    <w:rsid w:val="00CC7238"/>
    <w:rsid w:val="00CC75C2"/>
    <w:rsid w:val="00CC778A"/>
    <w:rsid w:val="00CC7F04"/>
    <w:rsid w:val="00CC7F41"/>
    <w:rsid w:val="00CD000D"/>
    <w:rsid w:val="00CD016C"/>
    <w:rsid w:val="00CD0246"/>
    <w:rsid w:val="00CD0842"/>
    <w:rsid w:val="00CD1074"/>
    <w:rsid w:val="00CD157B"/>
    <w:rsid w:val="00CD173D"/>
    <w:rsid w:val="00CD23D6"/>
    <w:rsid w:val="00CD2656"/>
    <w:rsid w:val="00CD365A"/>
    <w:rsid w:val="00CD3A18"/>
    <w:rsid w:val="00CD3B31"/>
    <w:rsid w:val="00CD3F18"/>
    <w:rsid w:val="00CD3FFB"/>
    <w:rsid w:val="00CD45E3"/>
    <w:rsid w:val="00CD483F"/>
    <w:rsid w:val="00CD48E4"/>
    <w:rsid w:val="00CD4B8D"/>
    <w:rsid w:val="00CD4FBF"/>
    <w:rsid w:val="00CD55AF"/>
    <w:rsid w:val="00CD5857"/>
    <w:rsid w:val="00CD58E5"/>
    <w:rsid w:val="00CD5E1F"/>
    <w:rsid w:val="00CD5FFD"/>
    <w:rsid w:val="00CD6874"/>
    <w:rsid w:val="00CD688F"/>
    <w:rsid w:val="00CD7104"/>
    <w:rsid w:val="00CE0055"/>
    <w:rsid w:val="00CE02E6"/>
    <w:rsid w:val="00CE088E"/>
    <w:rsid w:val="00CE0912"/>
    <w:rsid w:val="00CE0C8D"/>
    <w:rsid w:val="00CE1043"/>
    <w:rsid w:val="00CE1570"/>
    <w:rsid w:val="00CE1DEC"/>
    <w:rsid w:val="00CE1F54"/>
    <w:rsid w:val="00CE2E1B"/>
    <w:rsid w:val="00CE301A"/>
    <w:rsid w:val="00CE31E5"/>
    <w:rsid w:val="00CE3564"/>
    <w:rsid w:val="00CE48FB"/>
    <w:rsid w:val="00CE4E97"/>
    <w:rsid w:val="00CE60F0"/>
    <w:rsid w:val="00CE629E"/>
    <w:rsid w:val="00CE62B8"/>
    <w:rsid w:val="00CE63A8"/>
    <w:rsid w:val="00CE6528"/>
    <w:rsid w:val="00CE6B16"/>
    <w:rsid w:val="00CE6BB0"/>
    <w:rsid w:val="00CE6F27"/>
    <w:rsid w:val="00CE6F96"/>
    <w:rsid w:val="00CE727D"/>
    <w:rsid w:val="00CE7672"/>
    <w:rsid w:val="00CE79FE"/>
    <w:rsid w:val="00CE7E16"/>
    <w:rsid w:val="00CF010F"/>
    <w:rsid w:val="00CF0423"/>
    <w:rsid w:val="00CF072B"/>
    <w:rsid w:val="00CF0ADD"/>
    <w:rsid w:val="00CF0AFE"/>
    <w:rsid w:val="00CF0D20"/>
    <w:rsid w:val="00CF19EB"/>
    <w:rsid w:val="00CF2753"/>
    <w:rsid w:val="00CF28EE"/>
    <w:rsid w:val="00CF2FA8"/>
    <w:rsid w:val="00CF3159"/>
    <w:rsid w:val="00CF3885"/>
    <w:rsid w:val="00CF402D"/>
    <w:rsid w:val="00CF431B"/>
    <w:rsid w:val="00CF5577"/>
    <w:rsid w:val="00CF5BE3"/>
    <w:rsid w:val="00CF620E"/>
    <w:rsid w:val="00CF62A8"/>
    <w:rsid w:val="00CF6DF4"/>
    <w:rsid w:val="00CF6EA7"/>
    <w:rsid w:val="00CF7684"/>
    <w:rsid w:val="00CF7A07"/>
    <w:rsid w:val="00CF7AF7"/>
    <w:rsid w:val="00D00680"/>
    <w:rsid w:val="00D00A23"/>
    <w:rsid w:val="00D011FE"/>
    <w:rsid w:val="00D0212E"/>
    <w:rsid w:val="00D0214A"/>
    <w:rsid w:val="00D026CD"/>
    <w:rsid w:val="00D02A25"/>
    <w:rsid w:val="00D04C15"/>
    <w:rsid w:val="00D04F7B"/>
    <w:rsid w:val="00D0512C"/>
    <w:rsid w:val="00D053C2"/>
    <w:rsid w:val="00D05FA5"/>
    <w:rsid w:val="00D06211"/>
    <w:rsid w:val="00D06E9F"/>
    <w:rsid w:val="00D06FFF"/>
    <w:rsid w:val="00D07871"/>
    <w:rsid w:val="00D07B7D"/>
    <w:rsid w:val="00D113E7"/>
    <w:rsid w:val="00D116F0"/>
    <w:rsid w:val="00D119B8"/>
    <w:rsid w:val="00D11B26"/>
    <w:rsid w:val="00D122BD"/>
    <w:rsid w:val="00D123EA"/>
    <w:rsid w:val="00D124C5"/>
    <w:rsid w:val="00D12A77"/>
    <w:rsid w:val="00D12C8C"/>
    <w:rsid w:val="00D12E24"/>
    <w:rsid w:val="00D134C5"/>
    <w:rsid w:val="00D13CD4"/>
    <w:rsid w:val="00D14332"/>
    <w:rsid w:val="00D14C3A"/>
    <w:rsid w:val="00D15178"/>
    <w:rsid w:val="00D151AE"/>
    <w:rsid w:val="00D15B0C"/>
    <w:rsid w:val="00D15F88"/>
    <w:rsid w:val="00D167E6"/>
    <w:rsid w:val="00D16C97"/>
    <w:rsid w:val="00D16F9B"/>
    <w:rsid w:val="00D17611"/>
    <w:rsid w:val="00D1786A"/>
    <w:rsid w:val="00D17A0C"/>
    <w:rsid w:val="00D17E0F"/>
    <w:rsid w:val="00D17E1D"/>
    <w:rsid w:val="00D17E36"/>
    <w:rsid w:val="00D211A0"/>
    <w:rsid w:val="00D21A5A"/>
    <w:rsid w:val="00D21E2C"/>
    <w:rsid w:val="00D22039"/>
    <w:rsid w:val="00D22381"/>
    <w:rsid w:val="00D22863"/>
    <w:rsid w:val="00D22A36"/>
    <w:rsid w:val="00D23502"/>
    <w:rsid w:val="00D23570"/>
    <w:rsid w:val="00D239B8"/>
    <w:rsid w:val="00D23D51"/>
    <w:rsid w:val="00D24778"/>
    <w:rsid w:val="00D259F3"/>
    <w:rsid w:val="00D25ADF"/>
    <w:rsid w:val="00D25BE6"/>
    <w:rsid w:val="00D25C2E"/>
    <w:rsid w:val="00D25FFA"/>
    <w:rsid w:val="00D264A4"/>
    <w:rsid w:val="00D26E87"/>
    <w:rsid w:val="00D27086"/>
    <w:rsid w:val="00D274E2"/>
    <w:rsid w:val="00D279F9"/>
    <w:rsid w:val="00D27BB8"/>
    <w:rsid w:val="00D27CDB"/>
    <w:rsid w:val="00D27D1C"/>
    <w:rsid w:val="00D30112"/>
    <w:rsid w:val="00D3018C"/>
    <w:rsid w:val="00D30458"/>
    <w:rsid w:val="00D30B67"/>
    <w:rsid w:val="00D30D2F"/>
    <w:rsid w:val="00D30E04"/>
    <w:rsid w:val="00D3146B"/>
    <w:rsid w:val="00D31529"/>
    <w:rsid w:val="00D3190D"/>
    <w:rsid w:val="00D31C33"/>
    <w:rsid w:val="00D3345B"/>
    <w:rsid w:val="00D33974"/>
    <w:rsid w:val="00D346EB"/>
    <w:rsid w:val="00D34B45"/>
    <w:rsid w:val="00D35344"/>
    <w:rsid w:val="00D35DEF"/>
    <w:rsid w:val="00D362D1"/>
    <w:rsid w:val="00D36D7D"/>
    <w:rsid w:val="00D36FEC"/>
    <w:rsid w:val="00D3723B"/>
    <w:rsid w:val="00D377B1"/>
    <w:rsid w:val="00D37996"/>
    <w:rsid w:val="00D37C81"/>
    <w:rsid w:val="00D37DF7"/>
    <w:rsid w:val="00D405B2"/>
    <w:rsid w:val="00D40BBB"/>
    <w:rsid w:val="00D4101C"/>
    <w:rsid w:val="00D411AB"/>
    <w:rsid w:val="00D41B32"/>
    <w:rsid w:val="00D41BD7"/>
    <w:rsid w:val="00D41E32"/>
    <w:rsid w:val="00D42078"/>
    <w:rsid w:val="00D42CC1"/>
    <w:rsid w:val="00D42D59"/>
    <w:rsid w:val="00D42F6C"/>
    <w:rsid w:val="00D43663"/>
    <w:rsid w:val="00D43A1F"/>
    <w:rsid w:val="00D44755"/>
    <w:rsid w:val="00D4477C"/>
    <w:rsid w:val="00D45EDA"/>
    <w:rsid w:val="00D46126"/>
    <w:rsid w:val="00D46750"/>
    <w:rsid w:val="00D47F43"/>
    <w:rsid w:val="00D50DFF"/>
    <w:rsid w:val="00D50F88"/>
    <w:rsid w:val="00D512A4"/>
    <w:rsid w:val="00D5138A"/>
    <w:rsid w:val="00D51A7A"/>
    <w:rsid w:val="00D51B6D"/>
    <w:rsid w:val="00D521C2"/>
    <w:rsid w:val="00D52785"/>
    <w:rsid w:val="00D53401"/>
    <w:rsid w:val="00D5370C"/>
    <w:rsid w:val="00D539EF"/>
    <w:rsid w:val="00D53A72"/>
    <w:rsid w:val="00D54038"/>
    <w:rsid w:val="00D54213"/>
    <w:rsid w:val="00D54F96"/>
    <w:rsid w:val="00D5509A"/>
    <w:rsid w:val="00D550A4"/>
    <w:rsid w:val="00D5556F"/>
    <w:rsid w:val="00D55A61"/>
    <w:rsid w:val="00D5610F"/>
    <w:rsid w:val="00D5676F"/>
    <w:rsid w:val="00D56AE7"/>
    <w:rsid w:val="00D57027"/>
    <w:rsid w:val="00D573B0"/>
    <w:rsid w:val="00D57521"/>
    <w:rsid w:val="00D576B6"/>
    <w:rsid w:val="00D578DF"/>
    <w:rsid w:val="00D600EC"/>
    <w:rsid w:val="00D60147"/>
    <w:rsid w:val="00D60CB8"/>
    <w:rsid w:val="00D60D04"/>
    <w:rsid w:val="00D60DEF"/>
    <w:rsid w:val="00D61D9D"/>
    <w:rsid w:val="00D6217D"/>
    <w:rsid w:val="00D6231B"/>
    <w:rsid w:val="00D62C17"/>
    <w:rsid w:val="00D62DFA"/>
    <w:rsid w:val="00D63ACC"/>
    <w:rsid w:val="00D63D29"/>
    <w:rsid w:val="00D63EDB"/>
    <w:rsid w:val="00D65C79"/>
    <w:rsid w:val="00D66949"/>
    <w:rsid w:val="00D67A60"/>
    <w:rsid w:val="00D67A77"/>
    <w:rsid w:val="00D67A9E"/>
    <w:rsid w:val="00D70016"/>
    <w:rsid w:val="00D70178"/>
    <w:rsid w:val="00D701CE"/>
    <w:rsid w:val="00D701D4"/>
    <w:rsid w:val="00D701D7"/>
    <w:rsid w:val="00D7069F"/>
    <w:rsid w:val="00D7100B"/>
    <w:rsid w:val="00D7121B"/>
    <w:rsid w:val="00D71336"/>
    <w:rsid w:val="00D71461"/>
    <w:rsid w:val="00D71471"/>
    <w:rsid w:val="00D71B67"/>
    <w:rsid w:val="00D71C56"/>
    <w:rsid w:val="00D72BE6"/>
    <w:rsid w:val="00D73B2C"/>
    <w:rsid w:val="00D73C72"/>
    <w:rsid w:val="00D73DDB"/>
    <w:rsid w:val="00D745D7"/>
    <w:rsid w:val="00D7519D"/>
    <w:rsid w:val="00D75281"/>
    <w:rsid w:val="00D75A53"/>
    <w:rsid w:val="00D75B25"/>
    <w:rsid w:val="00D760B7"/>
    <w:rsid w:val="00D763AA"/>
    <w:rsid w:val="00D7657C"/>
    <w:rsid w:val="00D765FD"/>
    <w:rsid w:val="00D76BAD"/>
    <w:rsid w:val="00D76C97"/>
    <w:rsid w:val="00D76E8B"/>
    <w:rsid w:val="00D7706C"/>
    <w:rsid w:val="00D77433"/>
    <w:rsid w:val="00D776E3"/>
    <w:rsid w:val="00D779A5"/>
    <w:rsid w:val="00D8044E"/>
    <w:rsid w:val="00D80CCC"/>
    <w:rsid w:val="00D80F0E"/>
    <w:rsid w:val="00D810BB"/>
    <w:rsid w:val="00D81524"/>
    <w:rsid w:val="00D81801"/>
    <w:rsid w:val="00D81FBB"/>
    <w:rsid w:val="00D8205D"/>
    <w:rsid w:val="00D82A69"/>
    <w:rsid w:val="00D834ED"/>
    <w:rsid w:val="00D8352F"/>
    <w:rsid w:val="00D836E9"/>
    <w:rsid w:val="00D83D93"/>
    <w:rsid w:val="00D844C1"/>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9C1"/>
    <w:rsid w:val="00D87B29"/>
    <w:rsid w:val="00D87D72"/>
    <w:rsid w:val="00D9035B"/>
    <w:rsid w:val="00D90444"/>
    <w:rsid w:val="00D90A77"/>
    <w:rsid w:val="00D90BA1"/>
    <w:rsid w:val="00D90C7C"/>
    <w:rsid w:val="00D91492"/>
    <w:rsid w:val="00D91911"/>
    <w:rsid w:val="00D91A0A"/>
    <w:rsid w:val="00D91A82"/>
    <w:rsid w:val="00D91B5D"/>
    <w:rsid w:val="00D91B8A"/>
    <w:rsid w:val="00D92F25"/>
    <w:rsid w:val="00D9376B"/>
    <w:rsid w:val="00D93E53"/>
    <w:rsid w:val="00D9449B"/>
    <w:rsid w:val="00D94A33"/>
    <w:rsid w:val="00D94AD1"/>
    <w:rsid w:val="00D96787"/>
    <w:rsid w:val="00D967A5"/>
    <w:rsid w:val="00D96B99"/>
    <w:rsid w:val="00D96D89"/>
    <w:rsid w:val="00D97CB3"/>
    <w:rsid w:val="00D97F7F"/>
    <w:rsid w:val="00DA00C4"/>
    <w:rsid w:val="00DA00E5"/>
    <w:rsid w:val="00DA037D"/>
    <w:rsid w:val="00DA1306"/>
    <w:rsid w:val="00DA182E"/>
    <w:rsid w:val="00DA1E23"/>
    <w:rsid w:val="00DA31BB"/>
    <w:rsid w:val="00DA32AF"/>
    <w:rsid w:val="00DA33EF"/>
    <w:rsid w:val="00DA35AD"/>
    <w:rsid w:val="00DA3EAD"/>
    <w:rsid w:val="00DA4370"/>
    <w:rsid w:val="00DA4479"/>
    <w:rsid w:val="00DA4694"/>
    <w:rsid w:val="00DA477A"/>
    <w:rsid w:val="00DA4973"/>
    <w:rsid w:val="00DA4F32"/>
    <w:rsid w:val="00DA5172"/>
    <w:rsid w:val="00DA5259"/>
    <w:rsid w:val="00DA545B"/>
    <w:rsid w:val="00DA585B"/>
    <w:rsid w:val="00DA5A3E"/>
    <w:rsid w:val="00DA67B4"/>
    <w:rsid w:val="00DA6B61"/>
    <w:rsid w:val="00DA6CF4"/>
    <w:rsid w:val="00DA70E8"/>
    <w:rsid w:val="00DA73AF"/>
    <w:rsid w:val="00DA7CFE"/>
    <w:rsid w:val="00DB0056"/>
    <w:rsid w:val="00DB016D"/>
    <w:rsid w:val="00DB09C0"/>
    <w:rsid w:val="00DB0DD9"/>
    <w:rsid w:val="00DB10A8"/>
    <w:rsid w:val="00DB11DF"/>
    <w:rsid w:val="00DB2C19"/>
    <w:rsid w:val="00DB30F4"/>
    <w:rsid w:val="00DB31E4"/>
    <w:rsid w:val="00DB3A12"/>
    <w:rsid w:val="00DB3D95"/>
    <w:rsid w:val="00DB3D9F"/>
    <w:rsid w:val="00DB49CD"/>
    <w:rsid w:val="00DB5435"/>
    <w:rsid w:val="00DB5698"/>
    <w:rsid w:val="00DB59FC"/>
    <w:rsid w:val="00DB63F0"/>
    <w:rsid w:val="00DB6947"/>
    <w:rsid w:val="00DB6D8A"/>
    <w:rsid w:val="00DB6E07"/>
    <w:rsid w:val="00DB7131"/>
    <w:rsid w:val="00DB7344"/>
    <w:rsid w:val="00DB73D7"/>
    <w:rsid w:val="00DB768C"/>
    <w:rsid w:val="00DB77CD"/>
    <w:rsid w:val="00DB7E8D"/>
    <w:rsid w:val="00DB7ED2"/>
    <w:rsid w:val="00DC0050"/>
    <w:rsid w:val="00DC0D2B"/>
    <w:rsid w:val="00DC0EA9"/>
    <w:rsid w:val="00DC1061"/>
    <w:rsid w:val="00DC10F2"/>
    <w:rsid w:val="00DC1326"/>
    <w:rsid w:val="00DC143B"/>
    <w:rsid w:val="00DC1926"/>
    <w:rsid w:val="00DC1C01"/>
    <w:rsid w:val="00DC1E36"/>
    <w:rsid w:val="00DC2244"/>
    <w:rsid w:val="00DC22A2"/>
    <w:rsid w:val="00DC2860"/>
    <w:rsid w:val="00DC2886"/>
    <w:rsid w:val="00DC2B13"/>
    <w:rsid w:val="00DC2C91"/>
    <w:rsid w:val="00DC390F"/>
    <w:rsid w:val="00DC3A85"/>
    <w:rsid w:val="00DC56E3"/>
    <w:rsid w:val="00DC5DB6"/>
    <w:rsid w:val="00DC6192"/>
    <w:rsid w:val="00DC6EC3"/>
    <w:rsid w:val="00DC77BD"/>
    <w:rsid w:val="00DC7B88"/>
    <w:rsid w:val="00DC7C54"/>
    <w:rsid w:val="00DC7F49"/>
    <w:rsid w:val="00DD0179"/>
    <w:rsid w:val="00DD09EB"/>
    <w:rsid w:val="00DD0CED"/>
    <w:rsid w:val="00DD1A9E"/>
    <w:rsid w:val="00DD2301"/>
    <w:rsid w:val="00DD2520"/>
    <w:rsid w:val="00DD28FB"/>
    <w:rsid w:val="00DD30CB"/>
    <w:rsid w:val="00DD323E"/>
    <w:rsid w:val="00DD357B"/>
    <w:rsid w:val="00DD3791"/>
    <w:rsid w:val="00DD3A1E"/>
    <w:rsid w:val="00DD3AFE"/>
    <w:rsid w:val="00DD3D22"/>
    <w:rsid w:val="00DD417C"/>
    <w:rsid w:val="00DD426D"/>
    <w:rsid w:val="00DD436B"/>
    <w:rsid w:val="00DD4752"/>
    <w:rsid w:val="00DD47E4"/>
    <w:rsid w:val="00DD488F"/>
    <w:rsid w:val="00DD4D46"/>
    <w:rsid w:val="00DD4DAF"/>
    <w:rsid w:val="00DD50A3"/>
    <w:rsid w:val="00DD5130"/>
    <w:rsid w:val="00DD584B"/>
    <w:rsid w:val="00DD5948"/>
    <w:rsid w:val="00DD6294"/>
    <w:rsid w:val="00DD67E5"/>
    <w:rsid w:val="00DD6A57"/>
    <w:rsid w:val="00DD6DAA"/>
    <w:rsid w:val="00DD6DE4"/>
    <w:rsid w:val="00DD7848"/>
    <w:rsid w:val="00DD7EAF"/>
    <w:rsid w:val="00DE01F6"/>
    <w:rsid w:val="00DE0520"/>
    <w:rsid w:val="00DE0ED3"/>
    <w:rsid w:val="00DE0FBE"/>
    <w:rsid w:val="00DE1031"/>
    <w:rsid w:val="00DE1B18"/>
    <w:rsid w:val="00DE1D5F"/>
    <w:rsid w:val="00DE1FD6"/>
    <w:rsid w:val="00DE20F1"/>
    <w:rsid w:val="00DE21F5"/>
    <w:rsid w:val="00DE2411"/>
    <w:rsid w:val="00DE2445"/>
    <w:rsid w:val="00DE2792"/>
    <w:rsid w:val="00DE2C16"/>
    <w:rsid w:val="00DE2EB4"/>
    <w:rsid w:val="00DE34E7"/>
    <w:rsid w:val="00DE357C"/>
    <w:rsid w:val="00DE38E9"/>
    <w:rsid w:val="00DE390B"/>
    <w:rsid w:val="00DE3A21"/>
    <w:rsid w:val="00DE3CE5"/>
    <w:rsid w:val="00DE4063"/>
    <w:rsid w:val="00DE472C"/>
    <w:rsid w:val="00DE4B1A"/>
    <w:rsid w:val="00DE56AD"/>
    <w:rsid w:val="00DE5A62"/>
    <w:rsid w:val="00DE6EB9"/>
    <w:rsid w:val="00DE76A7"/>
    <w:rsid w:val="00DE7B6E"/>
    <w:rsid w:val="00DF074F"/>
    <w:rsid w:val="00DF12B3"/>
    <w:rsid w:val="00DF17D8"/>
    <w:rsid w:val="00DF1A16"/>
    <w:rsid w:val="00DF1C08"/>
    <w:rsid w:val="00DF21F4"/>
    <w:rsid w:val="00DF2583"/>
    <w:rsid w:val="00DF26B1"/>
    <w:rsid w:val="00DF2CE5"/>
    <w:rsid w:val="00DF2E7F"/>
    <w:rsid w:val="00DF3158"/>
    <w:rsid w:val="00DF3219"/>
    <w:rsid w:val="00DF3814"/>
    <w:rsid w:val="00DF3BF6"/>
    <w:rsid w:val="00DF3DA5"/>
    <w:rsid w:val="00DF480A"/>
    <w:rsid w:val="00DF4FB9"/>
    <w:rsid w:val="00DF52D1"/>
    <w:rsid w:val="00DF5789"/>
    <w:rsid w:val="00DF5984"/>
    <w:rsid w:val="00DF5A45"/>
    <w:rsid w:val="00DF6037"/>
    <w:rsid w:val="00DF630F"/>
    <w:rsid w:val="00DF663B"/>
    <w:rsid w:val="00DF71D8"/>
    <w:rsid w:val="00DF787F"/>
    <w:rsid w:val="00E00719"/>
    <w:rsid w:val="00E0085F"/>
    <w:rsid w:val="00E0188B"/>
    <w:rsid w:val="00E01CA7"/>
    <w:rsid w:val="00E020CB"/>
    <w:rsid w:val="00E02D07"/>
    <w:rsid w:val="00E02E95"/>
    <w:rsid w:val="00E033BA"/>
    <w:rsid w:val="00E03692"/>
    <w:rsid w:val="00E037C1"/>
    <w:rsid w:val="00E0382F"/>
    <w:rsid w:val="00E03980"/>
    <w:rsid w:val="00E03DA9"/>
    <w:rsid w:val="00E041EC"/>
    <w:rsid w:val="00E047AD"/>
    <w:rsid w:val="00E052CE"/>
    <w:rsid w:val="00E058EE"/>
    <w:rsid w:val="00E05C35"/>
    <w:rsid w:val="00E06676"/>
    <w:rsid w:val="00E066F5"/>
    <w:rsid w:val="00E06A0D"/>
    <w:rsid w:val="00E0716E"/>
    <w:rsid w:val="00E073BA"/>
    <w:rsid w:val="00E075DE"/>
    <w:rsid w:val="00E07AA3"/>
    <w:rsid w:val="00E07AB5"/>
    <w:rsid w:val="00E10A5A"/>
    <w:rsid w:val="00E10EC8"/>
    <w:rsid w:val="00E11D68"/>
    <w:rsid w:val="00E11DB0"/>
    <w:rsid w:val="00E1213E"/>
    <w:rsid w:val="00E1219F"/>
    <w:rsid w:val="00E1228B"/>
    <w:rsid w:val="00E12742"/>
    <w:rsid w:val="00E12CBB"/>
    <w:rsid w:val="00E12D6C"/>
    <w:rsid w:val="00E12EDF"/>
    <w:rsid w:val="00E13408"/>
    <w:rsid w:val="00E1448C"/>
    <w:rsid w:val="00E14B7B"/>
    <w:rsid w:val="00E14D04"/>
    <w:rsid w:val="00E15B76"/>
    <w:rsid w:val="00E16431"/>
    <w:rsid w:val="00E16805"/>
    <w:rsid w:val="00E1695A"/>
    <w:rsid w:val="00E16B28"/>
    <w:rsid w:val="00E16CA5"/>
    <w:rsid w:val="00E16D2F"/>
    <w:rsid w:val="00E17B40"/>
    <w:rsid w:val="00E17D6E"/>
    <w:rsid w:val="00E17F71"/>
    <w:rsid w:val="00E2102D"/>
    <w:rsid w:val="00E21224"/>
    <w:rsid w:val="00E2148C"/>
    <w:rsid w:val="00E21C86"/>
    <w:rsid w:val="00E21EAD"/>
    <w:rsid w:val="00E21F8A"/>
    <w:rsid w:val="00E223B3"/>
    <w:rsid w:val="00E22541"/>
    <w:rsid w:val="00E22D6F"/>
    <w:rsid w:val="00E22E87"/>
    <w:rsid w:val="00E2360B"/>
    <w:rsid w:val="00E23A51"/>
    <w:rsid w:val="00E23C52"/>
    <w:rsid w:val="00E23C67"/>
    <w:rsid w:val="00E23CEF"/>
    <w:rsid w:val="00E23D0D"/>
    <w:rsid w:val="00E23FAE"/>
    <w:rsid w:val="00E245C3"/>
    <w:rsid w:val="00E246BA"/>
    <w:rsid w:val="00E247DE"/>
    <w:rsid w:val="00E24BC4"/>
    <w:rsid w:val="00E2631F"/>
    <w:rsid w:val="00E2675C"/>
    <w:rsid w:val="00E26A6B"/>
    <w:rsid w:val="00E26D12"/>
    <w:rsid w:val="00E27665"/>
    <w:rsid w:val="00E278AC"/>
    <w:rsid w:val="00E27BEE"/>
    <w:rsid w:val="00E3052B"/>
    <w:rsid w:val="00E309AE"/>
    <w:rsid w:val="00E30EEA"/>
    <w:rsid w:val="00E31471"/>
    <w:rsid w:val="00E31710"/>
    <w:rsid w:val="00E32188"/>
    <w:rsid w:val="00E328D8"/>
    <w:rsid w:val="00E32CE2"/>
    <w:rsid w:val="00E32D37"/>
    <w:rsid w:val="00E32F10"/>
    <w:rsid w:val="00E33C12"/>
    <w:rsid w:val="00E33F65"/>
    <w:rsid w:val="00E34142"/>
    <w:rsid w:val="00E3460C"/>
    <w:rsid w:val="00E3470B"/>
    <w:rsid w:val="00E3489A"/>
    <w:rsid w:val="00E3495E"/>
    <w:rsid w:val="00E35CB7"/>
    <w:rsid w:val="00E35F92"/>
    <w:rsid w:val="00E3617F"/>
    <w:rsid w:val="00E3638F"/>
    <w:rsid w:val="00E37667"/>
    <w:rsid w:val="00E4024F"/>
    <w:rsid w:val="00E406DA"/>
    <w:rsid w:val="00E40ADA"/>
    <w:rsid w:val="00E40B1E"/>
    <w:rsid w:val="00E415FC"/>
    <w:rsid w:val="00E4170E"/>
    <w:rsid w:val="00E4246E"/>
    <w:rsid w:val="00E43398"/>
    <w:rsid w:val="00E43AA3"/>
    <w:rsid w:val="00E43EB0"/>
    <w:rsid w:val="00E43FB8"/>
    <w:rsid w:val="00E44214"/>
    <w:rsid w:val="00E44A83"/>
    <w:rsid w:val="00E44BFF"/>
    <w:rsid w:val="00E44C59"/>
    <w:rsid w:val="00E453AF"/>
    <w:rsid w:val="00E4549D"/>
    <w:rsid w:val="00E45BF2"/>
    <w:rsid w:val="00E45DEA"/>
    <w:rsid w:val="00E4677E"/>
    <w:rsid w:val="00E46935"/>
    <w:rsid w:val="00E47684"/>
    <w:rsid w:val="00E47A76"/>
    <w:rsid w:val="00E500ED"/>
    <w:rsid w:val="00E50C4C"/>
    <w:rsid w:val="00E51829"/>
    <w:rsid w:val="00E52E0B"/>
    <w:rsid w:val="00E53651"/>
    <w:rsid w:val="00E53DCD"/>
    <w:rsid w:val="00E54066"/>
    <w:rsid w:val="00E54291"/>
    <w:rsid w:val="00E54585"/>
    <w:rsid w:val="00E5459C"/>
    <w:rsid w:val="00E5475E"/>
    <w:rsid w:val="00E549C2"/>
    <w:rsid w:val="00E55537"/>
    <w:rsid w:val="00E557B5"/>
    <w:rsid w:val="00E55E1B"/>
    <w:rsid w:val="00E56BD8"/>
    <w:rsid w:val="00E56F3C"/>
    <w:rsid w:val="00E57B6A"/>
    <w:rsid w:val="00E60952"/>
    <w:rsid w:val="00E61819"/>
    <w:rsid w:val="00E61E23"/>
    <w:rsid w:val="00E620A6"/>
    <w:rsid w:val="00E6210D"/>
    <w:rsid w:val="00E62171"/>
    <w:rsid w:val="00E62656"/>
    <w:rsid w:val="00E62768"/>
    <w:rsid w:val="00E62E62"/>
    <w:rsid w:val="00E62F0B"/>
    <w:rsid w:val="00E6462C"/>
    <w:rsid w:val="00E64745"/>
    <w:rsid w:val="00E65BCA"/>
    <w:rsid w:val="00E65F73"/>
    <w:rsid w:val="00E66365"/>
    <w:rsid w:val="00E664B9"/>
    <w:rsid w:val="00E672DE"/>
    <w:rsid w:val="00E70029"/>
    <w:rsid w:val="00E71702"/>
    <w:rsid w:val="00E718FA"/>
    <w:rsid w:val="00E719D3"/>
    <w:rsid w:val="00E720FE"/>
    <w:rsid w:val="00E7210E"/>
    <w:rsid w:val="00E72A86"/>
    <w:rsid w:val="00E72C29"/>
    <w:rsid w:val="00E72D83"/>
    <w:rsid w:val="00E73583"/>
    <w:rsid w:val="00E73A50"/>
    <w:rsid w:val="00E73E05"/>
    <w:rsid w:val="00E73FEE"/>
    <w:rsid w:val="00E7442B"/>
    <w:rsid w:val="00E74DB2"/>
    <w:rsid w:val="00E74EE7"/>
    <w:rsid w:val="00E75236"/>
    <w:rsid w:val="00E75D1A"/>
    <w:rsid w:val="00E75F5F"/>
    <w:rsid w:val="00E76782"/>
    <w:rsid w:val="00E76956"/>
    <w:rsid w:val="00E76B6E"/>
    <w:rsid w:val="00E76DB9"/>
    <w:rsid w:val="00E77030"/>
    <w:rsid w:val="00E773C5"/>
    <w:rsid w:val="00E77744"/>
    <w:rsid w:val="00E777AD"/>
    <w:rsid w:val="00E779CB"/>
    <w:rsid w:val="00E80B80"/>
    <w:rsid w:val="00E814BC"/>
    <w:rsid w:val="00E81603"/>
    <w:rsid w:val="00E81756"/>
    <w:rsid w:val="00E81A4E"/>
    <w:rsid w:val="00E82C70"/>
    <w:rsid w:val="00E82DC8"/>
    <w:rsid w:val="00E83D1B"/>
    <w:rsid w:val="00E84AB4"/>
    <w:rsid w:val="00E84B48"/>
    <w:rsid w:val="00E84CC9"/>
    <w:rsid w:val="00E84EBF"/>
    <w:rsid w:val="00E8590A"/>
    <w:rsid w:val="00E85F38"/>
    <w:rsid w:val="00E861A8"/>
    <w:rsid w:val="00E86ED2"/>
    <w:rsid w:val="00E871DB"/>
    <w:rsid w:val="00E87629"/>
    <w:rsid w:val="00E87846"/>
    <w:rsid w:val="00E87853"/>
    <w:rsid w:val="00E90075"/>
    <w:rsid w:val="00E90423"/>
    <w:rsid w:val="00E9047F"/>
    <w:rsid w:val="00E90630"/>
    <w:rsid w:val="00E90C12"/>
    <w:rsid w:val="00E91621"/>
    <w:rsid w:val="00E91C47"/>
    <w:rsid w:val="00E91D47"/>
    <w:rsid w:val="00E91FEE"/>
    <w:rsid w:val="00E92935"/>
    <w:rsid w:val="00E94784"/>
    <w:rsid w:val="00E949D3"/>
    <w:rsid w:val="00E94A10"/>
    <w:rsid w:val="00E95F82"/>
    <w:rsid w:val="00E96141"/>
    <w:rsid w:val="00E96473"/>
    <w:rsid w:val="00E96829"/>
    <w:rsid w:val="00E9686D"/>
    <w:rsid w:val="00E9757C"/>
    <w:rsid w:val="00E97928"/>
    <w:rsid w:val="00E97A5E"/>
    <w:rsid w:val="00EA0D57"/>
    <w:rsid w:val="00EA0E45"/>
    <w:rsid w:val="00EA1EAD"/>
    <w:rsid w:val="00EA205B"/>
    <w:rsid w:val="00EA3628"/>
    <w:rsid w:val="00EA36D3"/>
    <w:rsid w:val="00EA3702"/>
    <w:rsid w:val="00EA3FA1"/>
    <w:rsid w:val="00EA446D"/>
    <w:rsid w:val="00EA4907"/>
    <w:rsid w:val="00EA4974"/>
    <w:rsid w:val="00EA4A2E"/>
    <w:rsid w:val="00EA4BCD"/>
    <w:rsid w:val="00EA4CE0"/>
    <w:rsid w:val="00EA4EE3"/>
    <w:rsid w:val="00EA52B7"/>
    <w:rsid w:val="00EA5618"/>
    <w:rsid w:val="00EA5AC7"/>
    <w:rsid w:val="00EA6303"/>
    <w:rsid w:val="00EA63E7"/>
    <w:rsid w:val="00EA67FD"/>
    <w:rsid w:val="00EA6872"/>
    <w:rsid w:val="00EA6B29"/>
    <w:rsid w:val="00EA6B90"/>
    <w:rsid w:val="00EA6EA1"/>
    <w:rsid w:val="00EA740F"/>
    <w:rsid w:val="00EA7587"/>
    <w:rsid w:val="00EA7A0F"/>
    <w:rsid w:val="00EB04B5"/>
    <w:rsid w:val="00EB06AF"/>
    <w:rsid w:val="00EB1023"/>
    <w:rsid w:val="00EB1073"/>
    <w:rsid w:val="00EB199B"/>
    <w:rsid w:val="00EB1BC0"/>
    <w:rsid w:val="00EB210B"/>
    <w:rsid w:val="00EB2248"/>
    <w:rsid w:val="00EB2453"/>
    <w:rsid w:val="00EB269D"/>
    <w:rsid w:val="00EB2979"/>
    <w:rsid w:val="00EB39F9"/>
    <w:rsid w:val="00EB3BCE"/>
    <w:rsid w:val="00EB47E5"/>
    <w:rsid w:val="00EB5877"/>
    <w:rsid w:val="00EB5A86"/>
    <w:rsid w:val="00EB5CAD"/>
    <w:rsid w:val="00EB61ED"/>
    <w:rsid w:val="00EB621E"/>
    <w:rsid w:val="00EB65A1"/>
    <w:rsid w:val="00EB6633"/>
    <w:rsid w:val="00EB684B"/>
    <w:rsid w:val="00EB730C"/>
    <w:rsid w:val="00EB7561"/>
    <w:rsid w:val="00EB7939"/>
    <w:rsid w:val="00EB7B45"/>
    <w:rsid w:val="00EB7C89"/>
    <w:rsid w:val="00EC018B"/>
    <w:rsid w:val="00EC0324"/>
    <w:rsid w:val="00EC0DD2"/>
    <w:rsid w:val="00EC0E73"/>
    <w:rsid w:val="00EC13B2"/>
    <w:rsid w:val="00EC1543"/>
    <w:rsid w:val="00EC23B5"/>
    <w:rsid w:val="00EC2BC2"/>
    <w:rsid w:val="00EC2C2F"/>
    <w:rsid w:val="00EC2CF2"/>
    <w:rsid w:val="00EC2D72"/>
    <w:rsid w:val="00EC2DE4"/>
    <w:rsid w:val="00EC3159"/>
    <w:rsid w:val="00EC323A"/>
    <w:rsid w:val="00EC34E3"/>
    <w:rsid w:val="00EC3700"/>
    <w:rsid w:val="00EC37CE"/>
    <w:rsid w:val="00EC3C14"/>
    <w:rsid w:val="00EC3D4A"/>
    <w:rsid w:val="00EC3FFF"/>
    <w:rsid w:val="00EC4820"/>
    <w:rsid w:val="00EC5062"/>
    <w:rsid w:val="00EC53F0"/>
    <w:rsid w:val="00EC5DD1"/>
    <w:rsid w:val="00EC70F7"/>
    <w:rsid w:val="00EC7EB7"/>
    <w:rsid w:val="00EC7F4A"/>
    <w:rsid w:val="00ED0291"/>
    <w:rsid w:val="00ED0516"/>
    <w:rsid w:val="00ED053F"/>
    <w:rsid w:val="00ED198F"/>
    <w:rsid w:val="00ED1A2D"/>
    <w:rsid w:val="00ED1BFF"/>
    <w:rsid w:val="00ED241C"/>
    <w:rsid w:val="00ED26AE"/>
    <w:rsid w:val="00ED28D4"/>
    <w:rsid w:val="00ED296D"/>
    <w:rsid w:val="00ED2B38"/>
    <w:rsid w:val="00ED2F2E"/>
    <w:rsid w:val="00ED3A50"/>
    <w:rsid w:val="00ED4090"/>
    <w:rsid w:val="00ED4348"/>
    <w:rsid w:val="00ED43DA"/>
    <w:rsid w:val="00ED46D7"/>
    <w:rsid w:val="00ED4C1B"/>
    <w:rsid w:val="00ED529E"/>
    <w:rsid w:val="00ED542F"/>
    <w:rsid w:val="00ED66C5"/>
    <w:rsid w:val="00ED6A8D"/>
    <w:rsid w:val="00ED6B2E"/>
    <w:rsid w:val="00ED710B"/>
    <w:rsid w:val="00ED7133"/>
    <w:rsid w:val="00EE11F8"/>
    <w:rsid w:val="00EE190E"/>
    <w:rsid w:val="00EE1BEB"/>
    <w:rsid w:val="00EE1E35"/>
    <w:rsid w:val="00EE27E2"/>
    <w:rsid w:val="00EE2819"/>
    <w:rsid w:val="00EE2EC4"/>
    <w:rsid w:val="00EE38B4"/>
    <w:rsid w:val="00EE392A"/>
    <w:rsid w:val="00EE3B06"/>
    <w:rsid w:val="00EE3B46"/>
    <w:rsid w:val="00EE3B79"/>
    <w:rsid w:val="00EE3F23"/>
    <w:rsid w:val="00EE59ED"/>
    <w:rsid w:val="00EE60A1"/>
    <w:rsid w:val="00EE6168"/>
    <w:rsid w:val="00EE6853"/>
    <w:rsid w:val="00EE6C9F"/>
    <w:rsid w:val="00EE6D50"/>
    <w:rsid w:val="00EE7E5F"/>
    <w:rsid w:val="00EF0345"/>
    <w:rsid w:val="00EF04B9"/>
    <w:rsid w:val="00EF067D"/>
    <w:rsid w:val="00EF0CF9"/>
    <w:rsid w:val="00EF105D"/>
    <w:rsid w:val="00EF1A9B"/>
    <w:rsid w:val="00EF2262"/>
    <w:rsid w:val="00EF2380"/>
    <w:rsid w:val="00EF24F5"/>
    <w:rsid w:val="00EF2565"/>
    <w:rsid w:val="00EF2765"/>
    <w:rsid w:val="00EF27D0"/>
    <w:rsid w:val="00EF28B1"/>
    <w:rsid w:val="00EF2DE8"/>
    <w:rsid w:val="00EF32F6"/>
    <w:rsid w:val="00EF4580"/>
    <w:rsid w:val="00EF4EF1"/>
    <w:rsid w:val="00EF539F"/>
    <w:rsid w:val="00EF5925"/>
    <w:rsid w:val="00EF662C"/>
    <w:rsid w:val="00EF6928"/>
    <w:rsid w:val="00EF6DB5"/>
    <w:rsid w:val="00EF6FA9"/>
    <w:rsid w:val="00EF7405"/>
    <w:rsid w:val="00EF78EA"/>
    <w:rsid w:val="00F016E4"/>
    <w:rsid w:val="00F017DC"/>
    <w:rsid w:val="00F01CB5"/>
    <w:rsid w:val="00F01E6C"/>
    <w:rsid w:val="00F02075"/>
    <w:rsid w:val="00F03111"/>
    <w:rsid w:val="00F03219"/>
    <w:rsid w:val="00F03702"/>
    <w:rsid w:val="00F03C06"/>
    <w:rsid w:val="00F04097"/>
    <w:rsid w:val="00F045E2"/>
    <w:rsid w:val="00F051B0"/>
    <w:rsid w:val="00F05409"/>
    <w:rsid w:val="00F06448"/>
    <w:rsid w:val="00F0689B"/>
    <w:rsid w:val="00F06E52"/>
    <w:rsid w:val="00F06F62"/>
    <w:rsid w:val="00F078AE"/>
    <w:rsid w:val="00F07BD0"/>
    <w:rsid w:val="00F07EC3"/>
    <w:rsid w:val="00F100E0"/>
    <w:rsid w:val="00F10625"/>
    <w:rsid w:val="00F1079D"/>
    <w:rsid w:val="00F11081"/>
    <w:rsid w:val="00F11209"/>
    <w:rsid w:val="00F11547"/>
    <w:rsid w:val="00F11A95"/>
    <w:rsid w:val="00F11C39"/>
    <w:rsid w:val="00F11CEB"/>
    <w:rsid w:val="00F1248F"/>
    <w:rsid w:val="00F1264C"/>
    <w:rsid w:val="00F126D2"/>
    <w:rsid w:val="00F130A4"/>
    <w:rsid w:val="00F13573"/>
    <w:rsid w:val="00F13EA0"/>
    <w:rsid w:val="00F140E4"/>
    <w:rsid w:val="00F14107"/>
    <w:rsid w:val="00F1457D"/>
    <w:rsid w:val="00F14673"/>
    <w:rsid w:val="00F1469A"/>
    <w:rsid w:val="00F1480E"/>
    <w:rsid w:val="00F149A3"/>
    <w:rsid w:val="00F15443"/>
    <w:rsid w:val="00F15BD1"/>
    <w:rsid w:val="00F1677E"/>
    <w:rsid w:val="00F16BE6"/>
    <w:rsid w:val="00F174DB"/>
    <w:rsid w:val="00F1767B"/>
    <w:rsid w:val="00F17B2F"/>
    <w:rsid w:val="00F20521"/>
    <w:rsid w:val="00F20797"/>
    <w:rsid w:val="00F20E6E"/>
    <w:rsid w:val="00F211C1"/>
    <w:rsid w:val="00F217CB"/>
    <w:rsid w:val="00F21874"/>
    <w:rsid w:val="00F2199E"/>
    <w:rsid w:val="00F21E65"/>
    <w:rsid w:val="00F21EEB"/>
    <w:rsid w:val="00F22268"/>
    <w:rsid w:val="00F2231E"/>
    <w:rsid w:val="00F22877"/>
    <w:rsid w:val="00F23077"/>
    <w:rsid w:val="00F234F2"/>
    <w:rsid w:val="00F236E1"/>
    <w:rsid w:val="00F24486"/>
    <w:rsid w:val="00F24755"/>
    <w:rsid w:val="00F25875"/>
    <w:rsid w:val="00F25F15"/>
    <w:rsid w:val="00F26877"/>
    <w:rsid w:val="00F268BA"/>
    <w:rsid w:val="00F26E93"/>
    <w:rsid w:val="00F26F42"/>
    <w:rsid w:val="00F272E0"/>
    <w:rsid w:val="00F279BA"/>
    <w:rsid w:val="00F30562"/>
    <w:rsid w:val="00F30952"/>
    <w:rsid w:val="00F30CB3"/>
    <w:rsid w:val="00F3163A"/>
    <w:rsid w:val="00F31A97"/>
    <w:rsid w:val="00F31DDB"/>
    <w:rsid w:val="00F3200C"/>
    <w:rsid w:val="00F320EB"/>
    <w:rsid w:val="00F321E3"/>
    <w:rsid w:val="00F323D2"/>
    <w:rsid w:val="00F32665"/>
    <w:rsid w:val="00F32E30"/>
    <w:rsid w:val="00F32EE7"/>
    <w:rsid w:val="00F330A5"/>
    <w:rsid w:val="00F3344A"/>
    <w:rsid w:val="00F3372C"/>
    <w:rsid w:val="00F33FEC"/>
    <w:rsid w:val="00F3411B"/>
    <w:rsid w:val="00F35842"/>
    <w:rsid w:val="00F359EB"/>
    <w:rsid w:val="00F36501"/>
    <w:rsid w:val="00F36694"/>
    <w:rsid w:val="00F36CD4"/>
    <w:rsid w:val="00F3767D"/>
    <w:rsid w:val="00F4012C"/>
    <w:rsid w:val="00F4063A"/>
    <w:rsid w:val="00F4093E"/>
    <w:rsid w:val="00F4170C"/>
    <w:rsid w:val="00F41879"/>
    <w:rsid w:val="00F41CFF"/>
    <w:rsid w:val="00F4243B"/>
    <w:rsid w:val="00F42646"/>
    <w:rsid w:val="00F42AC1"/>
    <w:rsid w:val="00F42EA6"/>
    <w:rsid w:val="00F42FD1"/>
    <w:rsid w:val="00F43598"/>
    <w:rsid w:val="00F436D2"/>
    <w:rsid w:val="00F43A0D"/>
    <w:rsid w:val="00F43BF4"/>
    <w:rsid w:val="00F44001"/>
    <w:rsid w:val="00F45032"/>
    <w:rsid w:val="00F461EB"/>
    <w:rsid w:val="00F4667C"/>
    <w:rsid w:val="00F46963"/>
    <w:rsid w:val="00F47047"/>
    <w:rsid w:val="00F4761B"/>
    <w:rsid w:val="00F4786F"/>
    <w:rsid w:val="00F4792C"/>
    <w:rsid w:val="00F47C30"/>
    <w:rsid w:val="00F50392"/>
    <w:rsid w:val="00F50828"/>
    <w:rsid w:val="00F50906"/>
    <w:rsid w:val="00F50AA7"/>
    <w:rsid w:val="00F517D6"/>
    <w:rsid w:val="00F51F3A"/>
    <w:rsid w:val="00F52208"/>
    <w:rsid w:val="00F52C19"/>
    <w:rsid w:val="00F52CC2"/>
    <w:rsid w:val="00F53002"/>
    <w:rsid w:val="00F5365A"/>
    <w:rsid w:val="00F53743"/>
    <w:rsid w:val="00F53B8B"/>
    <w:rsid w:val="00F53C98"/>
    <w:rsid w:val="00F54714"/>
    <w:rsid w:val="00F54BA2"/>
    <w:rsid w:val="00F554CF"/>
    <w:rsid w:val="00F558D4"/>
    <w:rsid w:val="00F55FFC"/>
    <w:rsid w:val="00F56BF3"/>
    <w:rsid w:val="00F56F60"/>
    <w:rsid w:val="00F576B5"/>
    <w:rsid w:val="00F577C6"/>
    <w:rsid w:val="00F57800"/>
    <w:rsid w:val="00F57F76"/>
    <w:rsid w:val="00F603F5"/>
    <w:rsid w:val="00F6083E"/>
    <w:rsid w:val="00F60B70"/>
    <w:rsid w:val="00F6185D"/>
    <w:rsid w:val="00F61FC9"/>
    <w:rsid w:val="00F62238"/>
    <w:rsid w:val="00F6223E"/>
    <w:rsid w:val="00F62391"/>
    <w:rsid w:val="00F62A2D"/>
    <w:rsid w:val="00F63A0E"/>
    <w:rsid w:val="00F63B07"/>
    <w:rsid w:val="00F63CED"/>
    <w:rsid w:val="00F6416D"/>
    <w:rsid w:val="00F642E8"/>
    <w:rsid w:val="00F642F2"/>
    <w:rsid w:val="00F64B72"/>
    <w:rsid w:val="00F64FC3"/>
    <w:rsid w:val="00F655DB"/>
    <w:rsid w:val="00F65A96"/>
    <w:rsid w:val="00F65B4B"/>
    <w:rsid w:val="00F65B8A"/>
    <w:rsid w:val="00F65E8C"/>
    <w:rsid w:val="00F663A0"/>
    <w:rsid w:val="00F66D18"/>
    <w:rsid w:val="00F66F43"/>
    <w:rsid w:val="00F7075C"/>
    <w:rsid w:val="00F70D4F"/>
    <w:rsid w:val="00F7113A"/>
    <w:rsid w:val="00F71278"/>
    <w:rsid w:val="00F712F4"/>
    <w:rsid w:val="00F7132A"/>
    <w:rsid w:val="00F721EA"/>
    <w:rsid w:val="00F723C0"/>
    <w:rsid w:val="00F7257B"/>
    <w:rsid w:val="00F72B0E"/>
    <w:rsid w:val="00F72BF8"/>
    <w:rsid w:val="00F72D40"/>
    <w:rsid w:val="00F72D4F"/>
    <w:rsid w:val="00F72F42"/>
    <w:rsid w:val="00F731D2"/>
    <w:rsid w:val="00F7360E"/>
    <w:rsid w:val="00F73A5D"/>
    <w:rsid w:val="00F73AC5"/>
    <w:rsid w:val="00F73C9D"/>
    <w:rsid w:val="00F73E94"/>
    <w:rsid w:val="00F74FA0"/>
    <w:rsid w:val="00F75320"/>
    <w:rsid w:val="00F75913"/>
    <w:rsid w:val="00F75E1F"/>
    <w:rsid w:val="00F76222"/>
    <w:rsid w:val="00F767F2"/>
    <w:rsid w:val="00F76D63"/>
    <w:rsid w:val="00F77075"/>
    <w:rsid w:val="00F77748"/>
    <w:rsid w:val="00F77E2A"/>
    <w:rsid w:val="00F804B2"/>
    <w:rsid w:val="00F8050A"/>
    <w:rsid w:val="00F80C8A"/>
    <w:rsid w:val="00F81169"/>
    <w:rsid w:val="00F8119C"/>
    <w:rsid w:val="00F813AF"/>
    <w:rsid w:val="00F82251"/>
    <w:rsid w:val="00F82B0C"/>
    <w:rsid w:val="00F83339"/>
    <w:rsid w:val="00F83651"/>
    <w:rsid w:val="00F83D4F"/>
    <w:rsid w:val="00F8427A"/>
    <w:rsid w:val="00F84CA9"/>
    <w:rsid w:val="00F84E5D"/>
    <w:rsid w:val="00F85338"/>
    <w:rsid w:val="00F855E0"/>
    <w:rsid w:val="00F85A8A"/>
    <w:rsid w:val="00F85E5F"/>
    <w:rsid w:val="00F866D0"/>
    <w:rsid w:val="00F8681C"/>
    <w:rsid w:val="00F86C07"/>
    <w:rsid w:val="00F87A7C"/>
    <w:rsid w:val="00F87D2B"/>
    <w:rsid w:val="00F90ACA"/>
    <w:rsid w:val="00F912FF"/>
    <w:rsid w:val="00F91578"/>
    <w:rsid w:val="00F919A5"/>
    <w:rsid w:val="00F91C99"/>
    <w:rsid w:val="00F92166"/>
    <w:rsid w:val="00F94078"/>
    <w:rsid w:val="00F9431A"/>
    <w:rsid w:val="00F94493"/>
    <w:rsid w:val="00F94CF3"/>
    <w:rsid w:val="00F9509D"/>
    <w:rsid w:val="00F957C9"/>
    <w:rsid w:val="00F95A85"/>
    <w:rsid w:val="00F95F8D"/>
    <w:rsid w:val="00F96182"/>
    <w:rsid w:val="00F963DA"/>
    <w:rsid w:val="00F96403"/>
    <w:rsid w:val="00F9643D"/>
    <w:rsid w:val="00F967F7"/>
    <w:rsid w:val="00F96ACB"/>
    <w:rsid w:val="00F9735E"/>
    <w:rsid w:val="00F97919"/>
    <w:rsid w:val="00F97C27"/>
    <w:rsid w:val="00FA106A"/>
    <w:rsid w:val="00FA2240"/>
    <w:rsid w:val="00FA27B3"/>
    <w:rsid w:val="00FA2FF6"/>
    <w:rsid w:val="00FA43A7"/>
    <w:rsid w:val="00FA44D9"/>
    <w:rsid w:val="00FA46C1"/>
    <w:rsid w:val="00FA49C3"/>
    <w:rsid w:val="00FA5B44"/>
    <w:rsid w:val="00FA68B5"/>
    <w:rsid w:val="00FA6CF1"/>
    <w:rsid w:val="00FA7016"/>
    <w:rsid w:val="00FA7753"/>
    <w:rsid w:val="00FA77BD"/>
    <w:rsid w:val="00FA7D86"/>
    <w:rsid w:val="00FB01EC"/>
    <w:rsid w:val="00FB0CC7"/>
    <w:rsid w:val="00FB188E"/>
    <w:rsid w:val="00FB192B"/>
    <w:rsid w:val="00FB1935"/>
    <w:rsid w:val="00FB1A6B"/>
    <w:rsid w:val="00FB1D70"/>
    <w:rsid w:val="00FB20FB"/>
    <w:rsid w:val="00FB21C9"/>
    <w:rsid w:val="00FB240E"/>
    <w:rsid w:val="00FB280F"/>
    <w:rsid w:val="00FB2A0D"/>
    <w:rsid w:val="00FB2BE6"/>
    <w:rsid w:val="00FB2CA5"/>
    <w:rsid w:val="00FB3415"/>
    <w:rsid w:val="00FB35FD"/>
    <w:rsid w:val="00FB3A0C"/>
    <w:rsid w:val="00FB44B4"/>
    <w:rsid w:val="00FB463B"/>
    <w:rsid w:val="00FB5A06"/>
    <w:rsid w:val="00FB791F"/>
    <w:rsid w:val="00FB7943"/>
    <w:rsid w:val="00FB7C6D"/>
    <w:rsid w:val="00FB7F47"/>
    <w:rsid w:val="00FC04E5"/>
    <w:rsid w:val="00FC1B2C"/>
    <w:rsid w:val="00FC2034"/>
    <w:rsid w:val="00FC247E"/>
    <w:rsid w:val="00FC26AD"/>
    <w:rsid w:val="00FC2DF9"/>
    <w:rsid w:val="00FC317E"/>
    <w:rsid w:val="00FC3FA0"/>
    <w:rsid w:val="00FC49E2"/>
    <w:rsid w:val="00FC503A"/>
    <w:rsid w:val="00FC5254"/>
    <w:rsid w:val="00FC56FB"/>
    <w:rsid w:val="00FC58F4"/>
    <w:rsid w:val="00FC5A8E"/>
    <w:rsid w:val="00FC6D9B"/>
    <w:rsid w:val="00FC72FD"/>
    <w:rsid w:val="00FC7517"/>
    <w:rsid w:val="00FC799F"/>
    <w:rsid w:val="00FD0020"/>
    <w:rsid w:val="00FD04EE"/>
    <w:rsid w:val="00FD0DC4"/>
    <w:rsid w:val="00FD11D9"/>
    <w:rsid w:val="00FD11F8"/>
    <w:rsid w:val="00FD1613"/>
    <w:rsid w:val="00FD2722"/>
    <w:rsid w:val="00FD272A"/>
    <w:rsid w:val="00FD36F8"/>
    <w:rsid w:val="00FD4326"/>
    <w:rsid w:val="00FD4BC6"/>
    <w:rsid w:val="00FD59E3"/>
    <w:rsid w:val="00FD5C7D"/>
    <w:rsid w:val="00FD61CF"/>
    <w:rsid w:val="00FD6A99"/>
    <w:rsid w:val="00FD6AEA"/>
    <w:rsid w:val="00FD6FB2"/>
    <w:rsid w:val="00FD7C2E"/>
    <w:rsid w:val="00FD7DB4"/>
    <w:rsid w:val="00FD7EB6"/>
    <w:rsid w:val="00FE098C"/>
    <w:rsid w:val="00FE0AF5"/>
    <w:rsid w:val="00FE0D21"/>
    <w:rsid w:val="00FE1199"/>
    <w:rsid w:val="00FE14ED"/>
    <w:rsid w:val="00FE162B"/>
    <w:rsid w:val="00FE21E9"/>
    <w:rsid w:val="00FE2D16"/>
    <w:rsid w:val="00FE31B2"/>
    <w:rsid w:val="00FE3716"/>
    <w:rsid w:val="00FE3D19"/>
    <w:rsid w:val="00FE3DAA"/>
    <w:rsid w:val="00FE3E0F"/>
    <w:rsid w:val="00FE4192"/>
    <w:rsid w:val="00FE4D74"/>
    <w:rsid w:val="00FE4EBE"/>
    <w:rsid w:val="00FE559F"/>
    <w:rsid w:val="00FE5DDE"/>
    <w:rsid w:val="00FE6281"/>
    <w:rsid w:val="00FE6BDE"/>
    <w:rsid w:val="00FE7473"/>
    <w:rsid w:val="00FE74AB"/>
    <w:rsid w:val="00FE7783"/>
    <w:rsid w:val="00FE790B"/>
    <w:rsid w:val="00FF03A2"/>
    <w:rsid w:val="00FF0A01"/>
    <w:rsid w:val="00FF0C32"/>
    <w:rsid w:val="00FF0CD1"/>
    <w:rsid w:val="00FF1653"/>
    <w:rsid w:val="00FF231D"/>
    <w:rsid w:val="00FF28FE"/>
    <w:rsid w:val="00FF2BC0"/>
    <w:rsid w:val="00FF33A9"/>
    <w:rsid w:val="00FF3582"/>
    <w:rsid w:val="00FF3907"/>
    <w:rsid w:val="00FF3BC9"/>
    <w:rsid w:val="00FF3FAC"/>
    <w:rsid w:val="00FF4016"/>
    <w:rsid w:val="00FF421B"/>
    <w:rsid w:val="00FF4F68"/>
    <w:rsid w:val="00FF5044"/>
    <w:rsid w:val="00FF52DE"/>
    <w:rsid w:val="00FF55D8"/>
    <w:rsid w:val="00FF565C"/>
    <w:rsid w:val="00FF5F0C"/>
    <w:rsid w:val="00FF6002"/>
    <w:rsid w:val="00FF601C"/>
    <w:rsid w:val="00FF6341"/>
    <w:rsid w:val="00FF64BE"/>
    <w:rsid w:val="00FF66D1"/>
    <w:rsid w:val="00FF70B5"/>
    <w:rsid w:val="00FF7189"/>
    <w:rsid w:val="00FF7721"/>
    <w:rsid w:val="00FF7E98"/>
    <w:rsid w:val="00FF7F30"/>
    <w:rsid w:val="011A11A4"/>
    <w:rsid w:val="012E146B"/>
    <w:rsid w:val="01405559"/>
    <w:rsid w:val="014B5B44"/>
    <w:rsid w:val="016F1387"/>
    <w:rsid w:val="0182219D"/>
    <w:rsid w:val="01856CCD"/>
    <w:rsid w:val="018C5F7F"/>
    <w:rsid w:val="01AC7D6A"/>
    <w:rsid w:val="01BE4069"/>
    <w:rsid w:val="01BE5800"/>
    <w:rsid w:val="01C35244"/>
    <w:rsid w:val="01E46F65"/>
    <w:rsid w:val="01FD1AB4"/>
    <w:rsid w:val="01FF5F05"/>
    <w:rsid w:val="02087DA5"/>
    <w:rsid w:val="020F084F"/>
    <w:rsid w:val="0228639E"/>
    <w:rsid w:val="022C43FC"/>
    <w:rsid w:val="023D5749"/>
    <w:rsid w:val="02813B70"/>
    <w:rsid w:val="029447A7"/>
    <w:rsid w:val="02E332EA"/>
    <w:rsid w:val="02E536DD"/>
    <w:rsid w:val="02E65641"/>
    <w:rsid w:val="02FC7879"/>
    <w:rsid w:val="030A564C"/>
    <w:rsid w:val="03105586"/>
    <w:rsid w:val="032042AD"/>
    <w:rsid w:val="035E737B"/>
    <w:rsid w:val="03663B0D"/>
    <w:rsid w:val="037D3DF5"/>
    <w:rsid w:val="03A955C9"/>
    <w:rsid w:val="03F06C42"/>
    <w:rsid w:val="040242FD"/>
    <w:rsid w:val="041B3357"/>
    <w:rsid w:val="043A3A91"/>
    <w:rsid w:val="046452F7"/>
    <w:rsid w:val="047B6C26"/>
    <w:rsid w:val="049A683B"/>
    <w:rsid w:val="04B458A6"/>
    <w:rsid w:val="04BE5FB8"/>
    <w:rsid w:val="04C34346"/>
    <w:rsid w:val="04E30437"/>
    <w:rsid w:val="04E3622D"/>
    <w:rsid w:val="05045C94"/>
    <w:rsid w:val="05065269"/>
    <w:rsid w:val="053323FC"/>
    <w:rsid w:val="05465FD3"/>
    <w:rsid w:val="0550373A"/>
    <w:rsid w:val="055124E8"/>
    <w:rsid w:val="05653BAE"/>
    <w:rsid w:val="0571476E"/>
    <w:rsid w:val="05A3689F"/>
    <w:rsid w:val="05EF5C58"/>
    <w:rsid w:val="05F41FAA"/>
    <w:rsid w:val="05F45E3B"/>
    <w:rsid w:val="0602556D"/>
    <w:rsid w:val="06060AE0"/>
    <w:rsid w:val="06292706"/>
    <w:rsid w:val="062E29C3"/>
    <w:rsid w:val="063B78DC"/>
    <w:rsid w:val="063D29A3"/>
    <w:rsid w:val="064F566F"/>
    <w:rsid w:val="0656577C"/>
    <w:rsid w:val="0682248D"/>
    <w:rsid w:val="0688553D"/>
    <w:rsid w:val="069316F2"/>
    <w:rsid w:val="06971FEE"/>
    <w:rsid w:val="06A2338C"/>
    <w:rsid w:val="06C104D4"/>
    <w:rsid w:val="06C123D8"/>
    <w:rsid w:val="06C14E19"/>
    <w:rsid w:val="071749C2"/>
    <w:rsid w:val="071C264C"/>
    <w:rsid w:val="0730000A"/>
    <w:rsid w:val="07305104"/>
    <w:rsid w:val="0744639A"/>
    <w:rsid w:val="07486809"/>
    <w:rsid w:val="07653BD1"/>
    <w:rsid w:val="076C143E"/>
    <w:rsid w:val="076E0F6D"/>
    <w:rsid w:val="07717C81"/>
    <w:rsid w:val="07761BFD"/>
    <w:rsid w:val="07BC2556"/>
    <w:rsid w:val="07E84F31"/>
    <w:rsid w:val="081650F7"/>
    <w:rsid w:val="0839529D"/>
    <w:rsid w:val="0859774B"/>
    <w:rsid w:val="087840FB"/>
    <w:rsid w:val="08A17934"/>
    <w:rsid w:val="08AF77F6"/>
    <w:rsid w:val="08CA13FE"/>
    <w:rsid w:val="08DD4532"/>
    <w:rsid w:val="08E00320"/>
    <w:rsid w:val="08EA795F"/>
    <w:rsid w:val="08ED1BAD"/>
    <w:rsid w:val="08ED6689"/>
    <w:rsid w:val="08F234FA"/>
    <w:rsid w:val="08F57ACE"/>
    <w:rsid w:val="090760E5"/>
    <w:rsid w:val="090B23E0"/>
    <w:rsid w:val="091368A1"/>
    <w:rsid w:val="0925559E"/>
    <w:rsid w:val="093D503C"/>
    <w:rsid w:val="0971094D"/>
    <w:rsid w:val="09974C33"/>
    <w:rsid w:val="099E7A69"/>
    <w:rsid w:val="09B82947"/>
    <w:rsid w:val="09C94FA3"/>
    <w:rsid w:val="09CD152D"/>
    <w:rsid w:val="09CF15F0"/>
    <w:rsid w:val="09E55D39"/>
    <w:rsid w:val="0A8658BC"/>
    <w:rsid w:val="0A8C5FC6"/>
    <w:rsid w:val="0A9E153A"/>
    <w:rsid w:val="0AA35092"/>
    <w:rsid w:val="0B041A8B"/>
    <w:rsid w:val="0B0F7D5D"/>
    <w:rsid w:val="0B1E74CA"/>
    <w:rsid w:val="0B2E3CF5"/>
    <w:rsid w:val="0B9E6437"/>
    <w:rsid w:val="0BF958C7"/>
    <w:rsid w:val="0C064DA2"/>
    <w:rsid w:val="0C1666D9"/>
    <w:rsid w:val="0C2561A2"/>
    <w:rsid w:val="0C3F3332"/>
    <w:rsid w:val="0C5A09A9"/>
    <w:rsid w:val="0C6B308A"/>
    <w:rsid w:val="0C6E7FC6"/>
    <w:rsid w:val="0C7A4730"/>
    <w:rsid w:val="0C800126"/>
    <w:rsid w:val="0C8C0258"/>
    <w:rsid w:val="0CDB719E"/>
    <w:rsid w:val="0CFE65D5"/>
    <w:rsid w:val="0D0B53BC"/>
    <w:rsid w:val="0D11138D"/>
    <w:rsid w:val="0D2B137F"/>
    <w:rsid w:val="0D56019D"/>
    <w:rsid w:val="0D5A0F27"/>
    <w:rsid w:val="0DAF176C"/>
    <w:rsid w:val="0DB47D2A"/>
    <w:rsid w:val="0DCA4E97"/>
    <w:rsid w:val="0DD23658"/>
    <w:rsid w:val="0DD673C7"/>
    <w:rsid w:val="0DEA5654"/>
    <w:rsid w:val="0DED21A1"/>
    <w:rsid w:val="0E0150FA"/>
    <w:rsid w:val="0E0812B7"/>
    <w:rsid w:val="0E407559"/>
    <w:rsid w:val="0E5A5508"/>
    <w:rsid w:val="0E6E3B77"/>
    <w:rsid w:val="0E800498"/>
    <w:rsid w:val="0E940B6D"/>
    <w:rsid w:val="0EAB6A73"/>
    <w:rsid w:val="0F4D0707"/>
    <w:rsid w:val="0F4F733E"/>
    <w:rsid w:val="0F951117"/>
    <w:rsid w:val="0F9F41EB"/>
    <w:rsid w:val="0FA7589A"/>
    <w:rsid w:val="0FB970F9"/>
    <w:rsid w:val="0FBA2A45"/>
    <w:rsid w:val="0FC41654"/>
    <w:rsid w:val="0FDE7285"/>
    <w:rsid w:val="10156CA8"/>
    <w:rsid w:val="101E0BE2"/>
    <w:rsid w:val="10403121"/>
    <w:rsid w:val="1042721E"/>
    <w:rsid w:val="104F07A3"/>
    <w:rsid w:val="106951F4"/>
    <w:rsid w:val="10816687"/>
    <w:rsid w:val="10993A1B"/>
    <w:rsid w:val="10AD147E"/>
    <w:rsid w:val="10E26334"/>
    <w:rsid w:val="11005175"/>
    <w:rsid w:val="11005262"/>
    <w:rsid w:val="11124156"/>
    <w:rsid w:val="111809A6"/>
    <w:rsid w:val="112C5B7D"/>
    <w:rsid w:val="1147532F"/>
    <w:rsid w:val="1147655C"/>
    <w:rsid w:val="11584B47"/>
    <w:rsid w:val="118406FD"/>
    <w:rsid w:val="118C2ED5"/>
    <w:rsid w:val="119B5A62"/>
    <w:rsid w:val="11B416F0"/>
    <w:rsid w:val="11B83D31"/>
    <w:rsid w:val="11B91E2A"/>
    <w:rsid w:val="11DC0A97"/>
    <w:rsid w:val="11EC2719"/>
    <w:rsid w:val="121944E4"/>
    <w:rsid w:val="122263B9"/>
    <w:rsid w:val="12625B2F"/>
    <w:rsid w:val="126F5DEF"/>
    <w:rsid w:val="12795B29"/>
    <w:rsid w:val="129036E0"/>
    <w:rsid w:val="12A5475F"/>
    <w:rsid w:val="12F62B63"/>
    <w:rsid w:val="12F86DF5"/>
    <w:rsid w:val="131C01C2"/>
    <w:rsid w:val="135B7891"/>
    <w:rsid w:val="13696837"/>
    <w:rsid w:val="13703527"/>
    <w:rsid w:val="1383473A"/>
    <w:rsid w:val="1396006F"/>
    <w:rsid w:val="13B31AEC"/>
    <w:rsid w:val="13B453F8"/>
    <w:rsid w:val="13E505F2"/>
    <w:rsid w:val="13FE3FBA"/>
    <w:rsid w:val="140E1568"/>
    <w:rsid w:val="14404369"/>
    <w:rsid w:val="14794186"/>
    <w:rsid w:val="14B12588"/>
    <w:rsid w:val="14CD3DAA"/>
    <w:rsid w:val="14E32F86"/>
    <w:rsid w:val="14F02142"/>
    <w:rsid w:val="152617F1"/>
    <w:rsid w:val="154173E7"/>
    <w:rsid w:val="15422182"/>
    <w:rsid w:val="1552394A"/>
    <w:rsid w:val="15660168"/>
    <w:rsid w:val="157836E3"/>
    <w:rsid w:val="15B11EA4"/>
    <w:rsid w:val="15B82D31"/>
    <w:rsid w:val="15C5271A"/>
    <w:rsid w:val="16061FA9"/>
    <w:rsid w:val="1612079E"/>
    <w:rsid w:val="161471A7"/>
    <w:rsid w:val="161E6F7C"/>
    <w:rsid w:val="162C11CD"/>
    <w:rsid w:val="16464B12"/>
    <w:rsid w:val="165A7CB1"/>
    <w:rsid w:val="16785A64"/>
    <w:rsid w:val="167A6312"/>
    <w:rsid w:val="168E4B0B"/>
    <w:rsid w:val="16CB7A76"/>
    <w:rsid w:val="16E75F55"/>
    <w:rsid w:val="16F86295"/>
    <w:rsid w:val="171351B3"/>
    <w:rsid w:val="171F3A68"/>
    <w:rsid w:val="173F2896"/>
    <w:rsid w:val="173F7C81"/>
    <w:rsid w:val="17503E90"/>
    <w:rsid w:val="175D674F"/>
    <w:rsid w:val="17696FC3"/>
    <w:rsid w:val="176A7386"/>
    <w:rsid w:val="1793734F"/>
    <w:rsid w:val="17951BB8"/>
    <w:rsid w:val="17961CB0"/>
    <w:rsid w:val="17A25817"/>
    <w:rsid w:val="17B53534"/>
    <w:rsid w:val="17C153CA"/>
    <w:rsid w:val="17C37E3D"/>
    <w:rsid w:val="17CB768E"/>
    <w:rsid w:val="17CD2550"/>
    <w:rsid w:val="17D65152"/>
    <w:rsid w:val="18114189"/>
    <w:rsid w:val="182E04FD"/>
    <w:rsid w:val="18436F4C"/>
    <w:rsid w:val="184A4972"/>
    <w:rsid w:val="18651AE9"/>
    <w:rsid w:val="186B0554"/>
    <w:rsid w:val="187431A4"/>
    <w:rsid w:val="189161DF"/>
    <w:rsid w:val="18E208A1"/>
    <w:rsid w:val="18E66A5F"/>
    <w:rsid w:val="18F06F2D"/>
    <w:rsid w:val="18F630EB"/>
    <w:rsid w:val="19117739"/>
    <w:rsid w:val="19127145"/>
    <w:rsid w:val="19403824"/>
    <w:rsid w:val="195B6934"/>
    <w:rsid w:val="19A707A4"/>
    <w:rsid w:val="19AD7F51"/>
    <w:rsid w:val="19B02548"/>
    <w:rsid w:val="19D8675D"/>
    <w:rsid w:val="19E776E0"/>
    <w:rsid w:val="1A08207C"/>
    <w:rsid w:val="1A1C2849"/>
    <w:rsid w:val="1A1D16EC"/>
    <w:rsid w:val="1A961DDD"/>
    <w:rsid w:val="1A9E3747"/>
    <w:rsid w:val="1AC8412A"/>
    <w:rsid w:val="1B170AD5"/>
    <w:rsid w:val="1B1973A4"/>
    <w:rsid w:val="1B7C7571"/>
    <w:rsid w:val="1B9F76CB"/>
    <w:rsid w:val="1BA50D14"/>
    <w:rsid w:val="1BA677E7"/>
    <w:rsid w:val="1BA7385B"/>
    <w:rsid w:val="1BB10357"/>
    <w:rsid w:val="1BDE7003"/>
    <w:rsid w:val="1C057BD0"/>
    <w:rsid w:val="1C157D87"/>
    <w:rsid w:val="1C1F5025"/>
    <w:rsid w:val="1C222B34"/>
    <w:rsid w:val="1C2A5760"/>
    <w:rsid w:val="1C311D80"/>
    <w:rsid w:val="1C433A21"/>
    <w:rsid w:val="1C625D30"/>
    <w:rsid w:val="1C763150"/>
    <w:rsid w:val="1C7671E3"/>
    <w:rsid w:val="1C777601"/>
    <w:rsid w:val="1C7B6556"/>
    <w:rsid w:val="1C853B91"/>
    <w:rsid w:val="1C8A493E"/>
    <w:rsid w:val="1CB42BFC"/>
    <w:rsid w:val="1CCB6998"/>
    <w:rsid w:val="1CD638BB"/>
    <w:rsid w:val="1CD6623F"/>
    <w:rsid w:val="1CE32665"/>
    <w:rsid w:val="1CE76B5B"/>
    <w:rsid w:val="1CF90898"/>
    <w:rsid w:val="1CFA0FE7"/>
    <w:rsid w:val="1D181B85"/>
    <w:rsid w:val="1D1B5B77"/>
    <w:rsid w:val="1D375242"/>
    <w:rsid w:val="1D4824C2"/>
    <w:rsid w:val="1D5D0A22"/>
    <w:rsid w:val="1D665764"/>
    <w:rsid w:val="1D8834DD"/>
    <w:rsid w:val="1D8C69C4"/>
    <w:rsid w:val="1DC07729"/>
    <w:rsid w:val="1DE748E1"/>
    <w:rsid w:val="1DEF6C8E"/>
    <w:rsid w:val="1E17406B"/>
    <w:rsid w:val="1E1C7C6C"/>
    <w:rsid w:val="1E4F15D7"/>
    <w:rsid w:val="1E59338C"/>
    <w:rsid w:val="1E6178C8"/>
    <w:rsid w:val="1E646F85"/>
    <w:rsid w:val="1E6B35C6"/>
    <w:rsid w:val="1E6E2B97"/>
    <w:rsid w:val="1E767283"/>
    <w:rsid w:val="1E786F00"/>
    <w:rsid w:val="1EA72A03"/>
    <w:rsid w:val="1EA917F9"/>
    <w:rsid w:val="1EB07A16"/>
    <w:rsid w:val="1EBA1318"/>
    <w:rsid w:val="1ECF38FA"/>
    <w:rsid w:val="1ED76DE0"/>
    <w:rsid w:val="1EE26B01"/>
    <w:rsid w:val="1EE3190B"/>
    <w:rsid w:val="1EE37407"/>
    <w:rsid w:val="1F072EB4"/>
    <w:rsid w:val="1F147CCD"/>
    <w:rsid w:val="1F1F65F5"/>
    <w:rsid w:val="1F227F17"/>
    <w:rsid w:val="1F343C02"/>
    <w:rsid w:val="1F6D440A"/>
    <w:rsid w:val="1F795067"/>
    <w:rsid w:val="1F813E70"/>
    <w:rsid w:val="1FAC7E53"/>
    <w:rsid w:val="20416CE5"/>
    <w:rsid w:val="20484D19"/>
    <w:rsid w:val="20505A20"/>
    <w:rsid w:val="20517FE3"/>
    <w:rsid w:val="20597707"/>
    <w:rsid w:val="206F589B"/>
    <w:rsid w:val="207F0857"/>
    <w:rsid w:val="2080016D"/>
    <w:rsid w:val="20A87676"/>
    <w:rsid w:val="20C2792D"/>
    <w:rsid w:val="20CE2C18"/>
    <w:rsid w:val="20DA2F51"/>
    <w:rsid w:val="20E3136E"/>
    <w:rsid w:val="20E410EC"/>
    <w:rsid w:val="20F42873"/>
    <w:rsid w:val="20FF46EC"/>
    <w:rsid w:val="21160D44"/>
    <w:rsid w:val="21577705"/>
    <w:rsid w:val="215D1F6B"/>
    <w:rsid w:val="21790950"/>
    <w:rsid w:val="217C1DAF"/>
    <w:rsid w:val="218220DE"/>
    <w:rsid w:val="219F3764"/>
    <w:rsid w:val="21A43D4D"/>
    <w:rsid w:val="21A96AA8"/>
    <w:rsid w:val="21BF4CC5"/>
    <w:rsid w:val="21CA461C"/>
    <w:rsid w:val="21E9430A"/>
    <w:rsid w:val="21F30A32"/>
    <w:rsid w:val="21FE096D"/>
    <w:rsid w:val="22143C08"/>
    <w:rsid w:val="22161524"/>
    <w:rsid w:val="222B010B"/>
    <w:rsid w:val="222C76C6"/>
    <w:rsid w:val="222E2C15"/>
    <w:rsid w:val="22466CF3"/>
    <w:rsid w:val="2253067F"/>
    <w:rsid w:val="228900F0"/>
    <w:rsid w:val="228B21AB"/>
    <w:rsid w:val="22914FAF"/>
    <w:rsid w:val="22A344E7"/>
    <w:rsid w:val="22C001C7"/>
    <w:rsid w:val="22C75BE0"/>
    <w:rsid w:val="22C9107A"/>
    <w:rsid w:val="22CD6826"/>
    <w:rsid w:val="22DE3197"/>
    <w:rsid w:val="22F4082B"/>
    <w:rsid w:val="230E0741"/>
    <w:rsid w:val="233935DD"/>
    <w:rsid w:val="235F1FAC"/>
    <w:rsid w:val="23B459CF"/>
    <w:rsid w:val="23BD0A95"/>
    <w:rsid w:val="23C407BC"/>
    <w:rsid w:val="23D20CE0"/>
    <w:rsid w:val="23E04E9D"/>
    <w:rsid w:val="23F46EA8"/>
    <w:rsid w:val="23F63E16"/>
    <w:rsid w:val="23FE44F7"/>
    <w:rsid w:val="24116E7D"/>
    <w:rsid w:val="243A32C2"/>
    <w:rsid w:val="243E49BC"/>
    <w:rsid w:val="243F71F1"/>
    <w:rsid w:val="245C0C67"/>
    <w:rsid w:val="24A8238E"/>
    <w:rsid w:val="24AE5ED7"/>
    <w:rsid w:val="24AF2DCF"/>
    <w:rsid w:val="24B46755"/>
    <w:rsid w:val="24C9376C"/>
    <w:rsid w:val="24D14033"/>
    <w:rsid w:val="24DF5DED"/>
    <w:rsid w:val="24FA33D3"/>
    <w:rsid w:val="25093A3B"/>
    <w:rsid w:val="25236D0D"/>
    <w:rsid w:val="252F645D"/>
    <w:rsid w:val="254970AF"/>
    <w:rsid w:val="254C19FF"/>
    <w:rsid w:val="255E2F6B"/>
    <w:rsid w:val="258858A9"/>
    <w:rsid w:val="25A360B5"/>
    <w:rsid w:val="25CF5CD3"/>
    <w:rsid w:val="25D0192F"/>
    <w:rsid w:val="25DA2AD0"/>
    <w:rsid w:val="25E21C3F"/>
    <w:rsid w:val="26060059"/>
    <w:rsid w:val="261033FA"/>
    <w:rsid w:val="262A6640"/>
    <w:rsid w:val="262C70A3"/>
    <w:rsid w:val="2636322F"/>
    <w:rsid w:val="26444871"/>
    <w:rsid w:val="26666AA2"/>
    <w:rsid w:val="26712EE1"/>
    <w:rsid w:val="26757E2C"/>
    <w:rsid w:val="26790701"/>
    <w:rsid w:val="273508EE"/>
    <w:rsid w:val="274570EF"/>
    <w:rsid w:val="27483692"/>
    <w:rsid w:val="275029CF"/>
    <w:rsid w:val="27650685"/>
    <w:rsid w:val="276A08AF"/>
    <w:rsid w:val="276F6E45"/>
    <w:rsid w:val="278066D7"/>
    <w:rsid w:val="27827B0F"/>
    <w:rsid w:val="27886287"/>
    <w:rsid w:val="27C25F8B"/>
    <w:rsid w:val="27C77518"/>
    <w:rsid w:val="27EF3D67"/>
    <w:rsid w:val="27F53526"/>
    <w:rsid w:val="27FA5E76"/>
    <w:rsid w:val="280A4204"/>
    <w:rsid w:val="283558E8"/>
    <w:rsid w:val="28510862"/>
    <w:rsid w:val="28594FDB"/>
    <w:rsid w:val="28690FE5"/>
    <w:rsid w:val="288E2BD2"/>
    <w:rsid w:val="28C11325"/>
    <w:rsid w:val="28DC50AB"/>
    <w:rsid w:val="28E55271"/>
    <w:rsid w:val="28E7739E"/>
    <w:rsid w:val="28F547E1"/>
    <w:rsid w:val="28F9035F"/>
    <w:rsid w:val="2923374B"/>
    <w:rsid w:val="294868EB"/>
    <w:rsid w:val="29502C91"/>
    <w:rsid w:val="29945693"/>
    <w:rsid w:val="299A751F"/>
    <w:rsid w:val="29BA16AF"/>
    <w:rsid w:val="29BD796F"/>
    <w:rsid w:val="29F10211"/>
    <w:rsid w:val="2A187669"/>
    <w:rsid w:val="2A1C2607"/>
    <w:rsid w:val="2A216C90"/>
    <w:rsid w:val="2A3E4025"/>
    <w:rsid w:val="2A594CE9"/>
    <w:rsid w:val="2A720B27"/>
    <w:rsid w:val="2A7A6159"/>
    <w:rsid w:val="2AAC3644"/>
    <w:rsid w:val="2AC20905"/>
    <w:rsid w:val="2ACC6CD9"/>
    <w:rsid w:val="2AD74843"/>
    <w:rsid w:val="2AD97F64"/>
    <w:rsid w:val="2AED4DA8"/>
    <w:rsid w:val="2AF83194"/>
    <w:rsid w:val="2B007190"/>
    <w:rsid w:val="2B0916C8"/>
    <w:rsid w:val="2B0F05EA"/>
    <w:rsid w:val="2B1D6354"/>
    <w:rsid w:val="2B3665DB"/>
    <w:rsid w:val="2B465B0F"/>
    <w:rsid w:val="2B651CAE"/>
    <w:rsid w:val="2B8946FF"/>
    <w:rsid w:val="2B920914"/>
    <w:rsid w:val="2BA412AA"/>
    <w:rsid w:val="2BAA5ABF"/>
    <w:rsid w:val="2BB331A5"/>
    <w:rsid w:val="2BC92647"/>
    <w:rsid w:val="2BE30D43"/>
    <w:rsid w:val="2BE313F5"/>
    <w:rsid w:val="2BEA2299"/>
    <w:rsid w:val="2BF11B0F"/>
    <w:rsid w:val="2C0A4741"/>
    <w:rsid w:val="2C421BBB"/>
    <w:rsid w:val="2C586303"/>
    <w:rsid w:val="2C6006E6"/>
    <w:rsid w:val="2C75313C"/>
    <w:rsid w:val="2C856DC3"/>
    <w:rsid w:val="2C8602B7"/>
    <w:rsid w:val="2C8F164B"/>
    <w:rsid w:val="2CA62D38"/>
    <w:rsid w:val="2CAC2F48"/>
    <w:rsid w:val="2CD36453"/>
    <w:rsid w:val="2CF86E08"/>
    <w:rsid w:val="2D0478B3"/>
    <w:rsid w:val="2D0C1346"/>
    <w:rsid w:val="2D214B2C"/>
    <w:rsid w:val="2D370346"/>
    <w:rsid w:val="2D5432BE"/>
    <w:rsid w:val="2D6239EA"/>
    <w:rsid w:val="2D6A608B"/>
    <w:rsid w:val="2D9B15EF"/>
    <w:rsid w:val="2DAB0F5F"/>
    <w:rsid w:val="2DBC66BE"/>
    <w:rsid w:val="2DEB1367"/>
    <w:rsid w:val="2E304308"/>
    <w:rsid w:val="2E485379"/>
    <w:rsid w:val="2E781C41"/>
    <w:rsid w:val="2EA75BEE"/>
    <w:rsid w:val="2EB108AD"/>
    <w:rsid w:val="2EB26D79"/>
    <w:rsid w:val="2EBF06DB"/>
    <w:rsid w:val="2EDF0DE3"/>
    <w:rsid w:val="2F16026E"/>
    <w:rsid w:val="2F182B80"/>
    <w:rsid w:val="2F3C1751"/>
    <w:rsid w:val="2F685CF8"/>
    <w:rsid w:val="2F7145F4"/>
    <w:rsid w:val="2F7B068E"/>
    <w:rsid w:val="2F7F61E8"/>
    <w:rsid w:val="2F895637"/>
    <w:rsid w:val="2F954F9B"/>
    <w:rsid w:val="2FA808D5"/>
    <w:rsid w:val="2FDC253D"/>
    <w:rsid w:val="30066FDE"/>
    <w:rsid w:val="30083D2A"/>
    <w:rsid w:val="301C1F55"/>
    <w:rsid w:val="303043F0"/>
    <w:rsid w:val="30580298"/>
    <w:rsid w:val="30646F90"/>
    <w:rsid w:val="306C7E5F"/>
    <w:rsid w:val="309965F8"/>
    <w:rsid w:val="30A428FB"/>
    <w:rsid w:val="30AD7B1F"/>
    <w:rsid w:val="30CB0402"/>
    <w:rsid w:val="30CD626B"/>
    <w:rsid w:val="30DC4A9B"/>
    <w:rsid w:val="30F27B94"/>
    <w:rsid w:val="31085479"/>
    <w:rsid w:val="310A29D9"/>
    <w:rsid w:val="310C7989"/>
    <w:rsid w:val="31197E88"/>
    <w:rsid w:val="312D17F4"/>
    <w:rsid w:val="313615F9"/>
    <w:rsid w:val="31453461"/>
    <w:rsid w:val="31810686"/>
    <w:rsid w:val="318F3BD2"/>
    <w:rsid w:val="31A875D8"/>
    <w:rsid w:val="31B048A2"/>
    <w:rsid w:val="31CE0568"/>
    <w:rsid w:val="31F551E9"/>
    <w:rsid w:val="321E42BD"/>
    <w:rsid w:val="321F7FAD"/>
    <w:rsid w:val="32201910"/>
    <w:rsid w:val="32341340"/>
    <w:rsid w:val="324D2681"/>
    <w:rsid w:val="324D5196"/>
    <w:rsid w:val="325B4CD5"/>
    <w:rsid w:val="32BE66EC"/>
    <w:rsid w:val="32C26FB5"/>
    <w:rsid w:val="32CF55D8"/>
    <w:rsid w:val="32D25E41"/>
    <w:rsid w:val="32E824BC"/>
    <w:rsid w:val="32EB46F7"/>
    <w:rsid w:val="32FC2E8C"/>
    <w:rsid w:val="330C1EE9"/>
    <w:rsid w:val="330C3BCF"/>
    <w:rsid w:val="330D65EA"/>
    <w:rsid w:val="331B43DF"/>
    <w:rsid w:val="331D4370"/>
    <w:rsid w:val="332A4C0D"/>
    <w:rsid w:val="333F06D3"/>
    <w:rsid w:val="334267AE"/>
    <w:rsid w:val="33517015"/>
    <w:rsid w:val="3353671B"/>
    <w:rsid w:val="335D6BE9"/>
    <w:rsid w:val="336112E0"/>
    <w:rsid w:val="336D74D1"/>
    <w:rsid w:val="3398113B"/>
    <w:rsid w:val="33B506A9"/>
    <w:rsid w:val="33C637DF"/>
    <w:rsid w:val="33DD5D86"/>
    <w:rsid w:val="33F375F1"/>
    <w:rsid w:val="33F435C6"/>
    <w:rsid w:val="33F47FD9"/>
    <w:rsid w:val="33F61C82"/>
    <w:rsid w:val="33FD7262"/>
    <w:rsid w:val="34422B26"/>
    <w:rsid w:val="34457450"/>
    <w:rsid w:val="34523EDB"/>
    <w:rsid w:val="34545702"/>
    <w:rsid w:val="346D7211"/>
    <w:rsid w:val="34A25675"/>
    <w:rsid w:val="34AF0E28"/>
    <w:rsid w:val="34BF2FAC"/>
    <w:rsid w:val="34CE66CA"/>
    <w:rsid w:val="350D54B2"/>
    <w:rsid w:val="350E185E"/>
    <w:rsid w:val="35373F98"/>
    <w:rsid w:val="357E0B29"/>
    <w:rsid w:val="35871ED9"/>
    <w:rsid w:val="35956A1A"/>
    <w:rsid w:val="35AB6E5E"/>
    <w:rsid w:val="35CF2FB6"/>
    <w:rsid w:val="35DB6515"/>
    <w:rsid w:val="35F04954"/>
    <w:rsid w:val="36246068"/>
    <w:rsid w:val="363B7932"/>
    <w:rsid w:val="363E5187"/>
    <w:rsid w:val="363E7F0C"/>
    <w:rsid w:val="36630DAE"/>
    <w:rsid w:val="36AF4D67"/>
    <w:rsid w:val="36BC0F33"/>
    <w:rsid w:val="36BF0081"/>
    <w:rsid w:val="36C06D9A"/>
    <w:rsid w:val="36D15C2A"/>
    <w:rsid w:val="36FA4BBC"/>
    <w:rsid w:val="371D61FE"/>
    <w:rsid w:val="372F3FCE"/>
    <w:rsid w:val="37340C71"/>
    <w:rsid w:val="374B5AC3"/>
    <w:rsid w:val="37536380"/>
    <w:rsid w:val="3759078D"/>
    <w:rsid w:val="376E06AD"/>
    <w:rsid w:val="37982CD1"/>
    <w:rsid w:val="37AF154E"/>
    <w:rsid w:val="37B143D7"/>
    <w:rsid w:val="37BF3AA1"/>
    <w:rsid w:val="37C11F4B"/>
    <w:rsid w:val="37D84959"/>
    <w:rsid w:val="37DE7285"/>
    <w:rsid w:val="37E56C8D"/>
    <w:rsid w:val="37E637CE"/>
    <w:rsid w:val="37E84D22"/>
    <w:rsid w:val="37EC4029"/>
    <w:rsid w:val="37F71898"/>
    <w:rsid w:val="38187E4F"/>
    <w:rsid w:val="3820445B"/>
    <w:rsid w:val="38210467"/>
    <w:rsid w:val="382D4896"/>
    <w:rsid w:val="38401B73"/>
    <w:rsid w:val="384B1D2A"/>
    <w:rsid w:val="384D1898"/>
    <w:rsid w:val="38667EE1"/>
    <w:rsid w:val="386D7FF5"/>
    <w:rsid w:val="38781FFC"/>
    <w:rsid w:val="38784350"/>
    <w:rsid w:val="389C6876"/>
    <w:rsid w:val="38AD6AE5"/>
    <w:rsid w:val="38B844F1"/>
    <w:rsid w:val="38CC6EC4"/>
    <w:rsid w:val="38D44858"/>
    <w:rsid w:val="38ED50C7"/>
    <w:rsid w:val="38F24247"/>
    <w:rsid w:val="391129CE"/>
    <w:rsid w:val="392576AC"/>
    <w:rsid w:val="3958515B"/>
    <w:rsid w:val="395C206A"/>
    <w:rsid w:val="39780BBB"/>
    <w:rsid w:val="397909E9"/>
    <w:rsid w:val="397B0802"/>
    <w:rsid w:val="39D617F2"/>
    <w:rsid w:val="39D863A2"/>
    <w:rsid w:val="39ED517F"/>
    <w:rsid w:val="3A052126"/>
    <w:rsid w:val="3A2B5133"/>
    <w:rsid w:val="3A4455CB"/>
    <w:rsid w:val="3A575EA0"/>
    <w:rsid w:val="3A612EEB"/>
    <w:rsid w:val="3A7F5762"/>
    <w:rsid w:val="3ACA25CA"/>
    <w:rsid w:val="3ACF05C8"/>
    <w:rsid w:val="3B4E6F37"/>
    <w:rsid w:val="3B574076"/>
    <w:rsid w:val="3B6E7241"/>
    <w:rsid w:val="3B731AB5"/>
    <w:rsid w:val="3B833738"/>
    <w:rsid w:val="3B874762"/>
    <w:rsid w:val="3B9F5F88"/>
    <w:rsid w:val="3BE06DA5"/>
    <w:rsid w:val="3C2527C5"/>
    <w:rsid w:val="3C30591D"/>
    <w:rsid w:val="3C66390D"/>
    <w:rsid w:val="3C7A13A7"/>
    <w:rsid w:val="3C84642E"/>
    <w:rsid w:val="3CDC6FC1"/>
    <w:rsid w:val="3D4F29C9"/>
    <w:rsid w:val="3D542895"/>
    <w:rsid w:val="3D6F75C9"/>
    <w:rsid w:val="3D73742D"/>
    <w:rsid w:val="3D7F70E7"/>
    <w:rsid w:val="3DE90F01"/>
    <w:rsid w:val="3DF60C74"/>
    <w:rsid w:val="3E045C72"/>
    <w:rsid w:val="3E0A7A36"/>
    <w:rsid w:val="3E0C719B"/>
    <w:rsid w:val="3E266E35"/>
    <w:rsid w:val="3E3E6F38"/>
    <w:rsid w:val="3E637611"/>
    <w:rsid w:val="3E6E00D1"/>
    <w:rsid w:val="3EA00749"/>
    <w:rsid w:val="3EA44C2E"/>
    <w:rsid w:val="3EC55253"/>
    <w:rsid w:val="3ECE7C90"/>
    <w:rsid w:val="3EE838EE"/>
    <w:rsid w:val="3EEC4647"/>
    <w:rsid w:val="3F224FF5"/>
    <w:rsid w:val="3F454F08"/>
    <w:rsid w:val="3F4829A1"/>
    <w:rsid w:val="3F65470F"/>
    <w:rsid w:val="3F7F04D5"/>
    <w:rsid w:val="3F8976A7"/>
    <w:rsid w:val="3F8E32C0"/>
    <w:rsid w:val="3F8E7C85"/>
    <w:rsid w:val="3FC261BF"/>
    <w:rsid w:val="3FCE447C"/>
    <w:rsid w:val="3FE00D87"/>
    <w:rsid w:val="3FF7566E"/>
    <w:rsid w:val="40685895"/>
    <w:rsid w:val="406E65E7"/>
    <w:rsid w:val="40822AAE"/>
    <w:rsid w:val="408C2F3C"/>
    <w:rsid w:val="408D2B46"/>
    <w:rsid w:val="40A005F0"/>
    <w:rsid w:val="40B94BCD"/>
    <w:rsid w:val="40CA3B74"/>
    <w:rsid w:val="40DC5BEB"/>
    <w:rsid w:val="40ED28CE"/>
    <w:rsid w:val="410115FF"/>
    <w:rsid w:val="4164128C"/>
    <w:rsid w:val="416D07D3"/>
    <w:rsid w:val="417D76A0"/>
    <w:rsid w:val="417E1386"/>
    <w:rsid w:val="41A67223"/>
    <w:rsid w:val="41D2368F"/>
    <w:rsid w:val="41D72DF9"/>
    <w:rsid w:val="41F075CD"/>
    <w:rsid w:val="420A40D1"/>
    <w:rsid w:val="42114C38"/>
    <w:rsid w:val="422B6BF4"/>
    <w:rsid w:val="422C2904"/>
    <w:rsid w:val="422C29C6"/>
    <w:rsid w:val="4234308B"/>
    <w:rsid w:val="42347713"/>
    <w:rsid w:val="424D7FAF"/>
    <w:rsid w:val="42591FB7"/>
    <w:rsid w:val="425B08E5"/>
    <w:rsid w:val="426F4A08"/>
    <w:rsid w:val="42B64BCD"/>
    <w:rsid w:val="430811AE"/>
    <w:rsid w:val="43825515"/>
    <w:rsid w:val="43871DAA"/>
    <w:rsid w:val="438C24EF"/>
    <w:rsid w:val="43A1549F"/>
    <w:rsid w:val="43B00A8F"/>
    <w:rsid w:val="43B93C7C"/>
    <w:rsid w:val="43DE204E"/>
    <w:rsid w:val="43FA50D7"/>
    <w:rsid w:val="4446550A"/>
    <w:rsid w:val="44491BDA"/>
    <w:rsid w:val="44732CC9"/>
    <w:rsid w:val="449F594C"/>
    <w:rsid w:val="44BF00F9"/>
    <w:rsid w:val="44C600C6"/>
    <w:rsid w:val="44D7750B"/>
    <w:rsid w:val="44F7199A"/>
    <w:rsid w:val="44FC25A7"/>
    <w:rsid w:val="450F2FEC"/>
    <w:rsid w:val="45224240"/>
    <w:rsid w:val="452545FE"/>
    <w:rsid w:val="453B52F8"/>
    <w:rsid w:val="454B391C"/>
    <w:rsid w:val="45511B47"/>
    <w:rsid w:val="45594896"/>
    <w:rsid w:val="458E5DAC"/>
    <w:rsid w:val="459557D9"/>
    <w:rsid w:val="45A15DDB"/>
    <w:rsid w:val="45A3513D"/>
    <w:rsid w:val="45AE5A72"/>
    <w:rsid w:val="45B22926"/>
    <w:rsid w:val="45C277D4"/>
    <w:rsid w:val="4627407F"/>
    <w:rsid w:val="46361E14"/>
    <w:rsid w:val="46455C09"/>
    <w:rsid w:val="46570386"/>
    <w:rsid w:val="467277FA"/>
    <w:rsid w:val="46730CBD"/>
    <w:rsid w:val="4681712C"/>
    <w:rsid w:val="468B6718"/>
    <w:rsid w:val="468C1037"/>
    <w:rsid w:val="46A22206"/>
    <w:rsid w:val="46AE64E3"/>
    <w:rsid w:val="46B27956"/>
    <w:rsid w:val="47007BFD"/>
    <w:rsid w:val="473B23EB"/>
    <w:rsid w:val="476250CF"/>
    <w:rsid w:val="47780912"/>
    <w:rsid w:val="478E1F11"/>
    <w:rsid w:val="478F14EB"/>
    <w:rsid w:val="47B32EAB"/>
    <w:rsid w:val="47C40E8C"/>
    <w:rsid w:val="47D11103"/>
    <w:rsid w:val="480B621A"/>
    <w:rsid w:val="484A6121"/>
    <w:rsid w:val="486F1BF2"/>
    <w:rsid w:val="488F6FD7"/>
    <w:rsid w:val="48A8673D"/>
    <w:rsid w:val="48B1218F"/>
    <w:rsid w:val="48B14AB0"/>
    <w:rsid w:val="48D6123C"/>
    <w:rsid w:val="48E67726"/>
    <w:rsid w:val="48EA585B"/>
    <w:rsid w:val="49150F51"/>
    <w:rsid w:val="493D5B1F"/>
    <w:rsid w:val="49480BD4"/>
    <w:rsid w:val="494D1373"/>
    <w:rsid w:val="49584054"/>
    <w:rsid w:val="496E0369"/>
    <w:rsid w:val="496E11C3"/>
    <w:rsid w:val="498F3010"/>
    <w:rsid w:val="49934648"/>
    <w:rsid w:val="499F04DF"/>
    <w:rsid w:val="49A07E1F"/>
    <w:rsid w:val="49AD1A10"/>
    <w:rsid w:val="49CB3BFF"/>
    <w:rsid w:val="49E76DEC"/>
    <w:rsid w:val="49F42E67"/>
    <w:rsid w:val="49FC6CFC"/>
    <w:rsid w:val="4A176716"/>
    <w:rsid w:val="4A321879"/>
    <w:rsid w:val="4A513272"/>
    <w:rsid w:val="4A733A9E"/>
    <w:rsid w:val="4A9429F3"/>
    <w:rsid w:val="4A9629D5"/>
    <w:rsid w:val="4AA4619B"/>
    <w:rsid w:val="4AA531EB"/>
    <w:rsid w:val="4AAC1BD0"/>
    <w:rsid w:val="4AAE7A16"/>
    <w:rsid w:val="4ABC2400"/>
    <w:rsid w:val="4AC62161"/>
    <w:rsid w:val="4ACC67BD"/>
    <w:rsid w:val="4AE372CF"/>
    <w:rsid w:val="4AE85E03"/>
    <w:rsid w:val="4B0B3AEF"/>
    <w:rsid w:val="4B284D77"/>
    <w:rsid w:val="4B4978E0"/>
    <w:rsid w:val="4B562F2B"/>
    <w:rsid w:val="4B771FE9"/>
    <w:rsid w:val="4BC06DB8"/>
    <w:rsid w:val="4BEC1507"/>
    <w:rsid w:val="4BFA2737"/>
    <w:rsid w:val="4C0C58C8"/>
    <w:rsid w:val="4C1126C4"/>
    <w:rsid w:val="4C1A4723"/>
    <w:rsid w:val="4C244173"/>
    <w:rsid w:val="4C6C6C38"/>
    <w:rsid w:val="4C905E44"/>
    <w:rsid w:val="4CD363C9"/>
    <w:rsid w:val="4CE63254"/>
    <w:rsid w:val="4CF93A06"/>
    <w:rsid w:val="4D127BE1"/>
    <w:rsid w:val="4D3475CF"/>
    <w:rsid w:val="4D4F2A99"/>
    <w:rsid w:val="4D5E17D4"/>
    <w:rsid w:val="4D7F6702"/>
    <w:rsid w:val="4D8E2981"/>
    <w:rsid w:val="4D9F22BF"/>
    <w:rsid w:val="4DA5329B"/>
    <w:rsid w:val="4DB776FC"/>
    <w:rsid w:val="4DC41760"/>
    <w:rsid w:val="4DD27ACF"/>
    <w:rsid w:val="4DDC19BC"/>
    <w:rsid w:val="4DFD472D"/>
    <w:rsid w:val="4E005C58"/>
    <w:rsid w:val="4E1C6BFB"/>
    <w:rsid w:val="4E2423CC"/>
    <w:rsid w:val="4E5370C6"/>
    <w:rsid w:val="4EB227F8"/>
    <w:rsid w:val="4EB52D03"/>
    <w:rsid w:val="4EBF0E52"/>
    <w:rsid w:val="4EE2236D"/>
    <w:rsid w:val="4EFB0E9E"/>
    <w:rsid w:val="4F123950"/>
    <w:rsid w:val="4F134C73"/>
    <w:rsid w:val="4F364AAB"/>
    <w:rsid w:val="4F522B29"/>
    <w:rsid w:val="4F854A77"/>
    <w:rsid w:val="4F8E1486"/>
    <w:rsid w:val="4FE016DA"/>
    <w:rsid w:val="4FE86A41"/>
    <w:rsid w:val="50185A9E"/>
    <w:rsid w:val="501C16FA"/>
    <w:rsid w:val="503F3946"/>
    <w:rsid w:val="506E4DD3"/>
    <w:rsid w:val="507519D9"/>
    <w:rsid w:val="508A4283"/>
    <w:rsid w:val="509C1754"/>
    <w:rsid w:val="50A63B45"/>
    <w:rsid w:val="50AC2720"/>
    <w:rsid w:val="50AD1277"/>
    <w:rsid w:val="50B664A6"/>
    <w:rsid w:val="50C11611"/>
    <w:rsid w:val="50E02C73"/>
    <w:rsid w:val="50E224D5"/>
    <w:rsid w:val="50EC442B"/>
    <w:rsid w:val="50EE37D2"/>
    <w:rsid w:val="50EE4743"/>
    <w:rsid w:val="50EF4AC2"/>
    <w:rsid w:val="50F11326"/>
    <w:rsid w:val="51401FD2"/>
    <w:rsid w:val="51636F40"/>
    <w:rsid w:val="51684C13"/>
    <w:rsid w:val="516D63AF"/>
    <w:rsid w:val="517C422B"/>
    <w:rsid w:val="51821281"/>
    <w:rsid w:val="51824CF6"/>
    <w:rsid w:val="51935897"/>
    <w:rsid w:val="51B61137"/>
    <w:rsid w:val="52036287"/>
    <w:rsid w:val="52041893"/>
    <w:rsid w:val="52127D7D"/>
    <w:rsid w:val="52294852"/>
    <w:rsid w:val="52412A63"/>
    <w:rsid w:val="525672F6"/>
    <w:rsid w:val="5259082C"/>
    <w:rsid w:val="525A3B3D"/>
    <w:rsid w:val="52755C31"/>
    <w:rsid w:val="52837ADD"/>
    <w:rsid w:val="52C8599B"/>
    <w:rsid w:val="52FB3009"/>
    <w:rsid w:val="5317316C"/>
    <w:rsid w:val="53345B50"/>
    <w:rsid w:val="534179D1"/>
    <w:rsid w:val="53475464"/>
    <w:rsid w:val="536E6B45"/>
    <w:rsid w:val="53763D4D"/>
    <w:rsid w:val="537E7FE3"/>
    <w:rsid w:val="53874E6F"/>
    <w:rsid w:val="53BB42A7"/>
    <w:rsid w:val="53C0635F"/>
    <w:rsid w:val="53CE1063"/>
    <w:rsid w:val="53E53826"/>
    <w:rsid w:val="53E71FDE"/>
    <w:rsid w:val="54135280"/>
    <w:rsid w:val="54336CC9"/>
    <w:rsid w:val="543D769E"/>
    <w:rsid w:val="543F588C"/>
    <w:rsid w:val="549D0FDA"/>
    <w:rsid w:val="54B30A96"/>
    <w:rsid w:val="54C22B88"/>
    <w:rsid w:val="550C1B9A"/>
    <w:rsid w:val="5526139C"/>
    <w:rsid w:val="552943CE"/>
    <w:rsid w:val="552A1D4C"/>
    <w:rsid w:val="552B2D26"/>
    <w:rsid w:val="552B4C95"/>
    <w:rsid w:val="553C1365"/>
    <w:rsid w:val="554E1470"/>
    <w:rsid w:val="555D3C89"/>
    <w:rsid w:val="55617C9C"/>
    <w:rsid w:val="557515F9"/>
    <w:rsid w:val="558C5F2E"/>
    <w:rsid w:val="5590674A"/>
    <w:rsid w:val="55973F76"/>
    <w:rsid w:val="559847EA"/>
    <w:rsid w:val="55986D51"/>
    <w:rsid w:val="55A226A9"/>
    <w:rsid w:val="55C90663"/>
    <w:rsid w:val="55CC187B"/>
    <w:rsid w:val="55CF389E"/>
    <w:rsid w:val="55D42624"/>
    <w:rsid w:val="55D50633"/>
    <w:rsid w:val="55F01AD6"/>
    <w:rsid w:val="56133CA0"/>
    <w:rsid w:val="562B450B"/>
    <w:rsid w:val="56570EA4"/>
    <w:rsid w:val="56A75AF2"/>
    <w:rsid w:val="56CB77B7"/>
    <w:rsid w:val="56D9628F"/>
    <w:rsid w:val="56DD4ABD"/>
    <w:rsid w:val="5703231E"/>
    <w:rsid w:val="570B14AB"/>
    <w:rsid w:val="570F1C3B"/>
    <w:rsid w:val="57116435"/>
    <w:rsid w:val="57116442"/>
    <w:rsid w:val="57241F96"/>
    <w:rsid w:val="57410163"/>
    <w:rsid w:val="578D3493"/>
    <w:rsid w:val="57A203EE"/>
    <w:rsid w:val="57A92F75"/>
    <w:rsid w:val="57AF50DC"/>
    <w:rsid w:val="57D62F8E"/>
    <w:rsid w:val="57EC37F1"/>
    <w:rsid w:val="580C4393"/>
    <w:rsid w:val="581722B7"/>
    <w:rsid w:val="582532BD"/>
    <w:rsid w:val="582C4899"/>
    <w:rsid w:val="58475AAC"/>
    <w:rsid w:val="584F535E"/>
    <w:rsid w:val="58531617"/>
    <w:rsid w:val="586A7A45"/>
    <w:rsid w:val="58914C8B"/>
    <w:rsid w:val="58AD5D86"/>
    <w:rsid w:val="58BB7DB2"/>
    <w:rsid w:val="58DB16BE"/>
    <w:rsid w:val="58E3423E"/>
    <w:rsid w:val="58EF3420"/>
    <w:rsid w:val="58F23ED5"/>
    <w:rsid w:val="58F63830"/>
    <w:rsid w:val="58FF4F35"/>
    <w:rsid w:val="590D548F"/>
    <w:rsid w:val="593F652E"/>
    <w:rsid w:val="59425BB4"/>
    <w:rsid w:val="59444892"/>
    <w:rsid w:val="5956205C"/>
    <w:rsid w:val="5966183C"/>
    <w:rsid w:val="596A4681"/>
    <w:rsid w:val="596F34CF"/>
    <w:rsid w:val="597923BE"/>
    <w:rsid w:val="59894CF2"/>
    <w:rsid w:val="599E6CB8"/>
    <w:rsid w:val="599F2D83"/>
    <w:rsid w:val="59B50DC8"/>
    <w:rsid w:val="59B6312E"/>
    <w:rsid w:val="59D91A25"/>
    <w:rsid w:val="59E031E2"/>
    <w:rsid w:val="5A3A40EA"/>
    <w:rsid w:val="5A5B5FB9"/>
    <w:rsid w:val="5A9B3314"/>
    <w:rsid w:val="5A9C3392"/>
    <w:rsid w:val="5AA20BD5"/>
    <w:rsid w:val="5AA81B65"/>
    <w:rsid w:val="5AA9608C"/>
    <w:rsid w:val="5AA974E8"/>
    <w:rsid w:val="5AD0387F"/>
    <w:rsid w:val="5AE3114D"/>
    <w:rsid w:val="5B0E6D8E"/>
    <w:rsid w:val="5B1F4E05"/>
    <w:rsid w:val="5B2E6996"/>
    <w:rsid w:val="5B3A322F"/>
    <w:rsid w:val="5B4D342A"/>
    <w:rsid w:val="5B527306"/>
    <w:rsid w:val="5B6B0DAC"/>
    <w:rsid w:val="5B745BFD"/>
    <w:rsid w:val="5B7E4ABF"/>
    <w:rsid w:val="5B8340E7"/>
    <w:rsid w:val="5B8D0599"/>
    <w:rsid w:val="5B937814"/>
    <w:rsid w:val="5BA627EA"/>
    <w:rsid w:val="5BAA125C"/>
    <w:rsid w:val="5BB02A92"/>
    <w:rsid w:val="5BB90833"/>
    <w:rsid w:val="5BE33D7B"/>
    <w:rsid w:val="5C254E10"/>
    <w:rsid w:val="5C2C164D"/>
    <w:rsid w:val="5C2E049D"/>
    <w:rsid w:val="5C6E79F1"/>
    <w:rsid w:val="5C702E5F"/>
    <w:rsid w:val="5C860B4A"/>
    <w:rsid w:val="5C8657B1"/>
    <w:rsid w:val="5C99681C"/>
    <w:rsid w:val="5C9A2970"/>
    <w:rsid w:val="5CA73484"/>
    <w:rsid w:val="5CB66DDB"/>
    <w:rsid w:val="5CBA6538"/>
    <w:rsid w:val="5CC31F8D"/>
    <w:rsid w:val="5CC87731"/>
    <w:rsid w:val="5CD20102"/>
    <w:rsid w:val="5CE5499C"/>
    <w:rsid w:val="5CE94A45"/>
    <w:rsid w:val="5CF1002F"/>
    <w:rsid w:val="5D0576D7"/>
    <w:rsid w:val="5D2614DE"/>
    <w:rsid w:val="5D29144B"/>
    <w:rsid w:val="5D6F6A73"/>
    <w:rsid w:val="5D77243C"/>
    <w:rsid w:val="5D8B21E0"/>
    <w:rsid w:val="5D98773E"/>
    <w:rsid w:val="5DD60CDA"/>
    <w:rsid w:val="5DDD1906"/>
    <w:rsid w:val="5DE03E72"/>
    <w:rsid w:val="5DEB495C"/>
    <w:rsid w:val="5DF028B9"/>
    <w:rsid w:val="5DF86CFD"/>
    <w:rsid w:val="5E2F13E4"/>
    <w:rsid w:val="5E363A04"/>
    <w:rsid w:val="5E563989"/>
    <w:rsid w:val="5EC546B7"/>
    <w:rsid w:val="5ED521DB"/>
    <w:rsid w:val="5EE01513"/>
    <w:rsid w:val="5EE61050"/>
    <w:rsid w:val="5EEB203B"/>
    <w:rsid w:val="5F2A764C"/>
    <w:rsid w:val="5F515511"/>
    <w:rsid w:val="5F6A656B"/>
    <w:rsid w:val="5FA9036D"/>
    <w:rsid w:val="5FB20CF3"/>
    <w:rsid w:val="5FB67F01"/>
    <w:rsid w:val="5FC10D6A"/>
    <w:rsid w:val="5FC26AE4"/>
    <w:rsid w:val="5FE20A6A"/>
    <w:rsid w:val="5FE80DF1"/>
    <w:rsid w:val="5FED079B"/>
    <w:rsid w:val="5FF92F68"/>
    <w:rsid w:val="5FFD5588"/>
    <w:rsid w:val="60394F33"/>
    <w:rsid w:val="60452FC1"/>
    <w:rsid w:val="60665908"/>
    <w:rsid w:val="6073497C"/>
    <w:rsid w:val="607A028C"/>
    <w:rsid w:val="6082700E"/>
    <w:rsid w:val="60911000"/>
    <w:rsid w:val="60950DEF"/>
    <w:rsid w:val="60A52378"/>
    <w:rsid w:val="60B04F27"/>
    <w:rsid w:val="60B44F93"/>
    <w:rsid w:val="610846D5"/>
    <w:rsid w:val="61225D48"/>
    <w:rsid w:val="613F3856"/>
    <w:rsid w:val="615E6CDA"/>
    <w:rsid w:val="61605B8F"/>
    <w:rsid w:val="616D4E2E"/>
    <w:rsid w:val="61904268"/>
    <w:rsid w:val="61922827"/>
    <w:rsid w:val="61936D23"/>
    <w:rsid w:val="61985AAE"/>
    <w:rsid w:val="619B21A0"/>
    <w:rsid w:val="61A13DA0"/>
    <w:rsid w:val="61B93668"/>
    <w:rsid w:val="61C22AA0"/>
    <w:rsid w:val="61C95215"/>
    <w:rsid w:val="61CF4043"/>
    <w:rsid w:val="6208572A"/>
    <w:rsid w:val="620863D2"/>
    <w:rsid w:val="62385463"/>
    <w:rsid w:val="6254479A"/>
    <w:rsid w:val="626058BD"/>
    <w:rsid w:val="628506F0"/>
    <w:rsid w:val="628F429A"/>
    <w:rsid w:val="62CD0ABA"/>
    <w:rsid w:val="62CE031D"/>
    <w:rsid w:val="62D70238"/>
    <w:rsid w:val="62E021CD"/>
    <w:rsid w:val="62EE4C22"/>
    <w:rsid w:val="630727B4"/>
    <w:rsid w:val="63322AD8"/>
    <w:rsid w:val="634E5810"/>
    <w:rsid w:val="63547BF5"/>
    <w:rsid w:val="636310DD"/>
    <w:rsid w:val="639F006F"/>
    <w:rsid w:val="63A81226"/>
    <w:rsid w:val="63C9193F"/>
    <w:rsid w:val="63D4019D"/>
    <w:rsid w:val="640B2E77"/>
    <w:rsid w:val="640F6F35"/>
    <w:rsid w:val="64435772"/>
    <w:rsid w:val="644F07B4"/>
    <w:rsid w:val="64586308"/>
    <w:rsid w:val="645936E5"/>
    <w:rsid w:val="645C1D15"/>
    <w:rsid w:val="648D4158"/>
    <w:rsid w:val="64B27DFB"/>
    <w:rsid w:val="65077B9F"/>
    <w:rsid w:val="650A079C"/>
    <w:rsid w:val="65477048"/>
    <w:rsid w:val="65540667"/>
    <w:rsid w:val="657E1B40"/>
    <w:rsid w:val="65A71C0C"/>
    <w:rsid w:val="65C03DA7"/>
    <w:rsid w:val="65E5355A"/>
    <w:rsid w:val="65FC6895"/>
    <w:rsid w:val="661A6245"/>
    <w:rsid w:val="66375BAC"/>
    <w:rsid w:val="667450F6"/>
    <w:rsid w:val="66825834"/>
    <w:rsid w:val="66842C6B"/>
    <w:rsid w:val="66887143"/>
    <w:rsid w:val="66B9175F"/>
    <w:rsid w:val="66CD2C1E"/>
    <w:rsid w:val="66D00DA7"/>
    <w:rsid w:val="66D530B1"/>
    <w:rsid w:val="66FA7477"/>
    <w:rsid w:val="67141452"/>
    <w:rsid w:val="673C65F0"/>
    <w:rsid w:val="674A3D4F"/>
    <w:rsid w:val="675C28E9"/>
    <w:rsid w:val="67813F94"/>
    <w:rsid w:val="67851192"/>
    <w:rsid w:val="6785763F"/>
    <w:rsid w:val="679006E0"/>
    <w:rsid w:val="67A57DE8"/>
    <w:rsid w:val="67B3696E"/>
    <w:rsid w:val="67C42BAB"/>
    <w:rsid w:val="67E62440"/>
    <w:rsid w:val="67EA4091"/>
    <w:rsid w:val="682D009F"/>
    <w:rsid w:val="685518C7"/>
    <w:rsid w:val="6864772D"/>
    <w:rsid w:val="68792AA5"/>
    <w:rsid w:val="689815F3"/>
    <w:rsid w:val="689C36F4"/>
    <w:rsid w:val="68A10C6B"/>
    <w:rsid w:val="68BA431C"/>
    <w:rsid w:val="68BC6A3B"/>
    <w:rsid w:val="68ED336A"/>
    <w:rsid w:val="68F44C86"/>
    <w:rsid w:val="68F60398"/>
    <w:rsid w:val="69016182"/>
    <w:rsid w:val="69080291"/>
    <w:rsid w:val="690E5955"/>
    <w:rsid w:val="692E34C1"/>
    <w:rsid w:val="693C4706"/>
    <w:rsid w:val="696C2AB3"/>
    <w:rsid w:val="69784F94"/>
    <w:rsid w:val="69DF31F0"/>
    <w:rsid w:val="6A024AA0"/>
    <w:rsid w:val="6A117CBE"/>
    <w:rsid w:val="6A121AD7"/>
    <w:rsid w:val="6A33101B"/>
    <w:rsid w:val="6A3A04D2"/>
    <w:rsid w:val="6A3C248C"/>
    <w:rsid w:val="6A3E5AA2"/>
    <w:rsid w:val="6A562B93"/>
    <w:rsid w:val="6A5B56DA"/>
    <w:rsid w:val="6A5C6F6A"/>
    <w:rsid w:val="6A67389B"/>
    <w:rsid w:val="6A69692A"/>
    <w:rsid w:val="6A6F5797"/>
    <w:rsid w:val="6A786A31"/>
    <w:rsid w:val="6A9D69B2"/>
    <w:rsid w:val="6ABA024E"/>
    <w:rsid w:val="6ABF2813"/>
    <w:rsid w:val="6AC06DC9"/>
    <w:rsid w:val="6AD23B35"/>
    <w:rsid w:val="6AE663EC"/>
    <w:rsid w:val="6AF777AB"/>
    <w:rsid w:val="6AFD0583"/>
    <w:rsid w:val="6B031118"/>
    <w:rsid w:val="6B767770"/>
    <w:rsid w:val="6B7A1E64"/>
    <w:rsid w:val="6B87441E"/>
    <w:rsid w:val="6B8863CE"/>
    <w:rsid w:val="6B903B2F"/>
    <w:rsid w:val="6B945BED"/>
    <w:rsid w:val="6BA046A2"/>
    <w:rsid w:val="6BA120B2"/>
    <w:rsid w:val="6BA41B56"/>
    <w:rsid w:val="6BCE11DE"/>
    <w:rsid w:val="6BF95A52"/>
    <w:rsid w:val="6C1B364D"/>
    <w:rsid w:val="6C3226C6"/>
    <w:rsid w:val="6C3C45DB"/>
    <w:rsid w:val="6C545FF5"/>
    <w:rsid w:val="6C591BE2"/>
    <w:rsid w:val="6C5C605D"/>
    <w:rsid w:val="6C5F0204"/>
    <w:rsid w:val="6C810CBD"/>
    <w:rsid w:val="6C884E04"/>
    <w:rsid w:val="6C8E33BA"/>
    <w:rsid w:val="6C97063E"/>
    <w:rsid w:val="6CFB5670"/>
    <w:rsid w:val="6D0D3BD2"/>
    <w:rsid w:val="6D0D6E0E"/>
    <w:rsid w:val="6D2469C1"/>
    <w:rsid w:val="6D3832E9"/>
    <w:rsid w:val="6D3D0FEF"/>
    <w:rsid w:val="6D417909"/>
    <w:rsid w:val="6D554232"/>
    <w:rsid w:val="6D566EA8"/>
    <w:rsid w:val="6D5A3E94"/>
    <w:rsid w:val="6D632886"/>
    <w:rsid w:val="6D78023B"/>
    <w:rsid w:val="6D9125F5"/>
    <w:rsid w:val="6DAA2BCB"/>
    <w:rsid w:val="6DB5581A"/>
    <w:rsid w:val="6E0A3479"/>
    <w:rsid w:val="6E0A4A26"/>
    <w:rsid w:val="6E435FD6"/>
    <w:rsid w:val="6E5A4385"/>
    <w:rsid w:val="6E5E1B6C"/>
    <w:rsid w:val="6EC0578E"/>
    <w:rsid w:val="6EEB20A1"/>
    <w:rsid w:val="6EEF71D1"/>
    <w:rsid w:val="6EF04F82"/>
    <w:rsid w:val="6EF434A1"/>
    <w:rsid w:val="6EF94503"/>
    <w:rsid w:val="6F021A16"/>
    <w:rsid w:val="6F1A326F"/>
    <w:rsid w:val="6F1C75CB"/>
    <w:rsid w:val="6F1D40CE"/>
    <w:rsid w:val="6F2C3334"/>
    <w:rsid w:val="6F5D7B07"/>
    <w:rsid w:val="6F614969"/>
    <w:rsid w:val="6F657B8A"/>
    <w:rsid w:val="6F672528"/>
    <w:rsid w:val="6F9D0690"/>
    <w:rsid w:val="6F9F6D88"/>
    <w:rsid w:val="6FAB5331"/>
    <w:rsid w:val="6FC30139"/>
    <w:rsid w:val="7024780C"/>
    <w:rsid w:val="70465CB0"/>
    <w:rsid w:val="7051517A"/>
    <w:rsid w:val="706E60C1"/>
    <w:rsid w:val="709A7CFC"/>
    <w:rsid w:val="70A647A4"/>
    <w:rsid w:val="70D85BD1"/>
    <w:rsid w:val="70E530BD"/>
    <w:rsid w:val="712A63AD"/>
    <w:rsid w:val="715776FB"/>
    <w:rsid w:val="715B338A"/>
    <w:rsid w:val="71695F18"/>
    <w:rsid w:val="716A7ADC"/>
    <w:rsid w:val="71A26DBD"/>
    <w:rsid w:val="71A53A05"/>
    <w:rsid w:val="71B5724A"/>
    <w:rsid w:val="71DE2E53"/>
    <w:rsid w:val="71EF19DB"/>
    <w:rsid w:val="71F17CFF"/>
    <w:rsid w:val="71F936E3"/>
    <w:rsid w:val="721721D6"/>
    <w:rsid w:val="721F39FF"/>
    <w:rsid w:val="722D616B"/>
    <w:rsid w:val="72396872"/>
    <w:rsid w:val="725A20D9"/>
    <w:rsid w:val="72692DCE"/>
    <w:rsid w:val="729D66B5"/>
    <w:rsid w:val="729E121E"/>
    <w:rsid w:val="72A719B3"/>
    <w:rsid w:val="72E016E3"/>
    <w:rsid w:val="72E23A7A"/>
    <w:rsid w:val="72F6179B"/>
    <w:rsid w:val="730D7A91"/>
    <w:rsid w:val="73273E64"/>
    <w:rsid w:val="732F263D"/>
    <w:rsid w:val="73311EFE"/>
    <w:rsid w:val="73350B7A"/>
    <w:rsid w:val="73597768"/>
    <w:rsid w:val="736B145F"/>
    <w:rsid w:val="738003CA"/>
    <w:rsid w:val="7397029E"/>
    <w:rsid w:val="739F2CB4"/>
    <w:rsid w:val="73A90A3E"/>
    <w:rsid w:val="73BA53C0"/>
    <w:rsid w:val="73C56EED"/>
    <w:rsid w:val="73C720DE"/>
    <w:rsid w:val="74115412"/>
    <w:rsid w:val="74154F66"/>
    <w:rsid w:val="74180D50"/>
    <w:rsid w:val="741E3A74"/>
    <w:rsid w:val="74621479"/>
    <w:rsid w:val="74631CC8"/>
    <w:rsid w:val="74650390"/>
    <w:rsid w:val="747626A2"/>
    <w:rsid w:val="749A1238"/>
    <w:rsid w:val="749E63DE"/>
    <w:rsid w:val="74A719F5"/>
    <w:rsid w:val="74AA4DDC"/>
    <w:rsid w:val="74AD065D"/>
    <w:rsid w:val="74CD34AF"/>
    <w:rsid w:val="74D50216"/>
    <w:rsid w:val="74F047ED"/>
    <w:rsid w:val="751537BA"/>
    <w:rsid w:val="752221AF"/>
    <w:rsid w:val="75570E62"/>
    <w:rsid w:val="7565064E"/>
    <w:rsid w:val="758D4AB4"/>
    <w:rsid w:val="75B80DD9"/>
    <w:rsid w:val="75C15B85"/>
    <w:rsid w:val="75D12961"/>
    <w:rsid w:val="76104C9F"/>
    <w:rsid w:val="762C558E"/>
    <w:rsid w:val="765941C5"/>
    <w:rsid w:val="7681285B"/>
    <w:rsid w:val="76994B7E"/>
    <w:rsid w:val="769D4688"/>
    <w:rsid w:val="76DF2050"/>
    <w:rsid w:val="770D045A"/>
    <w:rsid w:val="770D588E"/>
    <w:rsid w:val="773B6CD4"/>
    <w:rsid w:val="773C10A6"/>
    <w:rsid w:val="77410F02"/>
    <w:rsid w:val="77554C1F"/>
    <w:rsid w:val="77565298"/>
    <w:rsid w:val="776A271D"/>
    <w:rsid w:val="77B24EE6"/>
    <w:rsid w:val="77BE53B0"/>
    <w:rsid w:val="77CF3EA1"/>
    <w:rsid w:val="77DE4E5F"/>
    <w:rsid w:val="77E30949"/>
    <w:rsid w:val="77EF1C0D"/>
    <w:rsid w:val="77F16A53"/>
    <w:rsid w:val="780E4B72"/>
    <w:rsid w:val="783525A0"/>
    <w:rsid w:val="786F12BD"/>
    <w:rsid w:val="786F1AA9"/>
    <w:rsid w:val="7872551D"/>
    <w:rsid w:val="787F1730"/>
    <w:rsid w:val="788F5610"/>
    <w:rsid w:val="78A27E07"/>
    <w:rsid w:val="78A43B6E"/>
    <w:rsid w:val="78B86EE8"/>
    <w:rsid w:val="7920071D"/>
    <w:rsid w:val="79496BCF"/>
    <w:rsid w:val="79AA7B9F"/>
    <w:rsid w:val="79B54E80"/>
    <w:rsid w:val="79B56BC5"/>
    <w:rsid w:val="79C52BC7"/>
    <w:rsid w:val="79C747F6"/>
    <w:rsid w:val="79F651C0"/>
    <w:rsid w:val="79FE3538"/>
    <w:rsid w:val="7A1055FE"/>
    <w:rsid w:val="7A36659D"/>
    <w:rsid w:val="7A42564B"/>
    <w:rsid w:val="7A6027C1"/>
    <w:rsid w:val="7A854A12"/>
    <w:rsid w:val="7A91692E"/>
    <w:rsid w:val="7A974CB7"/>
    <w:rsid w:val="7AAE0169"/>
    <w:rsid w:val="7AB17144"/>
    <w:rsid w:val="7AB22E39"/>
    <w:rsid w:val="7AB95054"/>
    <w:rsid w:val="7AEF4CAE"/>
    <w:rsid w:val="7AFE236E"/>
    <w:rsid w:val="7B0D4FA4"/>
    <w:rsid w:val="7B1C756C"/>
    <w:rsid w:val="7B237820"/>
    <w:rsid w:val="7B3F19E8"/>
    <w:rsid w:val="7B443CE2"/>
    <w:rsid w:val="7B4F4186"/>
    <w:rsid w:val="7B611AB4"/>
    <w:rsid w:val="7B797BCC"/>
    <w:rsid w:val="7B7A60FC"/>
    <w:rsid w:val="7B7C2C51"/>
    <w:rsid w:val="7B845DFF"/>
    <w:rsid w:val="7B863B58"/>
    <w:rsid w:val="7B8E5B55"/>
    <w:rsid w:val="7B974622"/>
    <w:rsid w:val="7B9B1BFD"/>
    <w:rsid w:val="7BA23C69"/>
    <w:rsid w:val="7BD54D59"/>
    <w:rsid w:val="7BD91009"/>
    <w:rsid w:val="7BEC6276"/>
    <w:rsid w:val="7BFE5FB0"/>
    <w:rsid w:val="7C066FFD"/>
    <w:rsid w:val="7C196D52"/>
    <w:rsid w:val="7C1F52BA"/>
    <w:rsid w:val="7C2D34B0"/>
    <w:rsid w:val="7C3C1587"/>
    <w:rsid w:val="7C3E7288"/>
    <w:rsid w:val="7C5256D3"/>
    <w:rsid w:val="7C5F1C81"/>
    <w:rsid w:val="7C6B3F7A"/>
    <w:rsid w:val="7C8757E9"/>
    <w:rsid w:val="7C890363"/>
    <w:rsid w:val="7C933301"/>
    <w:rsid w:val="7C9E3A22"/>
    <w:rsid w:val="7CA52AE4"/>
    <w:rsid w:val="7CA57EE0"/>
    <w:rsid w:val="7CAB38DE"/>
    <w:rsid w:val="7CB346D0"/>
    <w:rsid w:val="7CB9674B"/>
    <w:rsid w:val="7CCC0395"/>
    <w:rsid w:val="7D113025"/>
    <w:rsid w:val="7D4E72F0"/>
    <w:rsid w:val="7D56499D"/>
    <w:rsid w:val="7D796E55"/>
    <w:rsid w:val="7D8D5CCD"/>
    <w:rsid w:val="7D961079"/>
    <w:rsid w:val="7D9F7405"/>
    <w:rsid w:val="7DBC2BC2"/>
    <w:rsid w:val="7DC06BA8"/>
    <w:rsid w:val="7DD15417"/>
    <w:rsid w:val="7DD9108A"/>
    <w:rsid w:val="7DED1691"/>
    <w:rsid w:val="7E077F4A"/>
    <w:rsid w:val="7E662EAD"/>
    <w:rsid w:val="7E6A1864"/>
    <w:rsid w:val="7E7C7076"/>
    <w:rsid w:val="7E8E555A"/>
    <w:rsid w:val="7E902DEC"/>
    <w:rsid w:val="7E9219F9"/>
    <w:rsid w:val="7E9624EF"/>
    <w:rsid w:val="7E9A7EF9"/>
    <w:rsid w:val="7EA11A69"/>
    <w:rsid w:val="7EA8542B"/>
    <w:rsid w:val="7EAB3BA8"/>
    <w:rsid w:val="7EC14C30"/>
    <w:rsid w:val="7ECA4792"/>
    <w:rsid w:val="7ED6533B"/>
    <w:rsid w:val="7EDE0585"/>
    <w:rsid w:val="7EED7E65"/>
    <w:rsid w:val="7EF87B3E"/>
    <w:rsid w:val="7F043E0F"/>
    <w:rsid w:val="7F054B2E"/>
    <w:rsid w:val="7F103265"/>
    <w:rsid w:val="7F2F7F0A"/>
    <w:rsid w:val="7F52348C"/>
    <w:rsid w:val="7F534C95"/>
    <w:rsid w:val="7F7D7358"/>
    <w:rsid w:val="7F854F22"/>
    <w:rsid w:val="7F8B50D5"/>
    <w:rsid w:val="7F917007"/>
    <w:rsid w:val="7F924DA0"/>
    <w:rsid w:val="7FAA1A0F"/>
    <w:rsid w:val="7FB23D6E"/>
    <w:rsid w:val="7FB7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qFormat/>
    <w:uiPriority w:val="9"/>
    <w:pPr>
      <w:keepNext/>
      <w:keepLines/>
      <w:spacing w:before="340" w:after="330" w:line="576" w:lineRule="auto"/>
      <w:outlineLvl w:val="0"/>
    </w:pPr>
    <w:rPr>
      <w:b/>
      <w:bCs/>
      <w:kern w:val="44"/>
      <w:sz w:val="44"/>
      <w:szCs w:val="44"/>
    </w:rPr>
  </w:style>
  <w:style w:type="paragraph" w:styleId="5">
    <w:name w:val="heading 2"/>
    <w:basedOn w:val="1"/>
    <w:next w:val="1"/>
    <w:link w:val="74"/>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75"/>
    <w:qFormat/>
    <w:uiPriority w:val="0"/>
    <w:pPr>
      <w:keepNext/>
      <w:keepLines/>
      <w:spacing w:before="260" w:after="260" w:line="413" w:lineRule="auto"/>
      <w:outlineLvl w:val="2"/>
    </w:pPr>
    <w:rPr>
      <w:b/>
      <w:bCs/>
      <w:sz w:val="32"/>
      <w:szCs w:val="32"/>
    </w:rPr>
  </w:style>
  <w:style w:type="paragraph" w:styleId="7">
    <w:name w:val="heading 4"/>
    <w:basedOn w:val="1"/>
    <w:next w:val="1"/>
    <w:link w:val="7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9"/>
    <w:link w:val="77"/>
    <w:qFormat/>
    <w:uiPriority w:val="0"/>
    <w:pPr>
      <w:keepNext/>
      <w:keepLines/>
      <w:spacing w:before="280" w:after="290" w:line="372" w:lineRule="auto"/>
      <w:outlineLvl w:val="4"/>
    </w:pPr>
    <w:rPr>
      <w:b/>
      <w:sz w:val="28"/>
    </w:rPr>
  </w:style>
  <w:style w:type="paragraph" w:styleId="10">
    <w:name w:val="heading 6"/>
    <w:basedOn w:val="1"/>
    <w:next w:val="9"/>
    <w:link w:val="78"/>
    <w:qFormat/>
    <w:uiPriority w:val="0"/>
    <w:pPr>
      <w:keepNext/>
      <w:keepLines/>
      <w:spacing w:before="240" w:after="64" w:line="317" w:lineRule="auto"/>
      <w:outlineLvl w:val="5"/>
    </w:pPr>
    <w:rPr>
      <w:rFonts w:ascii="Arial" w:hAnsi="Arial" w:eastAsia="黑体"/>
      <w:b/>
      <w:sz w:val="24"/>
    </w:rPr>
  </w:style>
  <w:style w:type="paragraph" w:styleId="11">
    <w:name w:val="heading 7"/>
    <w:basedOn w:val="1"/>
    <w:next w:val="9"/>
    <w:link w:val="79"/>
    <w:qFormat/>
    <w:uiPriority w:val="0"/>
    <w:pPr>
      <w:keepNext/>
      <w:keepLines/>
      <w:spacing w:before="240" w:after="64" w:line="317" w:lineRule="auto"/>
      <w:outlineLvl w:val="6"/>
    </w:pPr>
    <w:rPr>
      <w:b/>
      <w:sz w:val="24"/>
    </w:rPr>
  </w:style>
  <w:style w:type="paragraph" w:styleId="12">
    <w:name w:val="heading 8"/>
    <w:basedOn w:val="1"/>
    <w:next w:val="9"/>
    <w:link w:val="80"/>
    <w:autoRedefine/>
    <w:qFormat/>
    <w:uiPriority w:val="0"/>
    <w:pPr>
      <w:keepNext/>
      <w:keepLines/>
      <w:spacing w:before="240" w:after="64" w:line="317" w:lineRule="auto"/>
      <w:outlineLvl w:val="7"/>
    </w:pPr>
    <w:rPr>
      <w:rFonts w:ascii="Arial" w:hAnsi="Arial" w:eastAsia="黑体"/>
      <w:sz w:val="24"/>
    </w:rPr>
  </w:style>
  <w:style w:type="paragraph" w:styleId="13">
    <w:name w:val="heading 9"/>
    <w:basedOn w:val="1"/>
    <w:next w:val="9"/>
    <w:link w:val="81"/>
    <w:autoRedefine/>
    <w:qFormat/>
    <w:uiPriority w:val="0"/>
    <w:pPr>
      <w:keepNext/>
      <w:keepLines/>
      <w:spacing w:before="240" w:after="64" w:line="317" w:lineRule="auto"/>
      <w:outlineLvl w:val="8"/>
    </w:pPr>
    <w:rPr>
      <w:rFonts w:ascii="Arial" w:hAnsi="Arial" w:eastAsia="黑体"/>
    </w:rPr>
  </w:style>
  <w:style w:type="character" w:default="1" w:styleId="56">
    <w:name w:val="Default Paragraph Font"/>
    <w:autoRedefine/>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9"/>
    <w:autoRedefine/>
    <w:qFormat/>
    <w:uiPriority w:val="0"/>
    <w:pPr>
      <w:spacing w:after="120"/>
      <w:ind w:left="420" w:leftChars="200" w:firstLine="420" w:firstLineChars="200"/>
    </w:pPr>
  </w:style>
  <w:style w:type="paragraph" w:styleId="3">
    <w:name w:val="Body Text Indent"/>
    <w:basedOn w:val="1"/>
    <w:next w:val="2"/>
    <w:link w:val="86"/>
    <w:autoRedefine/>
    <w:qFormat/>
    <w:uiPriority w:val="99"/>
    <w:pPr>
      <w:ind w:firstLine="830" w:firstLineChars="352"/>
    </w:pPr>
    <w:rPr>
      <w:rFonts w:ascii="仿宋_GB2312" w:eastAsia="仿宋_GB2312"/>
      <w:sz w:val="32"/>
      <w:szCs w:val="20"/>
    </w:rPr>
  </w:style>
  <w:style w:type="paragraph" w:styleId="9">
    <w:name w:val="Normal Indent"/>
    <w:basedOn w:val="1"/>
    <w:autoRedefine/>
    <w:qFormat/>
    <w:uiPriority w:val="0"/>
    <w:pPr>
      <w:ind w:firstLine="420"/>
    </w:pPr>
    <w:rPr>
      <w:szCs w:val="20"/>
    </w:rPr>
  </w:style>
  <w:style w:type="paragraph" w:styleId="14">
    <w:name w:val="List 3"/>
    <w:basedOn w:val="1"/>
    <w:autoRedefine/>
    <w:qFormat/>
    <w:uiPriority w:val="0"/>
    <w:pPr>
      <w:ind w:left="100" w:leftChars="400" w:hanging="200" w:hangingChars="200"/>
    </w:pPr>
  </w:style>
  <w:style w:type="paragraph" w:styleId="15">
    <w:name w:val="toc 7"/>
    <w:basedOn w:val="1"/>
    <w:next w:val="1"/>
    <w:autoRedefine/>
    <w:qFormat/>
    <w:uiPriority w:val="0"/>
    <w:pPr>
      <w:tabs>
        <w:tab w:val="right" w:leader="dot" w:pos="9185"/>
      </w:tabs>
      <w:adjustRightInd w:val="0"/>
      <w:spacing w:line="312" w:lineRule="atLeast"/>
      <w:ind w:left="2520"/>
      <w:textAlignment w:val="baseline"/>
    </w:pPr>
    <w:rPr>
      <w:kern w:val="0"/>
      <w:szCs w:val="20"/>
    </w:rPr>
  </w:style>
  <w:style w:type="paragraph" w:styleId="16">
    <w:name w:val="index 8"/>
    <w:basedOn w:val="1"/>
    <w:next w:val="1"/>
    <w:qFormat/>
    <w:uiPriority w:val="0"/>
    <w:pPr>
      <w:ind w:left="1400" w:leftChars="1400"/>
    </w:pPr>
  </w:style>
  <w:style w:type="paragraph" w:styleId="17">
    <w:name w:val="List Number"/>
    <w:basedOn w:val="1"/>
    <w:autoRedefine/>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8">
    <w:name w:val="caption"/>
    <w:basedOn w:val="1"/>
    <w:next w:val="1"/>
    <w:autoRedefine/>
    <w:qFormat/>
    <w:uiPriority w:val="0"/>
    <w:pPr>
      <w:spacing w:before="152" w:after="160"/>
    </w:pPr>
    <w:rPr>
      <w:rFonts w:ascii="Arial" w:hAnsi="Arial" w:eastAsia="黑体" w:cs="Arial"/>
      <w:sz w:val="20"/>
      <w:szCs w:val="20"/>
    </w:rPr>
  </w:style>
  <w:style w:type="paragraph" w:styleId="19">
    <w:name w:val="Document Map"/>
    <w:basedOn w:val="1"/>
    <w:link w:val="82"/>
    <w:autoRedefine/>
    <w:qFormat/>
    <w:uiPriority w:val="0"/>
    <w:pPr>
      <w:shd w:val="clear" w:color="auto" w:fill="000080"/>
      <w:adjustRightInd w:val="0"/>
      <w:spacing w:line="312" w:lineRule="atLeast"/>
      <w:textAlignment w:val="baseline"/>
    </w:pPr>
    <w:rPr>
      <w:kern w:val="0"/>
      <w:szCs w:val="20"/>
    </w:rPr>
  </w:style>
  <w:style w:type="paragraph" w:styleId="20">
    <w:name w:val="toa heading"/>
    <w:basedOn w:val="1"/>
    <w:next w:val="1"/>
    <w:autoRedefine/>
    <w:qFormat/>
    <w:uiPriority w:val="99"/>
    <w:pPr>
      <w:spacing w:before="120"/>
    </w:pPr>
    <w:rPr>
      <w:rFonts w:ascii="Cambria" w:hAnsi="Cambria" w:cs="宋体"/>
      <w:sz w:val="24"/>
    </w:rPr>
  </w:style>
  <w:style w:type="paragraph" w:styleId="21">
    <w:name w:val="annotation text"/>
    <w:basedOn w:val="1"/>
    <w:link w:val="83"/>
    <w:qFormat/>
    <w:uiPriority w:val="0"/>
    <w:pPr>
      <w:jc w:val="left"/>
    </w:pPr>
  </w:style>
  <w:style w:type="paragraph" w:styleId="22">
    <w:name w:val="Body Text 3"/>
    <w:basedOn w:val="1"/>
    <w:link w:val="84"/>
    <w:autoRedefine/>
    <w:qFormat/>
    <w:uiPriority w:val="0"/>
    <w:pPr>
      <w:spacing w:line="500" w:lineRule="exact"/>
    </w:pPr>
    <w:rPr>
      <w:b/>
      <w:bCs/>
      <w:sz w:val="24"/>
    </w:rPr>
  </w:style>
  <w:style w:type="paragraph" w:styleId="23">
    <w:name w:val="Body Text"/>
    <w:basedOn w:val="1"/>
    <w:next w:val="1"/>
    <w:link w:val="85"/>
    <w:autoRedefine/>
    <w:qFormat/>
    <w:uiPriority w:val="99"/>
    <w:pPr>
      <w:spacing w:line="380" w:lineRule="exact"/>
    </w:pPr>
    <w:rPr>
      <w:sz w:val="24"/>
    </w:rPr>
  </w:style>
  <w:style w:type="paragraph" w:styleId="24">
    <w:name w:val="List Number 3"/>
    <w:basedOn w:val="1"/>
    <w:autoRedefine/>
    <w:qFormat/>
    <w:uiPriority w:val="0"/>
    <w:pPr>
      <w:tabs>
        <w:tab w:val="left" w:pos="1200"/>
      </w:tabs>
      <w:ind w:left="1200" w:leftChars="400" w:hanging="360" w:hangingChars="200"/>
    </w:pPr>
  </w:style>
  <w:style w:type="paragraph" w:styleId="25">
    <w:name w:val="List 2"/>
    <w:basedOn w:val="1"/>
    <w:qFormat/>
    <w:uiPriority w:val="0"/>
    <w:pPr>
      <w:ind w:left="100" w:leftChars="200" w:hanging="200" w:hangingChars="200"/>
    </w:pPr>
    <w:rPr>
      <w:sz w:val="28"/>
    </w:rPr>
  </w:style>
  <w:style w:type="paragraph" w:styleId="26">
    <w:name w:val="Block Text"/>
    <w:basedOn w:val="1"/>
    <w:autoRedefine/>
    <w:qFormat/>
    <w:uiPriority w:val="0"/>
    <w:pPr>
      <w:adjustRightInd w:val="0"/>
      <w:ind w:left="420" w:right="33"/>
      <w:jc w:val="left"/>
      <w:textAlignment w:val="baseline"/>
    </w:pPr>
    <w:rPr>
      <w:kern w:val="0"/>
      <w:sz w:val="24"/>
      <w:szCs w:val="20"/>
    </w:rPr>
  </w:style>
  <w:style w:type="paragraph" w:styleId="27">
    <w:name w:val="toc 5"/>
    <w:basedOn w:val="1"/>
    <w:next w:val="1"/>
    <w:autoRedefine/>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39"/>
    <w:pPr>
      <w:ind w:left="840" w:leftChars="400"/>
    </w:pPr>
  </w:style>
  <w:style w:type="paragraph" w:styleId="29">
    <w:name w:val="Plain Text"/>
    <w:basedOn w:val="1"/>
    <w:next w:val="1"/>
    <w:link w:val="87"/>
    <w:autoRedefine/>
    <w:qFormat/>
    <w:uiPriority w:val="99"/>
    <w:rPr>
      <w:rFonts w:ascii="宋体" w:hAnsi="Courier New" w:cs="Courier New"/>
      <w:szCs w:val="21"/>
    </w:rPr>
  </w:style>
  <w:style w:type="paragraph" w:styleId="30">
    <w:name w:val="toc 8"/>
    <w:basedOn w:val="1"/>
    <w:next w:val="1"/>
    <w:autoRedefine/>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88"/>
    <w:autoRedefine/>
    <w:qFormat/>
    <w:uiPriority w:val="0"/>
    <w:pPr>
      <w:ind w:left="100" w:leftChars="2500"/>
    </w:pPr>
    <w:rPr>
      <w:rFonts w:ascii="宋体" w:hAnsi="Courier New"/>
      <w:szCs w:val="21"/>
    </w:rPr>
  </w:style>
  <w:style w:type="paragraph" w:styleId="32">
    <w:name w:val="Body Text Indent 2"/>
    <w:basedOn w:val="1"/>
    <w:link w:val="89"/>
    <w:autoRedefine/>
    <w:qFormat/>
    <w:uiPriority w:val="0"/>
    <w:pPr>
      <w:ind w:firstLine="630"/>
    </w:pPr>
    <w:rPr>
      <w:sz w:val="32"/>
      <w:szCs w:val="20"/>
    </w:rPr>
  </w:style>
  <w:style w:type="paragraph" w:styleId="33">
    <w:name w:val="Balloon Text"/>
    <w:basedOn w:val="1"/>
    <w:link w:val="90"/>
    <w:autoRedefine/>
    <w:qFormat/>
    <w:uiPriority w:val="0"/>
    <w:rPr>
      <w:sz w:val="18"/>
      <w:szCs w:val="18"/>
    </w:rPr>
  </w:style>
  <w:style w:type="paragraph" w:styleId="34">
    <w:name w:val="footer"/>
    <w:basedOn w:val="1"/>
    <w:link w:val="91"/>
    <w:autoRedefine/>
    <w:qFormat/>
    <w:uiPriority w:val="0"/>
    <w:pPr>
      <w:tabs>
        <w:tab w:val="center" w:pos="4153"/>
        <w:tab w:val="right" w:pos="8306"/>
      </w:tabs>
      <w:snapToGrid w:val="0"/>
      <w:jc w:val="left"/>
    </w:pPr>
    <w:rPr>
      <w:sz w:val="18"/>
      <w:szCs w:val="18"/>
    </w:rPr>
  </w:style>
  <w:style w:type="paragraph" w:styleId="35">
    <w:name w:val="header"/>
    <w:basedOn w:val="1"/>
    <w:link w:val="92"/>
    <w:autoRedefine/>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autoRedefine/>
    <w:qFormat/>
    <w:uiPriority w:val="0"/>
    <w:pPr>
      <w:tabs>
        <w:tab w:val="right" w:leader="dot" w:pos="9185"/>
      </w:tabs>
      <w:adjustRightInd w:val="0"/>
      <w:spacing w:line="312" w:lineRule="atLeast"/>
      <w:ind w:left="1260"/>
      <w:textAlignment w:val="baseline"/>
    </w:pPr>
    <w:rPr>
      <w:kern w:val="0"/>
      <w:szCs w:val="20"/>
    </w:rPr>
  </w:style>
  <w:style w:type="paragraph" w:styleId="38">
    <w:name w:val="Subtitle"/>
    <w:basedOn w:val="1"/>
    <w:next w:val="1"/>
    <w:autoRedefine/>
    <w:qFormat/>
    <w:uiPriority w:val="0"/>
    <w:pPr>
      <w:spacing w:before="240" w:after="60" w:line="312" w:lineRule="auto"/>
      <w:jc w:val="left"/>
      <w:outlineLvl w:val="1"/>
    </w:pPr>
    <w:rPr>
      <w:rFonts w:ascii="等线 Light" w:hAnsi="等线 Light" w:eastAsia="仿宋" w:cs="Times New Roman"/>
      <w:b/>
      <w:bCs/>
      <w:kern w:val="28"/>
      <w:sz w:val="36"/>
      <w:szCs w:val="32"/>
    </w:rPr>
  </w:style>
  <w:style w:type="paragraph" w:styleId="39">
    <w:name w:val="List"/>
    <w:basedOn w:val="1"/>
    <w:qFormat/>
    <w:uiPriority w:val="0"/>
    <w:pPr>
      <w:ind w:left="200" w:hanging="200" w:hangingChars="200"/>
    </w:pPr>
    <w:rPr>
      <w:sz w:val="28"/>
    </w:rPr>
  </w:style>
  <w:style w:type="paragraph" w:styleId="40">
    <w:name w:val="toc 6"/>
    <w:basedOn w:val="1"/>
    <w:next w:val="1"/>
    <w:autoRedefine/>
    <w:qFormat/>
    <w:uiPriority w:val="0"/>
    <w:pPr>
      <w:tabs>
        <w:tab w:val="right" w:leader="dot" w:pos="9185"/>
      </w:tabs>
      <w:adjustRightInd w:val="0"/>
      <w:spacing w:line="312" w:lineRule="atLeast"/>
      <w:ind w:left="2100"/>
      <w:textAlignment w:val="baseline"/>
    </w:pPr>
    <w:rPr>
      <w:kern w:val="0"/>
      <w:szCs w:val="20"/>
    </w:rPr>
  </w:style>
  <w:style w:type="paragraph" w:styleId="41">
    <w:name w:val="List 5"/>
    <w:basedOn w:val="1"/>
    <w:autoRedefine/>
    <w:qFormat/>
    <w:uiPriority w:val="0"/>
    <w:pPr>
      <w:ind w:left="2100" w:hanging="420"/>
    </w:pPr>
    <w:rPr>
      <w:szCs w:val="20"/>
    </w:rPr>
  </w:style>
  <w:style w:type="paragraph" w:styleId="42">
    <w:name w:val="Body Text Indent 3"/>
    <w:basedOn w:val="1"/>
    <w:link w:val="93"/>
    <w:qFormat/>
    <w:uiPriority w:val="0"/>
    <w:pPr>
      <w:spacing w:after="120"/>
      <w:ind w:left="420" w:leftChars="200"/>
    </w:pPr>
    <w:rPr>
      <w:sz w:val="16"/>
      <w:szCs w:val="16"/>
    </w:rPr>
  </w:style>
  <w:style w:type="paragraph" w:styleId="43">
    <w:name w:val="toc 2"/>
    <w:basedOn w:val="1"/>
    <w:next w:val="1"/>
    <w:autoRedefine/>
    <w:qFormat/>
    <w:uiPriority w:val="39"/>
    <w:pPr>
      <w:ind w:left="420" w:leftChars="200"/>
    </w:pPr>
  </w:style>
  <w:style w:type="paragraph" w:styleId="44">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45">
    <w:name w:val="Body Text 2"/>
    <w:basedOn w:val="1"/>
    <w:link w:val="94"/>
    <w:qFormat/>
    <w:uiPriority w:val="0"/>
    <w:pPr>
      <w:spacing w:after="120" w:line="480" w:lineRule="auto"/>
    </w:pPr>
  </w:style>
  <w:style w:type="paragraph" w:styleId="46">
    <w:name w:val="List 4"/>
    <w:basedOn w:val="1"/>
    <w:autoRedefine/>
    <w:qFormat/>
    <w:uiPriority w:val="0"/>
    <w:pPr>
      <w:ind w:left="100" w:leftChars="600" w:hanging="200" w:hangingChars="200"/>
    </w:pPr>
  </w:style>
  <w:style w:type="paragraph" w:styleId="47">
    <w:name w:val="List Continue 2"/>
    <w:basedOn w:val="1"/>
    <w:autoRedefine/>
    <w:qFormat/>
    <w:uiPriority w:val="0"/>
    <w:pPr>
      <w:spacing w:after="120"/>
      <w:ind w:left="840" w:leftChars="400"/>
    </w:pPr>
  </w:style>
  <w:style w:type="paragraph" w:styleId="48">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0">
    <w:name w:val="index 1"/>
    <w:basedOn w:val="1"/>
    <w:next w:val="1"/>
    <w:autoRedefine/>
    <w:qFormat/>
    <w:uiPriority w:val="0"/>
    <w:pPr>
      <w:spacing w:line="400" w:lineRule="exact"/>
      <w:ind w:firstLine="420" w:firstLineChars="200"/>
    </w:pPr>
    <w:rPr>
      <w:rFonts w:ascii="宋体" w:hAnsi="Courier New"/>
      <w:b/>
      <w:szCs w:val="20"/>
    </w:rPr>
  </w:style>
  <w:style w:type="paragraph" w:styleId="51">
    <w:name w:val="Title"/>
    <w:basedOn w:val="1"/>
    <w:next w:val="1"/>
    <w:link w:val="96"/>
    <w:autoRedefine/>
    <w:qFormat/>
    <w:uiPriority w:val="0"/>
    <w:pPr>
      <w:jc w:val="center"/>
    </w:pPr>
    <w:rPr>
      <w:sz w:val="30"/>
    </w:rPr>
  </w:style>
  <w:style w:type="paragraph" w:styleId="52">
    <w:name w:val="annotation subject"/>
    <w:basedOn w:val="21"/>
    <w:next w:val="21"/>
    <w:link w:val="97"/>
    <w:autoRedefine/>
    <w:qFormat/>
    <w:uiPriority w:val="0"/>
    <w:rPr>
      <w:b/>
      <w:bCs/>
    </w:rPr>
  </w:style>
  <w:style w:type="paragraph" w:styleId="53">
    <w:name w:val="Body Text First Indent"/>
    <w:basedOn w:val="23"/>
    <w:link w:val="98"/>
    <w:autoRedefine/>
    <w:qFormat/>
    <w:uiPriority w:val="0"/>
    <w:pPr>
      <w:spacing w:after="120" w:line="240" w:lineRule="auto"/>
      <w:ind w:firstLine="420" w:firstLineChars="100"/>
    </w:pPr>
    <w:rPr>
      <w:sz w:val="21"/>
    </w:rPr>
  </w:style>
  <w:style w:type="table" w:styleId="55">
    <w:name w:val="Table Grid"/>
    <w:basedOn w:val="5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autoRedefine/>
    <w:qFormat/>
    <w:uiPriority w:val="22"/>
    <w:rPr>
      <w:b/>
      <w:bCs/>
    </w:rPr>
  </w:style>
  <w:style w:type="character" w:styleId="58">
    <w:name w:val="page number"/>
    <w:qFormat/>
    <w:uiPriority w:val="0"/>
  </w:style>
  <w:style w:type="character" w:styleId="59">
    <w:name w:val="FollowedHyperlink"/>
    <w:autoRedefine/>
    <w:qFormat/>
    <w:uiPriority w:val="99"/>
    <w:rPr>
      <w:color w:val="333333"/>
      <w:u w:val="none"/>
    </w:rPr>
  </w:style>
  <w:style w:type="character" w:styleId="60">
    <w:name w:val="Emphasis"/>
    <w:qFormat/>
    <w:uiPriority w:val="0"/>
    <w:rPr>
      <w:color w:val="CC0000"/>
    </w:rPr>
  </w:style>
  <w:style w:type="character" w:styleId="61">
    <w:name w:val="HTML Definition"/>
    <w:autoRedefine/>
    <w:qFormat/>
    <w:uiPriority w:val="0"/>
    <w:rPr>
      <w:i/>
    </w:rPr>
  </w:style>
  <w:style w:type="character" w:styleId="62">
    <w:name w:val="Hyperlink"/>
    <w:autoRedefine/>
    <w:qFormat/>
    <w:uiPriority w:val="99"/>
    <w:rPr>
      <w:color w:val="333333"/>
      <w:u w:val="none"/>
    </w:rPr>
  </w:style>
  <w:style w:type="character" w:styleId="63">
    <w:name w:val="HTML Code"/>
    <w:autoRedefine/>
    <w:qFormat/>
    <w:uiPriority w:val="0"/>
    <w:rPr>
      <w:rFonts w:hint="default" w:ascii="Consolas" w:hAnsi="Consolas" w:eastAsia="Consolas" w:cs="Consolas"/>
      <w:sz w:val="21"/>
      <w:szCs w:val="21"/>
    </w:rPr>
  </w:style>
  <w:style w:type="character" w:styleId="64">
    <w:name w:val="annotation reference"/>
    <w:autoRedefine/>
    <w:qFormat/>
    <w:uiPriority w:val="0"/>
    <w:rPr>
      <w:sz w:val="21"/>
      <w:szCs w:val="21"/>
    </w:rPr>
  </w:style>
  <w:style w:type="character" w:styleId="65">
    <w:name w:val="HTML Cite"/>
    <w:autoRedefine/>
    <w:qFormat/>
    <w:uiPriority w:val="0"/>
    <w:rPr>
      <w:color w:val="008000"/>
    </w:rPr>
  </w:style>
  <w:style w:type="character" w:styleId="66">
    <w:name w:val="HTML Keyboard"/>
    <w:qFormat/>
    <w:uiPriority w:val="0"/>
    <w:rPr>
      <w:rFonts w:hint="default" w:ascii="Consolas" w:hAnsi="Consolas" w:eastAsia="Consolas" w:cs="Consolas"/>
      <w:sz w:val="21"/>
      <w:szCs w:val="21"/>
    </w:rPr>
  </w:style>
  <w:style w:type="character" w:styleId="67">
    <w:name w:val="HTML Sample"/>
    <w:qFormat/>
    <w:uiPriority w:val="0"/>
    <w:rPr>
      <w:rFonts w:ascii="Consolas" w:hAnsi="Consolas" w:eastAsia="Consolas" w:cs="Consolas"/>
      <w:sz w:val="21"/>
      <w:szCs w:val="21"/>
    </w:rPr>
  </w:style>
  <w:style w:type="paragraph" w:customStyle="1" w:styleId="68">
    <w:name w:val="首行缩进"/>
    <w:basedOn w:val="1"/>
    <w:autoRedefine/>
    <w:qFormat/>
    <w:uiPriority w:val="0"/>
    <w:pPr>
      <w:spacing w:line="360" w:lineRule="auto"/>
      <w:ind w:left="210" w:leftChars="100" w:firstLine="420" w:firstLineChars="200"/>
    </w:pPr>
    <w:rPr>
      <w:rFonts w:ascii="宋体" w:hAnsi="宋体"/>
    </w:rPr>
  </w:style>
  <w:style w:type="paragraph" w:customStyle="1" w:styleId="69">
    <w:name w:val="表格文字"/>
    <w:basedOn w:val="70"/>
    <w:next w:val="23"/>
    <w:autoRedefine/>
    <w:qFormat/>
    <w:uiPriority w:val="0"/>
    <w:pPr>
      <w:spacing w:before="25" w:after="25"/>
      <w:jc w:val="left"/>
    </w:pPr>
    <w:rPr>
      <w:bCs/>
      <w:spacing w:val="10"/>
      <w:kern w:val="0"/>
      <w:sz w:val="24"/>
    </w:rPr>
  </w:style>
  <w:style w:type="paragraph" w:customStyle="1" w:styleId="70">
    <w:name w:val="正文_2_0"/>
    <w:basedOn w:val="71"/>
    <w:qFormat/>
    <w:uiPriority w:val="0"/>
    <w:rPr>
      <w:rFonts w:cs="Times New Roman"/>
      <w:szCs w:val="22"/>
    </w:rPr>
  </w:style>
  <w:style w:type="paragraph" w:customStyle="1" w:styleId="71">
    <w:name w:val="正文_2"/>
    <w:next w:val="72"/>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72">
    <w:name w:val="_Style 3"/>
    <w:autoRedefine/>
    <w:qFormat/>
    <w:uiPriority w:val="34"/>
    <w:pPr>
      <w:widowControl w:val="0"/>
      <w:jc w:val="both"/>
    </w:pPr>
    <w:rPr>
      <w:rFonts w:ascii="Times New Roman" w:hAnsi="Times New Roman" w:eastAsia="宋体" w:cs="Times New Roman"/>
      <w:kern w:val="2"/>
      <w:sz w:val="21"/>
      <w:szCs w:val="22"/>
      <w:lang w:val="en-US" w:eastAsia="zh-CN" w:bidi="ar-SA"/>
    </w:rPr>
  </w:style>
  <w:style w:type="character" w:customStyle="1" w:styleId="73">
    <w:name w:val="标题 1 Char"/>
    <w:link w:val="4"/>
    <w:autoRedefine/>
    <w:qFormat/>
    <w:uiPriority w:val="9"/>
    <w:rPr>
      <w:rFonts w:eastAsia="宋体"/>
      <w:b/>
      <w:bCs/>
      <w:kern w:val="44"/>
      <w:sz w:val="44"/>
      <w:szCs w:val="44"/>
      <w:lang w:val="en-US" w:eastAsia="zh-CN" w:bidi="ar-SA"/>
    </w:rPr>
  </w:style>
  <w:style w:type="character" w:customStyle="1" w:styleId="74">
    <w:name w:val="标题 2 Char"/>
    <w:link w:val="5"/>
    <w:autoRedefine/>
    <w:qFormat/>
    <w:uiPriority w:val="0"/>
    <w:rPr>
      <w:rFonts w:ascii="Arial" w:hAnsi="Arial" w:eastAsia="黑体"/>
      <w:b/>
      <w:bCs/>
      <w:kern w:val="2"/>
      <w:sz w:val="32"/>
      <w:szCs w:val="32"/>
    </w:rPr>
  </w:style>
  <w:style w:type="character" w:customStyle="1" w:styleId="75">
    <w:name w:val="标题 3 Char"/>
    <w:link w:val="6"/>
    <w:qFormat/>
    <w:uiPriority w:val="0"/>
    <w:rPr>
      <w:b/>
      <w:bCs/>
      <w:kern w:val="2"/>
      <w:sz w:val="32"/>
      <w:szCs w:val="32"/>
    </w:rPr>
  </w:style>
  <w:style w:type="character" w:customStyle="1" w:styleId="76">
    <w:name w:val="标题 4 Char"/>
    <w:link w:val="7"/>
    <w:autoRedefine/>
    <w:qFormat/>
    <w:uiPriority w:val="0"/>
    <w:rPr>
      <w:rFonts w:ascii="Arial" w:hAnsi="Arial" w:eastAsia="黑体"/>
      <w:sz w:val="28"/>
    </w:rPr>
  </w:style>
  <w:style w:type="character" w:customStyle="1" w:styleId="77">
    <w:name w:val="标题 5 Char"/>
    <w:link w:val="8"/>
    <w:autoRedefine/>
    <w:qFormat/>
    <w:uiPriority w:val="0"/>
    <w:rPr>
      <w:b/>
      <w:kern w:val="2"/>
      <w:sz w:val="28"/>
      <w:szCs w:val="24"/>
    </w:rPr>
  </w:style>
  <w:style w:type="character" w:customStyle="1" w:styleId="78">
    <w:name w:val="标题 6 Char"/>
    <w:link w:val="10"/>
    <w:qFormat/>
    <w:uiPriority w:val="0"/>
    <w:rPr>
      <w:rFonts w:ascii="Arial" w:hAnsi="Arial" w:eastAsia="黑体"/>
      <w:b/>
      <w:kern w:val="2"/>
      <w:sz w:val="24"/>
      <w:szCs w:val="24"/>
    </w:rPr>
  </w:style>
  <w:style w:type="character" w:customStyle="1" w:styleId="79">
    <w:name w:val="标题 7 Char"/>
    <w:link w:val="11"/>
    <w:qFormat/>
    <w:uiPriority w:val="0"/>
    <w:rPr>
      <w:b/>
      <w:kern w:val="2"/>
      <w:sz w:val="24"/>
      <w:szCs w:val="24"/>
    </w:rPr>
  </w:style>
  <w:style w:type="character" w:customStyle="1" w:styleId="80">
    <w:name w:val="标题 8 Char"/>
    <w:link w:val="12"/>
    <w:autoRedefine/>
    <w:qFormat/>
    <w:uiPriority w:val="0"/>
    <w:rPr>
      <w:rFonts w:ascii="Arial" w:hAnsi="Arial" w:eastAsia="黑体"/>
      <w:kern w:val="2"/>
      <w:sz w:val="24"/>
      <w:szCs w:val="24"/>
    </w:rPr>
  </w:style>
  <w:style w:type="character" w:customStyle="1" w:styleId="81">
    <w:name w:val="标题 9 Char"/>
    <w:link w:val="13"/>
    <w:autoRedefine/>
    <w:qFormat/>
    <w:uiPriority w:val="0"/>
    <w:rPr>
      <w:rFonts w:ascii="Arial" w:hAnsi="Arial" w:eastAsia="黑体"/>
      <w:kern w:val="2"/>
      <w:sz w:val="21"/>
      <w:szCs w:val="24"/>
    </w:rPr>
  </w:style>
  <w:style w:type="character" w:customStyle="1" w:styleId="82">
    <w:name w:val="文档结构图 Char"/>
    <w:link w:val="19"/>
    <w:autoRedefine/>
    <w:qFormat/>
    <w:uiPriority w:val="0"/>
    <w:rPr>
      <w:sz w:val="21"/>
      <w:shd w:val="clear" w:color="auto" w:fill="000080"/>
    </w:rPr>
  </w:style>
  <w:style w:type="character" w:customStyle="1" w:styleId="83">
    <w:name w:val="批注文字 Char"/>
    <w:link w:val="21"/>
    <w:qFormat/>
    <w:uiPriority w:val="0"/>
    <w:rPr>
      <w:kern w:val="2"/>
      <w:sz w:val="21"/>
      <w:szCs w:val="24"/>
    </w:rPr>
  </w:style>
  <w:style w:type="character" w:customStyle="1" w:styleId="84">
    <w:name w:val="正文文本 3 Char"/>
    <w:link w:val="22"/>
    <w:autoRedefine/>
    <w:qFormat/>
    <w:uiPriority w:val="0"/>
    <w:rPr>
      <w:b/>
      <w:bCs/>
      <w:kern w:val="2"/>
      <w:sz w:val="24"/>
      <w:szCs w:val="24"/>
    </w:rPr>
  </w:style>
  <w:style w:type="character" w:customStyle="1" w:styleId="85">
    <w:name w:val="正文文本 Char"/>
    <w:link w:val="23"/>
    <w:autoRedefine/>
    <w:qFormat/>
    <w:uiPriority w:val="99"/>
    <w:rPr>
      <w:kern w:val="2"/>
      <w:sz w:val="24"/>
      <w:szCs w:val="24"/>
    </w:rPr>
  </w:style>
  <w:style w:type="character" w:customStyle="1" w:styleId="86">
    <w:name w:val="正文文本缩进 Char"/>
    <w:link w:val="3"/>
    <w:autoRedefine/>
    <w:qFormat/>
    <w:uiPriority w:val="99"/>
    <w:rPr>
      <w:rFonts w:ascii="仿宋_GB2312" w:eastAsia="仿宋_GB2312"/>
      <w:kern w:val="2"/>
      <w:sz w:val="32"/>
    </w:rPr>
  </w:style>
  <w:style w:type="character" w:customStyle="1" w:styleId="87">
    <w:name w:val="纯文本 Char"/>
    <w:link w:val="29"/>
    <w:autoRedefine/>
    <w:qFormat/>
    <w:uiPriority w:val="99"/>
    <w:rPr>
      <w:rFonts w:ascii="宋体" w:hAnsi="Courier New" w:eastAsia="宋体" w:cs="Courier New"/>
      <w:kern w:val="2"/>
      <w:sz w:val="21"/>
      <w:szCs w:val="21"/>
      <w:lang w:val="en-US" w:eastAsia="zh-CN" w:bidi="ar-SA"/>
    </w:rPr>
  </w:style>
  <w:style w:type="character" w:customStyle="1" w:styleId="88">
    <w:name w:val="日期 Char"/>
    <w:link w:val="31"/>
    <w:qFormat/>
    <w:uiPriority w:val="0"/>
    <w:rPr>
      <w:rFonts w:ascii="宋体" w:hAnsi="Courier New" w:cs="Courier New"/>
      <w:kern w:val="2"/>
      <w:sz w:val="21"/>
      <w:szCs w:val="21"/>
    </w:rPr>
  </w:style>
  <w:style w:type="character" w:customStyle="1" w:styleId="89">
    <w:name w:val="正文文本缩进 2 Char"/>
    <w:link w:val="32"/>
    <w:autoRedefine/>
    <w:qFormat/>
    <w:uiPriority w:val="0"/>
    <w:rPr>
      <w:kern w:val="2"/>
      <w:sz w:val="32"/>
    </w:rPr>
  </w:style>
  <w:style w:type="character" w:customStyle="1" w:styleId="90">
    <w:name w:val="批注框文本 Char"/>
    <w:link w:val="33"/>
    <w:qFormat/>
    <w:uiPriority w:val="0"/>
    <w:rPr>
      <w:kern w:val="2"/>
      <w:sz w:val="18"/>
      <w:szCs w:val="18"/>
    </w:rPr>
  </w:style>
  <w:style w:type="character" w:customStyle="1" w:styleId="91">
    <w:name w:val="页脚 Char"/>
    <w:link w:val="34"/>
    <w:autoRedefine/>
    <w:qFormat/>
    <w:uiPriority w:val="0"/>
    <w:rPr>
      <w:kern w:val="2"/>
      <w:sz w:val="18"/>
      <w:szCs w:val="18"/>
    </w:rPr>
  </w:style>
  <w:style w:type="character" w:customStyle="1" w:styleId="92">
    <w:name w:val="页眉 Char"/>
    <w:link w:val="35"/>
    <w:qFormat/>
    <w:uiPriority w:val="99"/>
    <w:rPr>
      <w:kern w:val="2"/>
      <w:sz w:val="18"/>
      <w:szCs w:val="18"/>
    </w:rPr>
  </w:style>
  <w:style w:type="character" w:customStyle="1" w:styleId="93">
    <w:name w:val="正文文本缩进 3 Char"/>
    <w:link w:val="42"/>
    <w:autoRedefine/>
    <w:qFormat/>
    <w:uiPriority w:val="0"/>
    <w:rPr>
      <w:kern w:val="2"/>
      <w:sz w:val="16"/>
      <w:szCs w:val="16"/>
    </w:rPr>
  </w:style>
  <w:style w:type="character" w:customStyle="1" w:styleId="94">
    <w:name w:val="正文文本 2 Char"/>
    <w:link w:val="45"/>
    <w:qFormat/>
    <w:uiPriority w:val="0"/>
    <w:rPr>
      <w:kern w:val="2"/>
      <w:sz w:val="21"/>
      <w:szCs w:val="24"/>
    </w:rPr>
  </w:style>
  <w:style w:type="character" w:customStyle="1" w:styleId="95">
    <w:name w:val="HTML 预设格式 Char"/>
    <w:link w:val="48"/>
    <w:autoRedefine/>
    <w:qFormat/>
    <w:uiPriority w:val="0"/>
    <w:rPr>
      <w:rFonts w:ascii="黑体" w:hAnsi="Courier New" w:eastAsia="黑体" w:cs="Courier New"/>
    </w:rPr>
  </w:style>
  <w:style w:type="character" w:customStyle="1" w:styleId="96">
    <w:name w:val="标题 Char"/>
    <w:link w:val="51"/>
    <w:autoRedefine/>
    <w:qFormat/>
    <w:uiPriority w:val="0"/>
    <w:rPr>
      <w:kern w:val="2"/>
      <w:sz w:val="30"/>
      <w:szCs w:val="24"/>
    </w:rPr>
  </w:style>
  <w:style w:type="character" w:customStyle="1" w:styleId="97">
    <w:name w:val="批注主题 Char"/>
    <w:link w:val="52"/>
    <w:autoRedefine/>
    <w:qFormat/>
    <w:uiPriority w:val="0"/>
    <w:rPr>
      <w:b/>
      <w:bCs/>
      <w:kern w:val="2"/>
      <w:sz w:val="21"/>
      <w:szCs w:val="24"/>
    </w:rPr>
  </w:style>
  <w:style w:type="character" w:customStyle="1" w:styleId="98">
    <w:name w:val="正文首行缩进 Char"/>
    <w:link w:val="53"/>
    <w:autoRedefine/>
    <w:qFormat/>
    <w:uiPriority w:val="0"/>
    <w:rPr>
      <w:kern w:val="2"/>
      <w:sz w:val="21"/>
      <w:szCs w:val="24"/>
    </w:rPr>
  </w:style>
  <w:style w:type="character" w:customStyle="1" w:styleId="99">
    <w:name w:val="正文首行缩进 2 Char"/>
    <w:link w:val="2"/>
    <w:qFormat/>
    <w:uiPriority w:val="0"/>
    <w:rPr>
      <w:kern w:val="2"/>
      <w:sz w:val="21"/>
      <w:szCs w:val="24"/>
    </w:rPr>
  </w:style>
  <w:style w:type="character" w:customStyle="1" w:styleId="100">
    <w:name w:val="current"/>
    <w:qFormat/>
    <w:uiPriority w:val="0"/>
    <w:rPr>
      <w:color w:val="00C1DE"/>
    </w:rPr>
  </w:style>
  <w:style w:type="character" w:customStyle="1" w:styleId="101">
    <w:name w:val="info-label"/>
    <w:qFormat/>
    <w:uiPriority w:val="0"/>
    <w:rPr>
      <w:b/>
    </w:rPr>
  </w:style>
  <w:style w:type="character" w:customStyle="1" w:styleId="102">
    <w:name w:val="正文文本缩进 字符"/>
    <w:semiHidden/>
    <w:qFormat/>
    <w:uiPriority w:val="99"/>
    <w:rPr>
      <w:kern w:val="2"/>
      <w:sz w:val="21"/>
      <w:szCs w:val="24"/>
    </w:rPr>
  </w:style>
  <w:style w:type="character" w:customStyle="1" w:styleId="103">
    <w:name w:val="first-child"/>
    <w:autoRedefine/>
    <w:qFormat/>
    <w:uiPriority w:val="0"/>
  </w:style>
  <w:style w:type="character" w:customStyle="1" w:styleId="104">
    <w:name w:val="current1"/>
    <w:autoRedefine/>
    <w:qFormat/>
    <w:uiPriority w:val="0"/>
    <w:rPr>
      <w:color w:val="00C1DE"/>
    </w:rPr>
  </w:style>
  <w:style w:type="character" w:customStyle="1" w:styleId="105">
    <w:name w:val="标题 字符"/>
    <w:autoRedefine/>
    <w:qFormat/>
    <w:uiPriority w:val="10"/>
    <w:rPr>
      <w:rFonts w:ascii="等线 Light" w:hAnsi="等线 Light" w:eastAsia="等线 Light" w:cs="Times New Roman"/>
      <w:b/>
      <w:bCs/>
      <w:kern w:val="2"/>
      <w:sz w:val="32"/>
      <w:szCs w:val="32"/>
    </w:rPr>
  </w:style>
  <w:style w:type="character" w:customStyle="1" w:styleId="106">
    <w:name w:val="页眉 字符"/>
    <w:autoRedefine/>
    <w:semiHidden/>
    <w:qFormat/>
    <w:uiPriority w:val="99"/>
    <w:rPr>
      <w:kern w:val="2"/>
      <w:sz w:val="18"/>
      <w:szCs w:val="18"/>
    </w:rPr>
  </w:style>
  <w:style w:type="character" w:customStyle="1" w:styleId="107">
    <w:name w:val="纯文本 字符"/>
    <w:semiHidden/>
    <w:qFormat/>
    <w:uiPriority w:val="99"/>
    <w:rPr>
      <w:rFonts w:ascii="等线" w:hAnsi="Courier New" w:eastAsia="等线" w:cs="Courier New"/>
      <w:kern w:val="2"/>
      <w:sz w:val="21"/>
      <w:szCs w:val="24"/>
    </w:rPr>
  </w:style>
  <w:style w:type="character" w:customStyle="1" w:styleId="108">
    <w:name w:val="fd"/>
    <w:autoRedefine/>
    <w:qFormat/>
    <w:uiPriority w:val="0"/>
  </w:style>
  <w:style w:type="character" w:customStyle="1" w:styleId="109">
    <w:name w:val="正文文本首行缩进 2 字符"/>
    <w:autoRedefine/>
    <w:semiHidden/>
    <w:qFormat/>
    <w:uiPriority w:val="99"/>
  </w:style>
  <w:style w:type="character" w:customStyle="1" w:styleId="110">
    <w:name w:val="正文文本 3 字符"/>
    <w:autoRedefine/>
    <w:semiHidden/>
    <w:qFormat/>
    <w:uiPriority w:val="99"/>
    <w:rPr>
      <w:kern w:val="2"/>
      <w:sz w:val="16"/>
      <w:szCs w:val="16"/>
    </w:rPr>
  </w:style>
  <w:style w:type="character" w:customStyle="1" w:styleId="111">
    <w:name w:val="content2"/>
    <w:autoRedefine/>
    <w:qFormat/>
    <w:uiPriority w:val="0"/>
  </w:style>
  <w:style w:type="character" w:customStyle="1" w:styleId="112">
    <w:name w:val="short_text1"/>
    <w:autoRedefine/>
    <w:qFormat/>
    <w:uiPriority w:val="0"/>
    <w:rPr>
      <w:sz w:val="26"/>
    </w:rPr>
  </w:style>
  <w:style w:type="character" w:customStyle="1" w:styleId="113">
    <w:name w:val="标题3 Char"/>
    <w:link w:val="114"/>
    <w:qFormat/>
    <w:uiPriority w:val="0"/>
    <w:rPr>
      <w:rFonts w:ascii="宋体" w:hAnsi="宋体"/>
      <w:b/>
      <w:bCs/>
      <w:kern w:val="44"/>
      <w:sz w:val="24"/>
      <w:szCs w:val="24"/>
    </w:rPr>
  </w:style>
  <w:style w:type="paragraph" w:customStyle="1" w:styleId="114">
    <w:name w:val="标题3"/>
    <w:basedOn w:val="4"/>
    <w:link w:val="113"/>
    <w:qFormat/>
    <w:uiPriority w:val="0"/>
    <w:pPr>
      <w:spacing w:before="0" w:beforeLines="50" w:after="0" w:afterLines="50" w:line="400" w:lineRule="exact"/>
    </w:pPr>
    <w:rPr>
      <w:rFonts w:ascii="宋体" w:hAnsi="宋体"/>
      <w:sz w:val="24"/>
      <w:szCs w:val="24"/>
    </w:rPr>
  </w:style>
  <w:style w:type="character" w:customStyle="1" w:styleId="115">
    <w:name w:val="temp"/>
    <w:qFormat/>
    <w:uiPriority w:val="0"/>
  </w:style>
  <w:style w:type="character" w:customStyle="1" w:styleId="116">
    <w:name w:val="ant-select-tree-iconele"/>
    <w:autoRedefine/>
    <w:qFormat/>
    <w:uiPriority w:val="0"/>
  </w:style>
  <w:style w:type="character" w:customStyle="1" w:styleId="117">
    <w:name w:val="正文文本缩进 2 字符"/>
    <w:autoRedefine/>
    <w:semiHidden/>
    <w:qFormat/>
    <w:uiPriority w:val="99"/>
    <w:rPr>
      <w:kern w:val="2"/>
      <w:sz w:val="21"/>
      <w:szCs w:val="24"/>
    </w:rPr>
  </w:style>
  <w:style w:type="character" w:customStyle="1" w:styleId="118">
    <w:name w:val="label2"/>
    <w:autoRedefine/>
    <w:qFormat/>
    <w:uiPriority w:val="0"/>
  </w:style>
  <w:style w:type="character" w:customStyle="1" w:styleId="119">
    <w:name w:val="ant-tree-iconele"/>
    <w:qFormat/>
    <w:uiPriority w:val="0"/>
  </w:style>
  <w:style w:type="character" w:customStyle="1" w:styleId="120">
    <w:name w:val="info-content"/>
    <w:autoRedefine/>
    <w:qFormat/>
    <w:uiPriority w:val="0"/>
    <w:rPr>
      <w:color w:val="808080"/>
    </w:rPr>
  </w:style>
  <w:style w:type="character" w:customStyle="1" w:styleId="121">
    <w:name w:val="ant-tree-checkbox2"/>
    <w:autoRedefine/>
    <w:qFormat/>
    <w:uiPriority w:val="0"/>
  </w:style>
  <w:style w:type="character" w:customStyle="1" w:styleId="122">
    <w:name w:val="c-icon13"/>
    <w:autoRedefine/>
    <w:qFormat/>
    <w:uiPriority w:val="0"/>
  </w:style>
  <w:style w:type="character" w:customStyle="1" w:styleId="123">
    <w:name w:val="纯文本 Char1"/>
    <w:autoRedefine/>
    <w:qFormat/>
    <w:uiPriority w:val="0"/>
    <w:rPr>
      <w:rFonts w:ascii="宋体" w:hAnsi="Courier New" w:eastAsia="宋体" w:cs="Courier New"/>
      <w:kern w:val="2"/>
      <w:sz w:val="21"/>
      <w:szCs w:val="21"/>
      <w:lang w:val="en-US" w:eastAsia="zh-CN" w:bidi="ar-SA"/>
    </w:rPr>
  </w:style>
  <w:style w:type="character" w:customStyle="1" w:styleId="124">
    <w:name w:val="批注文字 字符1"/>
    <w:autoRedefine/>
    <w:qFormat/>
    <w:uiPriority w:val="0"/>
    <w:rPr>
      <w:kern w:val="2"/>
      <w:sz w:val="21"/>
      <w:szCs w:val="24"/>
    </w:rPr>
  </w:style>
  <w:style w:type="character" w:customStyle="1" w:styleId="125">
    <w:name w:val="标题 3 字符"/>
    <w:autoRedefine/>
    <w:semiHidden/>
    <w:qFormat/>
    <w:uiPriority w:val="9"/>
    <w:rPr>
      <w:b/>
      <w:bCs/>
      <w:kern w:val="2"/>
      <w:sz w:val="32"/>
      <w:szCs w:val="32"/>
    </w:rPr>
  </w:style>
  <w:style w:type="character" w:customStyle="1" w:styleId="126">
    <w:name w:val="标题 5 字符"/>
    <w:autoRedefine/>
    <w:semiHidden/>
    <w:qFormat/>
    <w:uiPriority w:val="9"/>
    <w:rPr>
      <w:b/>
      <w:bCs/>
      <w:kern w:val="2"/>
      <w:sz w:val="28"/>
      <w:szCs w:val="28"/>
    </w:rPr>
  </w:style>
  <w:style w:type="character" w:customStyle="1" w:styleId="127">
    <w:name w:val="标题 7 字符"/>
    <w:autoRedefine/>
    <w:semiHidden/>
    <w:qFormat/>
    <w:uiPriority w:val="9"/>
    <w:rPr>
      <w:b/>
      <w:bCs/>
      <w:kern w:val="2"/>
      <w:sz w:val="24"/>
      <w:szCs w:val="24"/>
    </w:rPr>
  </w:style>
  <w:style w:type="character" w:customStyle="1" w:styleId="128">
    <w:name w:val="temp2"/>
    <w:qFormat/>
    <w:uiPriority w:val="0"/>
  </w:style>
  <w:style w:type="character" w:customStyle="1" w:styleId="129">
    <w:name w:val="font01"/>
    <w:autoRedefine/>
    <w:qFormat/>
    <w:uiPriority w:val="0"/>
    <w:rPr>
      <w:rFonts w:hint="eastAsia" w:ascii="宋体" w:hAnsi="宋体" w:eastAsia="宋体"/>
      <w:color w:val="000000"/>
      <w:sz w:val="22"/>
      <w:szCs w:val="22"/>
      <w:u w:val="none"/>
    </w:rPr>
  </w:style>
  <w:style w:type="character" w:customStyle="1" w:styleId="130">
    <w:name w:val="1051"/>
    <w:qFormat/>
    <w:uiPriority w:val="0"/>
    <w:rPr>
      <w:sz w:val="21"/>
      <w:szCs w:val="21"/>
    </w:rPr>
  </w:style>
  <w:style w:type="character" w:customStyle="1" w:styleId="131">
    <w:name w:val="NormalCharacter"/>
    <w:qFormat/>
    <w:uiPriority w:val="0"/>
    <w:rPr>
      <w:rFonts w:ascii="Calibri" w:hAnsi="Calibri" w:eastAsia="宋体"/>
    </w:rPr>
  </w:style>
  <w:style w:type="character" w:customStyle="1" w:styleId="132">
    <w:name w:val="标题 6 字符"/>
    <w:autoRedefine/>
    <w:semiHidden/>
    <w:qFormat/>
    <w:uiPriority w:val="9"/>
    <w:rPr>
      <w:rFonts w:ascii="等线 Light" w:hAnsi="等线 Light" w:eastAsia="等线 Light" w:cs="Times New Roman"/>
      <w:b/>
      <w:bCs/>
      <w:kern w:val="2"/>
      <w:sz w:val="24"/>
      <w:szCs w:val="24"/>
    </w:rPr>
  </w:style>
  <w:style w:type="character" w:customStyle="1" w:styleId="133">
    <w:name w:val="正文文本首行缩进 字符"/>
    <w:semiHidden/>
    <w:qFormat/>
    <w:uiPriority w:val="99"/>
  </w:style>
  <w:style w:type="character" w:customStyle="1" w:styleId="134">
    <w:name w:val="gray12"/>
    <w:qFormat/>
    <w:uiPriority w:val="0"/>
  </w:style>
  <w:style w:type="character" w:customStyle="1" w:styleId="135">
    <w:name w:val="标题 4 字符"/>
    <w:autoRedefine/>
    <w:semiHidden/>
    <w:qFormat/>
    <w:uiPriority w:val="9"/>
    <w:rPr>
      <w:rFonts w:ascii="等线 Light" w:hAnsi="等线 Light" w:eastAsia="等线 Light" w:cs="Times New Roman"/>
      <w:b/>
      <w:bCs/>
      <w:kern w:val="2"/>
      <w:sz w:val="28"/>
      <w:szCs w:val="28"/>
    </w:rPr>
  </w:style>
  <w:style w:type="character" w:customStyle="1" w:styleId="136">
    <w:name w:val="062"/>
    <w:autoRedefine/>
    <w:qFormat/>
    <w:uiPriority w:val="0"/>
    <w:rPr>
      <w:rFonts w:ascii="宋体" w:hAnsi="宋体"/>
      <w:b/>
      <w:bCs/>
      <w:sz w:val="32"/>
    </w:rPr>
  </w:style>
  <w:style w:type="character" w:customStyle="1" w:styleId="137">
    <w:name w:val="all-fit-info2"/>
    <w:qFormat/>
    <w:uiPriority w:val="0"/>
    <w:rPr>
      <w:color w:val="939393"/>
    </w:rPr>
  </w:style>
  <w:style w:type="character" w:customStyle="1" w:styleId="138">
    <w:name w:val="last-child6"/>
    <w:autoRedefine/>
    <w:qFormat/>
    <w:uiPriority w:val="0"/>
  </w:style>
  <w:style w:type="character" w:customStyle="1" w:styleId="139">
    <w:name w:val="all-fit-info"/>
    <w:qFormat/>
    <w:uiPriority w:val="0"/>
    <w:rPr>
      <w:color w:val="939393"/>
    </w:rPr>
  </w:style>
  <w:style w:type="character" w:customStyle="1" w:styleId="140">
    <w:name w:val="style11"/>
    <w:autoRedefine/>
    <w:qFormat/>
    <w:uiPriority w:val="0"/>
    <w:rPr>
      <w:rFonts w:hint="default" w:ascii="Arial" w:hAnsi="Arial" w:cs="Arial"/>
    </w:rPr>
  </w:style>
  <w:style w:type="character" w:customStyle="1" w:styleId="141">
    <w:name w:val="ant-select-tree-switcher"/>
    <w:qFormat/>
    <w:uiPriority w:val="0"/>
  </w:style>
  <w:style w:type="character" w:customStyle="1" w:styleId="142">
    <w:name w:val="正文文本 字符"/>
    <w:autoRedefine/>
    <w:semiHidden/>
    <w:qFormat/>
    <w:uiPriority w:val="99"/>
    <w:rPr>
      <w:kern w:val="2"/>
      <w:sz w:val="21"/>
      <w:szCs w:val="24"/>
    </w:rPr>
  </w:style>
  <w:style w:type="character" w:customStyle="1" w:styleId="143">
    <w:name w:val="mark8"/>
    <w:autoRedefine/>
    <w:qFormat/>
    <w:uiPriority w:val="0"/>
    <w:rPr>
      <w:b/>
      <w:bCs/>
      <w:sz w:val="21"/>
      <w:szCs w:val="21"/>
    </w:rPr>
  </w:style>
  <w:style w:type="character" w:customStyle="1" w:styleId="144">
    <w:name w:val="content"/>
    <w:autoRedefine/>
    <w:qFormat/>
    <w:uiPriority w:val="0"/>
  </w:style>
  <w:style w:type="character" w:customStyle="1" w:styleId="145">
    <w:name w:val="unnamed3"/>
    <w:autoRedefine/>
    <w:qFormat/>
    <w:uiPriority w:val="0"/>
  </w:style>
  <w:style w:type="character" w:customStyle="1" w:styleId="146">
    <w:name w:val="z-窗体顶端 字符1"/>
    <w:link w:val="147"/>
    <w:qFormat/>
    <w:uiPriority w:val="0"/>
    <w:rPr>
      <w:rFonts w:ascii="Arial"/>
      <w:vanish/>
      <w:kern w:val="2"/>
      <w:sz w:val="16"/>
      <w:szCs w:val="24"/>
    </w:rPr>
  </w:style>
  <w:style w:type="paragraph" w:customStyle="1" w:styleId="147">
    <w:name w:val="_Style 140"/>
    <w:basedOn w:val="1"/>
    <w:next w:val="1"/>
    <w:link w:val="146"/>
    <w:autoRedefine/>
    <w:qFormat/>
    <w:uiPriority w:val="0"/>
    <w:pPr>
      <w:pBdr>
        <w:bottom w:val="single" w:color="auto" w:sz="6" w:space="1"/>
      </w:pBdr>
      <w:jc w:val="center"/>
    </w:pPr>
    <w:rPr>
      <w:rFonts w:ascii="Arial"/>
      <w:vanish/>
      <w:sz w:val="16"/>
    </w:rPr>
  </w:style>
  <w:style w:type="character" w:customStyle="1" w:styleId="148">
    <w:name w:val="tag-type"/>
    <w:autoRedefine/>
    <w:qFormat/>
    <w:uiPriority w:val="0"/>
    <w:rPr>
      <w:color w:val="FFFFFF"/>
      <w:sz w:val="18"/>
      <w:szCs w:val="18"/>
      <w:shd w:val="clear" w:color="auto" w:fill="317FFD"/>
    </w:rPr>
  </w:style>
  <w:style w:type="character" w:customStyle="1" w:styleId="149">
    <w:name w:val="z-窗体顶端 字符"/>
    <w:autoRedefine/>
    <w:semiHidden/>
    <w:qFormat/>
    <w:uiPriority w:val="99"/>
    <w:rPr>
      <w:rFonts w:ascii="Arial" w:hAnsi="Arial" w:cs="Arial"/>
      <w:vanish/>
      <w:kern w:val="2"/>
      <w:sz w:val="16"/>
      <w:szCs w:val="16"/>
    </w:rPr>
  </w:style>
  <w:style w:type="character" w:customStyle="1" w:styleId="150">
    <w:name w:val="f151"/>
    <w:qFormat/>
    <w:uiPriority w:val="0"/>
    <w:rPr>
      <w:sz w:val="23"/>
      <w:szCs w:val="23"/>
    </w:rPr>
  </w:style>
  <w:style w:type="character" w:customStyle="1" w:styleId="151">
    <w:name w:val="white"/>
    <w:autoRedefine/>
    <w:qFormat/>
    <w:uiPriority w:val="0"/>
  </w:style>
  <w:style w:type="character" w:customStyle="1" w:styleId="152">
    <w:name w:val="1ji Char"/>
    <w:link w:val="153"/>
    <w:autoRedefine/>
    <w:qFormat/>
    <w:uiPriority w:val="0"/>
    <w:rPr>
      <w:rFonts w:ascii="宋体" w:hAnsi="宋体" w:eastAsia="宋体"/>
      <w:b/>
      <w:bCs/>
      <w:kern w:val="44"/>
      <w:sz w:val="36"/>
      <w:szCs w:val="44"/>
      <w:lang w:val="en-US" w:eastAsia="zh-CN" w:bidi="ar-SA"/>
    </w:rPr>
  </w:style>
  <w:style w:type="paragraph" w:customStyle="1" w:styleId="153">
    <w:name w:val="1ji"/>
    <w:basedOn w:val="4"/>
    <w:link w:val="152"/>
    <w:qFormat/>
    <w:uiPriority w:val="0"/>
    <w:pPr>
      <w:keepLines w:val="0"/>
      <w:widowControl/>
      <w:spacing w:before="0" w:after="0" w:line="240" w:lineRule="auto"/>
      <w:jc w:val="center"/>
    </w:pPr>
    <w:rPr>
      <w:rFonts w:ascii="宋体" w:hAnsi="宋体"/>
      <w:sz w:val="36"/>
    </w:rPr>
  </w:style>
  <w:style w:type="character" w:customStyle="1" w:styleId="154">
    <w:name w:val="last-child7"/>
    <w:autoRedefine/>
    <w:qFormat/>
    <w:uiPriority w:val="0"/>
  </w:style>
  <w:style w:type="character" w:customStyle="1" w:styleId="155">
    <w:name w:val="ant-badge-status-dot"/>
    <w:autoRedefine/>
    <w:qFormat/>
    <w:uiPriority w:val="0"/>
    <w:rPr>
      <w:shd w:val="clear" w:color="auto" w:fill="FFFFFF"/>
    </w:rPr>
  </w:style>
  <w:style w:type="character" w:customStyle="1" w:styleId="156">
    <w:name w:val="批注主题 字符"/>
    <w:autoRedefine/>
    <w:semiHidden/>
    <w:qFormat/>
    <w:uiPriority w:val="99"/>
    <w:rPr>
      <w:b/>
      <w:bCs/>
      <w:kern w:val="2"/>
      <w:sz w:val="21"/>
      <w:szCs w:val="24"/>
    </w:rPr>
  </w:style>
  <w:style w:type="character" w:customStyle="1" w:styleId="157">
    <w:name w:val="apple-converted-space"/>
    <w:qFormat/>
    <w:uiPriority w:val="0"/>
  </w:style>
  <w:style w:type="character" w:customStyle="1" w:styleId="158">
    <w:name w:val="temp1"/>
    <w:autoRedefine/>
    <w:qFormat/>
    <w:uiPriority w:val="0"/>
  </w:style>
  <w:style w:type="character" w:customStyle="1" w:styleId="159">
    <w:name w:val="正文文本 2 字符"/>
    <w:autoRedefine/>
    <w:semiHidden/>
    <w:qFormat/>
    <w:uiPriority w:val="99"/>
    <w:rPr>
      <w:kern w:val="2"/>
      <w:sz w:val="21"/>
      <w:szCs w:val="24"/>
    </w:rPr>
  </w:style>
  <w:style w:type="character" w:customStyle="1" w:styleId="160">
    <w:name w:val="标题 1 字符"/>
    <w:autoRedefine/>
    <w:qFormat/>
    <w:uiPriority w:val="9"/>
    <w:rPr>
      <w:b/>
      <w:bCs/>
      <w:kern w:val="44"/>
      <w:sz w:val="44"/>
      <w:szCs w:val="44"/>
    </w:rPr>
  </w:style>
  <w:style w:type="character" w:customStyle="1" w:styleId="161">
    <w:name w:val="ant-select-tree-checkbox2"/>
    <w:autoRedefine/>
    <w:qFormat/>
    <w:uiPriority w:val="0"/>
  </w:style>
  <w:style w:type="character" w:customStyle="1" w:styleId="162">
    <w:name w:val="正文文本缩进 3 字符"/>
    <w:autoRedefine/>
    <w:semiHidden/>
    <w:qFormat/>
    <w:uiPriority w:val="99"/>
    <w:rPr>
      <w:kern w:val="2"/>
      <w:sz w:val="16"/>
      <w:szCs w:val="16"/>
    </w:rPr>
  </w:style>
  <w:style w:type="character" w:customStyle="1" w:styleId="163">
    <w:name w:val="批注文字 字符"/>
    <w:autoRedefine/>
    <w:semiHidden/>
    <w:qFormat/>
    <w:uiPriority w:val="99"/>
    <w:rPr>
      <w:kern w:val="2"/>
      <w:sz w:val="21"/>
      <w:szCs w:val="24"/>
    </w:rPr>
  </w:style>
  <w:style w:type="character" w:customStyle="1" w:styleId="164">
    <w:name w:val="graytext1"/>
    <w:qFormat/>
    <w:uiPriority w:val="0"/>
    <w:rPr>
      <w:color w:val="666666"/>
    </w:rPr>
  </w:style>
  <w:style w:type="character" w:customStyle="1" w:styleId="165">
    <w:name w:val="批注框文本 字符"/>
    <w:semiHidden/>
    <w:qFormat/>
    <w:uiPriority w:val="99"/>
    <w:rPr>
      <w:kern w:val="2"/>
      <w:sz w:val="18"/>
      <w:szCs w:val="18"/>
    </w:rPr>
  </w:style>
  <w:style w:type="character" w:customStyle="1" w:styleId="166">
    <w:name w:val="case31"/>
    <w:autoRedefine/>
    <w:qFormat/>
    <w:uiPriority w:val="0"/>
    <w:rPr>
      <w:rFonts w:hint="default" w:ascii="_x000B__x000C_" w:hAnsi="_x000B__x000C_"/>
      <w:sz w:val="21"/>
      <w:szCs w:val="21"/>
    </w:rPr>
  </w:style>
  <w:style w:type="character" w:customStyle="1" w:styleId="167">
    <w:name w:val="last-of-type"/>
    <w:autoRedefine/>
    <w:qFormat/>
    <w:uiPriority w:val="0"/>
    <w:rPr>
      <w:color w:val="FF4A44"/>
      <w:sz w:val="27"/>
      <w:szCs w:val="27"/>
    </w:rPr>
  </w:style>
  <w:style w:type="character" w:customStyle="1" w:styleId="168">
    <w:name w:val="change-camera-place"/>
    <w:qFormat/>
    <w:uiPriority w:val="0"/>
    <w:rPr>
      <w:color w:val="3177FD"/>
    </w:rPr>
  </w:style>
  <w:style w:type="character" w:customStyle="1" w:styleId="169">
    <w:name w:val="ant-tree-icon_loading"/>
    <w:autoRedefine/>
    <w:qFormat/>
    <w:uiPriority w:val="0"/>
    <w:rPr>
      <w:shd w:val="clear" w:color="auto" w:fill="FFFFFF"/>
    </w:rPr>
  </w:style>
  <w:style w:type="character" w:customStyle="1" w:styleId="170">
    <w:name w:val="日期 字符"/>
    <w:autoRedefine/>
    <w:semiHidden/>
    <w:qFormat/>
    <w:uiPriority w:val="99"/>
    <w:rPr>
      <w:kern w:val="2"/>
      <w:sz w:val="21"/>
      <w:szCs w:val="24"/>
    </w:rPr>
  </w:style>
  <w:style w:type="character" w:customStyle="1" w:styleId="171">
    <w:name w:val="text11"/>
    <w:qFormat/>
    <w:uiPriority w:val="0"/>
    <w:rPr>
      <w:rFonts w:hint="default" w:ascii="Verdana" w:hAnsi="Verdana"/>
      <w:color w:val="4E4E4E"/>
      <w:sz w:val="18"/>
      <w:szCs w:val="18"/>
    </w:rPr>
  </w:style>
  <w:style w:type="character" w:customStyle="1" w:styleId="172">
    <w:name w:val="style21"/>
    <w:autoRedefine/>
    <w:qFormat/>
    <w:uiPriority w:val="0"/>
    <w:rPr>
      <w:sz w:val="17"/>
      <w:szCs w:val="17"/>
    </w:rPr>
  </w:style>
  <w:style w:type="character" w:customStyle="1" w:styleId="173">
    <w:name w:val="HTML 预设格式 字符"/>
    <w:semiHidden/>
    <w:qFormat/>
    <w:uiPriority w:val="99"/>
    <w:rPr>
      <w:rFonts w:ascii="Courier New" w:hAnsi="Courier New" w:cs="Courier New"/>
      <w:kern w:val="2"/>
    </w:rPr>
  </w:style>
  <w:style w:type="character" w:customStyle="1" w:styleId="174">
    <w:name w:val="highlight"/>
    <w:qFormat/>
    <w:uiPriority w:val="0"/>
  </w:style>
  <w:style w:type="character" w:customStyle="1" w:styleId="175">
    <w:name w:val="small"/>
    <w:autoRedefine/>
    <w:qFormat/>
    <w:uiPriority w:val="0"/>
  </w:style>
  <w:style w:type="character" w:customStyle="1" w:styleId="176">
    <w:name w:val="all-fit-info1"/>
    <w:autoRedefine/>
    <w:qFormat/>
    <w:uiPriority w:val="0"/>
    <w:rPr>
      <w:color w:val="939393"/>
    </w:rPr>
  </w:style>
  <w:style w:type="character" w:customStyle="1" w:styleId="177">
    <w:name w:val="标题 9 字符"/>
    <w:autoRedefine/>
    <w:semiHidden/>
    <w:qFormat/>
    <w:uiPriority w:val="9"/>
    <w:rPr>
      <w:rFonts w:ascii="等线 Light" w:hAnsi="等线 Light" w:eastAsia="等线 Light" w:cs="Times New Roman"/>
      <w:kern w:val="2"/>
      <w:sz w:val="21"/>
      <w:szCs w:val="21"/>
    </w:rPr>
  </w:style>
  <w:style w:type="character" w:customStyle="1" w:styleId="178">
    <w:name w:val="tag-type1"/>
    <w:autoRedefine/>
    <w:qFormat/>
    <w:uiPriority w:val="0"/>
    <w:rPr>
      <w:color w:val="FFFFFF"/>
      <w:sz w:val="18"/>
      <w:szCs w:val="18"/>
      <w:shd w:val="clear" w:color="auto" w:fill="317FFD"/>
    </w:rPr>
  </w:style>
  <w:style w:type="character" w:customStyle="1" w:styleId="179">
    <w:name w:val="标题 8 字符"/>
    <w:semiHidden/>
    <w:qFormat/>
    <w:uiPriority w:val="9"/>
    <w:rPr>
      <w:rFonts w:ascii="等线 Light" w:hAnsi="等线 Light" w:eastAsia="等线 Light" w:cs="Times New Roman"/>
      <w:kern w:val="2"/>
      <w:sz w:val="24"/>
      <w:szCs w:val="24"/>
    </w:rPr>
  </w:style>
  <w:style w:type="character" w:customStyle="1" w:styleId="180">
    <w:name w:val="页脚 字符"/>
    <w:semiHidden/>
    <w:qFormat/>
    <w:uiPriority w:val="99"/>
    <w:rPr>
      <w:kern w:val="2"/>
      <w:sz w:val="18"/>
      <w:szCs w:val="18"/>
    </w:rPr>
  </w:style>
  <w:style w:type="character" w:customStyle="1" w:styleId="181">
    <w:name w:val="ant-tree-switcher"/>
    <w:autoRedefine/>
    <w:qFormat/>
    <w:uiPriority w:val="0"/>
  </w:style>
  <w:style w:type="character" w:customStyle="1" w:styleId="182">
    <w:name w:val="标题 2 字符"/>
    <w:autoRedefine/>
    <w:semiHidden/>
    <w:qFormat/>
    <w:uiPriority w:val="9"/>
    <w:rPr>
      <w:rFonts w:ascii="等线 Light" w:hAnsi="等线 Light" w:eastAsia="等线 Light" w:cs="Times New Roman"/>
      <w:b/>
      <w:bCs/>
      <w:kern w:val="2"/>
      <w:sz w:val="32"/>
      <w:szCs w:val="32"/>
    </w:rPr>
  </w:style>
  <w:style w:type="character" w:customStyle="1" w:styleId="183">
    <w:name w:val="last-child5"/>
    <w:qFormat/>
    <w:uiPriority w:val="0"/>
  </w:style>
  <w:style w:type="character" w:customStyle="1" w:styleId="184">
    <w:name w:val="last-child4"/>
    <w:autoRedefine/>
    <w:qFormat/>
    <w:uiPriority w:val="0"/>
  </w:style>
  <w:style w:type="character" w:customStyle="1" w:styleId="185">
    <w:name w:val="文档结构图 字符"/>
    <w:autoRedefine/>
    <w:semiHidden/>
    <w:qFormat/>
    <w:uiPriority w:val="99"/>
    <w:rPr>
      <w:rFonts w:ascii="Microsoft YaHei UI" w:eastAsia="Microsoft YaHei UI"/>
      <w:kern w:val="2"/>
      <w:sz w:val="18"/>
      <w:szCs w:val="18"/>
    </w:rPr>
  </w:style>
  <w:style w:type="paragraph" w:customStyle="1" w:styleId="186">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187">
    <w:name w:val="Char1"/>
    <w:basedOn w:val="1"/>
    <w:autoRedefine/>
    <w:qFormat/>
    <w:uiPriority w:val="0"/>
    <w:rPr>
      <w:szCs w:val="21"/>
    </w:rPr>
  </w:style>
  <w:style w:type="paragraph" w:customStyle="1" w:styleId="188">
    <w:name w:val="正文-2字符首行缩进"/>
    <w:basedOn w:val="1"/>
    <w:autoRedefine/>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89">
    <w:name w:val="目录 53"/>
    <w:next w:val="1"/>
    <w:autoRedefine/>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190">
    <w:name w:val="Char Char Char"/>
    <w:basedOn w:val="1"/>
    <w:autoRedefine/>
    <w:qFormat/>
    <w:uiPriority w:val="0"/>
    <w:rPr>
      <w:rFonts w:ascii="Tahoma" w:hAnsi="Tahoma"/>
      <w:sz w:val="24"/>
      <w:szCs w:val="20"/>
    </w:rPr>
  </w:style>
  <w:style w:type="paragraph" w:customStyle="1" w:styleId="191">
    <w:name w:val="默认段落字体 Para Char Char Char Char Char Char Char Char Char1 Char Char Char Char"/>
    <w:basedOn w:val="1"/>
    <w:autoRedefine/>
    <w:qFormat/>
    <w:uiPriority w:val="0"/>
    <w:rPr>
      <w:rFonts w:ascii="Tahoma" w:hAnsi="Tahoma"/>
      <w:sz w:val="24"/>
      <w:szCs w:val="20"/>
    </w:rPr>
  </w:style>
  <w:style w:type="paragraph" w:customStyle="1" w:styleId="192">
    <w:name w:val="tgt1"/>
    <w:basedOn w:val="1"/>
    <w:autoRedefine/>
    <w:qFormat/>
    <w:uiPriority w:val="0"/>
    <w:pPr>
      <w:widowControl/>
      <w:spacing w:after="150"/>
      <w:jc w:val="left"/>
    </w:pPr>
    <w:rPr>
      <w:rFonts w:ascii="宋体" w:hAnsi="宋体" w:cs="宋体"/>
      <w:kern w:val="0"/>
      <w:sz w:val="24"/>
    </w:rPr>
  </w:style>
  <w:style w:type="paragraph" w:customStyle="1" w:styleId="193">
    <w:name w:val="2ji"/>
    <w:basedOn w:val="5"/>
    <w:autoRedefine/>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9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5">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196">
    <w:name w:val="2-2ji"/>
    <w:basedOn w:val="5"/>
    <w:autoRedefine/>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97">
    <w:name w:val="Char"/>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9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9">
    <w:name w:val="1"/>
    <w:basedOn w:val="1"/>
    <w:next w:val="29"/>
    <w:autoRedefine/>
    <w:qFormat/>
    <w:uiPriority w:val="0"/>
    <w:rPr>
      <w:rFonts w:ascii="宋体" w:hAnsi="Courier New"/>
      <w:szCs w:val="20"/>
    </w:rPr>
  </w:style>
  <w:style w:type="paragraph" w:customStyle="1" w:styleId="20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1">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_Style 109"/>
    <w:basedOn w:val="1"/>
    <w:next w:val="203"/>
    <w:autoRedefine/>
    <w:qFormat/>
    <w:uiPriority w:val="34"/>
    <w:pPr>
      <w:ind w:firstLine="420" w:firstLineChars="200"/>
    </w:pPr>
    <w:rPr>
      <w:rFonts w:ascii="Calibri" w:hAnsi="Calibri"/>
      <w:szCs w:val="22"/>
    </w:rPr>
  </w:style>
  <w:style w:type="paragraph" w:styleId="203">
    <w:name w:val="List Paragraph"/>
    <w:basedOn w:val="1"/>
    <w:autoRedefine/>
    <w:qFormat/>
    <w:uiPriority w:val="34"/>
    <w:pPr>
      <w:ind w:firstLine="420" w:firstLineChars="200"/>
    </w:pPr>
    <w:rPr>
      <w:rFonts w:ascii="Calibri" w:hAnsi="Calibri"/>
      <w:szCs w:val="22"/>
    </w:rPr>
  </w:style>
  <w:style w:type="paragraph" w:customStyle="1" w:styleId="204">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 A"/>
    <w:autoRedefine/>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6">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20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208">
    <w:name w:val="表格"/>
    <w:basedOn w:val="1"/>
    <w:qFormat/>
    <w:uiPriority w:val="0"/>
    <w:pPr>
      <w:spacing w:line="400" w:lineRule="exact"/>
    </w:pPr>
    <w:rPr>
      <w:sz w:val="24"/>
    </w:rPr>
  </w:style>
  <w:style w:type="paragraph" w:customStyle="1" w:styleId="209">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10">
    <w:name w:val="xl2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11">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212">
    <w:name w:val="_Style 206"/>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13">
    <w:name w:val="Char Char Char Char Char Char Char"/>
    <w:basedOn w:val="1"/>
    <w:autoRedefine/>
    <w:qFormat/>
    <w:uiPriority w:val="0"/>
  </w:style>
  <w:style w:type="paragraph" w:customStyle="1" w:styleId="214">
    <w:name w:val="Char Char Char Char Char Char Char Char Char Char Char Char Char"/>
    <w:basedOn w:val="19"/>
    <w:autoRedefine/>
    <w:qFormat/>
    <w:uiPriority w:val="0"/>
    <w:pPr>
      <w:adjustRightInd/>
      <w:spacing w:line="240" w:lineRule="auto"/>
      <w:textAlignment w:val="auto"/>
    </w:pPr>
    <w:rPr>
      <w:rFonts w:ascii="Tahoma" w:hAnsi="Tahoma"/>
      <w:kern w:val="2"/>
      <w:sz w:val="24"/>
      <w:szCs w:val="24"/>
    </w:rPr>
  </w:style>
  <w:style w:type="paragraph" w:customStyle="1" w:styleId="215">
    <w:name w:val="List Paragraph1"/>
    <w:basedOn w:val="1"/>
    <w:autoRedefine/>
    <w:qFormat/>
    <w:uiPriority w:val="0"/>
    <w:pPr>
      <w:ind w:firstLine="420" w:firstLineChars="200"/>
    </w:pPr>
    <w:rPr>
      <w:rFonts w:ascii="Calibri" w:hAnsi="Calibri"/>
      <w:szCs w:val="22"/>
    </w:rPr>
  </w:style>
  <w:style w:type="paragraph" w:customStyle="1" w:styleId="216">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7">
    <w:name w:val="Char Char Char Char Char Char Char Char Char Char Char Char Char1"/>
    <w:basedOn w:val="19"/>
    <w:autoRedefine/>
    <w:qFormat/>
    <w:uiPriority w:val="0"/>
    <w:pPr>
      <w:adjustRightInd/>
      <w:spacing w:line="240" w:lineRule="auto"/>
      <w:textAlignment w:val="auto"/>
    </w:pPr>
    <w:rPr>
      <w:rFonts w:ascii="Tahoma" w:hAnsi="Tahoma"/>
      <w:kern w:val="2"/>
      <w:sz w:val="24"/>
      <w:szCs w:val="24"/>
    </w:rPr>
  </w:style>
  <w:style w:type="paragraph" w:customStyle="1" w:styleId="218">
    <w:name w:val="xl31"/>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19">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20">
    <w:name w:val="次小点说明 Char"/>
    <w:basedOn w:val="9"/>
    <w:autoRedefine/>
    <w:qFormat/>
    <w:uiPriority w:val="0"/>
    <w:pPr>
      <w:ind w:firstLine="0"/>
    </w:pPr>
    <w:rPr>
      <w:sz w:val="24"/>
      <w:szCs w:val="24"/>
    </w:rPr>
  </w:style>
  <w:style w:type="paragraph" w:customStyle="1" w:styleId="221">
    <w:name w:val="Char Char Char Char Char Char1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2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223">
    <w:name w:val="样式 首行缩进:  2 字符"/>
    <w:basedOn w:val="1"/>
    <w:autoRedefine/>
    <w:qFormat/>
    <w:uiPriority w:val="0"/>
    <w:pPr>
      <w:spacing w:line="400" w:lineRule="exact"/>
      <w:ind w:firstLine="200" w:firstLineChars="200"/>
    </w:pPr>
    <w:rPr>
      <w:rFonts w:cs="宋体"/>
      <w:sz w:val="24"/>
    </w:rPr>
  </w:style>
  <w:style w:type="paragraph" w:customStyle="1" w:styleId="224">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225">
    <w:name w:val="正文首行缩进两字符"/>
    <w:basedOn w:val="1"/>
    <w:autoRedefine/>
    <w:qFormat/>
    <w:uiPriority w:val="0"/>
    <w:pPr>
      <w:spacing w:line="360" w:lineRule="auto"/>
      <w:ind w:firstLine="200" w:firstLineChars="200"/>
    </w:pPr>
  </w:style>
  <w:style w:type="paragraph" w:customStyle="1" w:styleId="226">
    <w:name w:val="列表段落1"/>
    <w:basedOn w:val="1"/>
    <w:autoRedefine/>
    <w:qFormat/>
    <w:uiPriority w:val="34"/>
    <w:pPr>
      <w:ind w:firstLine="420" w:firstLineChars="200"/>
    </w:pPr>
  </w:style>
  <w:style w:type="paragraph" w:customStyle="1" w:styleId="227">
    <w:name w:val="Char Char Char1"/>
    <w:basedOn w:val="19"/>
    <w:autoRedefine/>
    <w:qFormat/>
    <w:uiPriority w:val="0"/>
    <w:pPr>
      <w:adjustRightInd/>
      <w:spacing w:line="240" w:lineRule="auto"/>
      <w:textAlignment w:val="auto"/>
    </w:pPr>
    <w:rPr>
      <w:rFonts w:ascii="Tahoma" w:hAnsi="Tahoma"/>
      <w:kern w:val="2"/>
      <w:sz w:val="24"/>
      <w:szCs w:val="24"/>
    </w:rPr>
  </w:style>
  <w:style w:type="paragraph" w:customStyle="1" w:styleId="228">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229">
    <w:name w:val="Char2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30">
    <w:name w:val="List Paragraph_00659276-fdcc-426a-98e1-d9eb9b34cdb1"/>
    <w:basedOn w:val="1"/>
    <w:autoRedefine/>
    <w:qFormat/>
    <w:uiPriority w:val="0"/>
    <w:pPr>
      <w:ind w:firstLine="200" w:firstLineChars="200"/>
    </w:pPr>
  </w:style>
  <w:style w:type="paragraph" w:customStyle="1" w:styleId="231">
    <w:name w:val="默认段落字体 Para Char"/>
    <w:basedOn w:val="1"/>
    <w:autoRedefine/>
    <w:qFormat/>
    <w:uiPriority w:val="0"/>
    <w:pPr>
      <w:adjustRightInd w:val="0"/>
      <w:spacing w:line="360" w:lineRule="auto"/>
    </w:pPr>
    <w:rPr>
      <w:kern w:val="0"/>
      <w:sz w:val="24"/>
      <w:szCs w:val="20"/>
    </w:rPr>
  </w:style>
  <w:style w:type="paragraph" w:customStyle="1" w:styleId="232">
    <w:name w:val="中等深浅网格 21"/>
    <w:autoRedefine/>
    <w:qFormat/>
    <w:uiPriority w:val="0"/>
    <w:rPr>
      <w:rFonts w:ascii="Calibri" w:hAnsi="Calibri" w:eastAsia="宋体" w:cs="Times New Roman"/>
      <w:sz w:val="22"/>
      <w:szCs w:val="22"/>
      <w:lang w:val="en-US" w:eastAsia="zh-CN" w:bidi="ar-SA"/>
    </w:rPr>
  </w:style>
  <w:style w:type="paragraph" w:customStyle="1" w:styleId="233">
    <w:name w:val="Table Paragraph"/>
    <w:basedOn w:val="1"/>
    <w:autoRedefine/>
    <w:qFormat/>
    <w:uiPriority w:val="1"/>
  </w:style>
  <w:style w:type="paragraph" w:customStyle="1" w:styleId="234">
    <w:name w:val="样式1"/>
    <w:basedOn w:val="1"/>
    <w:autoRedefine/>
    <w:qFormat/>
    <w:uiPriority w:val="0"/>
    <w:pPr>
      <w:spacing w:before="120" w:after="120" w:line="300" w:lineRule="auto"/>
    </w:pPr>
    <w:rPr>
      <w:rFonts w:ascii="宋体" w:hAnsi="宋体"/>
      <w:b/>
      <w:sz w:val="24"/>
      <w:szCs w:val="20"/>
    </w:rPr>
  </w:style>
  <w:style w:type="paragraph" w:customStyle="1" w:styleId="235">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237">
    <w:name w:val="_Style 23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8">
    <w:name w:val="缺省文本"/>
    <w:basedOn w:val="1"/>
    <w:autoRedefine/>
    <w:qFormat/>
    <w:uiPriority w:val="0"/>
    <w:pPr>
      <w:autoSpaceDE w:val="0"/>
      <w:autoSpaceDN w:val="0"/>
      <w:adjustRightInd w:val="0"/>
      <w:spacing w:line="360" w:lineRule="auto"/>
      <w:jc w:val="left"/>
    </w:pPr>
    <w:rPr>
      <w:kern w:val="0"/>
      <w:sz w:val="24"/>
      <w:szCs w:val="20"/>
    </w:rPr>
  </w:style>
  <w:style w:type="paragraph" w:customStyle="1" w:styleId="239">
    <w:name w:val="p15"/>
    <w:basedOn w:val="1"/>
    <w:autoRedefine/>
    <w:qFormat/>
    <w:uiPriority w:val="0"/>
    <w:pPr>
      <w:widowControl/>
      <w:ind w:firstLine="420"/>
    </w:pPr>
    <w:rPr>
      <w:kern w:val="0"/>
      <w:szCs w:val="21"/>
    </w:rPr>
  </w:style>
  <w:style w:type="paragraph" w:customStyle="1" w:styleId="240">
    <w:name w:val="Char Char Char2"/>
    <w:basedOn w:val="19"/>
    <w:autoRedefine/>
    <w:qFormat/>
    <w:uiPriority w:val="0"/>
    <w:pPr>
      <w:adjustRightInd/>
      <w:spacing w:line="240" w:lineRule="auto"/>
      <w:textAlignment w:val="auto"/>
    </w:pPr>
    <w:rPr>
      <w:rFonts w:ascii="Tahoma" w:hAnsi="Tahoma"/>
      <w:kern w:val="2"/>
      <w:sz w:val="24"/>
      <w:szCs w:val="24"/>
    </w:rPr>
  </w:style>
  <w:style w:type="paragraph" w:customStyle="1" w:styleId="241">
    <w:name w:val="Char Char Char Char Char Char Char1"/>
    <w:basedOn w:val="1"/>
    <w:autoRedefine/>
    <w:qFormat/>
    <w:uiPriority w:val="0"/>
  </w:style>
  <w:style w:type="paragraph" w:customStyle="1" w:styleId="2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3">
    <w:name w:val="Char31"/>
    <w:basedOn w:val="1"/>
    <w:autoRedefine/>
    <w:qFormat/>
    <w:uiPriority w:val="0"/>
    <w:pPr>
      <w:tabs>
        <w:tab w:val="left" w:pos="360"/>
      </w:tabs>
      <w:ind w:left="252" w:hanging="252" w:hangingChars="140"/>
    </w:pPr>
    <w:rPr>
      <w:rFonts w:ascii="宋体"/>
      <w:sz w:val="18"/>
      <w:szCs w:val="18"/>
    </w:rPr>
  </w:style>
  <w:style w:type="paragraph" w:customStyle="1" w:styleId="244">
    <w:name w:val="五号正文（标准）"/>
    <w:basedOn w:val="1"/>
    <w:autoRedefine/>
    <w:qFormat/>
    <w:uiPriority w:val="0"/>
    <w:pPr>
      <w:spacing w:line="360" w:lineRule="auto"/>
      <w:ind w:right="55" w:firstLine="560" w:firstLineChars="200"/>
    </w:pPr>
    <w:rPr>
      <w:rFonts w:eastAsia="仿宋_GB2312"/>
      <w:sz w:val="28"/>
      <w:szCs w:val="20"/>
    </w:rPr>
  </w:style>
  <w:style w:type="paragraph" w:customStyle="1" w:styleId="245">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46">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8">
    <w:name w:val="列出段落1"/>
    <w:basedOn w:val="1"/>
    <w:autoRedefine/>
    <w:qFormat/>
    <w:uiPriority w:val="99"/>
    <w:pPr>
      <w:ind w:firstLine="420" w:firstLineChars="200"/>
    </w:pPr>
    <w:rPr>
      <w:rFonts w:ascii="Calibri" w:hAnsi="Calibri"/>
    </w:rPr>
  </w:style>
  <w:style w:type="paragraph" w:customStyle="1" w:styleId="249">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250">
    <w:name w:val="Char3"/>
    <w:basedOn w:val="1"/>
    <w:autoRedefine/>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51">
    <w:name w:val="a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2">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character" w:customStyle="1" w:styleId="253">
    <w:name w:val="font31"/>
    <w:basedOn w:val="56"/>
    <w:autoRedefine/>
    <w:qFormat/>
    <w:uiPriority w:val="0"/>
    <w:rPr>
      <w:rFonts w:hint="eastAsia" w:ascii="等线" w:hAnsi="等线" w:eastAsia="等线" w:cs="等线"/>
      <w:color w:val="000000"/>
      <w:sz w:val="22"/>
      <w:szCs w:val="22"/>
      <w:u w:val="none"/>
    </w:rPr>
  </w:style>
  <w:style w:type="character" w:customStyle="1" w:styleId="254">
    <w:name w:val="font151"/>
    <w:basedOn w:val="56"/>
    <w:autoRedefine/>
    <w:qFormat/>
    <w:uiPriority w:val="0"/>
    <w:rPr>
      <w:rFonts w:hint="eastAsia" w:ascii="宋体" w:hAnsi="宋体" w:eastAsia="宋体" w:cs="宋体"/>
      <w:b/>
      <w:bCs/>
      <w:color w:val="000000"/>
      <w:sz w:val="22"/>
      <w:szCs w:val="22"/>
      <w:u w:val="none"/>
    </w:rPr>
  </w:style>
  <w:style w:type="character" w:customStyle="1" w:styleId="255">
    <w:name w:val="font161"/>
    <w:basedOn w:val="56"/>
    <w:autoRedefine/>
    <w:qFormat/>
    <w:uiPriority w:val="0"/>
    <w:rPr>
      <w:rFonts w:hint="eastAsia" w:ascii="宋体" w:hAnsi="宋体" w:eastAsia="宋体" w:cs="宋体"/>
      <w:color w:val="000000"/>
      <w:sz w:val="22"/>
      <w:szCs w:val="22"/>
      <w:u w:val="none"/>
    </w:rPr>
  </w:style>
  <w:style w:type="character" w:customStyle="1" w:styleId="256">
    <w:name w:val="font21"/>
    <w:basedOn w:val="56"/>
    <w:autoRedefine/>
    <w:qFormat/>
    <w:uiPriority w:val="0"/>
    <w:rPr>
      <w:rFonts w:hint="eastAsia" w:ascii="宋体" w:hAnsi="宋体" w:eastAsia="宋体" w:cs="宋体"/>
      <w:color w:val="000000"/>
      <w:sz w:val="22"/>
      <w:szCs w:val="22"/>
      <w:u w:val="none"/>
    </w:rPr>
  </w:style>
  <w:style w:type="character" w:customStyle="1" w:styleId="257">
    <w:name w:val="font51"/>
    <w:basedOn w:val="56"/>
    <w:autoRedefine/>
    <w:qFormat/>
    <w:uiPriority w:val="0"/>
    <w:rPr>
      <w:rFonts w:hint="default" w:ascii="Arial" w:hAnsi="Arial" w:cs="Arial"/>
      <w:color w:val="000000"/>
      <w:sz w:val="22"/>
      <w:szCs w:val="22"/>
      <w:u w:val="none"/>
    </w:rPr>
  </w:style>
  <w:style w:type="character" w:customStyle="1" w:styleId="258">
    <w:name w:val="font61"/>
    <w:basedOn w:val="56"/>
    <w:autoRedefine/>
    <w:qFormat/>
    <w:uiPriority w:val="0"/>
    <w:rPr>
      <w:rFonts w:hint="default" w:ascii="Arial" w:hAnsi="Arial" w:cs="Arial"/>
      <w:color w:val="000000"/>
      <w:sz w:val="22"/>
      <w:szCs w:val="22"/>
      <w:u w:val="none"/>
    </w:rPr>
  </w:style>
  <w:style w:type="character" w:customStyle="1" w:styleId="259">
    <w:name w:val="font71"/>
    <w:basedOn w:val="56"/>
    <w:autoRedefine/>
    <w:qFormat/>
    <w:uiPriority w:val="0"/>
    <w:rPr>
      <w:rFonts w:hint="eastAsia" w:ascii="宋体" w:hAnsi="宋体" w:eastAsia="宋体" w:cs="宋体"/>
      <w:color w:val="000000"/>
      <w:sz w:val="22"/>
      <w:szCs w:val="22"/>
      <w:u w:val="none"/>
    </w:rPr>
  </w:style>
  <w:style w:type="table" w:customStyle="1" w:styleId="260">
    <w:name w:val="网格型1"/>
    <w:basedOn w:val="5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61">
    <w:name w:val="Table Text"/>
    <w:basedOn w:val="1"/>
    <w:autoRedefine/>
    <w:semiHidden/>
    <w:qFormat/>
    <w:uiPriority w:val="0"/>
    <w:rPr>
      <w:rFonts w:ascii="宋体" w:hAnsi="宋体" w:eastAsia="宋体" w:cs="宋体"/>
      <w:sz w:val="25"/>
      <w:szCs w:val="25"/>
      <w:lang w:val="en-US" w:eastAsia="en-US" w:bidi="ar-SA"/>
    </w:rPr>
  </w:style>
  <w:style w:type="table" w:customStyle="1" w:styleId="262">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44BBA-CBDB-45A1-96E8-18EDBC937FB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10194</Words>
  <Characters>10950</Characters>
  <Lines>49</Lines>
  <Paragraphs>98</Paragraphs>
  <TotalTime>27</TotalTime>
  <ScaleCrop>false</ScaleCrop>
  <LinksUpToDate>false</LinksUpToDate>
  <CharactersWithSpaces>11082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2025-03-26T09:47:00Z</dcterms:created>
  <dc:creator>zengzh</dc:creator>
  <cp:lastModifiedBy>NTKO</cp:lastModifiedBy>
  <cp:lastPrinted>2022-03-04T06:45:00Z</cp:lastPrinted>
  <dcterms:modified xsi:type="dcterms:W3CDTF">2025-09-19T02:28:45Z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7F7D606959424A9597344E0781AB3D58_13</vt:lpwstr>
  </property>
  <property fmtid="{D5CDD505-2E9C-101B-9397-08002B2CF9AE}" pid="14" name="GrammarlyDocumentId">
    <vt:lpwstr>735b0e3110c6271e3eb822e1c55f6b82be6595b5c1a107f25157bc189e67a3e9</vt:lpwstr>
  </property>
  <property fmtid="{D5CDD505-2E9C-101B-9397-08002B2CF9AE}" pid="15" name="KSOTemplateDocerSaveRecord">
    <vt:lpwstr>eyJoZGlkIjoiODY1ODlmNTEwNmZjMmU4YWQ3MmYyNjM3NDE1ODZhMzIifQ==</vt:lpwstr>
  </property>
</Properties>
</file>